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E94" w:rsidRDefault="00C05E94" w:rsidP="00FB3DF6">
      <w:pPr>
        <w:pStyle w:val="Heading1"/>
      </w:pPr>
      <w:bookmarkStart w:id="0" w:name="ChapterNumber"/>
      <w:bookmarkStart w:id="1" w:name="_GoBack"/>
      <w:bookmarkEnd w:id="1"/>
    </w:p>
    <w:p w:rsidR="00FB3DF6" w:rsidRDefault="00FB3DF6" w:rsidP="00FB3DF6">
      <w:pPr>
        <w:pStyle w:val="BodyText"/>
      </w:pPr>
    </w:p>
    <w:p w:rsidR="00FB3DF6" w:rsidRDefault="00FB3DF6" w:rsidP="00FB3DF6">
      <w:pPr>
        <w:pStyle w:val="BodyText"/>
      </w:pPr>
    </w:p>
    <w:p w:rsidR="00FB3DF6" w:rsidRDefault="00FB3DF6" w:rsidP="00FB3DF6">
      <w:pPr>
        <w:pStyle w:val="BodyText"/>
      </w:pPr>
    </w:p>
    <w:p w:rsidR="00FB3DF6" w:rsidRDefault="00FB3DF6" w:rsidP="00FB3DF6">
      <w:pPr>
        <w:pStyle w:val="BodyText"/>
      </w:pPr>
    </w:p>
    <w:p w:rsidR="00FB3DF6" w:rsidRPr="00FB3DF6" w:rsidRDefault="00FB3DF6" w:rsidP="00FB3DF6">
      <w:pPr>
        <w:pStyle w:val="BodyText"/>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C05E94" w:rsidRPr="00FB3DF6">
        <w:tc>
          <w:tcPr>
            <w:tcW w:w="6634" w:type="dxa"/>
            <w:tcBorders>
              <w:top w:val="single" w:sz="6" w:space="0" w:color="auto"/>
            </w:tcBorders>
          </w:tcPr>
          <w:p w:rsidR="00C05E94" w:rsidRPr="00FB3DF6" w:rsidRDefault="00C05E94" w:rsidP="00FB3DF6">
            <w:pPr>
              <w:pStyle w:val="BodyText"/>
            </w:pPr>
          </w:p>
        </w:tc>
        <w:tc>
          <w:tcPr>
            <w:tcW w:w="2155" w:type="dxa"/>
            <w:tcBorders>
              <w:top w:val="single" w:sz="24" w:space="0" w:color="auto"/>
            </w:tcBorders>
          </w:tcPr>
          <w:p w:rsidR="00C05E94" w:rsidRPr="00FB3DF6" w:rsidRDefault="00C05E94" w:rsidP="00FB3DF6">
            <w:pPr>
              <w:pStyle w:val="BodyText"/>
            </w:pPr>
          </w:p>
        </w:tc>
      </w:tr>
    </w:tbl>
    <w:p w:rsidR="00C05E94" w:rsidRDefault="00C05E94">
      <w:pPr>
        <w:pStyle w:val="PartDivider"/>
      </w:pPr>
    </w:p>
    <w:p w:rsidR="00C05E94" w:rsidRDefault="00C05E94">
      <w:pPr>
        <w:pStyle w:val="PartTitle"/>
      </w:pPr>
      <w:r>
        <w:t>Overview</w:t>
      </w:r>
    </w:p>
    <w:p w:rsidR="00C05E94" w:rsidRDefault="00C05E94">
      <w:pPr>
        <w:rPr>
          <w:sz w:val="52"/>
          <w:szCs w:val="20"/>
        </w:rP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037871" w:rsidRPr="00037871" w:rsidTr="00E36147">
        <w:tc>
          <w:tcPr>
            <w:tcW w:w="8789" w:type="dxa"/>
            <w:tcBorders>
              <w:top w:val="single" w:sz="4" w:space="0" w:color="78A22F" w:themeColor="accent1"/>
              <w:left w:val="nil"/>
              <w:bottom w:val="nil"/>
              <w:right w:val="nil"/>
            </w:tcBorders>
            <w:shd w:val="clear" w:color="auto" w:fill="E5F1D0"/>
          </w:tcPr>
          <w:p w:rsidR="00C05E94" w:rsidRPr="00320D2D" w:rsidRDefault="00C05E94">
            <w:pPr>
              <w:pStyle w:val="BoxTitle"/>
            </w:pPr>
            <w:r w:rsidRPr="00320D2D">
              <w:lastRenderedPageBreak/>
              <w:t>Key points</w:t>
            </w:r>
          </w:p>
        </w:tc>
      </w:tr>
      <w:tr w:rsidR="00037871" w:rsidRPr="00037871" w:rsidTr="00E36147">
        <w:tc>
          <w:tcPr>
            <w:tcW w:w="8789" w:type="dxa"/>
            <w:tcBorders>
              <w:top w:val="nil"/>
              <w:left w:val="nil"/>
              <w:bottom w:val="nil"/>
              <w:right w:val="nil"/>
            </w:tcBorders>
            <w:shd w:val="clear" w:color="auto" w:fill="E5F1D0"/>
          </w:tcPr>
          <w:p w:rsidR="00E82D12" w:rsidRPr="00A512B5" w:rsidRDefault="00E82D12" w:rsidP="00E82D12">
            <w:pPr>
              <w:pStyle w:val="BoxListBullet"/>
              <w:spacing w:before="120" w:line="280" w:lineRule="atLeast"/>
            </w:pPr>
            <w:r w:rsidRPr="00A512B5">
              <w:t xml:space="preserve">This report measures the wellbeing of Aboriginal and Torres Strait Islander Australians, and was produced in consultation with governments and Aboriginal and Torres Strait Islander Australians. </w:t>
            </w:r>
            <w:r w:rsidR="00064340">
              <w:t>A</w:t>
            </w:r>
            <w:r w:rsidRPr="00A512B5">
              <w:t>round 3</w:t>
            </w:r>
            <w:r w:rsidR="00C77FEA">
              <w:rPr>
                <w:rFonts w:cs="Arial"/>
                <w:lang w:val="en-US"/>
              </w:rPr>
              <w:t> </w:t>
            </w:r>
            <w:r w:rsidRPr="00A512B5">
              <w:rPr>
                <w:rFonts w:cs="Arial"/>
                <w:lang w:val="en-US"/>
              </w:rPr>
              <w:t xml:space="preserve">per cent of the Australian population </w:t>
            </w:r>
            <w:r w:rsidR="00064340">
              <w:rPr>
                <w:rFonts w:cs="Arial"/>
                <w:lang w:val="en-US"/>
              </w:rPr>
              <w:t>are</w:t>
            </w:r>
            <w:r w:rsidR="00B70CFE" w:rsidRPr="00A512B5">
              <w:rPr>
                <w:rFonts w:cs="Arial"/>
                <w:lang w:val="en-US"/>
              </w:rPr>
              <w:t xml:space="preserve"> estimated </w:t>
            </w:r>
            <w:r w:rsidRPr="00A512B5">
              <w:rPr>
                <w:rFonts w:cs="Arial"/>
                <w:lang w:val="en-US"/>
              </w:rPr>
              <w:t>as being of Aboriginal or Torres Strait Islander origin</w:t>
            </w:r>
            <w:r w:rsidR="00064340">
              <w:rPr>
                <w:rFonts w:cs="Arial"/>
                <w:lang w:val="en-US"/>
              </w:rPr>
              <w:t xml:space="preserve"> (based on 2011 Census data)</w:t>
            </w:r>
            <w:r w:rsidRPr="00A512B5">
              <w:rPr>
                <w:rFonts w:cs="Arial"/>
                <w:lang w:val="en-US"/>
              </w:rPr>
              <w:t>.</w:t>
            </w:r>
          </w:p>
          <w:p w:rsidR="00E82D12" w:rsidRPr="00A512B5" w:rsidRDefault="00E82D12" w:rsidP="00E82D12">
            <w:pPr>
              <w:pStyle w:val="BoxListBullet"/>
              <w:spacing w:before="120" w:line="280" w:lineRule="atLeast"/>
            </w:pPr>
            <w:r w:rsidRPr="00A512B5">
              <w:t>Outcomes have improved in a number of areas, including some COAG targets</w:t>
            </w:r>
            <w:r w:rsidR="005B2FEF" w:rsidRPr="00A512B5">
              <w:t>.</w:t>
            </w:r>
            <w:r w:rsidR="00C3198B" w:rsidRPr="00A512B5">
              <w:t xml:space="preserve"> For indicators with new data for this report:</w:t>
            </w:r>
            <w:r w:rsidR="00B3048D">
              <w:rPr>
                <w:rFonts w:ascii="Times New Roman" w:hAnsi="Times New Roman"/>
                <w:sz w:val="24"/>
                <w:szCs w:val="24"/>
              </w:rPr>
              <w:t xml:space="preserve"> </w:t>
            </w:r>
          </w:p>
          <w:p w:rsidR="00E82D12" w:rsidRPr="00A512B5" w:rsidRDefault="00E82D12" w:rsidP="00E82D12">
            <w:pPr>
              <w:pStyle w:val="BoxListBullet2"/>
              <w:tabs>
                <w:tab w:val="left" w:pos="284"/>
              </w:tabs>
              <w:spacing w:before="60" w:line="280" w:lineRule="atLeast"/>
            </w:pPr>
            <w:r w:rsidRPr="00A512B5">
              <w:t xml:space="preserve">Mortality rates for children improved </w:t>
            </w:r>
            <w:r w:rsidR="00C3198B" w:rsidRPr="00A512B5">
              <w:t>between 1998 and 2014</w:t>
            </w:r>
            <w:r w:rsidRPr="00A512B5">
              <w:t>, particular</w:t>
            </w:r>
            <w:r w:rsidR="00064340">
              <w:t>ly</w:t>
            </w:r>
            <w:r w:rsidRPr="00A512B5">
              <w:t xml:space="preserve"> for 0</w:t>
            </w:r>
            <w:r w:rsidR="00B17CFF" w:rsidRPr="00A512B5">
              <w:t>&lt;</w:t>
            </w:r>
            <w:r w:rsidRPr="00A512B5">
              <w:t>1 year olds, whose mortality rates m</w:t>
            </w:r>
            <w:r w:rsidR="00C3198B" w:rsidRPr="00A512B5">
              <w:t>ore than halved (from 14 to 6</w:t>
            </w:r>
            <w:r w:rsidRPr="00A512B5">
              <w:t xml:space="preserve"> deaths per 1000 live births). </w:t>
            </w:r>
          </w:p>
          <w:p w:rsidR="00D970F3" w:rsidRPr="00064340" w:rsidRDefault="00064340" w:rsidP="00E82D12">
            <w:pPr>
              <w:pStyle w:val="BoxListBullet2"/>
              <w:tabs>
                <w:tab w:val="left" w:pos="284"/>
              </w:tabs>
              <w:spacing w:before="60" w:line="280" w:lineRule="atLeast"/>
            </w:pPr>
            <w:r w:rsidRPr="006C1699">
              <w:t xml:space="preserve">Education improvements included increases in the </w:t>
            </w:r>
            <w:r w:rsidR="00E32D75">
              <w:t>proportion of 20–</w:t>
            </w:r>
            <w:r w:rsidRPr="006C1699">
              <w:t xml:space="preserve">24 year olds completing year 12 or above </w:t>
            </w:r>
            <w:r w:rsidR="002B790C">
              <w:t>(</w:t>
            </w:r>
            <w:r w:rsidRPr="006C1699">
              <w:t>from 2008 to 2014</w:t>
            </w:r>
            <w:r w:rsidR="00FB3DF6">
              <w:noBreakHyphen/>
            </w:r>
            <w:r w:rsidRPr="006C1699">
              <w:t>15</w:t>
            </w:r>
            <w:r w:rsidR="002B790C">
              <w:t>)</w:t>
            </w:r>
            <w:r w:rsidR="00E32D75">
              <w:t xml:space="preserve"> and the proportion of 20–</w:t>
            </w:r>
            <w:r w:rsidRPr="006C1699">
              <w:t>64 year olds with or working towards post</w:t>
            </w:r>
            <w:r w:rsidR="00FB3DF6">
              <w:noBreakHyphen/>
            </w:r>
            <w:r w:rsidRPr="006C1699">
              <w:t>school qualifications (from 2002 to 2014</w:t>
            </w:r>
            <w:r w:rsidR="00FB3DF6">
              <w:noBreakHyphen/>
            </w:r>
            <w:r w:rsidRPr="006C1699">
              <w:t>15)</w:t>
            </w:r>
            <w:r w:rsidR="00D970F3" w:rsidRPr="00064340">
              <w:t>.</w:t>
            </w:r>
          </w:p>
          <w:p w:rsidR="00E82D12" w:rsidRPr="00A512B5" w:rsidRDefault="00E82D12" w:rsidP="00E82D12">
            <w:pPr>
              <w:pStyle w:val="BoxListBullet2"/>
              <w:tabs>
                <w:tab w:val="left" w:pos="284"/>
              </w:tabs>
              <w:spacing w:before="60" w:line="280" w:lineRule="atLeast"/>
            </w:pPr>
            <w:r w:rsidRPr="00A512B5">
              <w:t>The proportion of adults whose main income was from employment increase</w:t>
            </w:r>
            <w:r w:rsidR="00D970F3" w:rsidRPr="00A512B5">
              <w:t>d from 32 per cent in 2002 to 43</w:t>
            </w:r>
            <w:r w:rsidRPr="00A512B5">
              <w:t xml:space="preserve"> per cent in 201</w:t>
            </w:r>
            <w:r w:rsidR="00D970F3" w:rsidRPr="00A512B5">
              <w:t>4</w:t>
            </w:r>
            <w:r w:rsidR="00FB3DF6">
              <w:noBreakHyphen/>
            </w:r>
            <w:r w:rsidRPr="00A512B5">
              <w:t>1</w:t>
            </w:r>
            <w:r w:rsidR="00D970F3" w:rsidRPr="00A512B5">
              <w:t>5, with household income increasing</w:t>
            </w:r>
            <w:r w:rsidR="00C3198B" w:rsidRPr="00A512B5">
              <w:t xml:space="preserve"> over this period</w:t>
            </w:r>
            <w:r w:rsidRPr="00A512B5">
              <w:t>.</w:t>
            </w:r>
          </w:p>
          <w:p w:rsidR="00D970F3" w:rsidRPr="00A512B5" w:rsidRDefault="00D970F3" w:rsidP="00E82D12">
            <w:pPr>
              <w:pStyle w:val="BoxListBullet2"/>
              <w:tabs>
                <w:tab w:val="left" w:pos="284"/>
              </w:tabs>
              <w:spacing w:before="60" w:line="280" w:lineRule="atLeast"/>
            </w:pPr>
            <w:r w:rsidRPr="00A512B5">
              <w:t>The proportion of adults that recognised traditional lands increased from 70 per cent in 2002 to 74 per cent in 2014</w:t>
            </w:r>
            <w:r w:rsidR="00FB3DF6">
              <w:noBreakHyphen/>
            </w:r>
            <w:r w:rsidRPr="00A512B5">
              <w:t>15.</w:t>
            </w:r>
          </w:p>
          <w:p w:rsidR="00E82D12" w:rsidRPr="00A512B5" w:rsidRDefault="00E82D12" w:rsidP="00E82D12">
            <w:pPr>
              <w:pStyle w:val="BoxListBullet"/>
              <w:spacing w:before="120" w:line="280" w:lineRule="atLeast"/>
            </w:pPr>
            <w:r w:rsidRPr="00A512B5">
              <w:t>However, there has been little or no change for some indicators</w:t>
            </w:r>
            <w:r w:rsidR="005B2FEF" w:rsidRPr="00A512B5">
              <w:t>.</w:t>
            </w:r>
          </w:p>
          <w:p w:rsidR="00A512B5" w:rsidRPr="00A512B5" w:rsidRDefault="00A512B5" w:rsidP="00CC794C">
            <w:pPr>
              <w:pStyle w:val="BoxListBullet2"/>
            </w:pPr>
            <w:r>
              <w:t>R</w:t>
            </w:r>
            <w:r w:rsidR="00E82D12" w:rsidRPr="00A512B5">
              <w:t>ates of family and community violence were</w:t>
            </w:r>
            <w:r w:rsidRPr="00A512B5">
              <w:t xml:space="preserve"> unchanged between 2002 and 2014</w:t>
            </w:r>
            <w:r w:rsidR="00FB3DF6">
              <w:noBreakHyphen/>
            </w:r>
            <w:r w:rsidRPr="00A512B5">
              <w:t>15 (around 22 per cent)</w:t>
            </w:r>
            <w:r w:rsidR="00E82D12" w:rsidRPr="00A512B5">
              <w:t xml:space="preserve">, and </w:t>
            </w:r>
            <w:r w:rsidR="00DD2B1E" w:rsidRPr="00A512B5">
              <w:t xml:space="preserve">risky </w:t>
            </w:r>
            <w:r w:rsidRPr="00A512B5">
              <w:t>long</w:t>
            </w:r>
            <w:r w:rsidR="00FB3DF6">
              <w:noBreakHyphen/>
            </w:r>
            <w:r w:rsidRPr="00A512B5">
              <w:t xml:space="preserve">term </w:t>
            </w:r>
            <w:r w:rsidR="00E82D12" w:rsidRPr="00A512B5">
              <w:t>alcohol</w:t>
            </w:r>
            <w:r w:rsidR="00DD2B1E" w:rsidRPr="00A512B5">
              <w:t xml:space="preserve"> use</w:t>
            </w:r>
            <w:r w:rsidR="00E82D12" w:rsidRPr="00A512B5">
              <w:t xml:space="preserve"> </w:t>
            </w:r>
            <w:r w:rsidR="0046089E" w:rsidRPr="00E92224">
              <w:t>in 2014</w:t>
            </w:r>
            <w:r w:rsidR="00FB3DF6">
              <w:noBreakHyphen/>
            </w:r>
            <w:r w:rsidR="0046089E" w:rsidRPr="00E92224">
              <w:t>15 was similar to 2002 (</w:t>
            </w:r>
            <w:r w:rsidR="00CC794C" w:rsidRPr="00E92224">
              <w:t>though lower than 2008</w:t>
            </w:r>
            <w:r w:rsidR="0046089E" w:rsidRPr="00E92224">
              <w:t>)</w:t>
            </w:r>
            <w:r w:rsidR="00E82D12" w:rsidRPr="00A512B5">
              <w:t>.</w:t>
            </w:r>
          </w:p>
          <w:p w:rsidR="00E82D12" w:rsidRPr="00A512B5" w:rsidRDefault="00A512B5" w:rsidP="00E82D12">
            <w:pPr>
              <w:pStyle w:val="BoxListBullet2"/>
              <w:tabs>
                <w:tab w:val="left" w:pos="284"/>
              </w:tabs>
              <w:spacing w:before="60" w:line="280" w:lineRule="atLeast"/>
            </w:pPr>
            <w:r w:rsidRPr="00A512B5">
              <w:t>The proportions of people learning and speaking Indigenous languages</w:t>
            </w:r>
            <w:r w:rsidR="00E82D12" w:rsidRPr="00A512B5">
              <w:t xml:space="preserve"> </w:t>
            </w:r>
            <w:r w:rsidRPr="00A512B5">
              <w:t>remain</w:t>
            </w:r>
            <w:r w:rsidR="00F448C1">
              <w:t>ed</w:t>
            </w:r>
            <w:r w:rsidRPr="00A512B5">
              <w:t xml:space="preserve"> unchanged from 2008 to 2014</w:t>
            </w:r>
            <w:r w:rsidR="00FB3DF6">
              <w:noBreakHyphen/>
            </w:r>
            <w:r w:rsidRPr="00A512B5">
              <w:t>15.</w:t>
            </w:r>
          </w:p>
          <w:p w:rsidR="00E82D12" w:rsidRPr="00A512B5" w:rsidRDefault="00E82D12" w:rsidP="00E82D12">
            <w:pPr>
              <w:pStyle w:val="BoxListBullet"/>
              <w:spacing w:before="120" w:line="280" w:lineRule="atLeast"/>
            </w:pPr>
            <w:r w:rsidRPr="00A512B5">
              <w:t xml:space="preserve">Outcomes have </w:t>
            </w:r>
            <w:r w:rsidR="00B17CFF" w:rsidRPr="00A512B5">
              <w:t>worsened</w:t>
            </w:r>
            <w:r w:rsidRPr="00A512B5">
              <w:t xml:space="preserve"> in some areas</w:t>
            </w:r>
            <w:r w:rsidR="005B2FEF" w:rsidRPr="00A512B5">
              <w:t>.</w:t>
            </w:r>
            <w:r w:rsidRPr="00A512B5">
              <w:t xml:space="preserve"> </w:t>
            </w:r>
          </w:p>
          <w:p w:rsidR="00E82D12" w:rsidRPr="00A512B5" w:rsidRDefault="00E82D12" w:rsidP="00E82D12">
            <w:pPr>
              <w:pStyle w:val="BoxListBullet2"/>
              <w:tabs>
                <w:tab w:val="left" w:pos="284"/>
              </w:tabs>
              <w:spacing w:before="60" w:line="280" w:lineRule="atLeast"/>
            </w:pPr>
            <w:r w:rsidRPr="00A512B5">
              <w:t>The proportion of adults reporting high levels of psychological distress increased f</w:t>
            </w:r>
            <w:r w:rsidR="00A512B5" w:rsidRPr="00A512B5">
              <w:t>rom 27</w:t>
            </w:r>
            <w:r w:rsidR="009A7835">
              <w:t> </w:t>
            </w:r>
            <w:r w:rsidR="00A512B5" w:rsidRPr="00A512B5">
              <w:t>per cent in 2004</w:t>
            </w:r>
            <w:r w:rsidR="00FB3DF6">
              <w:noBreakHyphen/>
            </w:r>
            <w:r w:rsidR="00A512B5" w:rsidRPr="00A512B5">
              <w:t>05 to 33 per cent in 2014</w:t>
            </w:r>
            <w:r w:rsidR="00FB3DF6">
              <w:noBreakHyphen/>
            </w:r>
            <w:r w:rsidRPr="00A512B5">
              <w:t>1</w:t>
            </w:r>
            <w:r w:rsidR="00A512B5" w:rsidRPr="00A512B5">
              <w:t>5</w:t>
            </w:r>
            <w:r w:rsidRPr="00A512B5">
              <w:t xml:space="preserve">, </w:t>
            </w:r>
            <w:r w:rsidR="009A7835">
              <w:t>and</w:t>
            </w:r>
            <w:r w:rsidR="009A7835" w:rsidRPr="00A512B5">
              <w:t xml:space="preserve"> </w:t>
            </w:r>
            <w:r w:rsidRPr="00A512B5">
              <w:t xml:space="preserve">hospitalisations for </w:t>
            </w:r>
            <w:r w:rsidR="00A512B5" w:rsidRPr="00A512B5">
              <w:t>self</w:t>
            </w:r>
            <w:r w:rsidR="00FB3DF6">
              <w:noBreakHyphen/>
            </w:r>
            <w:r w:rsidR="00A512B5" w:rsidRPr="00A512B5">
              <w:t>harm increased by 56</w:t>
            </w:r>
            <w:r w:rsidRPr="00A512B5">
              <w:t xml:space="preserve"> per cent over this period. </w:t>
            </w:r>
          </w:p>
          <w:p w:rsidR="00DD2B1E" w:rsidRPr="00A512B5" w:rsidRDefault="00A512B5" w:rsidP="00E82D12">
            <w:pPr>
              <w:pStyle w:val="BoxListBullet2"/>
              <w:tabs>
                <w:tab w:val="left" w:pos="284"/>
              </w:tabs>
              <w:spacing w:before="60" w:line="280" w:lineRule="atLeast"/>
            </w:pPr>
            <w:r w:rsidRPr="00A512B5">
              <w:t>The proportion of adults reporting substance misuse in the previous 12 months increased from 23 per cent in 2002 to 31 per cent in 2014</w:t>
            </w:r>
            <w:r w:rsidR="00FB3DF6">
              <w:noBreakHyphen/>
            </w:r>
            <w:r w:rsidRPr="00A512B5">
              <w:t>15</w:t>
            </w:r>
            <w:r w:rsidR="002F4FDF">
              <w:t>.</w:t>
            </w:r>
          </w:p>
          <w:p w:rsidR="00E82D12" w:rsidRPr="00A512B5" w:rsidRDefault="00E82D12" w:rsidP="00E82D12">
            <w:pPr>
              <w:pStyle w:val="BoxListBullet2"/>
              <w:tabs>
                <w:tab w:val="left" w:pos="284"/>
              </w:tabs>
              <w:spacing w:before="60" w:line="280" w:lineRule="atLeast"/>
            </w:pPr>
            <w:r w:rsidRPr="00A512B5">
              <w:t>The adu</w:t>
            </w:r>
            <w:r w:rsidR="00D970F3" w:rsidRPr="00A512B5">
              <w:t>lt imprisonment rate increased 7</w:t>
            </w:r>
            <w:r w:rsidRPr="00A512B5">
              <w:t xml:space="preserve">7 </w:t>
            </w:r>
            <w:r w:rsidR="00D970F3" w:rsidRPr="00A512B5">
              <w:t xml:space="preserve">per cent between 2000 and 2015, and whilst </w:t>
            </w:r>
            <w:r w:rsidR="00C77FEA">
              <w:t>the</w:t>
            </w:r>
            <w:r w:rsidR="00D970F3" w:rsidRPr="00A512B5">
              <w:t xml:space="preserve"> </w:t>
            </w:r>
            <w:r w:rsidR="006D59F2">
              <w:t>juvenile</w:t>
            </w:r>
            <w:r w:rsidR="006D59F2" w:rsidRPr="00A512B5">
              <w:t xml:space="preserve"> </w:t>
            </w:r>
            <w:r w:rsidR="00D970F3" w:rsidRPr="00A512B5">
              <w:t xml:space="preserve">detention </w:t>
            </w:r>
            <w:r w:rsidR="00C77FEA">
              <w:t>rate has decreased it</w:t>
            </w:r>
            <w:r w:rsidR="00D970F3" w:rsidRPr="00A512B5">
              <w:t xml:space="preserve"> </w:t>
            </w:r>
            <w:r w:rsidR="009F7E6B">
              <w:t>i</w:t>
            </w:r>
            <w:r w:rsidR="006D59F2">
              <w:t>s</w:t>
            </w:r>
            <w:r w:rsidR="00D970F3" w:rsidRPr="00A512B5">
              <w:t xml:space="preserve"> </w:t>
            </w:r>
            <w:r w:rsidR="006D59F2">
              <w:t xml:space="preserve">still </w:t>
            </w:r>
            <w:r w:rsidR="00D970F3" w:rsidRPr="00A512B5">
              <w:t>24 times the rate for non</w:t>
            </w:r>
            <w:r w:rsidR="00FB3DF6">
              <w:noBreakHyphen/>
            </w:r>
            <w:r w:rsidR="00D970F3" w:rsidRPr="00A512B5">
              <w:t>Indigenous youth.</w:t>
            </w:r>
          </w:p>
          <w:p w:rsidR="00BB5C5A" w:rsidRDefault="00F70E53" w:rsidP="00A512B5">
            <w:pPr>
              <w:pStyle w:val="BoxListBullet"/>
            </w:pPr>
            <w:r w:rsidRPr="00A512B5">
              <w:t xml:space="preserve">Change over time cannot be assessed for all the indicators — some indicators have no trend data; some indicators report on </w:t>
            </w:r>
            <w:r w:rsidR="00A512B5" w:rsidRPr="00A512B5">
              <w:t xml:space="preserve">service </w:t>
            </w:r>
            <w:r w:rsidRPr="00A512B5">
              <w:t>use</w:t>
            </w:r>
            <w:r w:rsidR="002F4FDF">
              <w:t>,</w:t>
            </w:r>
            <w:r w:rsidRPr="00A512B5">
              <w:t xml:space="preserve"> and change over time might be due to changing access rather than changes in the underlying outcome; and some indicators </w:t>
            </w:r>
            <w:r w:rsidR="009F7E6B">
              <w:t>have</w:t>
            </w:r>
            <w:r w:rsidR="009F7E6B" w:rsidRPr="00A512B5">
              <w:t xml:space="preserve"> </w:t>
            </w:r>
            <w:r w:rsidRPr="00A512B5">
              <w:t>related measures that moved in different directions</w:t>
            </w:r>
            <w:r w:rsidR="009F7E6B">
              <w:t>.</w:t>
            </w:r>
            <w:r w:rsidRPr="00A512B5">
              <w:t xml:space="preserve"> </w:t>
            </w:r>
          </w:p>
          <w:p w:rsidR="009A7835" w:rsidRPr="006C1699" w:rsidRDefault="00BB5C5A" w:rsidP="002F4FDF">
            <w:pPr>
              <w:pStyle w:val="BoxListBullet"/>
              <w:rPr>
                <w:rStyle w:val="DraftingNote"/>
                <w:b w:val="0"/>
                <w:color w:val="auto"/>
                <w:sz w:val="20"/>
                <w:u w:val="none"/>
              </w:rPr>
            </w:pPr>
            <w:r w:rsidRPr="002D76C7">
              <w:t>Finally, data alone cannot tell the complete story about the wellbeing of Aboriginal and Torres Strait Islander A</w:t>
            </w:r>
            <w:r w:rsidR="001D2E4C" w:rsidRPr="002D76C7">
              <w:t xml:space="preserve">ustralians, nor can it fully </w:t>
            </w:r>
            <w:r w:rsidRPr="002D76C7">
              <w:t>tell us why outcomes improve (or not) in different areas. To support the indicator reporting, case studies of ‘things that work’ are included in this report</w:t>
            </w:r>
            <w:r w:rsidR="00AF5213">
              <w:t xml:space="preserve"> (a subset in this Overview)</w:t>
            </w:r>
            <w:r w:rsidRPr="002D76C7">
              <w:t>. However, the relatively small number of case studies included reflects a lack of rigorously evaluated programs in the Indigenous policy area.</w:t>
            </w:r>
            <w:r w:rsidRPr="00215DAA">
              <w:t xml:space="preserve"> </w:t>
            </w:r>
          </w:p>
        </w:tc>
      </w:tr>
      <w:tr w:rsidR="00037871" w:rsidRPr="00037871" w:rsidTr="00E36147">
        <w:tc>
          <w:tcPr>
            <w:tcW w:w="8789" w:type="dxa"/>
            <w:tcBorders>
              <w:top w:val="nil"/>
              <w:left w:val="nil"/>
              <w:bottom w:val="single" w:sz="4" w:space="0" w:color="78A22F" w:themeColor="accent1"/>
              <w:right w:val="nil"/>
            </w:tcBorders>
            <w:shd w:val="clear" w:color="auto" w:fill="E5F1D0"/>
          </w:tcPr>
          <w:p w:rsidR="00C05E94" w:rsidRPr="00A512B5" w:rsidRDefault="00C05E94">
            <w:pPr>
              <w:pStyle w:val="Box"/>
              <w:spacing w:before="0" w:line="120" w:lineRule="exact"/>
            </w:pPr>
          </w:p>
        </w:tc>
      </w:tr>
      <w:tr w:rsidR="00037871" w:rsidRPr="00037871" w:rsidTr="00E36147">
        <w:tc>
          <w:tcPr>
            <w:tcW w:w="8789" w:type="dxa"/>
            <w:tcBorders>
              <w:top w:val="single" w:sz="4" w:space="0" w:color="78A22F" w:themeColor="accent1"/>
              <w:left w:val="nil"/>
              <w:bottom w:val="nil"/>
              <w:right w:val="nil"/>
            </w:tcBorders>
          </w:tcPr>
          <w:p w:rsidR="00C05E94" w:rsidRPr="00037871" w:rsidRDefault="00C05E94">
            <w:pPr>
              <w:pStyle w:val="Box"/>
              <w:keepNext w:val="0"/>
              <w:spacing w:before="60" w:after="60" w:line="80" w:lineRule="exact"/>
              <w:rPr>
                <w:color w:val="00B050"/>
              </w:rPr>
            </w:pPr>
          </w:p>
        </w:tc>
      </w:tr>
    </w:tbl>
    <w:p w:rsidR="00E82D12" w:rsidRPr="00037871" w:rsidRDefault="00E82D12" w:rsidP="00E82D12">
      <w:pPr>
        <w:pStyle w:val="Heading3"/>
        <w:spacing w:before="240"/>
        <w:rPr>
          <w:color w:val="000000" w:themeColor="text1"/>
        </w:rPr>
      </w:pPr>
      <w:bookmarkStart w:id="2" w:name="ChapterTitle"/>
      <w:bookmarkEnd w:id="0"/>
      <w:r w:rsidRPr="00037871">
        <w:rPr>
          <w:color w:val="000000" w:themeColor="text1"/>
        </w:rPr>
        <w:lastRenderedPageBreak/>
        <w:t>How have trends in outcomes over time been assessed?</w:t>
      </w:r>
    </w:p>
    <w:p w:rsidR="00E82D12" w:rsidRPr="00037871" w:rsidRDefault="00E82D12" w:rsidP="00E82D12">
      <w:pPr>
        <w:pStyle w:val="BodyText"/>
        <w:rPr>
          <w:color w:val="000000" w:themeColor="text1"/>
        </w:rPr>
      </w:pPr>
      <w:r w:rsidRPr="00037871">
        <w:rPr>
          <w:color w:val="000000" w:themeColor="text1"/>
        </w:rPr>
        <w:t>The figure on the next page summarises changes in outcomes over time. The following approach was taken to assessing change over time:</w:t>
      </w:r>
    </w:p>
    <w:p w:rsidR="00E82D12" w:rsidRPr="00037871" w:rsidRDefault="00E82D12" w:rsidP="00E82D12">
      <w:pPr>
        <w:pStyle w:val="ListBullet"/>
        <w:rPr>
          <w:color w:val="000000" w:themeColor="text1"/>
        </w:rPr>
      </w:pPr>
      <w:r w:rsidRPr="00037871">
        <w:rPr>
          <w:color w:val="000000" w:themeColor="text1"/>
        </w:rPr>
        <w:t>The key consideration was change over time in outcomes for Aboriginal and Torres Strait Islander Australians NOT the gap to non</w:t>
      </w:r>
      <w:r w:rsidR="00FB3DF6">
        <w:rPr>
          <w:color w:val="000000" w:themeColor="text1"/>
        </w:rPr>
        <w:noBreakHyphen/>
      </w:r>
      <w:r w:rsidRPr="00037871">
        <w:rPr>
          <w:color w:val="000000" w:themeColor="text1"/>
        </w:rPr>
        <w:t>Indigenous Australians. It is important to acknowledge improvements in outcomes for Aboriginal and Torres Strait islander Australians, even if improvements for non</w:t>
      </w:r>
      <w:r w:rsidR="00FB3DF6">
        <w:rPr>
          <w:color w:val="000000" w:themeColor="text1"/>
        </w:rPr>
        <w:noBreakHyphen/>
      </w:r>
      <w:r w:rsidRPr="00037871">
        <w:rPr>
          <w:color w:val="000000" w:themeColor="text1"/>
        </w:rPr>
        <w:t xml:space="preserve">Indigenous Australians mean that the gap has not narrowed. </w:t>
      </w:r>
    </w:p>
    <w:p w:rsidR="00E82D12" w:rsidRPr="00037871" w:rsidRDefault="00E82D12" w:rsidP="00E82D12">
      <w:pPr>
        <w:pStyle w:val="ListBullet"/>
        <w:rPr>
          <w:color w:val="000000" w:themeColor="text1"/>
        </w:rPr>
      </w:pPr>
      <w:r w:rsidRPr="00037871">
        <w:rPr>
          <w:color w:val="000000" w:themeColor="text1"/>
        </w:rPr>
        <w:t xml:space="preserve">Change has been assessed by comparing </w:t>
      </w:r>
      <w:r w:rsidR="00556C69" w:rsidRPr="00037871">
        <w:rPr>
          <w:color w:val="000000" w:themeColor="text1"/>
        </w:rPr>
        <w:t xml:space="preserve">the </w:t>
      </w:r>
      <w:r w:rsidRPr="00037871">
        <w:rPr>
          <w:color w:val="000000" w:themeColor="text1"/>
        </w:rPr>
        <w:t xml:space="preserve">latest available data to </w:t>
      </w:r>
      <w:r w:rsidR="00556C69" w:rsidRPr="00037871">
        <w:rPr>
          <w:color w:val="000000" w:themeColor="text1"/>
        </w:rPr>
        <w:t xml:space="preserve">the </w:t>
      </w:r>
      <w:r w:rsidRPr="00037871">
        <w:rPr>
          <w:color w:val="000000" w:themeColor="text1"/>
        </w:rPr>
        <w:t>earliest available data for each indicator</w:t>
      </w:r>
      <w:r w:rsidR="00C33496" w:rsidRPr="00037871">
        <w:rPr>
          <w:color w:val="000000" w:themeColor="text1"/>
        </w:rPr>
        <w:t xml:space="preserve"> in this report</w:t>
      </w:r>
      <w:r w:rsidRPr="00037871">
        <w:rPr>
          <w:color w:val="000000" w:themeColor="text1"/>
        </w:rPr>
        <w:t xml:space="preserve">. Therefore, the time period may be different for different indicators. </w:t>
      </w:r>
    </w:p>
    <w:p w:rsidR="00782B29" w:rsidRPr="00037871" w:rsidRDefault="00782B29" w:rsidP="00E82D12">
      <w:pPr>
        <w:pStyle w:val="ListBullet"/>
        <w:rPr>
          <w:color w:val="000000" w:themeColor="text1"/>
        </w:rPr>
      </w:pPr>
      <w:r w:rsidRPr="00037871">
        <w:rPr>
          <w:color w:val="000000" w:themeColor="text1"/>
        </w:rPr>
        <w:t>If apparent change was not statistically significant this was recorded as no change.</w:t>
      </w:r>
    </w:p>
    <w:p w:rsidR="00E82D12" w:rsidRPr="00037871" w:rsidRDefault="00E82D12" w:rsidP="00E82D12">
      <w:pPr>
        <w:pStyle w:val="ListBullet"/>
        <w:rPr>
          <w:color w:val="000000" w:themeColor="text1"/>
        </w:rPr>
      </w:pPr>
      <w:r w:rsidRPr="00037871">
        <w:rPr>
          <w:color w:val="000000" w:themeColor="text1"/>
        </w:rPr>
        <w:t>The focus has been on the main measure/s identified for each indicator. Supplementary measures for some indicators may show different trends.</w:t>
      </w:r>
    </w:p>
    <w:p w:rsidR="00E82D12" w:rsidRPr="00037871" w:rsidRDefault="00E82D12" w:rsidP="00E82D12">
      <w:pPr>
        <w:pStyle w:val="ListBullet"/>
        <w:rPr>
          <w:color w:val="000000" w:themeColor="text1"/>
        </w:rPr>
      </w:pPr>
      <w:r w:rsidRPr="00037871">
        <w:rPr>
          <w:color w:val="000000" w:themeColor="text1"/>
        </w:rPr>
        <w:t xml:space="preserve">No trend has been identified where it is not clear whether an observed change in the main measure is positive or negative, or where improvements to data collections have created a break in series. </w:t>
      </w:r>
    </w:p>
    <w:p w:rsidR="00E82D12" w:rsidRPr="00037871" w:rsidRDefault="00E82D12" w:rsidP="00E82D12">
      <w:pPr>
        <w:pStyle w:val="BodyText"/>
        <w:rPr>
          <w:color w:val="000000" w:themeColor="text1"/>
        </w:rPr>
      </w:pPr>
      <w:r w:rsidRPr="00037871">
        <w:rPr>
          <w:color w:val="000000" w:themeColor="text1"/>
        </w:rPr>
        <w:t>Results have been summarised into the following five categories:</w:t>
      </w:r>
    </w:p>
    <w:p w:rsidR="00E82D12" w:rsidRPr="00037871" w:rsidRDefault="00E82D12" w:rsidP="00E82D12">
      <w:pPr>
        <w:pStyle w:val="ListBullet"/>
        <w:rPr>
          <w:color w:val="000000" w:themeColor="text1"/>
        </w:rPr>
      </w:pPr>
      <w:r w:rsidRPr="00037871">
        <w:rPr>
          <w:b/>
          <w:color w:val="000000" w:themeColor="text1"/>
        </w:rPr>
        <w:t>progress</w:t>
      </w:r>
      <w:r w:rsidRPr="00037871">
        <w:rPr>
          <w:color w:val="000000" w:themeColor="text1"/>
        </w:rPr>
        <w:t xml:space="preserve"> — where the main measure for an indicator shows outcomes for Aboriginal and Torres Strait Islander Australians improving over time</w:t>
      </w:r>
    </w:p>
    <w:p w:rsidR="00E82D12" w:rsidRPr="00037871" w:rsidRDefault="00E82D12" w:rsidP="00E82D12">
      <w:pPr>
        <w:pStyle w:val="ListBullet"/>
        <w:rPr>
          <w:color w:val="000000" w:themeColor="text1"/>
        </w:rPr>
      </w:pPr>
      <w:r w:rsidRPr="00037871">
        <w:rPr>
          <w:b/>
          <w:color w:val="000000" w:themeColor="text1"/>
        </w:rPr>
        <w:t>no significant change</w:t>
      </w:r>
      <w:r w:rsidRPr="00037871">
        <w:rPr>
          <w:color w:val="000000" w:themeColor="text1"/>
        </w:rPr>
        <w:t xml:space="preserve"> — where the main measure for an indicator shows no meaningful change in outcomes for Aboriginal and Torres Strait Islander Australians </w:t>
      </w:r>
    </w:p>
    <w:p w:rsidR="00E82D12" w:rsidRPr="00037871" w:rsidRDefault="00E82D12" w:rsidP="00E82D12">
      <w:pPr>
        <w:pStyle w:val="ListBullet"/>
        <w:rPr>
          <w:color w:val="000000" w:themeColor="text1"/>
        </w:rPr>
      </w:pPr>
      <w:r w:rsidRPr="00037871">
        <w:rPr>
          <w:b/>
          <w:color w:val="000000" w:themeColor="text1"/>
        </w:rPr>
        <w:t>regress —</w:t>
      </w:r>
      <w:r w:rsidRPr="00037871">
        <w:rPr>
          <w:color w:val="000000" w:themeColor="text1"/>
        </w:rPr>
        <w:t xml:space="preserve"> where the main measure for an indicator shows a decline in outcomes for Aboriginal and Torres Strait Islander Australians </w:t>
      </w:r>
    </w:p>
    <w:p w:rsidR="00E82D12" w:rsidRPr="00037871" w:rsidRDefault="00E82D12" w:rsidP="00E82D12">
      <w:pPr>
        <w:pStyle w:val="ListBullet"/>
        <w:rPr>
          <w:color w:val="000000" w:themeColor="text1"/>
        </w:rPr>
      </w:pPr>
      <w:r w:rsidRPr="00037871">
        <w:rPr>
          <w:b/>
          <w:color w:val="000000" w:themeColor="text1"/>
        </w:rPr>
        <w:t>data gap</w:t>
      </w:r>
      <w:r w:rsidRPr="00037871">
        <w:rPr>
          <w:color w:val="000000" w:themeColor="text1"/>
        </w:rPr>
        <w:t xml:space="preserve"> — where no suitable trend data are available (this does not include indicators where improvements to data collections have created a break in series, which are labelled ‘unclear’)</w:t>
      </w:r>
    </w:p>
    <w:p w:rsidR="00E82D12" w:rsidRPr="00037871" w:rsidRDefault="00E82D12" w:rsidP="00E82D12">
      <w:pPr>
        <w:pStyle w:val="ListBullet"/>
        <w:rPr>
          <w:color w:val="000000" w:themeColor="text1"/>
        </w:rPr>
      </w:pPr>
      <w:r w:rsidRPr="00037871">
        <w:rPr>
          <w:b/>
          <w:color w:val="000000" w:themeColor="text1"/>
        </w:rPr>
        <w:t>unclear</w:t>
      </w:r>
      <w:r w:rsidRPr="00037871">
        <w:rPr>
          <w:color w:val="000000" w:themeColor="text1"/>
        </w:rPr>
        <w:t xml:space="preserve"> — where it is not clear whether an observed change in the main measure is positive or negative, or where improvements to data collections have created a break in series. Results should be considered in the light of the contextual material in the relevant section of the report.</w:t>
      </w:r>
    </w:p>
    <w:p w:rsidR="00E82D12" w:rsidRPr="00037871" w:rsidRDefault="00E82D12" w:rsidP="00E82D12">
      <w:pPr>
        <w:pStyle w:val="BodyText"/>
        <w:rPr>
          <w:color w:val="000000" w:themeColor="text1"/>
        </w:rPr>
      </w:pPr>
      <w:r w:rsidRPr="00037871">
        <w:rPr>
          <w:color w:val="000000" w:themeColor="text1"/>
        </w:rPr>
        <w:t>There are 52 indicators in this report. However, one indicator (5.4 Case studies in governance) is not designed to include quantitative measures.</w:t>
      </w:r>
    </w:p>
    <w:p w:rsidR="00825474" w:rsidRPr="00320D2D" w:rsidRDefault="00825474">
      <w:r w:rsidRPr="00037871">
        <w:rPr>
          <w:color w:val="00B050"/>
        </w:rPr>
        <w:br w:type="page"/>
      </w:r>
    </w:p>
    <w:p w:rsidR="00825474" w:rsidRPr="00037871" w:rsidRDefault="00825474" w:rsidP="00DA28BA">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037871" w:rsidRPr="00037871" w:rsidTr="0025114F">
        <w:tc>
          <w:tcPr>
            <w:tcW w:w="8793" w:type="dxa"/>
            <w:tcBorders>
              <w:top w:val="single" w:sz="6" w:space="0" w:color="78A22F"/>
              <w:left w:val="nil"/>
              <w:bottom w:val="nil"/>
              <w:right w:val="nil"/>
            </w:tcBorders>
            <w:shd w:val="clear" w:color="auto" w:fill="auto"/>
          </w:tcPr>
          <w:p w:rsidR="00825474" w:rsidRPr="00037871" w:rsidRDefault="00825474" w:rsidP="00FE5D53">
            <w:pPr>
              <w:pStyle w:val="FigureTitle"/>
              <w:rPr>
                <w:rStyle w:val="DraftingNote"/>
              </w:rPr>
            </w:pPr>
          </w:p>
        </w:tc>
      </w:tr>
      <w:tr w:rsidR="00037871" w:rsidRPr="00037871" w:rsidTr="0025114F">
        <w:tc>
          <w:tcPr>
            <w:tcW w:w="8793" w:type="dxa"/>
            <w:tcBorders>
              <w:top w:val="nil"/>
              <w:left w:val="nil"/>
              <w:bottom w:val="nil"/>
              <w:right w:val="nil"/>
            </w:tcBorders>
            <w:shd w:val="clear" w:color="auto" w:fill="auto"/>
            <w:tcMar>
              <w:top w:w="28" w:type="dxa"/>
              <w:bottom w:w="28" w:type="dxa"/>
            </w:tcMar>
          </w:tcPr>
          <w:tbl>
            <w:tblPr>
              <w:tblW w:w="8387"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387"/>
            </w:tblGrid>
            <w:tr w:rsidR="00037871" w:rsidRPr="00037871" w:rsidTr="00EE2D01">
              <w:trPr>
                <w:trHeight w:val="11387"/>
                <w:jc w:val="center"/>
              </w:trPr>
              <w:tc>
                <w:tcPr>
                  <w:tcW w:w="5000" w:type="pct"/>
                  <w:tcBorders>
                    <w:top w:val="nil"/>
                    <w:bottom w:val="nil"/>
                  </w:tcBorders>
                </w:tcPr>
                <w:p w:rsidR="00825474" w:rsidRPr="00037871" w:rsidRDefault="00F96082" w:rsidP="00DA28BA">
                  <w:pPr>
                    <w:pStyle w:val="Figure"/>
                    <w:spacing w:before="60" w:after="60"/>
                    <w:rPr>
                      <w:color w:val="00B050"/>
                    </w:rPr>
                  </w:pPr>
                  <w:r>
                    <w:rPr>
                      <w:noProof/>
                      <w:color w:val="00B050"/>
                    </w:rPr>
                    <w:drawing>
                      <wp:inline distT="0" distB="0" distL="0" distR="0">
                        <wp:extent cx="5270740" cy="7461003"/>
                        <wp:effectExtent l="0" t="0" r="6350" b="6985"/>
                        <wp:docPr id="12" name="Picture 12" descr="Graphic Overcoming Indigenous Disadvantage: &#10;Key Indicators 2016 - trends in national outcomes&#10;&#10;COAG targets and headline indicators&#10;&#10;Strategic areas for action&#10;&#10;More details can be found within the text surrounding this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My Documents\02_GPRA Group\Tanya\OID 2016\Overview pictur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53" r="5976"/>
                                <a:stretch/>
                              </pic:blipFill>
                              <pic:spPr bwMode="auto">
                                <a:xfrm>
                                  <a:off x="0" y="0"/>
                                  <a:ext cx="5275072" cy="74671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5474" w:rsidRPr="00037871" w:rsidRDefault="00825474" w:rsidP="00DA28BA">
            <w:pPr>
              <w:pStyle w:val="Figure"/>
              <w:rPr>
                <w:color w:val="00B050"/>
              </w:rPr>
            </w:pPr>
          </w:p>
        </w:tc>
      </w:tr>
      <w:tr w:rsidR="00037871" w:rsidRPr="00037871" w:rsidTr="0025114F">
        <w:tc>
          <w:tcPr>
            <w:tcW w:w="8793" w:type="dxa"/>
            <w:tcBorders>
              <w:top w:val="nil"/>
              <w:left w:val="nil"/>
              <w:bottom w:val="single" w:sz="6" w:space="0" w:color="78A22F"/>
              <w:right w:val="nil"/>
            </w:tcBorders>
            <w:shd w:val="clear" w:color="auto" w:fill="auto"/>
          </w:tcPr>
          <w:p w:rsidR="00825474" w:rsidRPr="00037871" w:rsidRDefault="00825474" w:rsidP="00DA28BA">
            <w:pPr>
              <w:pStyle w:val="Figurespace"/>
              <w:rPr>
                <w:color w:val="00B050"/>
              </w:rPr>
            </w:pPr>
          </w:p>
        </w:tc>
      </w:tr>
      <w:tr w:rsidR="00037871" w:rsidRPr="00037871" w:rsidTr="0025114F">
        <w:tc>
          <w:tcPr>
            <w:tcW w:w="8793" w:type="dxa"/>
            <w:tcBorders>
              <w:top w:val="single" w:sz="6" w:space="0" w:color="78A22F"/>
              <w:left w:val="nil"/>
              <w:bottom w:val="nil"/>
              <w:right w:val="nil"/>
            </w:tcBorders>
          </w:tcPr>
          <w:p w:rsidR="00825474" w:rsidRPr="00037871" w:rsidRDefault="00825474" w:rsidP="00DA28BA">
            <w:pPr>
              <w:pStyle w:val="BoxSpaceBelow"/>
              <w:rPr>
                <w:color w:val="00B050"/>
              </w:rPr>
            </w:pPr>
          </w:p>
        </w:tc>
      </w:tr>
    </w:tbl>
    <w:bookmarkEnd w:id="2"/>
    <w:p w:rsidR="00E82D12" w:rsidRPr="00037871" w:rsidRDefault="00E82D12" w:rsidP="006C1699">
      <w:pPr>
        <w:pStyle w:val="Heading3"/>
      </w:pPr>
      <w:r w:rsidRPr="00037871">
        <w:lastRenderedPageBreak/>
        <w:t>What is the Overcoming Indigenous Disadvantage report?</w:t>
      </w:r>
    </w:p>
    <w:p w:rsidR="00E82D12" w:rsidRPr="00037871" w:rsidRDefault="00E82D12" w:rsidP="00E82D12">
      <w:pPr>
        <w:pStyle w:val="BodyText"/>
        <w:rPr>
          <w:color w:val="000000" w:themeColor="text1"/>
        </w:rPr>
      </w:pPr>
      <w:r w:rsidRPr="00037871">
        <w:rPr>
          <w:color w:val="000000" w:themeColor="text1"/>
        </w:rPr>
        <w:t xml:space="preserve">The Overcoming Indigenous Disadvantage (OID) report measures the wellbeing of Aboriginal and Torres Strait Islander Australians. It is the </w:t>
      </w:r>
      <w:r w:rsidR="00037871" w:rsidRPr="00037871">
        <w:rPr>
          <w:color w:val="000000" w:themeColor="text1"/>
        </w:rPr>
        <w:t>sevent</w:t>
      </w:r>
      <w:r w:rsidRPr="00037871">
        <w:rPr>
          <w:color w:val="000000" w:themeColor="text1"/>
        </w:rPr>
        <w:t>h report in a series commissioned by all Australian governments, designed to measure progress in overcoming the disadvantage faced by many Aboriginal and Torres Strait Islander Australians. It complements a range of other reports on aspects of Indigenous policy (see figure on</w:t>
      </w:r>
      <w:r w:rsidR="00DE3105" w:rsidRPr="00037871">
        <w:rPr>
          <w:color w:val="000000" w:themeColor="text1"/>
        </w:rPr>
        <w:t xml:space="preserve"> following page</w:t>
      </w:r>
      <w:r w:rsidRPr="00037871">
        <w:rPr>
          <w:color w:val="000000" w:themeColor="text1"/>
        </w:rPr>
        <w:t>).</w:t>
      </w:r>
    </w:p>
    <w:p w:rsidR="00E82D12" w:rsidRPr="00037871" w:rsidRDefault="00E82D12" w:rsidP="00E82D12">
      <w:pPr>
        <w:pStyle w:val="BodyText"/>
      </w:pPr>
      <w:r w:rsidRPr="00037871">
        <w:rPr>
          <w:color w:val="000000" w:themeColor="text1"/>
        </w:rPr>
        <w:t>The OID report is produced by the Steering Committee for the Review of Government Service Provision</w:t>
      </w:r>
      <w:r w:rsidR="005B25B5">
        <w:rPr>
          <w:color w:val="000000" w:themeColor="text1"/>
        </w:rPr>
        <w:t xml:space="preserve"> (the Steering Committee)</w:t>
      </w:r>
      <w:r w:rsidRPr="00037871">
        <w:rPr>
          <w:color w:val="000000" w:themeColor="text1"/>
        </w:rPr>
        <w:t>, which is made up of representatives of the Australian Government and all State and Territory governments, and observers from the Australian Bureau of Statistics and the Australian Institute of Health and Welfare. The Steering Committee is chaired by the chairman of the Productivity Commission</w:t>
      </w:r>
      <w:r w:rsidR="00556C69" w:rsidRPr="00037871">
        <w:rPr>
          <w:color w:val="000000" w:themeColor="text1"/>
        </w:rPr>
        <w:t xml:space="preserve"> (see page </w:t>
      </w:r>
      <w:r w:rsidR="00556C69" w:rsidRPr="00E92224">
        <w:t>iii f</w:t>
      </w:r>
      <w:r w:rsidR="00556C69" w:rsidRPr="00037871">
        <w:rPr>
          <w:color w:val="000000" w:themeColor="text1"/>
        </w:rPr>
        <w:t>or a list of members)</w:t>
      </w:r>
      <w:r w:rsidRPr="00037871">
        <w:rPr>
          <w:color w:val="000000" w:themeColor="text1"/>
        </w:rPr>
        <w:t>, and is supported by a Secretariat from the Pro</w:t>
      </w:r>
      <w:r w:rsidR="00556C69" w:rsidRPr="00037871">
        <w:rPr>
          <w:color w:val="000000" w:themeColor="text1"/>
        </w:rPr>
        <w:t>ductivity Commission</w:t>
      </w:r>
      <w:r w:rsidRPr="00037871">
        <w:rPr>
          <w:color w:val="000000" w:themeColor="text1"/>
        </w:rPr>
        <w:t>.</w:t>
      </w:r>
    </w:p>
    <w:p w:rsidR="00E82D12" w:rsidRPr="00EE387E" w:rsidRDefault="00E82D12" w:rsidP="00E82D12">
      <w:pPr>
        <w:pStyle w:val="BodyText"/>
        <w:rPr>
          <w:color w:val="000000" w:themeColor="text1"/>
        </w:rPr>
      </w:pPr>
      <w:r w:rsidRPr="00EE387E">
        <w:rPr>
          <w:color w:val="000000" w:themeColor="text1"/>
        </w:rPr>
        <w:t xml:space="preserve">The Steering Committee is advised by the OID working group, which is made up of representatives of the Australian Government, all State and Territory governments, the Australian Bureau of Statistics, the Australian Institute of Health and Welfare and the National Congress of Australia’s First Peoples (see page </w:t>
      </w:r>
      <w:r w:rsidR="00DE3105" w:rsidRPr="00E92224">
        <w:t>iv</w:t>
      </w:r>
      <w:r w:rsidRPr="00E92224">
        <w:t xml:space="preserve"> for</w:t>
      </w:r>
      <w:r w:rsidRPr="00EE387E">
        <w:rPr>
          <w:color w:val="000000" w:themeColor="text1"/>
        </w:rPr>
        <w:t xml:space="preserve"> a list of members). </w:t>
      </w:r>
    </w:p>
    <w:p w:rsidR="00E82D12" w:rsidRPr="00EE387E" w:rsidRDefault="00E82D12" w:rsidP="00E82D12">
      <w:pPr>
        <w:pStyle w:val="BodyText"/>
        <w:rPr>
          <w:color w:val="000000" w:themeColor="text1"/>
        </w:rPr>
      </w:pPr>
      <w:r w:rsidRPr="00EE387E">
        <w:rPr>
          <w:color w:val="000000" w:themeColor="text1"/>
        </w:rPr>
        <w:t>The information in the OID report can be used to exa</w:t>
      </w:r>
      <w:r w:rsidR="00D11B56" w:rsidRPr="00EE387E">
        <w:rPr>
          <w:color w:val="000000" w:themeColor="text1"/>
        </w:rPr>
        <w:t>m</w:t>
      </w:r>
      <w:r w:rsidRPr="00EE387E">
        <w:rPr>
          <w:color w:val="000000" w:themeColor="text1"/>
        </w:rPr>
        <w:t>ine the nature of disadvantage</w:t>
      </w:r>
      <w:r w:rsidR="00DE3105" w:rsidRPr="00EE387E">
        <w:rPr>
          <w:color w:val="000000" w:themeColor="text1"/>
        </w:rPr>
        <w:t xml:space="preserve"> experienced by</w:t>
      </w:r>
      <w:r w:rsidR="00B17CFF" w:rsidRPr="00EE387E">
        <w:rPr>
          <w:color w:val="000000" w:themeColor="text1"/>
        </w:rPr>
        <w:t xml:space="preserve"> Aboriginal and Torres Strait Islander Australians</w:t>
      </w:r>
      <w:r w:rsidRPr="00EE387E">
        <w:rPr>
          <w:color w:val="000000" w:themeColor="text1"/>
        </w:rPr>
        <w:t xml:space="preserve"> and can help inform the design of policies. However, the report is not designed to evaluate specific policies or programs and, except for the COAG targets (which were agreed by all governments), the report does not include targets.</w:t>
      </w:r>
    </w:p>
    <w:p w:rsidR="00E82D12" w:rsidRPr="00EE387E" w:rsidRDefault="00E82D12" w:rsidP="00E82D12">
      <w:pPr>
        <w:pStyle w:val="BodyText"/>
        <w:rPr>
          <w:color w:val="000000" w:themeColor="text1"/>
        </w:rPr>
      </w:pPr>
      <w:r w:rsidRPr="00EE387E">
        <w:rPr>
          <w:color w:val="000000" w:themeColor="text1"/>
        </w:rPr>
        <w:t>The OID report has several elements:</w:t>
      </w:r>
    </w:p>
    <w:p w:rsidR="00E82D12" w:rsidRPr="00EE387E" w:rsidRDefault="00E82D12" w:rsidP="00E82D12">
      <w:pPr>
        <w:pStyle w:val="ListBullet"/>
        <w:rPr>
          <w:color w:val="000000" w:themeColor="text1"/>
        </w:rPr>
      </w:pPr>
      <w:r w:rsidRPr="00EE387E">
        <w:rPr>
          <w:color w:val="000000" w:themeColor="text1"/>
        </w:rPr>
        <w:t xml:space="preserve">this overview, which summarises the report’s key messages </w:t>
      </w:r>
    </w:p>
    <w:p w:rsidR="00E82D12" w:rsidRPr="00EE387E" w:rsidRDefault="00E82D12" w:rsidP="00E82D12">
      <w:pPr>
        <w:pStyle w:val="ListBullet"/>
        <w:rPr>
          <w:color w:val="000000" w:themeColor="text1"/>
        </w:rPr>
      </w:pPr>
      <w:r w:rsidRPr="00EE387E">
        <w:rPr>
          <w:color w:val="000000" w:themeColor="text1"/>
        </w:rPr>
        <w:t xml:space="preserve">the main report (available electronically), which provides the evidence base supporting the report’s framework, and more detailed information on outcomes </w:t>
      </w:r>
    </w:p>
    <w:p w:rsidR="004E69B2" w:rsidRPr="00372B87" w:rsidRDefault="00E82D12" w:rsidP="004E69B2">
      <w:pPr>
        <w:pStyle w:val="ListBullet"/>
      </w:pPr>
      <w:r w:rsidRPr="00064340">
        <w:rPr>
          <w:color w:val="000000" w:themeColor="text1"/>
        </w:rPr>
        <w:t>attachment tables (available electronically), which expand on the data used in the report.</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4E69B2" w:rsidRPr="001260DE" w:rsidTr="0025114F">
        <w:tc>
          <w:tcPr>
            <w:tcW w:w="8793" w:type="dxa"/>
            <w:tcBorders>
              <w:top w:val="single" w:sz="6" w:space="0" w:color="78A22F"/>
              <w:left w:val="nil"/>
              <w:bottom w:val="nil"/>
              <w:right w:val="nil"/>
            </w:tcBorders>
            <w:shd w:val="clear" w:color="auto" w:fill="F2F2F2"/>
          </w:tcPr>
          <w:p w:rsidR="004E69B2" w:rsidRPr="001260DE" w:rsidRDefault="004E69B2" w:rsidP="002F7C99">
            <w:pPr>
              <w:pStyle w:val="BoxTitle"/>
            </w:pPr>
            <w:r>
              <w:lastRenderedPageBreak/>
              <w:t>N</w:t>
            </w:r>
            <w:r w:rsidRPr="001260DE">
              <w:t>ational reports on Aboriginal and Torres Strait Islander Australians</w:t>
            </w:r>
            <w:r w:rsidRPr="00242D20">
              <w:rPr>
                <w:rStyle w:val="NoteLabel"/>
                <w:b/>
              </w:rPr>
              <w:t>a</w:t>
            </w:r>
          </w:p>
        </w:tc>
      </w:tr>
      <w:tr w:rsidR="004E69B2" w:rsidRPr="001260DE" w:rsidTr="0025114F">
        <w:tblPrEx>
          <w:tblBorders>
            <w:top w:val="single" w:sz="6" w:space="0" w:color="auto"/>
            <w:left w:val="single" w:sz="6" w:space="0" w:color="auto"/>
            <w:bottom w:val="single" w:sz="6" w:space="0" w:color="auto"/>
            <w:right w:val="single" w:sz="6" w:space="0" w:color="auto"/>
          </w:tblBorders>
        </w:tblPrEx>
        <w:trPr>
          <w:cantSplit/>
          <w:trHeight w:val="7696"/>
        </w:trPr>
        <w:tc>
          <w:tcPr>
            <w:tcW w:w="8793" w:type="dxa"/>
            <w:tcBorders>
              <w:top w:val="nil"/>
              <w:left w:val="nil"/>
              <w:bottom w:val="nil"/>
              <w:right w:val="nil"/>
            </w:tcBorders>
            <w:shd w:val="clear" w:color="auto" w:fill="F2F2F2" w:themeFill="background1" w:themeFillShade="F2"/>
          </w:tcPr>
          <w:p w:rsidR="004E69B2" w:rsidRPr="001260DE" w:rsidRDefault="00FB4A32" w:rsidP="002F7C99">
            <w:pPr>
              <w:pStyle w:val="Box"/>
            </w:pPr>
            <w:r w:rsidRPr="001260DE">
              <w:rPr>
                <w:noProof/>
              </w:rPr>
              <mc:AlternateContent>
                <mc:Choice Requires="wps">
                  <w:drawing>
                    <wp:anchor distT="0" distB="0" distL="114300" distR="114300" simplePos="0" relativeHeight="251668480" behindDoc="0" locked="0" layoutInCell="1" allowOverlap="1" wp14:anchorId="06914709" wp14:editId="0E5EEAA1">
                      <wp:simplePos x="0" y="0"/>
                      <wp:positionH relativeFrom="margin">
                        <wp:posOffset>111760</wp:posOffset>
                      </wp:positionH>
                      <wp:positionV relativeFrom="paragraph">
                        <wp:posOffset>3436620</wp:posOffset>
                      </wp:positionV>
                      <wp:extent cx="2440305" cy="1296670"/>
                      <wp:effectExtent l="0" t="0" r="17145"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296670"/>
                              </a:xfrm>
                              <a:prstGeom prst="rect">
                                <a:avLst/>
                              </a:prstGeom>
                              <a:solidFill>
                                <a:srgbClr val="5D805D"/>
                              </a:solidFill>
                              <a:ln w="12700">
                                <a:solidFill>
                                  <a:srgbClr val="5D805D"/>
                                </a:solidFill>
                                <a:miter lim="800000"/>
                                <a:headEnd/>
                                <a:tailEnd/>
                              </a:ln>
                            </wps:spPr>
                            <wps:txbx>
                              <w:txbxContent>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National Indigenous Reform Agreement Performance Report </w:t>
                                  </w: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COAG</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CRC</w:t>
                                  </w:r>
                                  <w:r>
                                    <w:rPr>
                                      <w:rFonts w:ascii="Tahoma" w:hAnsi="Tahoma" w:cs="Tahoma"/>
                                      <w:b/>
                                      <w:color w:val="FFFFFF" w:themeColor="background1"/>
                                      <w:sz w:val="16"/>
                                      <w:szCs w:val="16"/>
                                    </w:rPr>
                                    <w:t>/PC</w:t>
                                  </w:r>
                                  <w:r>
                                    <w:rPr>
                                      <w:rStyle w:val="NoteLabel"/>
                                      <w:color w:val="FFFFFF" w:themeColor="background1"/>
                                    </w:rPr>
                                    <w:t>b</w:t>
                                  </w:r>
                                </w:p>
                                <w:p w:rsidR="00FB3DF6" w:rsidRPr="00D17CE9" w:rsidRDefault="00FB3DF6" w:rsidP="004E69B2">
                                  <w:pPr>
                                    <w:spacing w:after="60"/>
                                    <w:jc w:val="center"/>
                                    <w:rPr>
                                      <w:rFonts w:ascii="Tahoma" w:hAnsi="Tahoma" w:cs="Tahoma"/>
                                      <w:b/>
                                      <w:sz w:val="16"/>
                                      <w:szCs w:val="16"/>
                                    </w:rPr>
                                  </w:pPr>
                                  <w:r w:rsidRPr="007840E8">
                                    <w:rPr>
                                      <w:rFonts w:ascii="Tahoma" w:hAnsi="Tahoma" w:cs="Tahoma"/>
                                      <w:color w:val="FFFFFF" w:themeColor="background1"/>
                                      <w:sz w:val="16"/>
                                      <w:szCs w:val="16"/>
                                    </w:rPr>
                                    <w:t>Frequency</w:t>
                                  </w:r>
                                  <w:r>
                                    <w:rPr>
                                      <w:rFonts w:ascii="Tahoma" w:hAnsi="Tahoma" w:cs="Tahoma"/>
                                      <w:b/>
                                      <w:color w:val="FFFFFF" w:themeColor="background1"/>
                                      <w:sz w:val="16"/>
                                      <w:szCs w:val="16"/>
                                    </w:rPr>
                                    <w:t xml:space="preserve"> </w:t>
                                  </w:r>
                                  <w:r w:rsidRPr="00E92224">
                                    <w:rPr>
                                      <w:rFonts w:ascii="Tahoma" w:hAnsi="Tahoma" w:cs="Tahoma"/>
                                      <w:b/>
                                      <w:color w:val="FFFFFF" w:themeColor="background1"/>
                                      <w:sz w:val="16"/>
                                      <w:szCs w:val="16"/>
                                    </w:rPr>
                                    <w:t>to be determined</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Independent assessment of Australian Government and State and Territory go</w:t>
                                  </w:r>
                                  <w:r>
                                    <w:rPr>
                                      <w:rFonts w:ascii="Tahoma" w:hAnsi="Tahoma" w:cs="Tahoma"/>
                                      <w:color w:val="FFFFFF" w:themeColor="background1"/>
                                      <w:sz w:val="16"/>
                                      <w:szCs w:val="16"/>
                                    </w:rPr>
                                    <w:t>vernment progress toward the seven</w:t>
                                  </w:r>
                                  <w:r w:rsidRPr="007840E8">
                                    <w:rPr>
                                      <w:rFonts w:ascii="Tahoma" w:hAnsi="Tahoma" w:cs="Tahoma"/>
                                      <w:color w:val="FFFFFF" w:themeColor="background1"/>
                                      <w:sz w:val="16"/>
                                      <w:szCs w:val="16"/>
                                    </w:rPr>
                                    <w:t xml:space="preserve"> Closing the Gap targets, and associated performance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8.8pt;margin-top:270.6pt;width:192.15pt;height:10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" fillcolor="#5d805d" strokecolor="#5d805d" strokeweight="1pt">
                      <v:textbox>
                        <w:txbxContent>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National Indigenous Reform Agreement Performance Report </w:t>
                            </w: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COAG</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CRC</w:t>
                            </w:r>
                            <w:r>
                              <w:rPr>
                                <w:rFonts w:ascii="Tahoma" w:hAnsi="Tahoma" w:cs="Tahoma"/>
                                <w:b/>
                                <w:color w:val="FFFFFF" w:themeColor="background1"/>
                                <w:sz w:val="16"/>
                                <w:szCs w:val="16"/>
                              </w:rPr>
                              <w:t>/PC</w:t>
                            </w:r>
                            <w:r>
                              <w:rPr>
                                <w:rStyle w:val="NoteLabel"/>
                                <w:color w:val="FFFFFF" w:themeColor="background1"/>
                              </w:rPr>
                              <w:t>b</w:t>
                            </w:r>
                          </w:p>
                          <w:p w:rsidR="00FB3DF6" w:rsidRPr="00D17CE9" w:rsidRDefault="00FB3DF6" w:rsidP="004E69B2">
                            <w:pPr>
                              <w:spacing w:after="60"/>
                              <w:jc w:val="center"/>
                              <w:rPr>
                                <w:rFonts w:ascii="Tahoma" w:hAnsi="Tahoma" w:cs="Tahoma"/>
                                <w:b/>
                                <w:sz w:val="16"/>
                                <w:szCs w:val="16"/>
                              </w:rPr>
                            </w:pPr>
                            <w:r w:rsidRPr="007840E8">
                              <w:rPr>
                                <w:rFonts w:ascii="Tahoma" w:hAnsi="Tahoma" w:cs="Tahoma"/>
                                <w:color w:val="FFFFFF" w:themeColor="background1"/>
                                <w:sz w:val="16"/>
                                <w:szCs w:val="16"/>
                              </w:rPr>
                              <w:t>Frequency</w:t>
                            </w:r>
                            <w:r>
                              <w:rPr>
                                <w:rFonts w:ascii="Tahoma" w:hAnsi="Tahoma" w:cs="Tahoma"/>
                                <w:b/>
                                <w:color w:val="FFFFFF" w:themeColor="background1"/>
                                <w:sz w:val="16"/>
                                <w:szCs w:val="16"/>
                              </w:rPr>
                              <w:t xml:space="preserve"> </w:t>
                            </w:r>
                            <w:r w:rsidRPr="00E92224">
                              <w:rPr>
                                <w:rFonts w:ascii="Tahoma" w:hAnsi="Tahoma" w:cs="Tahoma"/>
                                <w:b/>
                                <w:color w:val="FFFFFF" w:themeColor="background1"/>
                                <w:sz w:val="16"/>
                                <w:szCs w:val="16"/>
                              </w:rPr>
                              <w:t>to be determined</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Independent assessment of Australian Government and State and Territory go</w:t>
                            </w:r>
                            <w:r>
                              <w:rPr>
                                <w:rFonts w:ascii="Tahoma" w:hAnsi="Tahoma" w:cs="Tahoma"/>
                                <w:color w:val="FFFFFF" w:themeColor="background1"/>
                                <w:sz w:val="16"/>
                                <w:szCs w:val="16"/>
                              </w:rPr>
                              <w:t>vernment progress toward the seven</w:t>
                            </w:r>
                            <w:r w:rsidRPr="007840E8">
                              <w:rPr>
                                <w:rFonts w:ascii="Tahoma" w:hAnsi="Tahoma" w:cs="Tahoma"/>
                                <w:color w:val="FFFFFF" w:themeColor="background1"/>
                                <w:sz w:val="16"/>
                                <w:szCs w:val="16"/>
                              </w:rPr>
                              <w:t xml:space="preserve"> Closing the Gap targets, and associated performance indicators.</w:t>
                            </w:r>
                          </w:p>
                        </w:txbxContent>
                      </v:textbox>
                      <w10:wrap anchorx="margin"/>
                    </v:shape>
                  </w:pict>
                </mc:Fallback>
              </mc:AlternateContent>
            </w:r>
            <w:r w:rsidRPr="001260DE">
              <w:rPr>
                <w:noProof/>
              </w:rPr>
              <mc:AlternateContent>
                <mc:Choice Requires="wps">
                  <w:drawing>
                    <wp:anchor distT="0" distB="0" distL="114300" distR="114300" simplePos="0" relativeHeight="251667456" behindDoc="0" locked="0" layoutInCell="1" allowOverlap="1" wp14:anchorId="6A5BEB77" wp14:editId="63653149">
                      <wp:simplePos x="0" y="0"/>
                      <wp:positionH relativeFrom="margin">
                        <wp:posOffset>2799715</wp:posOffset>
                      </wp:positionH>
                      <wp:positionV relativeFrom="paragraph">
                        <wp:posOffset>3437255</wp:posOffset>
                      </wp:positionV>
                      <wp:extent cx="2437130" cy="1285875"/>
                      <wp:effectExtent l="0" t="0" r="2032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285875"/>
                              </a:xfrm>
                              <a:prstGeom prst="rect">
                                <a:avLst/>
                              </a:prstGeom>
                              <a:solidFill>
                                <a:srgbClr val="5D805D"/>
                              </a:solidFill>
                              <a:ln w="12700">
                                <a:solidFill>
                                  <a:srgbClr val="5D805D"/>
                                </a:solidFill>
                                <a:miter lim="800000"/>
                                <a:headEnd/>
                                <a:tailEnd/>
                              </a:ln>
                            </wps:spPr>
                            <wps:txb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Closing the Gap – Prime Minister’s Report</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Prime Minister</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PM&amp;C</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Annual</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 xml:space="preserve">Prime Minister’s report to Parliament on progress against the </w:t>
                                  </w:r>
                                  <w:r w:rsidRPr="00E92224">
                                    <w:rPr>
                                      <w:rFonts w:ascii="Tahoma" w:hAnsi="Tahoma" w:cs="Tahoma"/>
                                      <w:color w:val="FFFFFF" w:themeColor="background1"/>
                                      <w:sz w:val="16"/>
                                      <w:szCs w:val="16"/>
                                    </w:rPr>
                                    <w:t>seven</w:t>
                                  </w:r>
                                  <w:r w:rsidRPr="007840E8">
                                    <w:rPr>
                                      <w:rFonts w:ascii="Tahoma" w:hAnsi="Tahoma" w:cs="Tahoma"/>
                                      <w:color w:val="FFFFFF" w:themeColor="background1"/>
                                      <w:sz w:val="16"/>
                                      <w:szCs w:val="16"/>
                                    </w:rPr>
                                    <w:t xml:space="preserve"> Closing the Gap targets and developments in Australian Government Indigenous policies and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220.45pt;margin-top:270.65pt;width:191.9pt;height:10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" fillcolor="#5d805d" strokecolor="#5d805d" strokeweight="1pt">
                      <v:textbo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Closing the Gap – Prime Minister’s Report</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Prime Minister</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PM&amp;C</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Annual</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 xml:space="preserve">Prime Minister’s report to Parliament on progress against the </w:t>
                            </w:r>
                            <w:r w:rsidRPr="00E92224">
                              <w:rPr>
                                <w:rFonts w:ascii="Tahoma" w:hAnsi="Tahoma" w:cs="Tahoma"/>
                                <w:color w:val="FFFFFF" w:themeColor="background1"/>
                                <w:sz w:val="16"/>
                                <w:szCs w:val="16"/>
                              </w:rPr>
                              <w:t>seven</w:t>
                            </w:r>
                            <w:r w:rsidRPr="007840E8">
                              <w:rPr>
                                <w:rFonts w:ascii="Tahoma" w:hAnsi="Tahoma" w:cs="Tahoma"/>
                                <w:color w:val="FFFFFF" w:themeColor="background1"/>
                                <w:sz w:val="16"/>
                                <w:szCs w:val="16"/>
                              </w:rPr>
                              <w:t xml:space="preserve"> Closing the Gap targets and developments in Australian Government Indigenous policies and programs.</w:t>
                            </w:r>
                          </w:p>
                        </w:txbxContent>
                      </v:textbox>
                      <w10:wrap anchorx="margin"/>
                    </v:shape>
                  </w:pict>
                </mc:Fallback>
              </mc:AlternateContent>
            </w:r>
            <w:r w:rsidRPr="001260DE">
              <w:rPr>
                <w:noProof/>
              </w:rPr>
              <mc:AlternateContent>
                <mc:Choice Requires="wps">
                  <w:drawing>
                    <wp:anchor distT="0" distB="0" distL="114300" distR="114300" simplePos="0" relativeHeight="251664384" behindDoc="0" locked="0" layoutInCell="1" allowOverlap="1" wp14:anchorId="3C209D6E" wp14:editId="4A444B9E">
                      <wp:simplePos x="0" y="0"/>
                      <wp:positionH relativeFrom="column">
                        <wp:posOffset>-70485</wp:posOffset>
                      </wp:positionH>
                      <wp:positionV relativeFrom="paragraph">
                        <wp:posOffset>1338580</wp:posOffset>
                      </wp:positionV>
                      <wp:extent cx="1499870" cy="1998345"/>
                      <wp:effectExtent l="0" t="0" r="24130" b="209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998345"/>
                              </a:xfrm>
                              <a:prstGeom prst="rect">
                                <a:avLst/>
                              </a:prstGeom>
                              <a:solidFill>
                                <a:srgbClr val="5D805D"/>
                              </a:solidFill>
                              <a:ln w="12700">
                                <a:solidFill>
                                  <a:srgbClr val="5D805D"/>
                                </a:solidFill>
                                <a:miter lim="800000"/>
                                <a:headEnd/>
                                <a:tailEnd/>
                              </a:ln>
                            </wps:spPr>
                            <wps:txb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The Health and Welfare of Australia’s Aboriginal and Torres Strait Islander Peoples: an overview</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AIHW</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AIHW</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2-3 yearly</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 xml:space="preserve">A comprehensive statistical overview of topics important to the health and welfare of </w:t>
                                  </w:r>
                                  <w:r>
                                    <w:rPr>
                                      <w:rFonts w:ascii="Tahoma" w:hAnsi="Tahoma" w:cs="Tahoma"/>
                                      <w:color w:val="FFFFFF" w:themeColor="background1"/>
                                      <w:sz w:val="16"/>
                                      <w:szCs w:val="16"/>
                                    </w:rPr>
                                    <w:t>Aboriginal and Torres Strait Islander</w:t>
                                  </w:r>
                                  <w:r w:rsidRPr="007840E8">
                                    <w:rPr>
                                      <w:rFonts w:ascii="Tahoma" w:hAnsi="Tahoma" w:cs="Tahoma"/>
                                      <w:color w:val="FFFFFF" w:themeColor="background1"/>
                                      <w:sz w:val="16"/>
                                      <w:szCs w:val="16"/>
                                    </w:rPr>
                                    <w:t xml:space="preserve"> Australians.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5.55pt;margin-top:105.4pt;width:118.1pt;height:15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" fillcolor="#5d805d" strokecolor="#5d805d" strokeweight="1pt">
                      <v:textbo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The Health and Welfare of Australia’s Aboriginal and Torres Strait Islander Peoples: an overview</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AIHW</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AIHW</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2-3 yearly</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 xml:space="preserve">A comprehensive statistical overview of topics important to the health and welfare of </w:t>
                            </w:r>
                            <w:r>
                              <w:rPr>
                                <w:rFonts w:ascii="Tahoma" w:hAnsi="Tahoma" w:cs="Tahoma"/>
                                <w:color w:val="FFFFFF" w:themeColor="background1"/>
                                <w:sz w:val="16"/>
                                <w:szCs w:val="16"/>
                              </w:rPr>
                              <w:t>Aboriginal and Torres Strait Islander</w:t>
                            </w:r>
                            <w:r w:rsidRPr="007840E8">
                              <w:rPr>
                                <w:rFonts w:ascii="Tahoma" w:hAnsi="Tahoma" w:cs="Tahoma"/>
                                <w:color w:val="FFFFFF" w:themeColor="background1"/>
                                <w:sz w:val="16"/>
                                <w:szCs w:val="16"/>
                              </w:rPr>
                              <w:t xml:space="preserve"> Australians.</w:t>
                            </w:r>
                          </w:p>
                        </w:txbxContent>
                      </v:textbox>
                    </v:shape>
                  </w:pict>
                </mc:Fallback>
              </mc:AlternateContent>
            </w:r>
            <w:r w:rsidRPr="001260DE">
              <w:rPr>
                <w:noProof/>
              </w:rPr>
              <mc:AlternateContent>
                <mc:Choice Requires="wps">
                  <w:drawing>
                    <wp:anchor distT="0" distB="0" distL="114300" distR="114300" simplePos="0" relativeHeight="251666432" behindDoc="0" locked="0" layoutInCell="1" allowOverlap="1" wp14:anchorId="3915D141" wp14:editId="150970D3">
                      <wp:simplePos x="0" y="0"/>
                      <wp:positionH relativeFrom="margin">
                        <wp:posOffset>3884295</wp:posOffset>
                      </wp:positionH>
                      <wp:positionV relativeFrom="paragraph">
                        <wp:posOffset>1351280</wp:posOffset>
                      </wp:positionV>
                      <wp:extent cx="1579880" cy="1986280"/>
                      <wp:effectExtent l="0" t="0" r="20320" b="139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986280"/>
                              </a:xfrm>
                              <a:prstGeom prst="rect">
                                <a:avLst/>
                              </a:prstGeom>
                              <a:solidFill>
                                <a:srgbClr val="5D805D"/>
                              </a:solidFill>
                              <a:ln w="12700">
                                <a:solidFill>
                                  <a:srgbClr val="5D805D"/>
                                </a:solidFill>
                                <a:miter lim="800000"/>
                                <a:headEnd/>
                                <a:tailEnd/>
                              </a:ln>
                            </wps:spPr>
                            <wps:txb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Aboriginal and Torres Strait Islander Health Performance Framework Report</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E92224">
                                    <w:rPr>
                                      <w:rFonts w:ascii="Tahoma" w:hAnsi="Tahoma" w:cs="Tahoma"/>
                                      <w:b/>
                                      <w:color w:val="FFFFFF" w:themeColor="background1"/>
                                      <w:sz w:val="16"/>
                                      <w:szCs w:val="16"/>
                                    </w:rPr>
                                    <w:t>AHMAC</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AHMAC </w:t>
                                  </w:r>
                                  <w:r w:rsidRPr="007840E8">
                                    <w:rPr>
                                      <w:rFonts w:ascii="Tahoma" w:hAnsi="Tahoma" w:cs="Tahoma"/>
                                      <w:color w:val="FFFFFF" w:themeColor="background1"/>
                                      <w:sz w:val="16"/>
                                      <w:szCs w:val="16"/>
                                    </w:rPr>
                                    <w:t>(summary policy report)</w:t>
                                  </w:r>
                                  <w:r w:rsidRPr="007840E8">
                                    <w:rPr>
                                      <w:rFonts w:ascii="Tahoma" w:hAnsi="Tahoma" w:cs="Tahoma"/>
                                      <w:b/>
                                      <w:color w:val="FFFFFF" w:themeColor="background1"/>
                                      <w:sz w:val="16"/>
                                      <w:szCs w:val="16"/>
                                    </w:rPr>
                                    <w:t xml:space="preserve"> &amp; AIHW </w:t>
                                  </w:r>
                                  <w:r w:rsidRPr="007840E8">
                                    <w:rPr>
                                      <w:rFonts w:ascii="Tahoma" w:hAnsi="Tahoma" w:cs="Tahoma"/>
                                      <w:color w:val="FFFFFF" w:themeColor="background1"/>
                                      <w:sz w:val="16"/>
                                      <w:szCs w:val="16"/>
                                    </w:rPr>
                                    <w:t>(detailed analysis)</w:t>
                                  </w:r>
                                  <w:r w:rsidRPr="007840E8">
                                    <w:rPr>
                                      <w:rFonts w:ascii="Tahoma" w:hAnsi="Tahoma" w:cs="Tahoma"/>
                                      <w:b/>
                                      <w:color w:val="FFFFFF" w:themeColor="background1"/>
                                      <w:sz w:val="16"/>
                                      <w:szCs w:val="16"/>
                                    </w:rPr>
                                    <w:t xml:space="preserve"> </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Biennial</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Measures health outcomes, determinants of health and health system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305.85pt;margin-top:106.4pt;width:124.4pt;height:156.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" fillcolor="#5d805d" strokecolor="#5d805d" strokeweight="1pt">
                      <v:textbo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Aboriginal and Torres Strait Islander Health Performance Framework Report</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E92224">
                              <w:rPr>
                                <w:rFonts w:ascii="Tahoma" w:hAnsi="Tahoma" w:cs="Tahoma"/>
                                <w:b/>
                                <w:color w:val="FFFFFF" w:themeColor="background1"/>
                                <w:sz w:val="16"/>
                                <w:szCs w:val="16"/>
                              </w:rPr>
                              <w:t>AHMAC</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AHMAC </w:t>
                            </w:r>
                            <w:r w:rsidRPr="007840E8">
                              <w:rPr>
                                <w:rFonts w:ascii="Tahoma" w:hAnsi="Tahoma" w:cs="Tahoma"/>
                                <w:color w:val="FFFFFF" w:themeColor="background1"/>
                                <w:sz w:val="16"/>
                                <w:szCs w:val="16"/>
                              </w:rPr>
                              <w:t>(summary policy report)</w:t>
                            </w:r>
                            <w:r w:rsidRPr="007840E8">
                              <w:rPr>
                                <w:rFonts w:ascii="Tahoma" w:hAnsi="Tahoma" w:cs="Tahoma"/>
                                <w:b/>
                                <w:color w:val="FFFFFF" w:themeColor="background1"/>
                                <w:sz w:val="16"/>
                                <w:szCs w:val="16"/>
                              </w:rPr>
                              <w:t xml:space="preserve"> &amp; AIHW </w:t>
                            </w:r>
                            <w:r w:rsidRPr="007840E8">
                              <w:rPr>
                                <w:rFonts w:ascii="Tahoma" w:hAnsi="Tahoma" w:cs="Tahoma"/>
                                <w:color w:val="FFFFFF" w:themeColor="background1"/>
                                <w:sz w:val="16"/>
                                <w:szCs w:val="16"/>
                              </w:rPr>
                              <w:t>(detailed analysis)</w:t>
                            </w:r>
                            <w:r w:rsidRPr="007840E8">
                              <w:rPr>
                                <w:rFonts w:ascii="Tahoma" w:hAnsi="Tahoma" w:cs="Tahoma"/>
                                <w:b/>
                                <w:color w:val="FFFFFF" w:themeColor="background1"/>
                                <w:sz w:val="16"/>
                                <w:szCs w:val="16"/>
                              </w:rPr>
                              <w:t xml:space="preserve"> </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Biennial</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Measures health outcomes, determinants of health and health system performance.</w:t>
                            </w:r>
                          </w:p>
                        </w:txbxContent>
                      </v:textbox>
                      <w10:wrap anchorx="margin"/>
                    </v:shape>
                  </w:pict>
                </mc:Fallback>
              </mc:AlternateContent>
            </w:r>
            <w:r w:rsidRPr="001260DE">
              <w:rPr>
                <w:noProof/>
              </w:rPr>
              <mc:AlternateContent>
                <mc:Choice Requires="wps">
                  <w:drawing>
                    <wp:anchor distT="0" distB="0" distL="114300" distR="114300" simplePos="0" relativeHeight="251665408" behindDoc="0" locked="0" layoutInCell="1" allowOverlap="1" wp14:anchorId="263A09B3" wp14:editId="1B92D09A">
                      <wp:simplePos x="0" y="0"/>
                      <wp:positionH relativeFrom="column">
                        <wp:posOffset>1510665</wp:posOffset>
                      </wp:positionH>
                      <wp:positionV relativeFrom="paragraph">
                        <wp:posOffset>1341120</wp:posOffset>
                      </wp:positionV>
                      <wp:extent cx="2286000" cy="1994535"/>
                      <wp:effectExtent l="19050" t="19050" r="19050" b="247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94535"/>
                              </a:xfrm>
                              <a:prstGeom prst="rect">
                                <a:avLst/>
                              </a:prstGeom>
                              <a:solidFill>
                                <a:srgbClr val="CA5A2B"/>
                              </a:solidFill>
                              <a:ln w="38100">
                                <a:solidFill>
                                  <a:srgbClr val="CA5A2B"/>
                                </a:solidFill>
                                <a:miter lim="800000"/>
                                <a:headEnd/>
                                <a:tailEnd/>
                              </a:ln>
                            </wps:spPr>
                            <wps:txb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Overcoming Indigenous Disadvantage</w:t>
                                  </w:r>
                                </w:p>
                                <w:p w:rsidR="00FB3DF6" w:rsidRPr="007840E8" w:rsidRDefault="00FB3DF6" w:rsidP="004E69B2">
                                  <w:pPr>
                                    <w:spacing w:before="60"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COAG</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SCRGSP</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w:t>
                                  </w:r>
                                  <w:r>
                                    <w:rPr>
                                      <w:rFonts w:ascii="Tahoma" w:hAnsi="Tahoma" w:cs="Tahoma"/>
                                      <w:b/>
                                      <w:color w:val="FFFFFF" w:themeColor="background1"/>
                                      <w:sz w:val="16"/>
                                      <w:szCs w:val="16"/>
                                    </w:rPr>
                                    <w:t>2-3 yearly</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Purpose</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The nationally recognised set of indicators on the wellbeing of Australia’s Indigenous peoples.</w:t>
                                  </w:r>
                                </w:p>
                                <w:p w:rsidR="00FB3DF6" w:rsidRPr="007840E8" w:rsidRDefault="00FB3DF6" w:rsidP="004E69B2">
                                  <w:pPr>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Content</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Strategic framework of outcome indicators, whole of government perspective to achievement of</w:t>
                                  </w:r>
                                  <w:r w:rsidRPr="007840E8">
                                    <w:rPr>
                                      <w:color w:val="FFFFFF" w:themeColor="background1"/>
                                      <w:sz w:val="16"/>
                                      <w:szCs w:val="16"/>
                                      <w:lang w:eastAsia="en-US"/>
                                    </w:rPr>
                                    <w:t xml:space="preserve"> </w:t>
                                  </w:r>
                                  <w:r w:rsidRPr="007840E8">
                                    <w:rPr>
                                      <w:rFonts w:ascii="Tahoma" w:hAnsi="Tahoma" w:cs="Tahoma"/>
                                      <w:color w:val="FFFFFF" w:themeColor="background1"/>
                                      <w:sz w:val="16"/>
                                      <w:szCs w:val="16"/>
                                    </w:rPr>
                                    <w:t>agreed priority outcomes.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left:0;text-align:left;margin-left:118.95pt;margin-top:105.6pt;width:180pt;height:1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" fillcolor="#ca5a2b" strokecolor="#ca5a2b" strokeweight="3pt">
                      <v:textbo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Overcoming Indigenous Disadvantage</w:t>
                            </w:r>
                          </w:p>
                          <w:p w:rsidR="00FB3DF6" w:rsidRPr="007840E8" w:rsidRDefault="00FB3DF6" w:rsidP="004E69B2">
                            <w:pPr>
                              <w:spacing w:before="60"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 xml:space="preserve">Requested by </w:t>
                            </w:r>
                            <w:r w:rsidRPr="007840E8">
                              <w:rPr>
                                <w:rFonts w:ascii="Tahoma" w:hAnsi="Tahoma" w:cs="Tahoma"/>
                                <w:b/>
                                <w:color w:val="FFFFFF" w:themeColor="background1"/>
                                <w:sz w:val="16"/>
                                <w:szCs w:val="16"/>
                              </w:rPr>
                              <w:t>COAG</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SCRGSP</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w:t>
                            </w:r>
                            <w:r>
                              <w:rPr>
                                <w:rFonts w:ascii="Tahoma" w:hAnsi="Tahoma" w:cs="Tahoma"/>
                                <w:b/>
                                <w:color w:val="FFFFFF" w:themeColor="background1"/>
                                <w:sz w:val="16"/>
                                <w:szCs w:val="16"/>
                              </w:rPr>
                              <w:t>2-3 yearly</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Purpose</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The nationally recognised set of indicators on the wellbeing of Australia’s Indigenous peoples.</w:t>
                            </w:r>
                          </w:p>
                          <w:p w:rsidR="00FB3DF6" w:rsidRPr="007840E8" w:rsidRDefault="00FB3DF6" w:rsidP="004E69B2">
                            <w:pPr>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Content</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Strategic framework of outcome indicators, whole of government perspective to achievement of</w:t>
                            </w:r>
                            <w:r w:rsidRPr="007840E8">
                              <w:rPr>
                                <w:color w:val="FFFFFF" w:themeColor="background1"/>
                                <w:sz w:val="16"/>
                                <w:szCs w:val="16"/>
                                <w:lang w:eastAsia="en-US"/>
                              </w:rPr>
                              <w:t xml:space="preserve"> </w:t>
                            </w:r>
                            <w:r w:rsidRPr="007840E8">
                              <w:rPr>
                                <w:rFonts w:ascii="Tahoma" w:hAnsi="Tahoma" w:cs="Tahoma"/>
                                <w:color w:val="FFFFFF" w:themeColor="background1"/>
                                <w:sz w:val="16"/>
                                <w:szCs w:val="16"/>
                              </w:rPr>
                              <w:t>agreed priority outcomes.</w:t>
                            </w:r>
                          </w:p>
                        </w:txbxContent>
                      </v:textbox>
                    </v:shape>
                  </w:pict>
                </mc:Fallback>
              </mc:AlternateContent>
            </w:r>
            <w:r w:rsidRPr="001260DE">
              <w:rPr>
                <w:noProof/>
              </w:rPr>
              <mc:AlternateContent>
                <mc:Choice Requires="wps">
                  <w:drawing>
                    <wp:anchor distT="0" distB="0" distL="114300" distR="114300" simplePos="0" relativeHeight="251663360" behindDoc="0" locked="0" layoutInCell="1" allowOverlap="1" wp14:anchorId="6A595CBD" wp14:editId="0147B2BA">
                      <wp:simplePos x="0" y="0"/>
                      <wp:positionH relativeFrom="column">
                        <wp:posOffset>1066741</wp:posOffset>
                      </wp:positionH>
                      <wp:positionV relativeFrom="paragraph">
                        <wp:posOffset>35796</wp:posOffset>
                      </wp:positionV>
                      <wp:extent cx="3160395" cy="1233377"/>
                      <wp:effectExtent l="0" t="0" r="20955" b="241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1233377"/>
                              </a:xfrm>
                              <a:prstGeom prst="rect">
                                <a:avLst/>
                              </a:prstGeom>
                              <a:solidFill>
                                <a:srgbClr val="5D805D"/>
                              </a:solidFill>
                              <a:ln w="12700">
                                <a:solidFill>
                                  <a:srgbClr val="5D805D"/>
                                </a:solidFill>
                                <a:miter lim="800000"/>
                                <a:headEnd/>
                                <a:tailEnd/>
                              </a:ln>
                            </wps:spPr>
                            <wps:txb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Indigenous Expenditure Report</w:t>
                                  </w:r>
                                </w:p>
                                <w:p w:rsidR="00FB3DF6" w:rsidRPr="007840E8" w:rsidRDefault="00FB3DF6" w:rsidP="004E69B2">
                                  <w:pPr>
                                    <w:spacing w:before="180"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Requested by</w:t>
                                  </w:r>
                                  <w:r w:rsidRPr="007840E8">
                                    <w:rPr>
                                      <w:rFonts w:ascii="Tahoma" w:hAnsi="Tahoma" w:cs="Tahoma"/>
                                      <w:b/>
                                      <w:color w:val="FFFFFF" w:themeColor="background1"/>
                                      <w:sz w:val="16"/>
                                      <w:szCs w:val="16"/>
                                    </w:rPr>
                                    <w:t xml:space="preserve"> COAG</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SCRGSP</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w:t>
                                  </w:r>
                                  <w:r>
                                    <w:rPr>
                                      <w:rFonts w:ascii="Tahoma" w:hAnsi="Tahoma" w:cs="Tahoma"/>
                                      <w:b/>
                                      <w:color w:val="FFFFFF" w:themeColor="background1"/>
                                      <w:sz w:val="16"/>
                                      <w:szCs w:val="16"/>
                                    </w:rPr>
                                    <w:t>2-3 yearly</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 xml:space="preserve">Assist governments to understand levels and patterns of expenditure on services that relate to </w:t>
                                  </w:r>
                                  <w:r>
                                    <w:rPr>
                                      <w:rFonts w:ascii="Tahoma" w:hAnsi="Tahoma" w:cs="Tahoma"/>
                                      <w:color w:val="FFFFFF" w:themeColor="background1"/>
                                      <w:sz w:val="16"/>
                                      <w:szCs w:val="16"/>
                                    </w:rPr>
                                    <w:t>Aboriginal and Torres Strait Islander</w:t>
                                  </w:r>
                                  <w:r w:rsidRPr="007840E8">
                                    <w:rPr>
                                      <w:rFonts w:ascii="Tahoma" w:hAnsi="Tahoma" w:cs="Tahoma"/>
                                      <w:color w:val="FFFFFF" w:themeColor="background1"/>
                                      <w:sz w:val="16"/>
                                      <w:szCs w:val="16"/>
                                    </w:rPr>
                                    <w:t xml:space="preserve"> Australians.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84pt;margin-top:2.8pt;width:248.85pt;height:9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" fillcolor="#5d805d" strokecolor="#5d805d" strokeweight="1pt">
                      <v:textbox>
                        <w:txbxContent>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b/>
                                <w:color w:val="FFFFFF" w:themeColor="background1"/>
                                <w:sz w:val="16"/>
                                <w:szCs w:val="16"/>
                              </w:rPr>
                              <w:t>Indigenous Expenditure Report</w:t>
                            </w:r>
                          </w:p>
                          <w:p w:rsidR="00FB3DF6" w:rsidRPr="007840E8" w:rsidRDefault="00FB3DF6" w:rsidP="004E69B2">
                            <w:pPr>
                              <w:spacing w:before="180" w:after="60"/>
                              <w:jc w:val="center"/>
                              <w:rPr>
                                <w:rFonts w:ascii="Tahoma" w:hAnsi="Tahoma" w:cs="Tahoma"/>
                                <w:color w:val="FFFFFF" w:themeColor="background1"/>
                                <w:sz w:val="16"/>
                                <w:szCs w:val="16"/>
                              </w:rPr>
                            </w:pPr>
                            <w:r w:rsidRPr="007840E8">
                              <w:rPr>
                                <w:rFonts w:ascii="Tahoma" w:hAnsi="Tahoma" w:cs="Tahoma"/>
                                <w:color w:val="FFFFFF" w:themeColor="background1"/>
                                <w:sz w:val="16"/>
                                <w:szCs w:val="16"/>
                              </w:rPr>
                              <w:t>Requested by</w:t>
                            </w:r>
                            <w:r w:rsidRPr="007840E8">
                              <w:rPr>
                                <w:rFonts w:ascii="Tahoma" w:hAnsi="Tahoma" w:cs="Tahoma"/>
                                <w:b/>
                                <w:color w:val="FFFFFF" w:themeColor="background1"/>
                                <w:sz w:val="16"/>
                                <w:szCs w:val="16"/>
                              </w:rPr>
                              <w:t xml:space="preserve"> COAG</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Produced by</w:t>
                            </w:r>
                            <w:r w:rsidRPr="007840E8">
                              <w:rPr>
                                <w:rFonts w:ascii="Tahoma" w:hAnsi="Tahoma" w:cs="Tahoma"/>
                                <w:b/>
                                <w:color w:val="FFFFFF" w:themeColor="background1"/>
                                <w:sz w:val="16"/>
                                <w:szCs w:val="16"/>
                              </w:rPr>
                              <w:t xml:space="preserve"> SCRGSP</w:t>
                            </w:r>
                          </w:p>
                          <w:p w:rsidR="00FB3DF6" w:rsidRPr="007840E8" w:rsidRDefault="00FB3DF6" w:rsidP="004E69B2">
                            <w:pPr>
                              <w:spacing w:after="60"/>
                              <w:jc w:val="center"/>
                              <w:rPr>
                                <w:rFonts w:ascii="Tahoma" w:hAnsi="Tahoma" w:cs="Tahoma"/>
                                <w:b/>
                                <w:color w:val="FFFFFF" w:themeColor="background1"/>
                                <w:sz w:val="16"/>
                                <w:szCs w:val="16"/>
                              </w:rPr>
                            </w:pPr>
                            <w:r w:rsidRPr="007840E8">
                              <w:rPr>
                                <w:rFonts w:ascii="Tahoma" w:hAnsi="Tahoma" w:cs="Tahoma"/>
                                <w:color w:val="FFFFFF" w:themeColor="background1"/>
                                <w:sz w:val="16"/>
                                <w:szCs w:val="16"/>
                              </w:rPr>
                              <w:t>Frequency</w:t>
                            </w:r>
                            <w:r w:rsidRPr="007840E8">
                              <w:rPr>
                                <w:rFonts w:ascii="Tahoma" w:hAnsi="Tahoma" w:cs="Tahoma"/>
                                <w:b/>
                                <w:color w:val="FFFFFF" w:themeColor="background1"/>
                                <w:sz w:val="16"/>
                                <w:szCs w:val="16"/>
                              </w:rPr>
                              <w:t xml:space="preserve"> </w:t>
                            </w:r>
                            <w:r>
                              <w:rPr>
                                <w:rFonts w:ascii="Tahoma" w:hAnsi="Tahoma" w:cs="Tahoma"/>
                                <w:b/>
                                <w:color w:val="FFFFFF" w:themeColor="background1"/>
                                <w:sz w:val="16"/>
                                <w:szCs w:val="16"/>
                              </w:rPr>
                              <w:t>2-3 yearly</w:t>
                            </w:r>
                          </w:p>
                          <w:p w:rsidR="00FB3DF6" w:rsidRPr="007840E8" w:rsidRDefault="00FB3DF6" w:rsidP="004E69B2">
                            <w:pPr>
                              <w:spacing w:after="60"/>
                              <w:jc w:val="center"/>
                              <w:rPr>
                                <w:rFonts w:ascii="Tahoma" w:hAnsi="Tahoma" w:cs="Tahoma"/>
                                <w:color w:val="FFFFFF" w:themeColor="background1"/>
                                <w:sz w:val="16"/>
                                <w:szCs w:val="16"/>
                              </w:rPr>
                            </w:pPr>
                            <w:r w:rsidRPr="007840E8">
                              <w:rPr>
                                <w:rFonts w:ascii="Tahoma" w:hAnsi="Tahoma" w:cs="Tahoma"/>
                                <w:b/>
                                <w:color w:val="FFFFFF" w:themeColor="background1"/>
                                <w:sz w:val="16"/>
                                <w:szCs w:val="16"/>
                              </w:rPr>
                              <w:t xml:space="preserve">Purpose: </w:t>
                            </w:r>
                            <w:r w:rsidRPr="007840E8">
                              <w:rPr>
                                <w:rFonts w:ascii="Tahoma" w:hAnsi="Tahoma" w:cs="Tahoma"/>
                                <w:color w:val="FFFFFF" w:themeColor="background1"/>
                                <w:sz w:val="16"/>
                                <w:szCs w:val="16"/>
                              </w:rPr>
                              <w:t xml:space="preserve">Assist governments to understand levels and patterns of expenditure on services that relate to </w:t>
                            </w:r>
                            <w:r>
                              <w:rPr>
                                <w:rFonts w:ascii="Tahoma" w:hAnsi="Tahoma" w:cs="Tahoma"/>
                                <w:color w:val="FFFFFF" w:themeColor="background1"/>
                                <w:sz w:val="16"/>
                                <w:szCs w:val="16"/>
                              </w:rPr>
                              <w:t>Aboriginal and Torres Strait Islander</w:t>
                            </w:r>
                            <w:r w:rsidRPr="007840E8">
                              <w:rPr>
                                <w:rFonts w:ascii="Tahoma" w:hAnsi="Tahoma" w:cs="Tahoma"/>
                                <w:color w:val="FFFFFF" w:themeColor="background1"/>
                                <w:sz w:val="16"/>
                                <w:szCs w:val="16"/>
                              </w:rPr>
                              <w:t xml:space="preserve"> Australians.</w:t>
                            </w:r>
                          </w:p>
                        </w:txbxContent>
                      </v:textbox>
                    </v:shape>
                  </w:pict>
                </mc:Fallback>
              </mc:AlternateContent>
            </w:r>
          </w:p>
        </w:tc>
      </w:tr>
      <w:tr w:rsidR="004E69B2" w:rsidRPr="00AA55E0" w:rsidTr="0025114F">
        <w:trPr>
          <w:cantSplit/>
        </w:trPr>
        <w:tc>
          <w:tcPr>
            <w:tcW w:w="8793" w:type="dxa"/>
            <w:tcBorders>
              <w:top w:val="nil"/>
              <w:left w:val="nil"/>
              <w:bottom w:val="nil"/>
              <w:right w:val="nil"/>
            </w:tcBorders>
            <w:shd w:val="clear" w:color="auto" w:fill="F2F2F2"/>
          </w:tcPr>
          <w:p w:rsidR="004E69B2" w:rsidRPr="00AA55E0" w:rsidRDefault="004E69B2" w:rsidP="000B5125">
            <w:pPr>
              <w:pStyle w:val="BoxSource"/>
            </w:pPr>
            <w:r w:rsidRPr="00242D20">
              <w:rPr>
                <w:i/>
              </w:rPr>
              <w:t>Abbreviations</w:t>
            </w:r>
            <w:r w:rsidRPr="00AA55E0">
              <w:t xml:space="preserve">: </w:t>
            </w:r>
            <w:r w:rsidRPr="00242D20">
              <w:rPr>
                <w:b/>
              </w:rPr>
              <w:t>ABS</w:t>
            </w:r>
            <w:r w:rsidRPr="00AA55E0">
              <w:t xml:space="preserve"> Australian Bureau of Statistics. </w:t>
            </w:r>
            <w:r w:rsidRPr="00242D20">
              <w:rPr>
                <w:b/>
              </w:rPr>
              <w:t>AHMAC</w:t>
            </w:r>
            <w:r w:rsidRPr="00AA55E0">
              <w:t xml:space="preserve"> Australian Health Ministers Advisory Council. </w:t>
            </w:r>
            <w:r w:rsidRPr="00242D20">
              <w:rPr>
                <w:b/>
              </w:rPr>
              <w:t>AIHW</w:t>
            </w:r>
            <w:r w:rsidRPr="00AA55E0">
              <w:t xml:space="preserve"> Australian Institute of Health and Welfare. </w:t>
            </w:r>
            <w:r w:rsidRPr="00242D20">
              <w:rPr>
                <w:b/>
              </w:rPr>
              <w:t>COAG</w:t>
            </w:r>
            <w:r w:rsidRPr="00AA55E0">
              <w:t xml:space="preserve"> Council of Australian Governments. </w:t>
            </w:r>
            <w:r w:rsidRPr="00242D20">
              <w:rPr>
                <w:b/>
              </w:rPr>
              <w:t>CRC</w:t>
            </w:r>
            <w:r w:rsidRPr="00AA55E0">
              <w:t xml:space="preserve"> COAG Reform Council.</w:t>
            </w:r>
            <w:r w:rsidR="000B5125">
              <w:t xml:space="preserve"> </w:t>
            </w:r>
            <w:r w:rsidR="000B5125" w:rsidRPr="000B5125">
              <w:rPr>
                <w:b/>
              </w:rPr>
              <w:t>PC</w:t>
            </w:r>
            <w:r w:rsidR="000B5125">
              <w:t xml:space="preserve"> Productivity Commission.</w:t>
            </w:r>
            <w:r w:rsidRPr="00AA55E0">
              <w:t xml:space="preserve"> </w:t>
            </w:r>
            <w:r w:rsidRPr="00242D20">
              <w:rPr>
                <w:b/>
              </w:rPr>
              <w:t>PM&amp;C</w:t>
            </w:r>
            <w:r w:rsidRPr="00AA55E0">
              <w:t xml:space="preserve"> Department of the Prime Minister and Cabinet. </w:t>
            </w:r>
            <w:r w:rsidRPr="00242D20">
              <w:rPr>
                <w:b/>
              </w:rPr>
              <w:t>SCRGSP</w:t>
            </w:r>
            <w:r w:rsidRPr="00AA55E0">
              <w:t xml:space="preserve"> Steering Committee for the Review of Government Service Provision. </w:t>
            </w:r>
          </w:p>
        </w:tc>
      </w:tr>
      <w:tr w:rsidR="004E69B2" w:rsidRPr="00AA55E0" w:rsidTr="0025114F">
        <w:trPr>
          <w:cantSplit/>
        </w:trPr>
        <w:tc>
          <w:tcPr>
            <w:tcW w:w="8793" w:type="dxa"/>
            <w:tcBorders>
              <w:top w:val="nil"/>
              <w:left w:val="nil"/>
              <w:bottom w:val="nil"/>
              <w:right w:val="nil"/>
            </w:tcBorders>
            <w:shd w:val="clear" w:color="auto" w:fill="F2F2F2"/>
          </w:tcPr>
          <w:p w:rsidR="004E69B2" w:rsidRPr="00AA55E0" w:rsidRDefault="004E69B2" w:rsidP="00FB4A32">
            <w:pPr>
              <w:pStyle w:val="BoxSource"/>
            </w:pPr>
            <w:r w:rsidRPr="00242D20">
              <w:rPr>
                <w:rStyle w:val="NoteLabel"/>
              </w:rPr>
              <w:t>a</w:t>
            </w:r>
            <w:r w:rsidRPr="00AA55E0">
              <w:t xml:space="preserve"> </w:t>
            </w:r>
            <w:r>
              <w:t xml:space="preserve">Includes ongoing report series as </w:t>
            </w:r>
            <w:r w:rsidRPr="00FB4A32">
              <w:t>at November 2016</w:t>
            </w:r>
            <w:r>
              <w:t xml:space="preserve">. </w:t>
            </w:r>
            <w:r w:rsidRPr="00242D20">
              <w:rPr>
                <w:rStyle w:val="NoteLabel"/>
              </w:rPr>
              <w:t>b</w:t>
            </w:r>
            <w:r>
              <w:t xml:space="preserve"> </w:t>
            </w:r>
            <w:r w:rsidRPr="00AA55E0">
              <w:t xml:space="preserve">The CRC was responsible for producing this report until </w:t>
            </w:r>
            <w:r>
              <w:t xml:space="preserve">its cessation on </w:t>
            </w:r>
            <w:r w:rsidRPr="00AA55E0">
              <w:t>30</w:t>
            </w:r>
            <w:r w:rsidR="00FB3DF6">
              <w:t> </w:t>
            </w:r>
            <w:r w:rsidRPr="00AA55E0">
              <w:t>June 2014.</w:t>
            </w:r>
            <w:r>
              <w:t xml:space="preserve"> COAG requested the PC to complete the assessment report in respect of the 2013</w:t>
            </w:r>
            <w:r w:rsidR="00FB3DF6">
              <w:noBreakHyphen/>
            </w:r>
            <w:r>
              <w:t>14 reference year</w:t>
            </w:r>
            <w:r w:rsidRPr="00AA55E0">
              <w:t xml:space="preserve">. </w:t>
            </w:r>
          </w:p>
        </w:tc>
      </w:tr>
      <w:tr w:rsidR="004E69B2" w:rsidRPr="00372B87" w:rsidTr="0025114F">
        <w:trPr>
          <w:cantSplit/>
        </w:trPr>
        <w:tc>
          <w:tcPr>
            <w:tcW w:w="8793" w:type="dxa"/>
            <w:tcBorders>
              <w:top w:val="nil"/>
              <w:left w:val="nil"/>
              <w:bottom w:val="single" w:sz="6" w:space="0" w:color="78A22F"/>
              <w:right w:val="nil"/>
            </w:tcBorders>
            <w:shd w:val="clear" w:color="auto" w:fill="F2F2F2"/>
          </w:tcPr>
          <w:p w:rsidR="004E69B2" w:rsidRPr="00372B87" w:rsidRDefault="004E69B2" w:rsidP="002F7C99">
            <w:pPr>
              <w:pStyle w:val="Box"/>
              <w:spacing w:before="0" w:line="120" w:lineRule="exact"/>
              <w:rPr>
                <w:color w:val="00B050"/>
              </w:rPr>
            </w:pPr>
          </w:p>
        </w:tc>
      </w:tr>
      <w:tr w:rsidR="004E69B2" w:rsidRPr="00372B87" w:rsidTr="0025114F">
        <w:tc>
          <w:tcPr>
            <w:tcW w:w="8793" w:type="dxa"/>
            <w:tcBorders>
              <w:top w:val="single" w:sz="6" w:space="0" w:color="78A22F"/>
              <w:left w:val="nil"/>
              <w:bottom w:val="nil"/>
              <w:right w:val="nil"/>
            </w:tcBorders>
          </w:tcPr>
          <w:p w:rsidR="004E69B2" w:rsidRPr="00372B87" w:rsidRDefault="004E69B2" w:rsidP="002F7C99">
            <w:pPr>
              <w:pStyle w:val="BoxSpaceBelow"/>
              <w:rPr>
                <w:color w:val="00B050"/>
              </w:rPr>
            </w:pPr>
          </w:p>
        </w:tc>
      </w:tr>
    </w:tbl>
    <w:p w:rsidR="00466C91" w:rsidRPr="00037871" w:rsidRDefault="00466C91" w:rsidP="00466C91">
      <w:pPr>
        <w:pStyle w:val="BodyText"/>
        <w:rPr>
          <w:rFonts w:ascii="Arial" w:hAnsi="Arial"/>
          <w:color w:val="00B050"/>
          <w:sz w:val="26"/>
        </w:rPr>
      </w:pPr>
      <w:r w:rsidRPr="00037871">
        <w:rPr>
          <w:color w:val="00B050"/>
        </w:rPr>
        <w:br w:type="page"/>
      </w:r>
    </w:p>
    <w:p w:rsidR="00E82D12" w:rsidRPr="004E69B2" w:rsidRDefault="00E82D12" w:rsidP="009F7E6B">
      <w:pPr>
        <w:pStyle w:val="Heading3"/>
      </w:pPr>
      <w:r w:rsidRPr="004E69B2">
        <w:t>How were Aboriginal and Torres Strait Islander Australians involved</w:t>
      </w:r>
      <w:r w:rsidR="00A01E91" w:rsidRPr="004E69B2">
        <w:t xml:space="preserve"> in the OID report</w:t>
      </w:r>
      <w:r w:rsidRPr="004E69B2">
        <w:t>?</w:t>
      </w:r>
    </w:p>
    <w:p w:rsidR="00E82D12" w:rsidRPr="004E69B2" w:rsidRDefault="00E82D12" w:rsidP="00E82D12">
      <w:pPr>
        <w:pStyle w:val="BodyText"/>
        <w:rPr>
          <w:color w:val="000000" w:themeColor="text1"/>
        </w:rPr>
      </w:pPr>
      <w:r w:rsidRPr="004E69B2">
        <w:rPr>
          <w:color w:val="000000" w:themeColor="text1"/>
        </w:rPr>
        <w:t>Aboriginal and Torres Strait Islander Australians were actively involved in producing this report:</w:t>
      </w:r>
    </w:p>
    <w:p w:rsidR="00E82D12" w:rsidRPr="004E69B2" w:rsidRDefault="00E82D12" w:rsidP="00E82D12">
      <w:pPr>
        <w:pStyle w:val="ListBullet"/>
        <w:rPr>
          <w:color w:val="000000" w:themeColor="text1"/>
        </w:rPr>
      </w:pPr>
      <w:r w:rsidRPr="004E69B2">
        <w:rPr>
          <w:color w:val="000000" w:themeColor="text1"/>
        </w:rPr>
        <w:t>the report had its origins in a recommendation of the Council for Aboriginal Reconciliation in 2000</w:t>
      </w:r>
    </w:p>
    <w:p w:rsidR="00E82D12" w:rsidRPr="004E69B2" w:rsidRDefault="00E82D12" w:rsidP="00E82D12">
      <w:pPr>
        <w:pStyle w:val="ListBullet"/>
        <w:rPr>
          <w:color w:val="000000" w:themeColor="text1"/>
        </w:rPr>
      </w:pPr>
      <w:r w:rsidRPr="004E69B2">
        <w:rPr>
          <w:color w:val="000000" w:themeColor="text1"/>
        </w:rPr>
        <w:t xml:space="preserve">Aboriginal and Torres Strait Islander </w:t>
      </w:r>
      <w:r w:rsidR="00A01E91" w:rsidRPr="004E69B2">
        <w:rPr>
          <w:color w:val="000000" w:themeColor="text1"/>
        </w:rPr>
        <w:t>individuals</w:t>
      </w:r>
      <w:r w:rsidRPr="004E69B2">
        <w:rPr>
          <w:color w:val="000000" w:themeColor="text1"/>
        </w:rPr>
        <w:t xml:space="preserve"> and organisations from cities and regional and remote areas across Australia participated in consultations and information sessions during the development of this and previous editions of the report</w:t>
      </w:r>
    </w:p>
    <w:p w:rsidR="00E82D12" w:rsidRPr="004E69B2" w:rsidRDefault="00E82D12" w:rsidP="00E82D12">
      <w:pPr>
        <w:pStyle w:val="ListBullet"/>
        <w:rPr>
          <w:color w:val="000000" w:themeColor="text1"/>
        </w:rPr>
      </w:pPr>
      <w:r w:rsidRPr="004E69B2">
        <w:rPr>
          <w:color w:val="000000" w:themeColor="text1"/>
        </w:rPr>
        <w:t>the National Congress of Australia’s First Peoples is a member of the working group that advises the Steering Committee on the content of the report</w:t>
      </w:r>
    </w:p>
    <w:p w:rsidR="00E82D12" w:rsidRPr="004E69B2" w:rsidRDefault="00E82D12" w:rsidP="00E82D12">
      <w:pPr>
        <w:pStyle w:val="ListBullet"/>
        <w:rPr>
          <w:color w:val="000000" w:themeColor="text1"/>
        </w:rPr>
      </w:pPr>
      <w:r w:rsidRPr="004E69B2">
        <w:rPr>
          <w:color w:val="000000" w:themeColor="text1"/>
        </w:rPr>
        <w:t xml:space="preserve">a wide range of Aboriginal and Torres Strait Islander organisations and experts reviewed relevant sections of the report, and are acknowledged in the introduction to </w:t>
      </w:r>
      <w:r w:rsidR="00A01E91" w:rsidRPr="004E69B2">
        <w:rPr>
          <w:color w:val="000000" w:themeColor="text1"/>
        </w:rPr>
        <w:t>each section of the main report</w:t>
      </w:r>
    </w:p>
    <w:p w:rsidR="00A01E91" w:rsidRPr="007015AD" w:rsidRDefault="00A01E91" w:rsidP="00E82D12">
      <w:pPr>
        <w:pStyle w:val="ListBullet"/>
        <w:rPr>
          <w:color w:val="000000" w:themeColor="text1"/>
        </w:rPr>
      </w:pPr>
      <w:r w:rsidRPr="007015AD">
        <w:rPr>
          <w:color w:val="000000" w:themeColor="text1"/>
        </w:rPr>
        <w:t xml:space="preserve">Aboriginal and Torres Strait Islander Australians contributed to a key development in </w:t>
      </w:r>
      <w:r w:rsidR="007015AD" w:rsidRPr="007015AD">
        <w:rPr>
          <w:color w:val="000000" w:themeColor="text1"/>
        </w:rPr>
        <w:t xml:space="preserve">the </w:t>
      </w:r>
      <w:r w:rsidR="00FC1F93">
        <w:rPr>
          <w:color w:val="000000" w:themeColor="text1"/>
        </w:rPr>
        <w:t>2014</w:t>
      </w:r>
      <w:r w:rsidR="007015AD" w:rsidRPr="007015AD">
        <w:rPr>
          <w:color w:val="000000" w:themeColor="text1"/>
        </w:rPr>
        <w:t xml:space="preserve"> edition that continues in this edition </w:t>
      </w:r>
      <w:r w:rsidRPr="007015AD">
        <w:rPr>
          <w:color w:val="000000" w:themeColor="text1"/>
        </w:rPr>
        <w:t xml:space="preserve">— a broadening of focus from </w:t>
      </w:r>
      <w:r w:rsidRPr="007015AD">
        <w:rPr>
          <w:i/>
          <w:color w:val="000000" w:themeColor="text1"/>
        </w:rPr>
        <w:t>overcoming disadvantage</w:t>
      </w:r>
      <w:r w:rsidRPr="007015AD">
        <w:rPr>
          <w:color w:val="000000" w:themeColor="text1"/>
        </w:rPr>
        <w:t xml:space="preserve"> to </w:t>
      </w:r>
      <w:r w:rsidRPr="007015AD">
        <w:rPr>
          <w:i/>
          <w:color w:val="000000" w:themeColor="text1"/>
        </w:rPr>
        <w:t>improving wellbeing</w:t>
      </w:r>
      <w:r w:rsidRPr="007015AD">
        <w:rPr>
          <w:color w:val="000000" w:themeColor="text1"/>
        </w:rPr>
        <w:t xml:space="preserve">. The report framework </w:t>
      </w:r>
      <w:r w:rsidR="004E69B2" w:rsidRPr="007015AD">
        <w:rPr>
          <w:color w:val="000000" w:themeColor="text1"/>
        </w:rPr>
        <w:t>was</w:t>
      </w:r>
      <w:r w:rsidRPr="007015AD">
        <w:rPr>
          <w:color w:val="000000" w:themeColor="text1"/>
        </w:rPr>
        <w:t xml:space="preserve"> amended </w:t>
      </w:r>
      <w:r w:rsidR="0013692D">
        <w:rPr>
          <w:color w:val="000000" w:themeColor="text1"/>
        </w:rPr>
        <w:t xml:space="preserve">in 2014 </w:t>
      </w:r>
      <w:r w:rsidRPr="007015AD">
        <w:rPr>
          <w:color w:val="000000" w:themeColor="text1"/>
        </w:rPr>
        <w:t>to highlight new indicators that focus on</w:t>
      </w:r>
      <w:r w:rsidRPr="007015AD">
        <w:rPr>
          <w:i/>
          <w:color w:val="000000" w:themeColor="text1"/>
        </w:rPr>
        <w:t xml:space="preserve"> </w:t>
      </w:r>
      <w:r w:rsidRPr="007015AD">
        <w:rPr>
          <w:color w:val="000000" w:themeColor="text1"/>
        </w:rPr>
        <w:t>outcomes that Aboriginal and Torres Strait Islander Australians said are imp</w:t>
      </w:r>
      <w:r w:rsidR="002526E3" w:rsidRPr="007015AD">
        <w:rPr>
          <w:color w:val="000000" w:themeColor="text1"/>
        </w:rPr>
        <w:t>ortant to them</w:t>
      </w:r>
      <w:r w:rsidRPr="007015AD">
        <w:rPr>
          <w:color w:val="000000" w:themeColor="text1"/>
        </w:rPr>
        <w:t>.</w:t>
      </w:r>
    </w:p>
    <w:p w:rsidR="00E82D12" w:rsidRPr="0018003B" w:rsidRDefault="00E82D12" w:rsidP="006C1699">
      <w:pPr>
        <w:pStyle w:val="Heading3"/>
      </w:pPr>
      <w:bookmarkStart w:id="3" w:name="begin"/>
      <w:bookmarkEnd w:id="3"/>
      <w:r w:rsidRPr="0018003B">
        <w:t>Understanding Indigenous disadvantage</w:t>
      </w:r>
    </w:p>
    <w:p w:rsidR="00E82D12" w:rsidRPr="0018003B" w:rsidRDefault="00E82D12" w:rsidP="00E82D12">
      <w:pPr>
        <w:pStyle w:val="BodyText"/>
        <w:rPr>
          <w:color w:val="000000" w:themeColor="text1"/>
        </w:rPr>
      </w:pPr>
      <w:r w:rsidRPr="0018003B">
        <w:rPr>
          <w:color w:val="000000" w:themeColor="text1"/>
        </w:rPr>
        <w:t>Some Aboriginal and Torres Strait Islander Australians experience little or no disadvantage compared with non</w:t>
      </w:r>
      <w:r w:rsidRPr="0018003B">
        <w:rPr>
          <w:color w:val="000000" w:themeColor="text1"/>
        </w:rPr>
        <w:noBreakHyphen/>
        <w:t>Indigenous Australians (although available data suggest that this is a relatively small group). However, other Aboriginal and Torres Strait Islander Australians are highly disadvantaged, and outcomes can vary markedly by geography, age</w:t>
      </w:r>
      <w:r w:rsidR="002526E3" w:rsidRPr="0018003B">
        <w:rPr>
          <w:color w:val="000000" w:themeColor="text1"/>
        </w:rPr>
        <w:t>, sex</w:t>
      </w:r>
      <w:r w:rsidRPr="0018003B">
        <w:rPr>
          <w:color w:val="000000" w:themeColor="text1"/>
        </w:rPr>
        <w:t xml:space="preserve"> and other socioeconomic factors. </w:t>
      </w:r>
    </w:p>
    <w:p w:rsidR="00E82D12" w:rsidRPr="0018003B" w:rsidRDefault="00E82D12" w:rsidP="00E82D12">
      <w:pPr>
        <w:pStyle w:val="BodyText"/>
        <w:rPr>
          <w:color w:val="000000" w:themeColor="text1"/>
        </w:rPr>
      </w:pPr>
      <w:r w:rsidRPr="0018003B">
        <w:rPr>
          <w:color w:val="000000" w:themeColor="text1"/>
        </w:rPr>
        <w:t>To understand the information in this report, it is important to consider the factors that have affected the outcomes being measured. Disadvantage may have both immediate social and cultural determinants,</w:t>
      </w:r>
      <w:r w:rsidRPr="0018003B" w:rsidDel="00CC37F6">
        <w:rPr>
          <w:color w:val="000000" w:themeColor="text1"/>
        </w:rPr>
        <w:t xml:space="preserve"> </w:t>
      </w:r>
      <w:r w:rsidRPr="0018003B">
        <w:rPr>
          <w:color w:val="000000" w:themeColor="text1"/>
        </w:rPr>
        <w:t xml:space="preserve">and deeper causes. Many readers will be familiar with much of the history of Australia’s </w:t>
      </w:r>
      <w:r w:rsidR="0018003B" w:rsidRPr="0018003B">
        <w:rPr>
          <w:color w:val="000000" w:themeColor="text1"/>
        </w:rPr>
        <w:t>Aboriginal and Torres Strait Islander</w:t>
      </w:r>
      <w:r w:rsidRPr="0018003B">
        <w:rPr>
          <w:color w:val="000000" w:themeColor="text1"/>
        </w:rPr>
        <w:t xml:space="preserve"> peoples since European settlement, and will be conscious of the importance of seeing the information in this report in the context of that history. The main report includes a brief summary of the historical context, and an extensive list of additional sources providing a range of views on how historical events may have affected the contemporary lives of Aboriginal and Torres Strait Islander Australians.</w:t>
      </w:r>
    </w:p>
    <w:p w:rsidR="005C0FCA" w:rsidRPr="00037871" w:rsidRDefault="005C0FCA">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4407"/>
        <w:gridCol w:w="4386"/>
      </w:tblGrid>
      <w:tr w:rsidR="00037871" w:rsidRPr="00037871" w:rsidTr="0025114F">
        <w:tc>
          <w:tcPr>
            <w:tcW w:w="8793" w:type="dxa"/>
            <w:gridSpan w:val="2"/>
            <w:tcBorders>
              <w:top w:val="single" w:sz="6" w:space="0" w:color="78A22F"/>
              <w:left w:val="nil"/>
              <w:bottom w:val="nil"/>
              <w:right w:val="nil"/>
            </w:tcBorders>
            <w:shd w:val="clear" w:color="auto" w:fill="F2F2F2"/>
          </w:tcPr>
          <w:p w:rsidR="005C0FCA" w:rsidRPr="00037871" w:rsidRDefault="005C0FCA" w:rsidP="005C0FCA">
            <w:pPr>
              <w:pStyle w:val="BoxTitle"/>
              <w:rPr>
                <w:color w:val="00B050"/>
              </w:rPr>
            </w:pPr>
            <w:r w:rsidRPr="00E8132B">
              <w:rPr>
                <w:color w:val="000000" w:themeColor="text1"/>
              </w:rPr>
              <w:t>Aboriginal and Torres Strait Islan</w:t>
            </w:r>
            <w:r w:rsidR="00573656" w:rsidRPr="00E8132B">
              <w:rPr>
                <w:color w:val="000000" w:themeColor="text1"/>
              </w:rPr>
              <w:t>der Australians demographics</w:t>
            </w:r>
          </w:p>
        </w:tc>
      </w:tr>
      <w:tr w:rsidR="00037871" w:rsidRPr="00E8132B" w:rsidTr="0025114F">
        <w:trPr>
          <w:cantSplit/>
          <w:trHeight w:val="6634"/>
        </w:trPr>
        <w:tc>
          <w:tcPr>
            <w:tcW w:w="8793" w:type="dxa"/>
            <w:gridSpan w:val="2"/>
            <w:tcBorders>
              <w:top w:val="nil"/>
              <w:left w:val="nil"/>
              <w:bottom w:val="nil"/>
              <w:right w:val="nil"/>
            </w:tcBorders>
            <w:shd w:val="clear" w:color="auto" w:fill="F2F2F2"/>
          </w:tcPr>
          <w:p w:rsidR="00E82D12" w:rsidRPr="00E8132B" w:rsidRDefault="00E82D12" w:rsidP="00E82D12">
            <w:pPr>
              <w:pStyle w:val="Box"/>
              <w:spacing w:before="80"/>
              <w:rPr>
                <w:color w:val="000000" w:themeColor="text1"/>
                <w:szCs w:val="24"/>
              </w:rPr>
            </w:pPr>
            <w:r w:rsidRPr="00E8132B">
              <w:rPr>
                <w:color w:val="000000" w:themeColor="text1"/>
              </w:rPr>
              <w:t xml:space="preserve">Based on the most recent </w:t>
            </w:r>
            <w:r w:rsidR="006D021A">
              <w:rPr>
                <w:color w:val="000000" w:themeColor="text1"/>
              </w:rPr>
              <w:t xml:space="preserve">available </w:t>
            </w:r>
            <w:r w:rsidRPr="00E8132B">
              <w:rPr>
                <w:color w:val="000000" w:themeColor="text1"/>
              </w:rPr>
              <w:t>national Census</w:t>
            </w:r>
            <w:r w:rsidR="006D021A">
              <w:rPr>
                <w:color w:val="000000" w:themeColor="text1"/>
              </w:rPr>
              <w:t xml:space="preserve"> data</w:t>
            </w:r>
            <w:r w:rsidR="002526E3" w:rsidRPr="00E8132B">
              <w:rPr>
                <w:color w:val="000000" w:themeColor="text1"/>
              </w:rPr>
              <w:t>,</w:t>
            </w:r>
            <w:r w:rsidR="003E3A2A" w:rsidRPr="00E8132B">
              <w:rPr>
                <w:color w:val="000000" w:themeColor="text1"/>
              </w:rPr>
              <w:t xml:space="preserve"> </w:t>
            </w:r>
            <w:r w:rsidR="006D021A">
              <w:rPr>
                <w:color w:val="000000" w:themeColor="text1"/>
              </w:rPr>
              <w:t>as at 30</w:t>
            </w:r>
            <w:r w:rsidR="00FB3DF6">
              <w:rPr>
                <w:color w:val="000000" w:themeColor="text1"/>
              </w:rPr>
              <w:t> </w:t>
            </w:r>
            <w:r w:rsidR="006D021A">
              <w:rPr>
                <w:color w:val="000000" w:themeColor="text1"/>
              </w:rPr>
              <w:t xml:space="preserve">June 2011 </w:t>
            </w:r>
            <w:r w:rsidR="003E3A2A" w:rsidRPr="00E8132B">
              <w:rPr>
                <w:color w:val="000000" w:themeColor="text1"/>
              </w:rPr>
              <w:t>an estimated 670</w:t>
            </w:r>
            <w:r w:rsidRPr="00E8132B">
              <w:rPr>
                <w:color w:val="000000" w:themeColor="text1"/>
              </w:rPr>
              <w:t> </w:t>
            </w:r>
            <w:r w:rsidR="003E3A2A" w:rsidRPr="00E8132B">
              <w:rPr>
                <w:color w:val="000000" w:themeColor="text1"/>
              </w:rPr>
              <w:t>000</w:t>
            </w:r>
            <w:r w:rsidRPr="00E8132B">
              <w:rPr>
                <w:color w:val="000000" w:themeColor="text1"/>
              </w:rPr>
              <w:t xml:space="preserve"> people identified as Aboriginal </w:t>
            </w:r>
            <w:r w:rsidR="00096D98" w:rsidRPr="00E8132B">
              <w:rPr>
                <w:color w:val="000000" w:themeColor="text1"/>
              </w:rPr>
              <w:t>and/</w:t>
            </w:r>
            <w:r w:rsidRPr="00E8132B">
              <w:rPr>
                <w:color w:val="000000" w:themeColor="text1"/>
              </w:rPr>
              <w:t xml:space="preserve">or Torres Strait Islander Australians. This was 3 per cent of the estimated total </w:t>
            </w:r>
            <w:r w:rsidR="00573656" w:rsidRPr="00E8132B">
              <w:rPr>
                <w:color w:val="000000" w:themeColor="text1"/>
              </w:rPr>
              <w:t>Australian population of 22 340 </w:t>
            </w:r>
            <w:r w:rsidR="003E3A2A" w:rsidRPr="00E8132B">
              <w:rPr>
                <w:color w:val="000000" w:themeColor="text1"/>
              </w:rPr>
              <w:t>000</w:t>
            </w:r>
            <w:r w:rsidRPr="00E8132B">
              <w:rPr>
                <w:color w:val="000000" w:themeColor="text1"/>
              </w:rPr>
              <w:t xml:space="preserve"> people. </w:t>
            </w:r>
            <w:r w:rsidR="006D021A">
              <w:rPr>
                <w:color w:val="000000" w:themeColor="text1"/>
              </w:rPr>
              <w:t>A</w:t>
            </w:r>
            <w:r w:rsidRPr="00E8132B">
              <w:rPr>
                <w:color w:val="000000" w:themeColor="text1"/>
              </w:rPr>
              <w:t xml:space="preserve">n estimated </w:t>
            </w:r>
            <w:r w:rsidR="00573656" w:rsidRPr="00E8132B">
              <w:rPr>
                <w:color w:val="000000" w:themeColor="text1"/>
              </w:rPr>
              <w:t>606 </w:t>
            </w:r>
            <w:r w:rsidR="003E3A2A" w:rsidRPr="00E8132B">
              <w:rPr>
                <w:color w:val="000000" w:themeColor="text1"/>
              </w:rPr>
              <w:t>000</w:t>
            </w:r>
            <w:r w:rsidRPr="00E8132B">
              <w:rPr>
                <w:color w:val="000000" w:themeColor="text1"/>
              </w:rPr>
              <w:t xml:space="preserve"> people (9</w:t>
            </w:r>
            <w:r w:rsidR="006A390C" w:rsidRPr="00E8132B">
              <w:rPr>
                <w:color w:val="000000" w:themeColor="text1"/>
              </w:rPr>
              <w:t>0</w:t>
            </w:r>
            <w:r w:rsidRPr="00E8132B">
              <w:rPr>
                <w:color w:val="000000" w:themeColor="text1"/>
              </w:rPr>
              <w:t> per cent of the ‘Indigenous’ population) wer</w:t>
            </w:r>
            <w:r w:rsidR="00573656" w:rsidRPr="00E8132B">
              <w:rPr>
                <w:color w:val="000000" w:themeColor="text1"/>
              </w:rPr>
              <w:t>e of Aboriginal origin only, 38 </w:t>
            </w:r>
            <w:r w:rsidRPr="00E8132B">
              <w:rPr>
                <w:color w:val="000000" w:themeColor="text1"/>
              </w:rPr>
              <w:t>1</w:t>
            </w:r>
            <w:r w:rsidR="003E3A2A" w:rsidRPr="00E8132B">
              <w:rPr>
                <w:color w:val="000000" w:themeColor="text1"/>
              </w:rPr>
              <w:t>00</w:t>
            </w:r>
            <w:r w:rsidRPr="00E8132B">
              <w:rPr>
                <w:color w:val="000000" w:themeColor="text1"/>
              </w:rPr>
              <w:t xml:space="preserve"> people (</w:t>
            </w:r>
            <w:r w:rsidR="006A390C" w:rsidRPr="00E8132B">
              <w:rPr>
                <w:color w:val="000000" w:themeColor="text1"/>
              </w:rPr>
              <w:t>6</w:t>
            </w:r>
            <w:r w:rsidRPr="00E8132B">
              <w:rPr>
                <w:color w:val="000000" w:themeColor="text1"/>
              </w:rPr>
              <w:t xml:space="preserve"> per cent) were of Torres Strait Islander origin only </w:t>
            </w:r>
            <w:r w:rsidR="00573656" w:rsidRPr="00E8132B">
              <w:rPr>
                <w:color w:val="000000" w:themeColor="text1"/>
              </w:rPr>
              <w:t>and 25 </w:t>
            </w:r>
            <w:r w:rsidR="003E3A2A" w:rsidRPr="00E8132B">
              <w:rPr>
                <w:color w:val="000000" w:themeColor="text1"/>
              </w:rPr>
              <w:t>600</w:t>
            </w:r>
            <w:r w:rsidRPr="00E8132B">
              <w:rPr>
                <w:color w:val="000000" w:themeColor="text1"/>
              </w:rPr>
              <w:t> people (</w:t>
            </w:r>
            <w:r w:rsidR="006A390C" w:rsidRPr="00E8132B">
              <w:rPr>
                <w:color w:val="000000" w:themeColor="text1"/>
              </w:rPr>
              <w:t>4</w:t>
            </w:r>
            <w:r w:rsidRPr="00E8132B">
              <w:rPr>
                <w:color w:val="000000" w:themeColor="text1"/>
              </w:rPr>
              <w:t xml:space="preserve"> per cent) were of both origins. </w:t>
            </w:r>
            <w:r w:rsidR="006D021A">
              <w:rPr>
                <w:color w:val="000000" w:themeColor="text1"/>
              </w:rPr>
              <w:t>Data from the 2016 Census are anticipated to be available in 2017.</w:t>
            </w:r>
          </w:p>
          <w:p w:rsidR="00263848" w:rsidRPr="00E8132B" w:rsidRDefault="00263848" w:rsidP="00E82D12">
            <w:pPr>
              <w:pStyle w:val="BoxHeading1"/>
              <w:spacing w:before="120"/>
              <w:rPr>
                <w:rStyle w:val="NoteLabel"/>
                <w:b/>
                <w:color w:val="000000" w:themeColor="text1"/>
              </w:rPr>
            </w:pPr>
            <w:r w:rsidRPr="00E8132B">
              <w:rPr>
                <w:color w:val="000000" w:themeColor="text1"/>
              </w:rPr>
              <w:t>Aboriginal and Torres Strait Islander people are concentrated in certain areas</w:t>
            </w:r>
            <w:r w:rsidRPr="00E8132B">
              <w:rPr>
                <w:rStyle w:val="NoteLabel"/>
                <w:b/>
                <w:color w:val="000000" w:themeColor="text1"/>
              </w:rPr>
              <w:t>a,b</w:t>
            </w:r>
          </w:p>
          <w:p w:rsidR="005C0FCA" w:rsidRPr="00E8132B" w:rsidRDefault="00263848" w:rsidP="00F409A2">
            <w:pPr>
              <w:pStyle w:val="Box"/>
              <w:rPr>
                <w:color w:val="000000" w:themeColor="text1"/>
              </w:rPr>
            </w:pPr>
            <w:r w:rsidRPr="00E8132B">
              <w:rPr>
                <w:noProof/>
                <w:color w:val="000000" w:themeColor="text1"/>
              </w:rPr>
              <w:drawing>
                <wp:anchor distT="0" distB="0" distL="114300" distR="114300" simplePos="0" relativeHeight="251659264" behindDoc="0" locked="0" layoutInCell="1" allowOverlap="1" wp14:anchorId="0518A03B" wp14:editId="1CC7B3C1">
                  <wp:simplePos x="0" y="0"/>
                  <wp:positionH relativeFrom="column">
                    <wp:posOffset>61782</wp:posOffset>
                  </wp:positionH>
                  <wp:positionV relativeFrom="paragraph">
                    <wp:posOffset>29210</wp:posOffset>
                  </wp:positionV>
                  <wp:extent cx="5156790" cy="2820686"/>
                  <wp:effectExtent l="19050" t="19050" r="25400" b="17780"/>
                  <wp:wrapNone/>
                  <wp:docPr id="7" name="Picture 7" descr="Aboriginal and Torres Strait Islander people are concentrated in certain areas (map only)&#10;&#10;More details can be found within the text surround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genous poplation (map only) 040813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55"/>
                          <a:stretch/>
                        </pic:blipFill>
                        <pic:spPr bwMode="auto">
                          <a:xfrm>
                            <a:off x="0" y="0"/>
                            <a:ext cx="5156790" cy="2820686"/>
                          </a:xfrm>
                          <a:prstGeom prst="rect">
                            <a:avLst/>
                          </a:prstGeom>
                          <a:noFill/>
                          <a:ln w="19050">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FCA" w:rsidRPr="00E8132B" w:rsidRDefault="005C0FCA" w:rsidP="00F409A2">
            <w:pPr>
              <w:pStyle w:val="Box"/>
              <w:rPr>
                <w:color w:val="000000" w:themeColor="text1"/>
              </w:rPr>
            </w:pPr>
          </w:p>
          <w:p w:rsidR="005C0FCA" w:rsidRPr="00E8132B" w:rsidRDefault="005C0FCA" w:rsidP="00F409A2">
            <w:pPr>
              <w:pStyle w:val="Box"/>
              <w:rPr>
                <w:color w:val="000000" w:themeColor="text1"/>
              </w:rPr>
            </w:pPr>
          </w:p>
          <w:p w:rsidR="005C0FCA" w:rsidRPr="00E8132B" w:rsidRDefault="005C0FCA" w:rsidP="00F409A2">
            <w:pPr>
              <w:pStyle w:val="Box"/>
              <w:rPr>
                <w:color w:val="000000" w:themeColor="text1"/>
              </w:rPr>
            </w:pPr>
          </w:p>
          <w:p w:rsidR="005C0FCA" w:rsidRPr="00E8132B" w:rsidRDefault="005C0FCA" w:rsidP="00F409A2">
            <w:pPr>
              <w:pStyle w:val="Box"/>
              <w:rPr>
                <w:color w:val="000000" w:themeColor="text1"/>
              </w:rPr>
            </w:pPr>
          </w:p>
          <w:p w:rsidR="005C0FCA" w:rsidRPr="00E8132B" w:rsidRDefault="005C0FCA" w:rsidP="00F409A2">
            <w:pPr>
              <w:pStyle w:val="Box"/>
              <w:rPr>
                <w:color w:val="000000" w:themeColor="text1"/>
              </w:rPr>
            </w:pPr>
          </w:p>
          <w:p w:rsidR="005C0FCA" w:rsidRPr="00E8132B" w:rsidRDefault="00573656" w:rsidP="00F409A2">
            <w:pPr>
              <w:pStyle w:val="Box"/>
              <w:rPr>
                <w:color w:val="000000" w:themeColor="text1"/>
              </w:rPr>
            </w:pPr>
            <w:r w:rsidRPr="00E8132B">
              <w:rPr>
                <w:b/>
                <w:noProof/>
                <w:color w:val="000000" w:themeColor="text1"/>
                <w:sz w:val="16"/>
                <w:szCs w:val="16"/>
              </w:rPr>
              <w:drawing>
                <wp:anchor distT="0" distB="0" distL="114300" distR="114300" simplePos="0" relativeHeight="251661312" behindDoc="0" locked="0" layoutInCell="1" allowOverlap="1" wp14:anchorId="3447AF0F" wp14:editId="3D1391EA">
                  <wp:simplePos x="0" y="0"/>
                  <wp:positionH relativeFrom="margin">
                    <wp:posOffset>40005</wp:posOffset>
                  </wp:positionH>
                  <wp:positionV relativeFrom="margin">
                    <wp:posOffset>3027045</wp:posOffset>
                  </wp:positionV>
                  <wp:extent cx="940435" cy="1146175"/>
                  <wp:effectExtent l="0" t="0" r="0" b="0"/>
                  <wp:wrapSquare wrapText="bothSides"/>
                  <wp:docPr id="8" name="Picture 8" descr="Legend to Map of Australia&#10;&#10;Aboriginal and Torres Strait Islander people are concentrated in certain area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ndersson\AppData\Local\Microsoft\Windows\Temporary Internet Files\Content.Outlook\KPLT4I7O\Indigenous poplation (legend only) 040813 (4).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043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FCA" w:rsidRPr="00E8132B" w:rsidRDefault="00E82D12" w:rsidP="00F409A2">
            <w:pPr>
              <w:pStyle w:val="Box"/>
              <w:rPr>
                <w:color w:val="000000" w:themeColor="text1"/>
              </w:rPr>
            </w:pPr>
            <w:r w:rsidRPr="00E8132B">
              <w:rPr>
                <w:color w:val="000000" w:themeColor="text1"/>
              </w:rPr>
              <w:br/>
            </w:r>
            <w:r w:rsidRPr="00E8132B">
              <w:rPr>
                <w:color w:val="000000" w:themeColor="text1"/>
              </w:rPr>
              <w:br/>
            </w:r>
          </w:p>
          <w:p w:rsidR="005C0FCA" w:rsidRPr="00E8132B" w:rsidRDefault="005C0FCA" w:rsidP="00F409A2">
            <w:pPr>
              <w:pStyle w:val="Box"/>
              <w:rPr>
                <w:color w:val="000000" w:themeColor="text1"/>
              </w:rPr>
            </w:pPr>
          </w:p>
          <w:p w:rsidR="00E82D12" w:rsidRPr="00E8132B" w:rsidRDefault="00E82D12" w:rsidP="00FB13A2">
            <w:pPr>
              <w:pStyle w:val="Box"/>
              <w:spacing w:after="120"/>
              <w:rPr>
                <w:color w:val="000000" w:themeColor="text1"/>
              </w:rPr>
            </w:pPr>
          </w:p>
        </w:tc>
      </w:tr>
      <w:tr w:rsidR="00037871" w:rsidRPr="00E8132B" w:rsidTr="0025114F">
        <w:trPr>
          <w:cantSplit/>
          <w:trHeight w:val="480"/>
        </w:trPr>
        <w:tc>
          <w:tcPr>
            <w:tcW w:w="8793" w:type="dxa"/>
            <w:gridSpan w:val="2"/>
            <w:tcBorders>
              <w:top w:val="nil"/>
              <w:left w:val="nil"/>
              <w:bottom w:val="nil"/>
              <w:right w:val="nil"/>
            </w:tcBorders>
            <w:shd w:val="clear" w:color="auto" w:fill="F2F2F2"/>
          </w:tcPr>
          <w:p w:rsidR="005C0FCA" w:rsidRPr="00E8132B" w:rsidRDefault="005C0FCA" w:rsidP="002526E3">
            <w:pPr>
              <w:pStyle w:val="Note"/>
              <w:spacing w:before="0"/>
              <w:rPr>
                <w:rStyle w:val="NoteLabel"/>
                <w:rFonts w:cs="Arial"/>
                <w:color w:val="000000" w:themeColor="text1"/>
              </w:rPr>
            </w:pPr>
            <w:r w:rsidRPr="00E8132B">
              <w:rPr>
                <w:rStyle w:val="NoteLabel"/>
                <w:rFonts w:cs="Arial"/>
                <w:color w:val="000000" w:themeColor="text1"/>
              </w:rPr>
              <w:t xml:space="preserve">a </w:t>
            </w:r>
            <w:r w:rsidR="002526E3" w:rsidRPr="00E8132B">
              <w:rPr>
                <w:color w:val="000000" w:themeColor="text1"/>
              </w:rPr>
              <w:t>The estimated</w:t>
            </w:r>
            <w:r w:rsidR="00E82D12" w:rsidRPr="00E8132B">
              <w:rPr>
                <w:color w:val="000000" w:themeColor="text1"/>
              </w:rPr>
              <w:t xml:space="preserve"> Aboriginal and Torres Strait Islander population by Indigenous regions at 30</w:t>
            </w:r>
            <w:r w:rsidR="00FB3DF6">
              <w:rPr>
                <w:color w:val="000000" w:themeColor="text1"/>
              </w:rPr>
              <w:t> </w:t>
            </w:r>
            <w:r w:rsidR="00E82D12" w:rsidRPr="00E8132B">
              <w:rPr>
                <w:color w:val="000000" w:themeColor="text1"/>
              </w:rPr>
              <w:t xml:space="preserve">June 2011. </w:t>
            </w:r>
            <w:r w:rsidR="002526E3" w:rsidRPr="00E8132B">
              <w:rPr>
                <w:rStyle w:val="NoteLabel"/>
                <w:color w:val="000000" w:themeColor="text1"/>
              </w:rPr>
              <w:t>b</w:t>
            </w:r>
            <w:r w:rsidR="002526E3" w:rsidRPr="00E8132B">
              <w:rPr>
                <w:b/>
                <w:noProof/>
                <w:color w:val="000000" w:themeColor="text1"/>
                <w:sz w:val="16"/>
                <w:szCs w:val="16"/>
              </w:rPr>
              <w:t> </w:t>
            </w:r>
            <w:r w:rsidR="00E82D12" w:rsidRPr="00E8132B">
              <w:rPr>
                <w:color w:val="000000" w:themeColor="text1"/>
              </w:rPr>
              <w:t>The legend is not continuous as there are no regions with numbers in between these five categories.</w:t>
            </w:r>
          </w:p>
        </w:tc>
      </w:tr>
      <w:tr w:rsidR="00037871" w:rsidRPr="00037871" w:rsidTr="0025114F">
        <w:trPr>
          <w:cantSplit/>
        </w:trPr>
        <w:tc>
          <w:tcPr>
            <w:tcW w:w="8793" w:type="dxa"/>
            <w:gridSpan w:val="2"/>
            <w:tcBorders>
              <w:top w:val="nil"/>
              <w:left w:val="nil"/>
              <w:bottom w:val="nil"/>
              <w:right w:val="nil"/>
            </w:tcBorders>
            <w:shd w:val="clear" w:color="auto" w:fill="F2F2F2"/>
          </w:tcPr>
          <w:p w:rsidR="00E82D12" w:rsidRPr="00E8132B" w:rsidRDefault="00E82D12" w:rsidP="00E82D12">
            <w:pPr>
              <w:pStyle w:val="Box"/>
              <w:rPr>
                <w:color w:val="000000" w:themeColor="text1"/>
              </w:rPr>
            </w:pPr>
            <w:r w:rsidRPr="00E8132B">
              <w:rPr>
                <w:color w:val="000000" w:themeColor="text1"/>
              </w:rPr>
              <w:t>At 30</w:t>
            </w:r>
            <w:r w:rsidR="00FB3DF6">
              <w:rPr>
                <w:color w:val="000000" w:themeColor="text1"/>
              </w:rPr>
              <w:t> </w:t>
            </w:r>
            <w:r w:rsidRPr="00E8132B">
              <w:rPr>
                <w:color w:val="000000" w:themeColor="text1"/>
              </w:rPr>
              <w:t xml:space="preserve">June 2011, large proportions of the Aboriginal and Torres Strait Islander population lived in NSW (31 per cent), Queensland (28 per cent), WA (13 per cent) and the </w:t>
            </w:r>
            <w:r w:rsidR="003E3A2A" w:rsidRPr="00E8132B">
              <w:rPr>
                <w:color w:val="000000" w:themeColor="text1"/>
              </w:rPr>
              <w:t>NT</w:t>
            </w:r>
            <w:r w:rsidRPr="00E8132B">
              <w:rPr>
                <w:color w:val="000000" w:themeColor="text1"/>
              </w:rPr>
              <w:t xml:space="preserve"> (10 per cent). The largest proportions of non</w:t>
            </w:r>
            <w:r w:rsidRPr="00E8132B">
              <w:rPr>
                <w:color w:val="000000" w:themeColor="text1"/>
              </w:rPr>
              <w:noBreakHyphen/>
              <w:t xml:space="preserve">Indigenous people lived in NSW (32 per cent), Victoria (25 per cent) and Queensland (20 per cent). </w:t>
            </w:r>
          </w:p>
          <w:p w:rsidR="00E82D12" w:rsidRPr="00E8132B" w:rsidRDefault="00E82D12" w:rsidP="00E82D12">
            <w:pPr>
              <w:pStyle w:val="BoxHeading1"/>
              <w:spacing w:before="120"/>
              <w:rPr>
                <w:i/>
                <w:color w:val="000000" w:themeColor="text1"/>
              </w:rPr>
            </w:pPr>
            <w:r w:rsidRPr="00E8132B">
              <w:rPr>
                <w:color w:val="000000" w:themeColor="text1"/>
              </w:rPr>
              <w:t>Proportion of population by State and Territory, 30</w:t>
            </w:r>
            <w:r w:rsidR="00FB3DF6">
              <w:rPr>
                <w:color w:val="000000" w:themeColor="text1"/>
              </w:rPr>
              <w:t> </w:t>
            </w:r>
            <w:r w:rsidRPr="00E8132B">
              <w:rPr>
                <w:color w:val="000000" w:themeColor="text1"/>
              </w:rPr>
              <w:t>June 2011</w:t>
            </w:r>
          </w:p>
        </w:tc>
      </w:tr>
      <w:tr w:rsidR="00037871" w:rsidRPr="00037871" w:rsidTr="0025114F">
        <w:trPr>
          <w:cantSplit/>
        </w:trPr>
        <w:tc>
          <w:tcPr>
            <w:tcW w:w="4407" w:type="dxa"/>
            <w:tcBorders>
              <w:top w:val="nil"/>
              <w:left w:val="nil"/>
              <w:bottom w:val="nil"/>
              <w:right w:val="nil"/>
            </w:tcBorders>
            <w:shd w:val="clear" w:color="auto" w:fill="F2F2F2"/>
          </w:tcPr>
          <w:p w:rsidR="00FB13A2" w:rsidRPr="00E8132B" w:rsidRDefault="00D42A93" w:rsidP="00D42A93">
            <w:pPr>
              <w:pStyle w:val="Box"/>
              <w:spacing w:before="40" w:line="240" w:lineRule="auto"/>
              <w:jc w:val="center"/>
              <w:rPr>
                <w:color w:val="000000" w:themeColor="text1"/>
              </w:rPr>
            </w:pPr>
            <w:r>
              <w:rPr>
                <w:b/>
                <w:color w:val="000000" w:themeColor="text1"/>
              </w:rPr>
              <w:t>Aboriginal and Torres Strait Islander</w:t>
            </w:r>
          </w:p>
        </w:tc>
        <w:tc>
          <w:tcPr>
            <w:tcW w:w="4386" w:type="dxa"/>
            <w:tcBorders>
              <w:top w:val="nil"/>
              <w:left w:val="nil"/>
              <w:bottom w:val="nil"/>
              <w:right w:val="nil"/>
            </w:tcBorders>
            <w:shd w:val="clear" w:color="auto" w:fill="F2F2F2"/>
          </w:tcPr>
          <w:p w:rsidR="00FB13A2" w:rsidRPr="00E8132B" w:rsidRDefault="00FB13A2" w:rsidP="00FB13A2">
            <w:pPr>
              <w:pStyle w:val="Box"/>
              <w:spacing w:before="40" w:line="240" w:lineRule="auto"/>
              <w:jc w:val="center"/>
              <w:rPr>
                <w:color w:val="000000" w:themeColor="text1"/>
              </w:rPr>
            </w:pPr>
            <w:r w:rsidRPr="00E8132B">
              <w:rPr>
                <w:b/>
                <w:color w:val="000000" w:themeColor="text1"/>
              </w:rPr>
              <w:t>Non</w:t>
            </w:r>
            <w:r w:rsidR="00FB3DF6">
              <w:rPr>
                <w:b/>
                <w:color w:val="000000" w:themeColor="text1"/>
              </w:rPr>
              <w:noBreakHyphen/>
            </w:r>
            <w:r w:rsidRPr="00E8132B">
              <w:rPr>
                <w:b/>
                <w:color w:val="000000" w:themeColor="text1"/>
              </w:rPr>
              <w:t>Indigenous</w:t>
            </w:r>
          </w:p>
        </w:tc>
      </w:tr>
      <w:tr w:rsidR="00037871" w:rsidRPr="00037871" w:rsidTr="0025114F">
        <w:tblPrEx>
          <w:tblCellMar>
            <w:left w:w="108" w:type="dxa"/>
            <w:right w:w="108" w:type="dxa"/>
          </w:tblCellMar>
        </w:tblPrEx>
        <w:trPr>
          <w:cantSplit/>
          <w:trHeight w:val="2542"/>
        </w:trPr>
        <w:tc>
          <w:tcPr>
            <w:tcW w:w="4407" w:type="dxa"/>
            <w:tcBorders>
              <w:top w:val="nil"/>
              <w:left w:val="nil"/>
              <w:bottom w:val="nil"/>
              <w:right w:val="nil"/>
            </w:tcBorders>
            <w:shd w:val="clear" w:color="auto" w:fill="F2F2F2"/>
          </w:tcPr>
          <w:p w:rsidR="00FB13A2" w:rsidRPr="00E337FF" w:rsidRDefault="00554A46" w:rsidP="00FB13A2">
            <w:pPr>
              <w:pStyle w:val="Box"/>
              <w:jc w:val="center"/>
            </w:pPr>
            <w:r w:rsidRPr="00037871">
              <w:rPr>
                <w:noProof/>
                <w:color w:val="00B050"/>
              </w:rPr>
              <w:drawing>
                <wp:inline distT="0" distB="0" distL="0" distR="0" wp14:anchorId="68CD7B27" wp14:editId="2DFA7AC9">
                  <wp:extent cx="2243455" cy="1722755"/>
                  <wp:effectExtent l="0" t="0" r="4445" b="0"/>
                  <wp:docPr id="32" name="Picture 32" descr="Figure - Proportion of population by State and Territory, 30 June 2011 (Indigenous chart)&#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455" cy="1722755"/>
                          </a:xfrm>
                          <a:prstGeom prst="rect">
                            <a:avLst/>
                          </a:prstGeom>
                          <a:noFill/>
                          <a:ln>
                            <a:noFill/>
                          </a:ln>
                        </pic:spPr>
                      </pic:pic>
                    </a:graphicData>
                  </a:graphic>
                </wp:inline>
              </w:drawing>
            </w:r>
          </w:p>
        </w:tc>
        <w:tc>
          <w:tcPr>
            <w:tcW w:w="4386" w:type="dxa"/>
            <w:tcBorders>
              <w:top w:val="nil"/>
              <w:left w:val="nil"/>
              <w:bottom w:val="nil"/>
              <w:right w:val="nil"/>
            </w:tcBorders>
            <w:shd w:val="clear" w:color="auto" w:fill="F2F2F2"/>
          </w:tcPr>
          <w:p w:rsidR="00FB13A2" w:rsidRPr="00E8132B" w:rsidRDefault="00554A46" w:rsidP="00C738E6">
            <w:pPr>
              <w:pStyle w:val="Box"/>
              <w:spacing w:line="120" w:lineRule="atLeast"/>
              <w:jc w:val="center"/>
              <w:rPr>
                <w:color w:val="000000" w:themeColor="text1"/>
              </w:rPr>
            </w:pPr>
            <w:r w:rsidRPr="00E8132B">
              <w:rPr>
                <w:noProof/>
                <w:color w:val="000000" w:themeColor="text1"/>
              </w:rPr>
              <w:drawing>
                <wp:inline distT="0" distB="0" distL="0" distR="0" wp14:anchorId="7D452EE8" wp14:editId="62257BD5">
                  <wp:extent cx="2296795" cy="1732915"/>
                  <wp:effectExtent l="0" t="0" r="8255" b="635"/>
                  <wp:docPr id="33" name="Picture 33" descr="Figure - Proportion of population by State and Territory, 30 June 2011 (Non-Indigenous chart)&#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795" cy="1732915"/>
                          </a:xfrm>
                          <a:prstGeom prst="rect">
                            <a:avLst/>
                          </a:prstGeom>
                          <a:noFill/>
                          <a:ln>
                            <a:noFill/>
                          </a:ln>
                        </pic:spPr>
                      </pic:pic>
                    </a:graphicData>
                  </a:graphic>
                </wp:inline>
              </w:drawing>
            </w:r>
          </w:p>
        </w:tc>
      </w:tr>
      <w:tr w:rsidR="00037871" w:rsidRPr="00037871" w:rsidTr="0025114F">
        <w:trPr>
          <w:cantSplit/>
        </w:trPr>
        <w:tc>
          <w:tcPr>
            <w:tcW w:w="8793" w:type="dxa"/>
            <w:gridSpan w:val="2"/>
            <w:tcBorders>
              <w:top w:val="nil"/>
              <w:left w:val="nil"/>
              <w:bottom w:val="nil"/>
              <w:right w:val="nil"/>
            </w:tcBorders>
            <w:shd w:val="clear" w:color="auto" w:fill="F2F2F2"/>
          </w:tcPr>
          <w:p w:rsidR="005C0FCA" w:rsidRPr="00D82150" w:rsidRDefault="005C0FCA" w:rsidP="000B5125">
            <w:pPr>
              <w:pStyle w:val="BoxSource"/>
              <w:spacing w:before="40"/>
              <w:rPr>
                <w:color w:val="000000" w:themeColor="text1"/>
              </w:rPr>
            </w:pPr>
            <w:r w:rsidRPr="00D82150">
              <w:rPr>
                <w:i/>
                <w:color w:val="000000" w:themeColor="text1"/>
              </w:rPr>
              <w:t>Source</w:t>
            </w:r>
            <w:r w:rsidRPr="00D82150">
              <w:rPr>
                <w:color w:val="000000" w:themeColor="text1"/>
              </w:rPr>
              <w:t xml:space="preserve">: </w:t>
            </w:r>
            <w:r w:rsidR="00E82D12" w:rsidRPr="00D82150">
              <w:rPr>
                <w:color w:val="000000" w:themeColor="text1"/>
              </w:rPr>
              <w:t xml:space="preserve">ABS 2013, </w:t>
            </w:r>
            <w:r w:rsidR="00E82D12" w:rsidRPr="00D82150">
              <w:rPr>
                <w:i/>
                <w:color w:val="000000" w:themeColor="text1"/>
              </w:rPr>
              <w:t>Estimates of Aboriginal and Torres Strait Islander Australians, June 2011</w:t>
            </w:r>
            <w:r w:rsidR="00E82D12" w:rsidRPr="00D82150">
              <w:rPr>
                <w:color w:val="000000" w:themeColor="text1"/>
              </w:rPr>
              <w:t xml:space="preserve">, Cat. no. 3238.0.55.001; ABS 2014, </w:t>
            </w:r>
            <w:r w:rsidR="000D7EAE">
              <w:rPr>
                <w:i/>
                <w:color w:val="000000" w:themeColor="text1"/>
              </w:rPr>
              <w:t>Estimates and P</w:t>
            </w:r>
            <w:r w:rsidR="00E82D12" w:rsidRPr="00D82150">
              <w:rPr>
                <w:i/>
                <w:color w:val="000000" w:themeColor="text1"/>
              </w:rPr>
              <w:t>rojections, Aboriginal and Torres Strait Islander Australians 2001 to 2026</w:t>
            </w:r>
            <w:r w:rsidR="00E82D12" w:rsidRPr="00D82150">
              <w:rPr>
                <w:color w:val="000000" w:themeColor="text1"/>
              </w:rPr>
              <w:t>, Cat. no. 3238.0.</w:t>
            </w:r>
          </w:p>
        </w:tc>
      </w:tr>
      <w:tr w:rsidR="00037871" w:rsidRPr="00037871" w:rsidTr="0025114F">
        <w:trPr>
          <w:cantSplit/>
        </w:trPr>
        <w:tc>
          <w:tcPr>
            <w:tcW w:w="8793" w:type="dxa"/>
            <w:gridSpan w:val="2"/>
            <w:tcBorders>
              <w:top w:val="nil"/>
              <w:left w:val="nil"/>
              <w:bottom w:val="single" w:sz="6" w:space="0" w:color="78A22F"/>
              <w:right w:val="nil"/>
            </w:tcBorders>
            <w:shd w:val="clear" w:color="auto" w:fill="F2F2F2"/>
          </w:tcPr>
          <w:p w:rsidR="005C0FCA" w:rsidRPr="00D82150" w:rsidRDefault="005C0FCA">
            <w:pPr>
              <w:pStyle w:val="Box"/>
              <w:spacing w:before="0" w:line="120" w:lineRule="exact"/>
              <w:rPr>
                <w:color w:val="000000" w:themeColor="text1"/>
                <w:sz w:val="10"/>
                <w:szCs w:val="10"/>
              </w:rPr>
            </w:pPr>
          </w:p>
        </w:tc>
      </w:tr>
      <w:tr w:rsidR="00037871" w:rsidRPr="00037871" w:rsidTr="0025114F">
        <w:tc>
          <w:tcPr>
            <w:tcW w:w="8793" w:type="dxa"/>
            <w:gridSpan w:val="2"/>
            <w:tcBorders>
              <w:top w:val="single" w:sz="6" w:space="0" w:color="78A22F"/>
              <w:left w:val="nil"/>
              <w:bottom w:val="nil"/>
              <w:right w:val="nil"/>
            </w:tcBorders>
          </w:tcPr>
          <w:p w:rsidR="005C0FCA" w:rsidRPr="00D82150" w:rsidRDefault="005C0FCA" w:rsidP="00F409A2">
            <w:pPr>
              <w:pStyle w:val="BoxSpaceBelow"/>
              <w:rPr>
                <w:color w:val="000000" w:themeColor="text1"/>
              </w:rPr>
            </w:pPr>
          </w:p>
        </w:tc>
      </w:tr>
    </w:tbl>
    <w:p w:rsidR="0093605E" w:rsidRPr="00037871" w:rsidRDefault="0093605E">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4407"/>
        <w:gridCol w:w="4386"/>
      </w:tblGrid>
      <w:tr w:rsidR="00037871" w:rsidRPr="00037871" w:rsidTr="0025114F">
        <w:tc>
          <w:tcPr>
            <w:tcW w:w="8793" w:type="dxa"/>
            <w:gridSpan w:val="2"/>
            <w:tcBorders>
              <w:top w:val="single" w:sz="6" w:space="0" w:color="78A22F"/>
              <w:left w:val="nil"/>
              <w:bottom w:val="nil"/>
              <w:right w:val="nil"/>
            </w:tcBorders>
            <w:shd w:val="clear" w:color="auto" w:fill="F2F2F2"/>
          </w:tcPr>
          <w:p w:rsidR="0093605E" w:rsidRPr="00E337FF" w:rsidRDefault="0093605E" w:rsidP="0093605E">
            <w:pPr>
              <w:pStyle w:val="BoxTitle"/>
            </w:pPr>
            <w:r w:rsidRPr="00E337FF">
              <w:t>Remoteness is a key variable for some outcomes</w:t>
            </w:r>
          </w:p>
        </w:tc>
      </w:tr>
      <w:tr w:rsidR="00037871" w:rsidRPr="00037871" w:rsidTr="0025114F">
        <w:trPr>
          <w:cantSplit/>
        </w:trPr>
        <w:tc>
          <w:tcPr>
            <w:tcW w:w="8793" w:type="dxa"/>
            <w:gridSpan w:val="2"/>
            <w:tcBorders>
              <w:top w:val="nil"/>
              <w:left w:val="nil"/>
              <w:bottom w:val="nil"/>
              <w:right w:val="nil"/>
            </w:tcBorders>
            <w:shd w:val="clear" w:color="auto" w:fill="F2F2F2"/>
          </w:tcPr>
          <w:p w:rsidR="00FB13A2" w:rsidRPr="00E337FF" w:rsidRDefault="00FB13A2" w:rsidP="00FB13A2">
            <w:pPr>
              <w:pStyle w:val="Box"/>
              <w:rPr>
                <w:color w:val="000000" w:themeColor="text1"/>
              </w:rPr>
            </w:pPr>
            <w:r w:rsidRPr="00E337FF">
              <w:rPr>
                <w:color w:val="000000" w:themeColor="text1"/>
              </w:rPr>
              <w:t>Most Aboriginal and Torres Strait Islander Australians lived in major cities or regional areas as at 30</w:t>
            </w:r>
            <w:r w:rsidR="00FB3DF6">
              <w:rPr>
                <w:color w:val="000000" w:themeColor="text1"/>
              </w:rPr>
              <w:t> </w:t>
            </w:r>
            <w:r w:rsidRPr="00E337FF">
              <w:rPr>
                <w:color w:val="000000" w:themeColor="text1"/>
              </w:rPr>
              <w:t>June 2011 (35 per cent in major cities, 22 per cent in inner regional areas and 22 per cent in outer regional areas). However, significant proportions lived in more remote areas (8 per cent in remote areas and 14 per cent in very remote areas). Less than 2 per cent of non</w:t>
            </w:r>
            <w:r w:rsidRPr="00E337FF">
              <w:rPr>
                <w:color w:val="000000" w:themeColor="text1"/>
              </w:rPr>
              <w:noBreakHyphen/>
              <w:t xml:space="preserve">Indigenous Australians lived in remote </w:t>
            </w:r>
            <w:r w:rsidR="00E337FF" w:rsidRPr="00E337FF">
              <w:rPr>
                <w:color w:val="000000" w:themeColor="text1"/>
              </w:rPr>
              <w:t>or</w:t>
            </w:r>
            <w:r w:rsidRPr="00E337FF">
              <w:rPr>
                <w:color w:val="000000" w:themeColor="text1"/>
              </w:rPr>
              <w:t xml:space="preserve"> very remote areas.</w:t>
            </w:r>
          </w:p>
          <w:p w:rsidR="0093605E" w:rsidRPr="00E337FF" w:rsidRDefault="0093605E" w:rsidP="0093605E">
            <w:pPr>
              <w:pStyle w:val="BoxHeading1"/>
            </w:pPr>
            <w:r w:rsidRPr="00E337FF">
              <w:rPr>
                <w:color w:val="000000" w:themeColor="text1"/>
              </w:rPr>
              <w:t>Proportion of the Australian population by remoteness area, 30</w:t>
            </w:r>
            <w:r w:rsidR="00FB3DF6">
              <w:rPr>
                <w:color w:val="000000" w:themeColor="text1"/>
              </w:rPr>
              <w:t> </w:t>
            </w:r>
            <w:r w:rsidRPr="00E337FF">
              <w:rPr>
                <w:color w:val="000000" w:themeColor="text1"/>
              </w:rPr>
              <w:t>June 2011</w:t>
            </w:r>
          </w:p>
        </w:tc>
      </w:tr>
      <w:tr w:rsidR="00037871" w:rsidRPr="00037871" w:rsidTr="0025114F">
        <w:trPr>
          <w:cantSplit/>
        </w:trPr>
        <w:tc>
          <w:tcPr>
            <w:tcW w:w="4407" w:type="dxa"/>
            <w:tcBorders>
              <w:top w:val="nil"/>
              <w:left w:val="nil"/>
              <w:bottom w:val="nil"/>
              <w:right w:val="nil"/>
            </w:tcBorders>
            <w:shd w:val="clear" w:color="auto" w:fill="F2F2F2"/>
          </w:tcPr>
          <w:p w:rsidR="0093605E" w:rsidRPr="00E337FF" w:rsidRDefault="00D42A93" w:rsidP="0093605E">
            <w:pPr>
              <w:pStyle w:val="Box"/>
              <w:jc w:val="center"/>
            </w:pPr>
            <w:r>
              <w:rPr>
                <w:b/>
                <w:color w:val="000000" w:themeColor="text1"/>
              </w:rPr>
              <w:t>Aboriginal and Torres Strait Islander</w:t>
            </w:r>
          </w:p>
        </w:tc>
        <w:tc>
          <w:tcPr>
            <w:tcW w:w="4386" w:type="dxa"/>
            <w:tcBorders>
              <w:top w:val="nil"/>
              <w:left w:val="nil"/>
              <w:bottom w:val="nil"/>
              <w:right w:val="nil"/>
            </w:tcBorders>
            <w:shd w:val="clear" w:color="auto" w:fill="F2F2F2"/>
          </w:tcPr>
          <w:p w:rsidR="0093605E" w:rsidRPr="00E337FF" w:rsidRDefault="0093605E" w:rsidP="0093605E">
            <w:pPr>
              <w:pStyle w:val="Box"/>
              <w:jc w:val="center"/>
            </w:pPr>
            <w:r w:rsidRPr="00E337FF">
              <w:rPr>
                <w:b/>
                <w:color w:val="000000" w:themeColor="text1"/>
              </w:rPr>
              <w:t>Non</w:t>
            </w:r>
            <w:r w:rsidR="00FB3DF6">
              <w:rPr>
                <w:b/>
                <w:color w:val="000000" w:themeColor="text1"/>
              </w:rPr>
              <w:noBreakHyphen/>
            </w:r>
            <w:r w:rsidRPr="00E337FF">
              <w:rPr>
                <w:b/>
                <w:color w:val="000000" w:themeColor="text1"/>
              </w:rPr>
              <w:t>Indigenous</w:t>
            </w:r>
          </w:p>
        </w:tc>
      </w:tr>
      <w:tr w:rsidR="00037871" w:rsidRPr="00037871" w:rsidTr="0025114F">
        <w:trPr>
          <w:cantSplit/>
        </w:trPr>
        <w:tc>
          <w:tcPr>
            <w:tcW w:w="4407" w:type="dxa"/>
            <w:tcBorders>
              <w:top w:val="nil"/>
              <w:left w:val="nil"/>
              <w:bottom w:val="nil"/>
              <w:right w:val="nil"/>
            </w:tcBorders>
            <w:shd w:val="clear" w:color="auto" w:fill="F2F2F2"/>
          </w:tcPr>
          <w:p w:rsidR="0093605E" w:rsidRPr="00037871" w:rsidRDefault="00554A46" w:rsidP="002526E3">
            <w:pPr>
              <w:pStyle w:val="Box"/>
              <w:jc w:val="center"/>
              <w:rPr>
                <w:color w:val="00B050"/>
              </w:rPr>
            </w:pPr>
            <w:r w:rsidRPr="00037871">
              <w:rPr>
                <w:noProof/>
                <w:color w:val="00B050"/>
              </w:rPr>
              <w:drawing>
                <wp:inline distT="0" distB="0" distL="0" distR="0" wp14:anchorId="41AEBF11" wp14:editId="67E4B89A">
                  <wp:extent cx="2349500" cy="1510030"/>
                  <wp:effectExtent l="0" t="0" r="0" b="0"/>
                  <wp:docPr id="34" name="Picture 34" descr="Figure - Proportion of the Australian population by remoteness area, 30 June 2011 (Indigenous chart)&#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510030"/>
                          </a:xfrm>
                          <a:prstGeom prst="rect">
                            <a:avLst/>
                          </a:prstGeom>
                          <a:noFill/>
                          <a:ln>
                            <a:noFill/>
                          </a:ln>
                        </pic:spPr>
                      </pic:pic>
                    </a:graphicData>
                  </a:graphic>
                </wp:inline>
              </w:drawing>
            </w:r>
          </w:p>
        </w:tc>
        <w:tc>
          <w:tcPr>
            <w:tcW w:w="4386" w:type="dxa"/>
            <w:tcBorders>
              <w:top w:val="nil"/>
              <w:left w:val="nil"/>
              <w:bottom w:val="nil"/>
              <w:right w:val="nil"/>
            </w:tcBorders>
            <w:shd w:val="clear" w:color="auto" w:fill="F2F2F2"/>
          </w:tcPr>
          <w:p w:rsidR="0093605E" w:rsidRPr="00037871" w:rsidRDefault="008E6324" w:rsidP="002526E3">
            <w:pPr>
              <w:pStyle w:val="Box"/>
              <w:jc w:val="center"/>
              <w:rPr>
                <w:color w:val="00B050"/>
              </w:rPr>
            </w:pPr>
            <w:r w:rsidRPr="00037871">
              <w:rPr>
                <w:noProof/>
                <w:color w:val="00B050"/>
              </w:rPr>
              <w:drawing>
                <wp:inline distT="0" distB="0" distL="0" distR="0" wp14:anchorId="4C8AEC72" wp14:editId="089DBEF7">
                  <wp:extent cx="2339340" cy="1499235"/>
                  <wp:effectExtent l="0" t="0" r="3810" b="5715"/>
                  <wp:docPr id="35" name="Picture 35" descr="Figure - Proportion of the Australian population by remoteness area, 30 June 2011 (Non-Indigenous chart)&#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0" cy="1499235"/>
                          </a:xfrm>
                          <a:prstGeom prst="rect">
                            <a:avLst/>
                          </a:prstGeom>
                          <a:noFill/>
                          <a:ln>
                            <a:noFill/>
                          </a:ln>
                        </pic:spPr>
                      </pic:pic>
                    </a:graphicData>
                  </a:graphic>
                </wp:inline>
              </w:drawing>
            </w:r>
          </w:p>
        </w:tc>
      </w:tr>
      <w:tr w:rsidR="00037871" w:rsidRPr="00037871" w:rsidTr="0025114F">
        <w:trPr>
          <w:cantSplit/>
        </w:trPr>
        <w:tc>
          <w:tcPr>
            <w:tcW w:w="8793" w:type="dxa"/>
            <w:gridSpan w:val="2"/>
            <w:tcBorders>
              <w:top w:val="nil"/>
              <w:left w:val="nil"/>
              <w:bottom w:val="nil"/>
              <w:right w:val="nil"/>
            </w:tcBorders>
            <w:shd w:val="clear" w:color="auto" w:fill="F2F2F2"/>
          </w:tcPr>
          <w:p w:rsidR="00F174BD" w:rsidRPr="00037871" w:rsidRDefault="00F174BD" w:rsidP="000D7EAE">
            <w:pPr>
              <w:pStyle w:val="Source"/>
              <w:rPr>
                <w:color w:val="00B050"/>
              </w:rPr>
            </w:pPr>
            <w:r w:rsidRPr="00E337FF">
              <w:rPr>
                <w:i/>
                <w:color w:val="000000" w:themeColor="text1"/>
              </w:rPr>
              <w:t>Source</w:t>
            </w:r>
            <w:r w:rsidRPr="00E337FF">
              <w:rPr>
                <w:color w:val="000000" w:themeColor="text1"/>
              </w:rPr>
              <w:t xml:space="preserve">: </w:t>
            </w:r>
            <w:r w:rsidR="00E337FF" w:rsidRPr="00D82150">
              <w:rPr>
                <w:color w:val="000000" w:themeColor="text1"/>
              </w:rPr>
              <w:t xml:space="preserve">ABS 2013, </w:t>
            </w:r>
            <w:r w:rsidR="00E337FF" w:rsidRPr="00D82150">
              <w:rPr>
                <w:i/>
                <w:color w:val="000000" w:themeColor="text1"/>
              </w:rPr>
              <w:t>Estimates of Aboriginal and Torres Strait Islander Australians, June 2011</w:t>
            </w:r>
            <w:r w:rsidR="00E337FF" w:rsidRPr="00D82150">
              <w:rPr>
                <w:color w:val="000000" w:themeColor="text1"/>
              </w:rPr>
              <w:t xml:space="preserve">, Cat. no. 3238.0.55.001; ABS 2014, </w:t>
            </w:r>
            <w:r w:rsidR="00E337FF" w:rsidRPr="00D82150">
              <w:rPr>
                <w:i/>
                <w:color w:val="000000" w:themeColor="text1"/>
              </w:rPr>
              <w:t xml:space="preserve">Estimates and </w:t>
            </w:r>
            <w:r w:rsidR="000D7EAE">
              <w:rPr>
                <w:i/>
                <w:color w:val="000000" w:themeColor="text1"/>
              </w:rPr>
              <w:t>P</w:t>
            </w:r>
            <w:r w:rsidR="00E337FF" w:rsidRPr="00D82150">
              <w:rPr>
                <w:i/>
                <w:color w:val="000000" w:themeColor="text1"/>
              </w:rPr>
              <w:t>rojections, Aboriginal and Torres Strait Islander Australians 2001 to 2026</w:t>
            </w:r>
            <w:r w:rsidR="00E337FF" w:rsidRPr="00D82150">
              <w:rPr>
                <w:color w:val="000000" w:themeColor="text1"/>
              </w:rPr>
              <w:t>, Cat. no. 3238.0.</w:t>
            </w:r>
          </w:p>
        </w:tc>
      </w:tr>
      <w:tr w:rsidR="00037871" w:rsidRPr="00037871" w:rsidTr="0025114F">
        <w:trPr>
          <w:cantSplit/>
        </w:trPr>
        <w:tc>
          <w:tcPr>
            <w:tcW w:w="8793" w:type="dxa"/>
            <w:gridSpan w:val="2"/>
            <w:tcBorders>
              <w:top w:val="nil"/>
              <w:left w:val="nil"/>
              <w:bottom w:val="nil"/>
              <w:right w:val="nil"/>
            </w:tcBorders>
            <w:shd w:val="clear" w:color="auto" w:fill="F2F2F2"/>
          </w:tcPr>
          <w:p w:rsidR="0093605E" w:rsidRPr="00E337FF" w:rsidRDefault="00FB13A2" w:rsidP="00E337FF">
            <w:pPr>
              <w:pStyle w:val="Box"/>
            </w:pPr>
            <w:r w:rsidRPr="00E337FF">
              <w:rPr>
                <w:color w:val="000000" w:themeColor="text1"/>
              </w:rPr>
              <w:t>For most indicators that can be disaggregated by remoteness, outcomes for Aboriginal and Torres Str</w:t>
            </w:r>
            <w:r w:rsidR="00F174BD" w:rsidRPr="00E337FF">
              <w:rPr>
                <w:color w:val="000000" w:themeColor="text1"/>
              </w:rPr>
              <w:t>ait Islander Australians worsen</w:t>
            </w:r>
            <w:r w:rsidRPr="00E337FF">
              <w:rPr>
                <w:color w:val="000000" w:themeColor="text1"/>
              </w:rPr>
              <w:t xml:space="preserve"> as remoteness increases.</w:t>
            </w:r>
          </w:p>
        </w:tc>
      </w:tr>
      <w:tr w:rsidR="00037871" w:rsidRPr="00037871" w:rsidTr="0025114F">
        <w:trPr>
          <w:cantSplit/>
        </w:trPr>
        <w:tc>
          <w:tcPr>
            <w:tcW w:w="8793" w:type="dxa"/>
            <w:gridSpan w:val="2"/>
            <w:tcBorders>
              <w:top w:val="nil"/>
              <w:left w:val="nil"/>
              <w:bottom w:val="nil"/>
              <w:right w:val="nil"/>
            </w:tcBorders>
            <w:shd w:val="clear" w:color="auto" w:fill="F2F2F2"/>
          </w:tcPr>
          <w:p w:rsidR="0093605E" w:rsidRPr="00EF6B4B" w:rsidRDefault="00573656" w:rsidP="00FB4A32">
            <w:pPr>
              <w:pStyle w:val="BoxHeading1"/>
              <w:rPr>
                <w:rStyle w:val="DraftingNote"/>
              </w:rPr>
            </w:pPr>
            <w:r w:rsidRPr="00EF6B4B">
              <w:rPr>
                <w:color w:val="000000" w:themeColor="text1"/>
              </w:rPr>
              <w:t>Selected o</w:t>
            </w:r>
            <w:r w:rsidR="0093605E" w:rsidRPr="00EF6B4B">
              <w:rPr>
                <w:color w:val="000000" w:themeColor="text1"/>
              </w:rPr>
              <w:t xml:space="preserve">utcomes </w:t>
            </w:r>
            <w:r w:rsidR="00142B01" w:rsidRPr="00EF6B4B">
              <w:rPr>
                <w:color w:val="000000" w:themeColor="text1"/>
              </w:rPr>
              <w:t xml:space="preserve">for </w:t>
            </w:r>
            <w:r w:rsidR="00D42A93">
              <w:rPr>
                <w:color w:val="000000" w:themeColor="text1"/>
              </w:rPr>
              <w:t>Aboriginal and Torres Strait Islander</w:t>
            </w:r>
            <w:r w:rsidR="00142B01" w:rsidRPr="00EF6B4B">
              <w:rPr>
                <w:color w:val="000000" w:themeColor="text1"/>
              </w:rPr>
              <w:t xml:space="preserve"> people </w:t>
            </w:r>
            <w:r w:rsidR="0093605E" w:rsidRPr="00EF6B4B">
              <w:rPr>
                <w:color w:val="000000" w:themeColor="text1"/>
              </w:rPr>
              <w:t>by remoteness</w:t>
            </w:r>
            <w:r w:rsidR="00FB13A2" w:rsidRPr="00EF6B4B">
              <w:rPr>
                <w:color w:val="000000" w:themeColor="text1"/>
              </w:rPr>
              <w:t>, 201</w:t>
            </w:r>
            <w:r w:rsidR="00EF6B4B" w:rsidRPr="00EF6B4B">
              <w:rPr>
                <w:color w:val="000000" w:themeColor="text1"/>
              </w:rPr>
              <w:t>4</w:t>
            </w:r>
            <w:r w:rsidR="00FB3DF6">
              <w:rPr>
                <w:color w:val="000000" w:themeColor="text1"/>
              </w:rPr>
              <w:noBreakHyphen/>
            </w:r>
            <w:r w:rsidR="00FB13A2" w:rsidRPr="00EF6B4B">
              <w:rPr>
                <w:color w:val="000000" w:themeColor="text1"/>
              </w:rPr>
              <w:t>1</w:t>
            </w:r>
            <w:r w:rsidR="00EF6B4B" w:rsidRPr="00EF6B4B">
              <w:rPr>
                <w:color w:val="000000" w:themeColor="text1"/>
              </w:rPr>
              <w:t>5</w:t>
            </w:r>
            <w:r w:rsidR="00EF6B4B">
              <w:rPr>
                <w:color w:val="000000" w:themeColor="text1"/>
              </w:rPr>
              <w:t xml:space="preserve"> </w:t>
            </w:r>
          </w:p>
        </w:tc>
      </w:tr>
      <w:tr w:rsidR="00037871" w:rsidRPr="00037871" w:rsidTr="0025114F">
        <w:tblPrEx>
          <w:tblCellMar>
            <w:left w:w="108" w:type="dxa"/>
            <w:right w:w="108" w:type="dxa"/>
          </w:tblCellMar>
        </w:tblPrEx>
        <w:trPr>
          <w:cantSplit/>
        </w:trPr>
        <w:tc>
          <w:tcPr>
            <w:tcW w:w="8793" w:type="dxa"/>
            <w:gridSpan w:val="2"/>
            <w:tcBorders>
              <w:top w:val="nil"/>
              <w:left w:val="nil"/>
              <w:bottom w:val="nil"/>
              <w:right w:val="nil"/>
            </w:tcBorders>
            <w:shd w:val="clear" w:color="auto" w:fill="F2F2F2"/>
          </w:tcPr>
          <w:p w:rsidR="0093605E" w:rsidRPr="00037871" w:rsidRDefault="00B161A7" w:rsidP="00A97218">
            <w:pPr>
              <w:jc w:val="center"/>
              <w:rPr>
                <w:color w:val="00B050"/>
                <w:bdr w:val="single" w:sz="4" w:space="0" w:color="auto"/>
              </w:rPr>
            </w:pPr>
            <w:r>
              <w:rPr>
                <w:noProof/>
              </w:rPr>
              <w:drawing>
                <wp:inline distT="0" distB="0" distL="0" distR="0" wp14:anchorId="1D239C73" wp14:editId="7A35AC1C">
                  <wp:extent cx="5400000" cy="2765700"/>
                  <wp:effectExtent l="0" t="0" r="0" b="0"/>
                  <wp:docPr id="11" name="Chart 11" descr="Figure Selected outcomes for Aboriginal and Torres Strait Islander people by remoteness, 2014-15&#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037871" w:rsidRPr="00037871" w:rsidTr="0025114F">
        <w:trPr>
          <w:cantSplit/>
        </w:trPr>
        <w:tc>
          <w:tcPr>
            <w:tcW w:w="8793" w:type="dxa"/>
            <w:gridSpan w:val="2"/>
            <w:tcBorders>
              <w:top w:val="nil"/>
              <w:left w:val="nil"/>
              <w:bottom w:val="nil"/>
              <w:right w:val="nil"/>
            </w:tcBorders>
            <w:shd w:val="clear" w:color="auto" w:fill="F2F2F2"/>
          </w:tcPr>
          <w:p w:rsidR="00A97218" w:rsidRPr="00E337FF" w:rsidRDefault="00A97218" w:rsidP="00A97218">
            <w:pPr>
              <w:pStyle w:val="Note"/>
              <w:rPr>
                <w:color w:val="000000" w:themeColor="text1"/>
              </w:rPr>
            </w:pPr>
            <w:r w:rsidRPr="00E337FF">
              <w:rPr>
                <w:rStyle w:val="NoteLabel"/>
                <w:color w:val="000000" w:themeColor="text1"/>
              </w:rPr>
              <w:t>a</w:t>
            </w:r>
            <w:r w:rsidRPr="00E337FF">
              <w:rPr>
                <w:color w:val="000000" w:themeColor="text1"/>
              </w:rPr>
              <w:t xml:space="preserve"> Fully engaged in post</w:t>
            </w:r>
            <w:r w:rsidR="00FB3DF6">
              <w:rPr>
                <w:color w:val="000000" w:themeColor="text1"/>
              </w:rPr>
              <w:noBreakHyphen/>
            </w:r>
            <w:r w:rsidRPr="00E337FF">
              <w:rPr>
                <w:color w:val="000000" w:themeColor="text1"/>
              </w:rPr>
              <w:t>school education, training and/or employment.</w:t>
            </w:r>
          </w:p>
          <w:p w:rsidR="0093605E" w:rsidRPr="00E337FF" w:rsidRDefault="0093605E" w:rsidP="000B5125">
            <w:pPr>
              <w:pStyle w:val="Source"/>
            </w:pPr>
            <w:r w:rsidRPr="00E337FF">
              <w:rPr>
                <w:i/>
                <w:color w:val="000000" w:themeColor="text1"/>
              </w:rPr>
              <w:t>Source</w:t>
            </w:r>
            <w:r w:rsidRPr="00E337FF">
              <w:rPr>
                <w:color w:val="000000" w:themeColor="text1"/>
              </w:rPr>
              <w:t xml:space="preserve">: </w:t>
            </w:r>
            <w:r w:rsidR="00FB13A2" w:rsidRPr="00E337FF">
              <w:rPr>
                <w:color w:val="000000" w:themeColor="text1"/>
              </w:rPr>
              <w:t>See main report: Year 12 — section</w:t>
            </w:r>
            <w:r w:rsidR="00FB3DF6">
              <w:rPr>
                <w:color w:val="000000" w:themeColor="text1"/>
              </w:rPr>
              <w:t> </w:t>
            </w:r>
            <w:r w:rsidR="00FB13A2" w:rsidRPr="00E337FF">
              <w:rPr>
                <w:color w:val="000000" w:themeColor="text1"/>
              </w:rPr>
              <w:t>4.</w:t>
            </w:r>
            <w:r w:rsidR="00E337FF" w:rsidRPr="00E337FF">
              <w:rPr>
                <w:color w:val="000000" w:themeColor="text1"/>
              </w:rPr>
              <w:t>6</w:t>
            </w:r>
            <w:r w:rsidR="00FB13A2" w:rsidRPr="00E337FF">
              <w:rPr>
                <w:color w:val="000000" w:themeColor="text1"/>
              </w:rPr>
              <w:t>; Cert III or above — section</w:t>
            </w:r>
            <w:r w:rsidR="00FB3DF6">
              <w:rPr>
                <w:color w:val="000000" w:themeColor="text1"/>
              </w:rPr>
              <w:t> </w:t>
            </w:r>
            <w:r w:rsidR="00FB13A2" w:rsidRPr="00E337FF">
              <w:rPr>
                <w:color w:val="000000" w:themeColor="text1"/>
              </w:rPr>
              <w:t>4.</w:t>
            </w:r>
            <w:r w:rsidR="00E337FF" w:rsidRPr="00E337FF">
              <w:rPr>
                <w:color w:val="000000" w:themeColor="text1"/>
              </w:rPr>
              <w:t>8</w:t>
            </w:r>
            <w:r w:rsidR="00FB13A2" w:rsidRPr="00E337FF">
              <w:rPr>
                <w:color w:val="000000" w:themeColor="text1"/>
              </w:rPr>
              <w:t xml:space="preserve">; </w:t>
            </w:r>
            <w:r w:rsidR="000D7EAE" w:rsidRPr="00E337FF">
              <w:rPr>
                <w:color w:val="000000" w:themeColor="text1"/>
              </w:rPr>
              <w:t>Youth fully engaged</w:t>
            </w:r>
            <w:r w:rsidR="000D7EAE">
              <w:rPr>
                <w:color w:val="000000" w:themeColor="text1"/>
              </w:rPr>
              <w:t xml:space="preserve"> — section</w:t>
            </w:r>
            <w:r w:rsidR="00FB3DF6">
              <w:rPr>
                <w:color w:val="000000" w:themeColor="text1"/>
              </w:rPr>
              <w:t> </w:t>
            </w:r>
            <w:r w:rsidR="000D7EAE">
              <w:rPr>
                <w:color w:val="000000" w:themeColor="text1"/>
              </w:rPr>
              <w:t>7.3</w:t>
            </w:r>
            <w:r w:rsidR="000D7EAE" w:rsidRPr="00E337FF">
              <w:rPr>
                <w:color w:val="000000" w:themeColor="text1"/>
              </w:rPr>
              <w:t xml:space="preserve">; </w:t>
            </w:r>
            <w:r w:rsidR="00FB13A2" w:rsidRPr="00E337FF">
              <w:rPr>
                <w:color w:val="000000" w:themeColor="text1"/>
              </w:rPr>
              <w:t>Home ownership — section</w:t>
            </w:r>
            <w:r w:rsidR="00FB3DF6">
              <w:rPr>
                <w:color w:val="000000" w:themeColor="text1"/>
              </w:rPr>
              <w:t> </w:t>
            </w:r>
            <w:r w:rsidR="00FB13A2" w:rsidRPr="00E337FF">
              <w:rPr>
                <w:color w:val="000000" w:themeColor="text1"/>
              </w:rPr>
              <w:t>9.3; Over</w:t>
            </w:r>
            <w:r w:rsidR="00E337FF">
              <w:rPr>
                <w:color w:val="000000" w:themeColor="text1"/>
              </w:rPr>
              <w:t>crowding — section</w:t>
            </w:r>
            <w:r w:rsidR="00FB3DF6">
              <w:rPr>
                <w:color w:val="000000" w:themeColor="text1"/>
              </w:rPr>
              <w:t> </w:t>
            </w:r>
            <w:r w:rsidR="00E337FF">
              <w:rPr>
                <w:color w:val="000000" w:themeColor="text1"/>
              </w:rPr>
              <w:t>10.1.</w:t>
            </w:r>
          </w:p>
        </w:tc>
      </w:tr>
      <w:tr w:rsidR="00037871" w:rsidRPr="00037871" w:rsidTr="0025114F">
        <w:trPr>
          <w:cantSplit/>
        </w:trPr>
        <w:tc>
          <w:tcPr>
            <w:tcW w:w="8793" w:type="dxa"/>
            <w:gridSpan w:val="2"/>
            <w:tcBorders>
              <w:top w:val="nil"/>
              <w:left w:val="nil"/>
              <w:bottom w:val="single" w:sz="6" w:space="0" w:color="78A22F"/>
              <w:right w:val="nil"/>
            </w:tcBorders>
            <w:shd w:val="clear" w:color="auto" w:fill="F2F2F2"/>
          </w:tcPr>
          <w:p w:rsidR="0093605E" w:rsidRPr="00037871" w:rsidRDefault="0093605E">
            <w:pPr>
              <w:pStyle w:val="Box"/>
              <w:spacing w:before="0" w:line="120" w:lineRule="exact"/>
              <w:rPr>
                <w:color w:val="00B050"/>
              </w:rPr>
            </w:pPr>
          </w:p>
        </w:tc>
      </w:tr>
      <w:tr w:rsidR="00037871" w:rsidRPr="00037871" w:rsidTr="0025114F">
        <w:tc>
          <w:tcPr>
            <w:tcW w:w="8793" w:type="dxa"/>
            <w:gridSpan w:val="2"/>
            <w:tcBorders>
              <w:top w:val="single" w:sz="6" w:space="0" w:color="78A22F"/>
              <w:left w:val="nil"/>
              <w:bottom w:val="nil"/>
              <w:right w:val="nil"/>
            </w:tcBorders>
          </w:tcPr>
          <w:p w:rsidR="0093605E" w:rsidRPr="00037871" w:rsidRDefault="0093605E" w:rsidP="00F409A2">
            <w:pPr>
              <w:pStyle w:val="BoxSpaceBelow"/>
              <w:rPr>
                <w:color w:val="00B050"/>
              </w:rPr>
            </w:pPr>
          </w:p>
        </w:tc>
      </w:tr>
    </w:tbl>
    <w:p w:rsidR="005C0FCA" w:rsidRPr="00EF6B4B" w:rsidRDefault="00300A02" w:rsidP="009F7E6B">
      <w:pPr>
        <w:pStyle w:val="Heading3"/>
      </w:pPr>
      <w:r w:rsidRPr="00EF6B4B">
        <w:t>Why is so much of the information reported at the national level?</w:t>
      </w:r>
    </w:p>
    <w:p w:rsidR="00FB13A2" w:rsidRPr="00EF6B4B" w:rsidRDefault="00FB13A2" w:rsidP="00FB13A2">
      <w:pPr>
        <w:pStyle w:val="BodyText"/>
      </w:pPr>
      <w:r w:rsidRPr="00EF6B4B">
        <w:t>This report measures outcomes for Aboriginal and Torres Strait Islander Australians, often at the aggregate (national and State and Territory) level. It is important to have an aggregate picture of outcomes, because Aboriginal and Torres Strait Islander Australians are overrepresented among Australians facing disadvantage, and this disadvantage appears more persistent over ti</w:t>
      </w:r>
      <w:r w:rsidR="007D5856" w:rsidRPr="00EF6B4B">
        <w:t>me and across generations. The i</w:t>
      </w:r>
      <w:r w:rsidRPr="00EF6B4B">
        <w:t xml:space="preserve">ndigenous peoples of countries with similar colonial histories to Australia, such as Canada, the United States of America and New Zealand, also experience high rates of disadvantage. A focus on what is happening at the aggregate level is important, to help ensure the underlying causes of Indigenous disadvantage are being addressed. </w:t>
      </w:r>
    </w:p>
    <w:p w:rsidR="00FB13A2" w:rsidRPr="00282F67" w:rsidRDefault="00FB13A2" w:rsidP="00FB13A2">
      <w:pPr>
        <w:pStyle w:val="BodyText"/>
        <w:rPr>
          <w:color w:val="000000" w:themeColor="text1"/>
        </w:rPr>
      </w:pPr>
      <w:r w:rsidRPr="00EF6B4B">
        <w:rPr>
          <w:color w:val="000000" w:themeColor="text1"/>
        </w:rPr>
        <w:t>However, the Steering Committee acknowledges that the outcomes measured in this report can vary markedly by geography, age, sex, employment and other factors. Throughout the report and in the attachment tables, outcomes are presented by remoteness and other relevant characteristics wherever possible</w:t>
      </w:r>
      <w:r w:rsidRPr="00282F67">
        <w:rPr>
          <w:color w:val="000000" w:themeColor="text1"/>
        </w:rPr>
        <w:t>. In addition, the analysis in chapter</w:t>
      </w:r>
      <w:r w:rsidR="00FB3DF6">
        <w:rPr>
          <w:color w:val="000000" w:themeColor="text1"/>
        </w:rPr>
        <w:t> </w:t>
      </w:r>
      <w:r w:rsidRPr="00282F67">
        <w:rPr>
          <w:color w:val="000000" w:themeColor="text1"/>
        </w:rPr>
        <w:t xml:space="preserve">13 explores </w:t>
      </w:r>
      <w:r w:rsidR="00655D2E">
        <w:rPr>
          <w:color w:val="000000" w:themeColor="text1"/>
        </w:rPr>
        <w:t xml:space="preserve">the interaction of </w:t>
      </w:r>
      <w:r w:rsidRPr="00282F67">
        <w:rPr>
          <w:color w:val="000000" w:themeColor="text1"/>
        </w:rPr>
        <w:t xml:space="preserve">many of the factors that contribute to </w:t>
      </w:r>
      <w:r w:rsidR="00282F67" w:rsidRPr="00282F67">
        <w:rPr>
          <w:color w:val="000000" w:themeColor="text1"/>
        </w:rPr>
        <w:t>improved outcomes</w:t>
      </w:r>
      <w:r w:rsidRPr="00282F67">
        <w:rPr>
          <w:color w:val="000000" w:themeColor="text1"/>
        </w:rPr>
        <w:t>.</w:t>
      </w:r>
    </w:p>
    <w:p w:rsidR="00FB13A2" w:rsidRPr="00282F67" w:rsidRDefault="00FB13A2" w:rsidP="00FB13A2">
      <w:pPr>
        <w:pStyle w:val="BodyText"/>
        <w:rPr>
          <w:color w:val="000000" w:themeColor="text1"/>
        </w:rPr>
      </w:pPr>
      <w:r w:rsidRPr="00282F67">
        <w:rPr>
          <w:color w:val="000000" w:themeColor="text1"/>
        </w:rPr>
        <w:t xml:space="preserve">There are particular differences between Aboriginal Australians and Torres Strait Islander Australians. The small number of Torres Strait Islander people makes </w:t>
      </w:r>
      <w:r w:rsidR="00E93877" w:rsidRPr="00282F67">
        <w:rPr>
          <w:color w:val="000000" w:themeColor="text1"/>
        </w:rPr>
        <w:t xml:space="preserve">reporting </w:t>
      </w:r>
      <w:r w:rsidRPr="00282F67">
        <w:rPr>
          <w:color w:val="000000" w:themeColor="text1"/>
        </w:rPr>
        <w:t>difficult, but available data are presented in chapter 12 of the main report and summarised in this overview in the section on ‘Outcomes for Torres Strait Islander people’.</w:t>
      </w:r>
    </w:p>
    <w:p w:rsidR="00300A02" w:rsidRPr="00215DAA" w:rsidRDefault="009F7E6B" w:rsidP="006C1699">
      <w:pPr>
        <w:pStyle w:val="Heading3"/>
      </w:pPr>
      <w:r w:rsidRPr="00215DAA">
        <w:t xml:space="preserve">The </w:t>
      </w:r>
      <w:r w:rsidR="00300A02" w:rsidRPr="00215DAA">
        <w:t>OID indicator framework</w:t>
      </w:r>
      <w:r w:rsidRPr="00215DAA">
        <w:t xml:space="preserve"> logic</w:t>
      </w:r>
    </w:p>
    <w:p w:rsidR="00FB13A2" w:rsidRPr="00282F67" w:rsidRDefault="00FB13A2" w:rsidP="00FB13A2">
      <w:pPr>
        <w:pStyle w:val="BodyText"/>
        <w:rPr>
          <w:color w:val="000000" w:themeColor="text1"/>
        </w:rPr>
      </w:pPr>
      <w:r w:rsidRPr="00282F67">
        <w:rPr>
          <w:color w:val="000000" w:themeColor="text1"/>
        </w:rPr>
        <w:t>The OID report is based on a framework of indicators that aim to measure the wellbeing of Aboriginal and Torres Strait Islander Australians</w:t>
      </w:r>
      <w:r w:rsidR="009F7E6B">
        <w:rPr>
          <w:color w:val="000000" w:themeColor="text1"/>
        </w:rPr>
        <w:t xml:space="preserve"> (see chapter</w:t>
      </w:r>
      <w:r w:rsidR="00FB3DF6">
        <w:rPr>
          <w:color w:val="000000" w:themeColor="text1"/>
        </w:rPr>
        <w:t> </w:t>
      </w:r>
      <w:r w:rsidR="009F7E6B">
        <w:rPr>
          <w:color w:val="000000" w:themeColor="text1"/>
        </w:rPr>
        <w:t xml:space="preserve">2 in the main report for </w:t>
      </w:r>
      <w:r w:rsidR="001C4E13">
        <w:rPr>
          <w:color w:val="000000" w:themeColor="text1"/>
        </w:rPr>
        <w:t>the details on the complete framework</w:t>
      </w:r>
      <w:r w:rsidR="009F7E6B">
        <w:rPr>
          <w:color w:val="000000" w:themeColor="text1"/>
        </w:rPr>
        <w:t>)</w:t>
      </w:r>
      <w:r w:rsidRPr="00282F67">
        <w:rPr>
          <w:color w:val="000000" w:themeColor="text1"/>
        </w:rPr>
        <w:t xml:space="preserve">. The framework is based on evidence about the underlying causes of disadvantage, and the positive factors that contribute to wellbeing. </w:t>
      </w:r>
    </w:p>
    <w:p w:rsidR="00FB13A2" w:rsidRPr="00282F67" w:rsidRDefault="00FB13A2" w:rsidP="00FB13A2">
      <w:pPr>
        <w:pStyle w:val="BodyText"/>
        <w:rPr>
          <w:color w:val="000000" w:themeColor="text1"/>
        </w:rPr>
      </w:pPr>
      <w:r w:rsidRPr="00282F67">
        <w:rPr>
          <w:color w:val="000000" w:themeColor="text1"/>
        </w:rPr>
        <w:t xml:space="preserve">At the top of the framework, three closely linked priority outcomes reflect a vision of how life should be for Aboriginal and Torres Strait Islander Australians. These priority outcomes have been endorsed by Aboriginal and Torres Strait Islander Australians and by governments. </w:t>
      </w:r>
    </w:p>
    <w:p w:rsidR="00FB13A2" w:rsidRPr="00282F67" w:rsidRDefault="00FB13A2" w:rsidP="00FB13A2">
      <w:pPr>
        <w:pStyle w:val="BodyText"/>
        <w:rPr>
          <w:color w:val="000000" w:themeColor="text1"/>
        </w:rPr>
      </w:pPr>
      <w:r w:rsidRPr="00282F67">
        <w:rPr>
          <w:color w:val="000000" w:themeColor="text1"/>
        </w:rPr>
        <w:t>It is difficult to measure progress against such broadly stated outcomes. So the framework includes two layers of measurable indicators.</w:t>
      </w:r>
    </w:p>
    <w:p w:rsidR="00FB13A2" w:rsidRPr="00282F67" w:rsidRDefault="00FB13A2" w:rsidP="00FB13A2">
      <w:pPr>
        <w:pStyle w:val="ListBullet"/>
        <w:rPr>
          <w:color w:val="000000" w:themeColor="text1"/>
        </w:rPr>
      </w:pPr>
      <w:r w:rsidRPr="00282F67">
        <w:rPr>
          <w:color w:val="000000" w:themeColor="text1"/>
        </w:rPr>
        <w:t>The first layer of indicators is made up of the s</w:t>
      </w:r>
      <w:r w:rsidR="00282F67" w:rsidRPr="00282F67">
        <w:rPr>
          <w:color w:val="000000" w:themeColor="text1"/>
        </w:rPr>
        <w:t>even</w:t>
      </w:r>
      <w:r w:rsidRPr="00282F67">
        <w:rPr>
          <w:color w:val="000000" w:themeColor="text1"/>
        </w:rPr>
        <w:t xml:space="preserve"> Closing the Gap targets agreed by </w:t>
      </w:r>
      <w:r w:rsidR="007D5856" w:rsidRPr="00282F67">
        <w:rPr>
          <w:color w:val="000000" w:themeColor="text1"/>
        </w:rPr>
        <w:t>Australian g</w:t>
      </w:r>
      <w:r w:rsidRPr="00282F67">
        <w:rPr>
          <w:color w:val="000000" w:themeColor="text1"/>
        </w:rPr>
        <w:t>overnments, and six headline indicators developed by the Steering Committee. These indicators measure important high level outcomes, which typi</w:t>
      </w:r>
      <w:r w:rsidR="001372F8">
        <w:rPr>
          <w:color w:val="000000" w:themeColor="text1"/>
        </w:rPr>
        <w:t>cally require coordinated, long</w:t>
      </w:r>
      <w:r w:rsidR="00FB3DF6">
        <w:rPr>
          <w:color w:val="000000" w:themeColor="text1"/>
        </w:rPr>
        <w:noBreakHyphen/>
      </w:r>
      <w:r w:rsidRPr="00282F67">
        <w:rPr>
          <w:color w:val="000000" w:themeColor="text1"/>
        </w:rPr>
        <w:t xml:space="preserve">term action to achieve significant progress. </w:t>
      </w:r>
    </w:p>
    <w:p w:rsidR="009F7E6B" w:rsidRPr="006C1699" w:rsidRDefault="00FB13A2" w:rsidP="006C1699">
      <w:pPr>
        <w:pStyle w:val="ListBullet"/>
        <w:rPr>
          <w:color w:val="000000" w:themeColor="text1"/>
        </w:rPr>
      </w:pPr>
      <w:r w:rsidRPr="006C4E61">
        <w:rPr>
          <w:color w:val="000000" w:themeColor="text1"/>
        </w:rPr>
        <w:t>The second layer of indicators measure shorter</w:t>
      </w:r>
      <w:r w:rsidR="00FB3DF6">
        <w:rPr>
          <w:color w:val="000000" w:themeColor="text1"/>
        </w:rPr>
        <w:noBreakHyphen/>
      </w:r>
      <w:r w:rsidRPr="006C4E61">
        <w:rPr>
          <w:color w:val="000000" w:themeColor="text1"/>
        </w:rPr>
        <w:t xml:space="preserve">term outcomes in seven strategic areas. Evidence shows that targeted action in these areas is needed in order to achieve the COAG targets and headline indicators. </w:t>
      </w:r>
    </w:p>
    <w:p w:rsidR="00FB13A2" w:rsidRPr="006C4E61" w:rsidRDefault="00FB13A2" w:rsidP="00FB13A2">
      <w:pPr>
        <w:pStyle w:val="BodyText"/>
        <w:rPr>
          <w:color w:val="000000" w:themeColor="text1"/>
        </w:rPr>
      </w:pPr>
      <w:r w:rsidRPr="006C4E61">
        <w:rPr>
          <w:color w:val="000000" w:themeColor="text1"/>
        </w:rPr>
        <w:t xml:space="preserve">The logic behind the framework is that, over time, improvements in the strategic change indicators will lead to changes in the COAG targets and headline indicators, demonstrating progress toward the priority outcomes. </w:t>
      </w:r>
    </w:p>
    <w:p w:rsidR="00FB13A2" w:rsidRPr="006C4E61" w:rsidRDefault="00FB13A2" w:rsidP="00FB13A2">
      <w:pPr>
        <w:pStyle w:val="BodyText"/>
        <w:rPr>
          <w:color w:val="000000" w:themeColor="text1"/>
        </w:rPr>
      </w:pPr>
      <w:r w:rsidRPr="006C4E61">
        <w:rPr>
          <w:color w:val="000000" w:themeColor="text1"/>
        </w:rPr>
        <w:t>As illustrated in the diagrams below, coordinated action across strategic areas is usually required to achieve better outcomes. And conversely, sometimes a single, well</w:t>
      </w:r>
      <w:r w:rsidR="00FB3DF6">
        <w:rPr>
          <w:color w:val="000000" w:themeColor="text1"/>
        </w:rPr>
        <w:noBreakHyphen/>
      </w:r>
      <w:r w:rsidRPr="006C4E61">
        <w:rPr>
          <w:color w:val="000000" w:themeColor="text1"/>
        </w:rPr>
        <w:t xml:space="preserve">targeted action can lead to improvements across many strategic areas. </w:t>
      </w:r>
    </w:p>
    <w:p w:rsidR="00DE26C2" w:rsidRPr="00037871" w:rsidRDefault="00DE26C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037871" w:rsidRPr="00037871" w:rsidTr="0025114F">
        <w:tc>
          <w:tcPr>
            <w:tcW w:w="8793" w:type="dxa"/>
            <w:tcBorders>
              <w:top w:val="single" w:sz="6" w:space="0" w:color="78A22F"/>
              <w:left w:val="nil"/>
              <w:bottom w:val="nil"/>
              <w:right w:val="nil"/>
            </w:tcBorders>
            <w:shd w:val="clear" w:color="auto" w:fill="F2F2F2"/>
          </w:tcPr>
          <w:p w:rsidR="00DE26C2" w:rsidRPr="006C4E61" w:rsidRDefault="00DE26C2" w:rsidP="00E93877">
            <w:pPr>
              <w:pStyle w:val="BoxTitle"/>
              <w:rPr>
                <w:color w:val="000000" w:themeColor="text1"/>
              </w:rPr>
            </w:pPr>
            <w:r w:rsidRPr="006C4E61">
              <w:rPr>
                <w:color w:val="000000" w:themeColor="text1"/>
              </w:rPr>
              <w:t>Disadvantage can have multiple causes</w:t>
            </w:r>
          </w:p>
        </w:tc>
      </w:tr>
      <w:tr w:rsidR="00037871" w:rsidRPr="00037871" w:rsidTr="0025114F">
        <w:trPr>
          <w:cantSplit/>
        </w:trPr>
        <w:tc>
          <w:tcPr>
            <w:tcW w:w="8793" w:type="dxa"/>
            <w:tcBorders>
              <w:top w:val="nil"/>
              <w:left w:val="nil"/>
              <w:bottom w:val="nil"/>
              <w:right w:val="nil"/>
            </w:tcBorders>
            <w:shd w:val="clear" w:color="auto" w:fill="F2F2F2"/>
          </w:tcPr>
          <w:p w:rsidR="00573656" w:rsidRPr="006C4E61" w:rsidRDefault="00FB13A2" w:rsidP="00FB13A2">
            <w:pPr>
              <w:pStyle w:val="Box"/>
              <w:rPr>
                <w:color w:val="000000" w:themeColor="text1"/>
              </w:rPr>
            </w:pPr>
            <w:r w:rsidRPr="006C4E61">
              <w:rPr>
                <w:color w:val="000000" w:themeColor="text1"/>
              </w:rPr>
              <w:t>The COAG target of ‘Life expectancy’ is linked to the ‘Young child mortality’ target and the ‘Disability and chronic disease’ headline indicator. In turn, these outcomes are influenced by outcomes such as ‘Birthweight’ and ‘Injury and preventable disease’ in the ‘Early child development’ strategic area for action, and ‘Obesity and nutrition’ and ‘Tobacco consumption and harm’ in the ‘Healthy lives’ strategic area. But actions in these areas must be supported by actions to address outcomes such as ‘Access to clean water and functional sewerage and electricity’ and ‘Overcrowding in housing’ in the ‘Home environment’ strategic area, and ‘Alcohol and drug consumption and harm’ in the ‘Safe and supportive communities’ area. Other social determinants of health in the education and employment areas must also be addressed.</w:t>
            </w:r>
          </w:p>
        </w:tc>
      </w:tr>
      <w:tr w:rsidR="00037871" w:rsidRPr="00037871" w:rsidTr="0025114F">
        <w:trPr>
          <w:cantSplit/>
        </w:trPr>
        <w:tc>
          <w:tcPr>
            <w:tcW w:w="8793" w:type="dxa"/>
            <w:tcBorders>
              <w:top w:val="nil"/>
              <w:left w:val="nil"/>
              <w:bottom w:val="nil"/>
              <w:right w:val="nil"/>
            </w:tcBorders>
            <w:shd w:val="clear" w:color="auto" w:fill="F2F2F2"/>
          </w:tcPr>
          <w:p w:rsidR="00976114" w:rsidRPr="00037871" w:rsidRDefault="00DA28BA" w:rsidP="00E93877">
            <w:pPr>
              <w:pStyle w:val="Box"/>
              <w:jc w:val="center"/>
              <w:rPr>
                <w:color w:val="00B050"/>
              </w:rPr>
            </w:pPr>
            <w:r w:rsidRPr="00037871">
              <w:rPr>
                <w:noProof/>
                <w:color w:val="00B050"/>
              </w:rPr>
              <w:drawing>
                <wp:inline distT="0" distB="0" distL="0" distR="0" wp14:anchorId="3FC0EA4E" wp14:editId="66E98E0C">
                  <wp:extent cx="3434070" cy="4019107"/>
                  <wp:effectExtent l="0" t="0" r="0" b="635"/>
                  <wp:docPr id="3" name="Picture 3" descr="Figure - Disadvantage can have multiple causes&#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080" cy="4019118"/>
                          </a:xfrm>
                          <a:prstGeom prst="rect">
                            <a:avLst/>
                          </a:prstGeom>
                          <a:noFill/>
                          <a:ln>
                            <a:noFill/>
                          </a:ln>
                        </pic:spPr>
                      </pic:pic>
                    </a:graphicData>
                  </a:graphic>
                </wp:inline>
              </w:drawing>
            </w:r>
          </w:p>
        </w:tc>
      </w:tr>
      <w:tr w:rsidR="00037871" w:rsidRPr="00037871" w:rsidTr="0025114F">
        <w:trPr>
          <w:cantSplit/>
        </w:trPr>
        <w:tc>
          <w:tcPr>
            <w:tcW w:w="8793" w:type="dxa"/>
            <w:tcBorders>
              <w:top w:val="nil"/>
              <w:left w:val="nil"/>
              <w:bottom w:val="single" w:sz="6" w:space="0" w:color="78A22F"/>
              <w:right w:val="nil"/>
            </w:tcBorders>
            <w:shd w:val="clear" w:color="auto" w:fill="F2F2F2"/>
          </w:tcPr>
          <w:p w:rsidR="00DE26C2" w:rsidRPr="00037871" w:rsidRDefault="00DE26C2">
            <w:pPr>
              <w:pStyle w:val="Box"/>
              <w:spacing w:before="0" w:line="120" w:lineRule="exact"/>
              <w:rPr>
                <w:color w:val="00B050"/>
              </w:rPr>
            </w:pPr>
          </w:p>
        </w:tc>
      </w:tr>
      <w:tr w:rsidR="00037871" w:rsidRPr="00037871" w:rsidTr="0025114F">
        <w:tc>
          <w:tcPr>
            <w:tcW w:w="8793" w:type="dxa"/>
            <w:tcBorders>
              <w:top w:val="single" w:sz="6" w:space="0" w:color="78A22F"/>
              <w:left w:val="nil"/>
              <w:bottom w:val="nil"/>
              <w:right w:val="nil"/>
            </w:tcBorders>
          </w:tcPr>
          <w:p w:rsidR="00DE26C2" w:rsidRPr="00037871" w:rsidRDefault="00DE26C2" w:rsidP="00F409A2">
            <w:pPr>
              <w:pStyle w:val="BoxSpaceBelow"/>
              <w:rPr>
                <w:color w:val="00B050"/>
              </w:rPr>
            </w:pPr>
          </w:p>
        </w:tc>
      </w:tr>
    </w:tbl>
    <w:p w:rsidR="00976114" w:rsidRPr="00037871" w:rsidRDefault="00976114">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037871" w:rsidRPr="00037871" w:rsidTr="0025114F">
        <w:tc>
          <w:tcPr>
            <w:tcW w:w="8793" w:type="dxa"/>
            <w:tcBorders>
              <w:top w:val="single" w:sz="6" w:space="0" w:color="78A22F"/>
              <w:left w:val="nil"/>
              <w:bottom w:val="nil"/>
              <w:right w:val="nil"/>
            </w:tcBorders>
            <w:shd w:val="clear" w:color="auto" w:fill="F2F2F2"/>
          </w:tcPr>
          <w:p w:rsidR="00976114" w:rsidRPr="006C4E61" w:rsidRDefault="00976114" w:rsidP="00976114">
            <w:pPr>
              <w:pStyle w:val="BoxTitle"/>
              <w:rPr>
                <w:color w:val="000000" w:themeColor="text1"/>
              </w:rPr>
            </w:pPr>
            <w:r w:rsidRPr="006C4E61">
              <w:rPr>
                <w:color w:val="000000" w:themeColor="text1"/>
              </w:rPr>
              <w:t>Some actions can have multiple effects</w:t>
            </w:r>
          </w:p>
        </w:tc>
      </w:tr>
      <w:tr w:rsidR="00037871" w:rsidRPr="00037871" w:rsidTr="0025114F">
        <w:trPr>
          <w:cantSplit/>
        </w:trPr>
        <w:tc>
          <w:tcPr>
            <w:tcW w:w="8793" w:type="dxa"/>
            <w:tcBorders>
              <w:top w:val="nil"/>
              <w:left w:val="nil"/>
              <w:bottom w:val="nil"/>
              <w:right w:val="nil"/>
            </w:tcBorders>
            <w:shd w:val="clear" w:color="auto" w:fill="F2F2F2"/>
          </w:tcPr>
          <w:p w:rsidR="00976114" w:rsidRPr="006C4E61" w:rsidRDefault="00FB13A2" w:rsidP="00976114">
            <w:pPr>
              <w:pStyle w:val="Box"/>
              <w:rPr>
                <w:color w:val="000000" w:themeColor="text1"/>
              </w:rPr>
            </w:pPr>
            <w:r w:rsidRPr="006C4E61">
              <w:rPr>
                <w:color w:val="000000" w:themeColor="text1"/>
              </w:rPr>
              <w:t>Reducing overcrowding can affect outcomes in the ‘Education and training’, ‘Healthy lives’, ‘Home environment’ and ‘Safe and supportive communities’ strategic areas, and can contribute to the COAG target of ‘Reading, writing and numeracy’ and the headline indicators of ‘Disability and chronic disease’ and ‘Family and community violence’. Other influences are also important but there is sufficient evidence for education, health and justice departments to be concerned about housing issues.</w:t>
            </w:r>
          </w:p>
          <w:p w:rsidR="00976114" w:rsidRPr="006C4E61" w:rsidRDefault="00DA28BA" w:rsidP="006C07D0">
            <w:pPr>
              <w:pStyle w:val="Box"/>
              <w:jc w:val="center"/>
              <w:rPr>
                <w:color w:val="000000" w:themeColor="text1"/>
              </w:rPr>
            </w:pPr>
            <w:r w:rsidRPr="006C4E61">
              <w:rPr>
                <w:noProof/>
                <w:color w:val="000000" w:themeColor="text1"/>
              </w:rPr>
              <w:drawing>
                <wp:inline distT="0" distB="0" distL="0" distR="0" wp14:anchorId="7C383172" wp14:editId="12CDCDCA">
                  <wp:extent cx="4199861" cy="4051005"/>
                  <wp:effectExtent l="0" t="0" r="0" b="6985"/>
                  <wp:docPr id="4" name="Picture 4" descr="Figure - Reducing overcrowding in housing can have multiple affects&#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 reducing overcrowding in housing can have multiple affects&#10;&#10;More details can be found within the text surrounding this imag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9890" cy="4051033"/>
                          </a:xfrm>
                          <a:prstGeom prst="rect">
                            <a:avLst/>
                          </a:prstGeom>
                          <a:noFill/>
                          <a:ln>
                            <a:noFill/>
                          </a:ln>
                        </pic:spPr>
                      </pic:pic>
                    </a:graphicData>
                  </a:graphic>
                </wp:inline>
              </w:drawing>
            </w:r>
          </w:p>
        </w:tc>
      </w:tr>
      <w:tr w:rsidR="00037871" w:rsidRPr="00037871" w:rsidTr="0025114F">
        <w:trPr>
          <w:cantSplit/>
        </w:trPr>
        <w:tc>
          <w:tcPr>
            <w:tcW w:w="8793" w:type="dxa"/>
            <w:tcBorders>
              <w:top w:val="nil"/>
              <w:left w:val="nil"/>
              <w:bottom w:val="single" w:sz="6" w:space="0" w:color="78A22F"/>
              <w:right w:val="nil"/>
            </w:tcBorders>
            <w:shd w:val="clear" w:color="auto" w:fill="F2F2F2"/>
          </w:tcPr>
          <w:p w:rsidR="00976114" w:rsidRPr="00037871" w:rsidRDefault="00976114">
            <w:pPr>
              <w:pStyle w:val="Box"/>
              <w:spacing w:before="0" w:line="120" w:lineRule="exact"/>
              <w:rPr>
                <w:color w:val="00B050"/>
              </w:rPr>
            </w:pPr>
          </w:p>
        </w:tc>
      </w:tr>
      <w:tr w:rsidR="00037871" w:rsidRPr="00037871" w:rsidTr="0025114F">
        <w:tc>
          <w:tcPr>
            <w:tcW w:w="8793" w:type="dxa"/>
            <w:tcBorders>
              <w:top w:val="single" w:sz="6" w:space="0" w:color="78A22F"/>
              <w:left w:val="nil"/>
              <w:bottom w:val="nil"/>
              <w:right w:val="nil"/>
            </w:tcBorders>
          </w:tcPr>
          <w:p w:rsidR="00976114" w:rsidRPr="00037871" w:rsidRDefault="00976114" w:rsidP="00F409A2">
            <w:pPr>
              <w:pStyle w:val="BoxSpaceBelow"/>
              <w:rPr>
                <w:color w:val="00B050"/>
              </w:rPr>
            </w:pPr>
          </w:p>
        </w:tc>
      </w:tr>
    </w:tbl>
    <w:p w:rsidR="00300A02" w:rsidRPr="006C4E61" w:rsidRDefault="00976114" w:rsidP="00976114">
      <w:pPr>
        <w:pStyle w:val="Heading3"/>
        <w:rPr>
          <w:color w:val="000000" w:themeColor="text1"/>
        </w:rPr>
      </w:pPr>
      <w:r w:rsidRPr="006C4E61">
        <w:rPr>
          <w:color w:val="000000" w:themeColor="text1"/>
        </w:rPr>
        <w:t>Changes for this edition of the report</w:t>
      </w:r>
    </w:p>
    <w:p w:rsidR="00C76332" w:rsidRPr="007331C6" w:rsidRDefault="00C76332" w:rsidP="00C76332">
      <w:pPr>
        <w:pStyle w:val="BodyText"/>
        <w:rPr>
          <w:color w:val="000000" w:themeColor="text1"/>
        </w:rPr>
      </w:pPr>
      <w:r w:rsidRPr="007331C6">
        <w:rPr>
          <w:color w:val="000000" w:themeColor="text1"/>
        </w:rPr>
        <w:t xml:space="preserve">The indicator framework has evolved over time. Following the 2011 OID report, the Steering Committee agreed to an independent review of the report. After broad consultation with Aboriginal and Torres Strait Islander Australians and organisations, governments and academics, the review found a general </w:t>
      </w:r>
      <w:r w:rsidR="003E3A2A" w:rsidRPr="007331C6">
        <w:rPr>
          <w:color w:val="000000" w:themeColor="text1"/>
        </w:rPr>
        <w:t>desire for more 'strengths</w:t>
      </w:r>
      <w:r w:rsidR="00FB3DF6">
        <w:rPr>
          <w:color w:val="000000" w:themeColor="text1"/>
        </w:rPr>
        <w:noBreakHyphen/>
      </w:r>
      <w:r w:rsidRPr="007331C6">
        <w:rPr>
          <w:color w:val="000000" w:themeColor="text1"/>
        </w:rPr>
        <w:t>based' reporting and for more visible engagement with Aboriginal and Torres Strait Islander Australians.</w:t>
      </w:r>
    </w:p>
    <w:p w:rsidR="00C76332" w:rsidRPr="007331C6" w:rsidRDefault="00C76332" w:rsidP="00C76332">
      <w:pPr>
        <w:pStyle w:val="BodyText"/>
        <w:rPr>
          <w:color w:val="000000" w:themeColor="text1"/>
        </w:rPr>
      </w:pPr>
      <w:r w:rsidRPr="007331C6">
        <w:rPr>
          <w:color w:val="000000" w:themeColor="text1"/>
        </w:rPr>
        <w:t>The Steering Committee developed a set of proposed responses to the review</w:t>
      </w:r>
      <w:r w:rsidRPr="007331C6" w:rsidDel="009F7E78">
        <w:rPr>
          <w:color w:val="000000" w:themeColor="text1"/>
        </w:rPr>
        <w:t xml:space="preserve"> </w:t>
      </w:r>
      <w:r w:rsidRPr="007331C6">
        <w:rPr>
          <w:color w:val="000000" w:themeColor="text1"/>
        </w:rPr>
        <w:t>and conducted further consultations before introducing the following changes</w:t>
      </w:r>
      <w:r w:rsidR="002E2D1A">
        <w:rPr>
          <w:color w:val="000000" w:themeColor="text1"/>
        </w:rPr>
        <w:t xml:space="preserve"> for the 2014 OID report</w:t>
      </w:r>
      <w:r w:rsidRPr="007331C6">
        <w:rPr>
          <w:color w:val="000000" w:themeColor="text1"/>
        </w:rPr>
        <w:t>:</w:t>
      </w:r>
    </w:p>
    <w:p w:rsidR="00C76332" w:rsidRPr="007331C6" w:rsidRDefault="00C76332" w:rsidP="00C76332">
      <w:pPr>
        <w:pStyle w:val="ListBullet"/>
        <w:rPr>
          <w:color w:val="000000" w:themeColor="text1"/>
        </w:rPr>
      </w:pPr>
      <w:r w:rsidRPr="007331C6">
        <w:rPr>
          <w:color w:val="000000" w:themeColor="text1"/>
        </w:rPr>
        <w:t>an increased focus on ‘strengths</w:t>
      </w:r>
      <w:r w:rsidR="00FB3DF6">
        <w:rPr>
          <w:color w:val="000000" w:themeColor="text1"/>
        </w:rPr>
        <w:noBreakHyphen/>
      </w:r>
      <w:r w:rsidRPr="007331C6">
        <w:rPr>
          <w:color w:val="000000" w:themeColor="text1"/>
        </w:rPr>
        <w:t>based’ reporting and Aboriginal and Torres Strait Islander concepts of wellbeing (see particularly the ‘Governance, leadership and culture’ strategic area)</w:t>
      </w:r>
    </w:p>
    <w:p w:rsidR="00C76332" w:rsidRPr="002E2D1A" w:rsidRDefault="00C76332" w:rsidP="00C76332">
      <w:pPr>
        <w:pStyle w:val="ListBullet"/>
        <w:rPr>
          <w:color w:val="000000" w:themeColor="text1"/>
        </w:rPr>
      </w:pPr>
      <w:r w:rsidRPr="002E2D1A">
        <w:rPr>
          <w:color w:val="000000" w:themeColor="text1"/>
        </w:rPr>
        <w:t>increased engagement with Aboriginal and Torres Strait Islander Australians in all phases of the reporting process.</w:t>
      </w:r>
    </w:p>
    <w:p w:rsidR="007331C6" w:rsidRDefault="007331C6" w:rsidP="00C76332">
      <w:pPr>
        <w:pStyle w:val="BodyText"/>
        <w:rPr>
          <w:color w:val="000000" w:themeColor="text1"/>
        </w:rPr>
      </w:pPr>
      <w:r>
        <w:rPr>
          <w:color w:val="000000" w:themeColor="text1"/>
        </w:rPr>
        <w:t xml:space="preserve">A further change for the 2016 report is the </w:t>
      </w:r>
      <w:r w:rsidR="00CA4E24">
        <w:rPr>
          <w:color w:val="000000" w:themeColor="text1"/>
        </w:rPr>
        <w:t>renamin</w:t>
      </w:r>
      <w:r w:rsidR="002E2D1A">
        <w:rPr>
          <w:color w:val="000000" w:themeColor="text1"/>
        </w:rPr>
        <w:t>g and refocussing of chapter</w:t>
      </w:r>
      <w:r w:rsidR="00FB3DF6">
        <w:rPr>
          <w:color w:val="000000" w:themeColor="text1"/>
        </w:rPr>
        <w:t> </w:t>
      </w:r>
      <w:r w:rsidR="002E2D1A">
        <w:rPr>
          <w:color w:val="000000" w:themeColor="text1"/>
        </w:rPr>
        <w:t>13</w:t>
      </w:r>
      <w:r w:rsidR="00CA4E24">
        <w:rPr>
          <w:color w:val="000000" w:themeColor="text1"/>
        </w:rPr>
        <w:t xml:space="preserve"> </w:t>
      </w:r>
      <w:r w:rsidR="002E2D1A">
        <w:rPr>
          <w:color w:val="000000" w:themeColor="text1"/>
        </w:rPr>
        <w:t xml:space="preserve">from ‘Measuring multiple disadvantage’ </w:t>
      </w:r>
      <w:r w:rsidR="00CA4E24">
        <w:rPr>
          <w:color w:val="000000" w:themeColor="text1"/>
        </w:rPr>
        <w:t>to ‘Measuring factors that improve outcomes’.</w:t>
      </w:r>
    </w:p>
    <w:p w:rsidR="00C76332" w:rsidRPr="007331C6" w:rsidRDefault="00C76332" w:rsidP="00C76332">
      <w:pPr>
        <w:pStyle w:val="BodyText"/>
        <w:rPr>
          <w:color w:val="000000" w:themeColor="text1"/>
        </w:rPr>
      </w:pPr>
      <w:r w:rsidRPr="007331C6">
        <w:rPr>
          <w:color w:val="000000" w:themeColor="text1"/>
        </w:rPr>
        <w:t>Detailed information about the independent review and the Steering Committee’s responses is available on the R</w:t>
      </w:r>
      <w:r w:rsidR="002E2D1A">
        <w:rPr>
          <w:color w:val="000000" w:themeColor="text1"/>
        </w:rPr>
        <w:t>eview website (www.pc.gov.au/gsp</w:t>
      </w:r>
      <w:r w:rsidRPr="007331C6">
        <w:rPr>
          <w:color w:val="000000" w:themeColor="text1"/>
        </w:rPr>
        <w:t>).</w:t>
      </w:r>
    </w:p>
    <w:p w:rsidR="0074663B" w:rsidRPr="00037871" w:rsidRDefault="0074663B">
      <w:pPr>
        <w:pStyle w:val="BoxSpaceAbove"/>
        <w:rPr>
          <w:color w:val="00B050"/>
        </w:rPr>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037871" w:rsidRPr="00037871" w:rsidTr="00F409A2">
        <w:tc>
          <w:tcPr>
            <w:tcW w:w="8771" w:type="dxa"/>
            <w:tcBorders>
              <w:top w:val="single" w:sz="6" w:space="0" w:color="78A22F"/>
              <w:left w:val="nil"/>
              <w:bottom w:val="nil"/>
              <w:right w:val="nil"/>
            </w:tcBorders>
            <w:shd w:val="clear" w:color="auto" w:fill="F2F2F2"/>
          </w:tcPr>
          <w:p w:rsidR="0074663B" w:rsidRPr="00530A3E" w:rsidRDefault="0074663B" w:rsidP="0074663B">
            <w:pPr>
              <w:pStyle w:val="BoxTitle"/>
            </w:pPr>
            <w:r w:rsidRPr="00530A3E">
              <w:t>Things that work</w:t>
            </w:r>
          </w:p>
        </w:tc>
      </w:tr>
      <w:tr w:rsidR="00037871" w:rsidRPr="00037871" w:rsidTr="00F409A2">
        <w:trPr>
          <w:cantSplit/>
        </w:trPr>
        <w:tc>
          <w:tcPr>
            <w:tcW w:w="8771" w:type="dxa"/>
            <w:tcBorders>
              <w:top w:val="nil"/>
              <w:left w:val="nil"/>
              <w:bottom w:val="nil"/>
              <w:right w:val="nil"/>
            </w:tcBorders>
            <w:shd w:val="clear" w:color="auto" w:fill="F2F2F2"/>
          </w:tcPr>
          <w:p w:rsidR="00C76332" w:rsidRDefault="00C76332" w:rsidP="00C76332">
            <w:pPr>
              <w:pStyle w:val="Box"/>
              <w:rPr>
                <w:color w:val="000000" w:themeColor="text1"/>
              </w:rPr>
            </w:pPr>
            <w:r w:rsidRPr="00530A3E">
              <w:rPr>
                <w:color w:val="000000" w:themeColor="text1"/>
              </w:rPr>
              <w:t xml:space="preserve">Not everything can be reported using indicators. This report includes </w:t>
            </w:r>
            <w:r w:rsidR="0009587E">
              <w:rPr>
                <w:color w:val="000000" w:themeColor="text1"/>
              </w:rPr>
              <w:t xml:space="preserve">a number of </w:t>
            </w:r>
            <w:r w:rsidRPr="00530A3E">
              <w:rPr>
                <w:color w:val="000000" w:themeColor="text1"/>
              </w:rPr>
              <w:t xml:space="preserve">‘things that work’ — case studies of actions that are making a difference for Aboriginal and Torres Strait Islander Australians. </w:t>
            </w:r>
            <w:r w:rsidR="00DC58AA">
              <w:rPr>
                <w:color w:val="000000" w:themeColor="text1"/>
              </w:rPr>
              <w:t>A subset of these case studies are included in this Overview.</w:t>
            </w:r>
          </w:p>
          <w:p w:rsidR="00BB5C5A" w:rsidRPr="00215DAA" w:rsidRDefault="00BB5C5A" w:rsidP="00C76332">
            <w:pPr>
              <w:pStyle w:val="Box"/>
            </w:pPr>
            <w:r w:rsidRPr="00215DAA">
              <w:t>Case studies were sourced from the Closing the Gap Clearinghouse, jurisdictional input through the Steering Committee and its advisory group (the OID working group), a</w:t>
            </w:r>
            <w:r w:rsidR="00D12305" w:rsidRPr="00215DAA">
              <w:t xml:space="preserve">nd research undertaken by the </w:t>
            </w:r>
            <w:r w:rsidR="005B25B5" w:rsidRPr="00215DAA">
              <w:t>Secretariat</w:t>
            </w:r>
            <w:r w:rsidRPr="00215DAA">
              <w:t>.</w:t>
            </w:r>
          </w:p>
          <w:p w:rsidR="00BB5C5A" w:rsidRPr="00215DAA" w:rsidRDefault="00C76332" w:rsidP="00BB5C5A">
            <w:pPr>
              <w:pStyle w:val="Box"/>
            </w:pPr>
            <w:r w:rsidRPr="00215DAA">
              <w:t>Potential case studies were assessed against a set of formal criteria to ensure they genuinely contribute</w:t>
            </w:r>
            <w:r w:rsidR="00BB5C5A" w:rsidRPr="00215DAA">
              <w:t>d</w:t>
            </w:r>
            <w:r w:rsidRPr="00215DAA">
              <w:t xml:space="preserve"> to improved outcomes. However, formal evaluations of programs </w:t>
            </w:r>
            <w:r w:rsidR="00D42A93" w:rsidRPr="00215DAA">
              <w:t xml:space="preserve">for Aboriginal and Torres Strait Islander Australians </w:t>
            </w:r>
            <w:r w:rsidRPr="00215DAA">
              <w:t>are relatively scarce. In order to provide a range of examples, the Steering Committee has also included some promising programs that have not undergone rigorous evaluation — such case studies are clearly identified in the report.</w:t>
            </w:r>
            <w:r w:rsidR="00BB5C5A" w:rsidRPr="00215DAA">
              <w:t xml:space="preserve"> More detail on the case studies (including criteria for inclusion in this report) can be found in chapter</w:t>
            </w:r>
            <w:r w:rsidR="00FB3DF6">
              <w:t> </w:t>
            </w:r>
            <w:r w:rsidR="00BB5C5A" w:rsidRPr="00215DAA">
              <w:t>2 in the main report.</w:t>
            </w:r>
          </w:p>
          <w:p w:rsidR="00C76332" w:rsidRPr="00B32236" w:rsidRDefault="00C76332" w:rsidP="00C76332">
            <w:pPr>
              <w:pStyle w:val="Box"/>
              <w:rPr>
                <w:color w:val="000000" w:themeColor="text1"/>
              </w:rPr>
            </w:pPr>
            <w:r w:rsidRPr="00B32236">
              <w:rPr>
                <w:color w:val="000000" w:themeColor="text1"/>
              </w:rPr>
              <w:t xml:space="preserve">The </w:t>
            </w:r>
            <w:r w:rsidR="0009587E">
              <w:rPr>
                <w:color w:val="000000" w:themeColor="text1"/>
              </w:rPr>
              <w:t xml:space="preserve">Closing the Gap </w:t>
            </w:r>
            <w:r w:rsidRPr="00B32236">
              <w:rPr>
                <w:color w:val="000000" w:themeColor="text1"/>
              </w:rPr>
              <w:t>Clearinghouse identified the following high level factors that underpin successful programs:</w:t>
            </w:r>
          </w:p>
          <w:p w:rsidR="00C76332" w:rsidRPr="00B32236" w:rsidRDefault="00C76332" w:rsidP="00C76332">
            <w:pPr>
              <w:pStyle w:val="BoxListBullet"/>
              <w:spacing w:before="120" w:line="280" w:lineRule="atLeast"/>
              <w:rPr>
                <w:color w:val="000000" w:themeColor="text1"/>
              </w:rPr>
            </w:pPr>
            <w:r w:rsidRPr="00B32236">
              <w:rPr>
                <w:color w:val="000000" w:themeColor="text1"/>
              </w:rPr>
              <w:t>flexibility in design and delivery so that local needs and contexts can be taken into account</w:t>
            </w:r>
          </w:p>
          <w:p w:rsidR="00C76332" w:rsidRPr="00B32236" w:rsidRDefault="00C76332" w:rsidP="00C76332">
            <w:pPr>
              <w:pStyle w:val="BoxListBullet"/>
              <w:spacing w:before="120" w:line="280" w:lineRule="atLeast"/>
              <w:rPr>
                <w:color w:val="000000" w:themeColor="text1"/>
              </w:rPr>
            </w:pPr>
            <w:r w:rsidRPr="00B32236">
              <w:rPr>
                <w:color w:val="000000" w:themeColor="text1"/>
              </w:rPr>
              <w:t>community involvement and engagement in both the development and delivery of programs</w:t>
            </w:r>
          </w:p>
          <w:p w:rsidR="00C76332" w:rsidRPr="00B32236" w:rsidRDefault="00C76332" w:rsidP="00C76332">
            <w:pPr>
              <w:pStyle w:val="BoxListBullet"/>
              <w:spacing w:before="120" w:line="280" w:lineRule="atLeast"/>
              <w:rPr>
                <w:color w:val="000000" w:themeColor="text1"/>
              </w:rPr>
            </w:pPr>
            <w:r w:rsidRPr="00B32236">
              <w:rPr>
                <w:color w:val="000000" w:themeColor="text1"/>
              </w:rPr>
              <w:t>trusting relationships</w:t>
            </w:r>
          </w:p>
          <w:p w:rsidR="00C76332" w:rsidRPr="00B32236" w:rsidRDefault="00C76332" w:rsidP="00C76332">
            <w:pPr>
              <w:pStyle w:val="BoxListBullet"/>
              <w:spacing w:before="120" w:line="280" w:lineRule="atLeast"/>
              <w:rPr>
                <w:color w:val="000000" w:themeColor="text1"/>
              </w:rPr>
            </w:pPr>
            <w:r w:rsidRPr="00B32236">
              <w:rPr>
                <w:color w:val="000000" w:themeColor="text1"/>
              </w:rPr>
              <w:t>a well</w:t>
            </w:r>
            <w:r w:rsidR="00FB3DF6">
              <w:rPr>
                <w:color w:val="000000" w:themeColor="text1"/>
              </w:rPr>
              <w:noBreakHyphen/>
            </w:r>
            <w:r w:rsidRPr="00B32236">
              <w:rPr>
                <w:color w:val="000000" w:themeColor="text1"/>
              </w:rPr>
              <w:t>trained and well</w:t>
            </w:r>
            <w:r w:rsidR="00FB3DF6">
              <w:rPr>
                <w:color w:val="000000" w:themeColor="text1"/>
              </w:rPr>
              <w:noBreakHyphen/>
            </w:r>
            <w:r w:rsidRPr="00B32236">
              <w:rPr>
                <w:color w:val="000000" w:themeColor="text1"/>
              </w:rPr>
              <w:t>resourced workforce, with an emphasis on retention of staff</w:t>
            </w:r>
          </w:p>
          <w:p w:rsidR="00C76332" w:rsidRPr="00B32236" w:rsidRDefault="00C76332" w:rsidP="00C76332">
            <w:pPr>
              <w:pStyle w:val="BoxListBullet"/>
              <w:spacing w:before="120" w:line="280" w:lineRule="atLeast"/>
              <w:rPr>
                <w:color w:val="000000" w:themeColor="text1"/>
              </w:rPr>
            </w:pPr>
            <w:r w:rsidRPr="00B32236">
              <w:rPr>
                <w:color w:val="000000" w:themeColor="text1"/>
              </w:rPr>
              <w:t>continuity and coordination of services.</w:t>
            </w:r>
          </w:p>
          <w:p w:rsidR="00C76332" w:rsidRPr="00B32236" w:rsidRDefault="00C76332" w:rsidP="00C76332">
            <w:pPr>
              <w:pStyle w:val="Box"/>
              <w:rPr>
                <w:color w:val="000000" w:themeColor="text1"/>
              </w:rPr>
            </w:pPr>
            <w:r w:rsidRPr="00B32236">
              <w:rPr>
                <w:color w:val="000000" w:themeColor="text1"/>
              </w:rPr>
              <w:t>The Clearinghouse factors are closely aligned to the success factors identified by the Steering Committee in previous editions of the OID report:</w:t>
            </w:r>
          </w:p>
          <w:p w:rsidR="00C76332" w:rsidRPr="00B32236" w:rsidRDefault="00C76332" w:rsidP="00C76332">
            <w:pPr>
              <w:pStyle w:val="BoxListBullet"/>
              <w:spacing w:before="120" w:line="280" w:lineRule="atLeast"/>
              <w:rPr>
                <w:color w:val="000000" w:themeColor="text1"/>
              </w:rPr>
            </w:pPr>
            <w:r w:rsidRPr="00B32236">
              <w:rPr>
                <w:color w:val="000000" w:themeColor="text1"/>
              </w:rPr>
              <w:t xml:space="preserve">cooperative approaches between </w:t>
            </w:r>
            <w:r w:rsidR="001C34D9" w:rsidRPr="00B32236">
              <w:rPr>
                <w:color w:val="000000" w:themeColor="text1"/>
              </w:rPr>
              <w:t xml:space="preserve">Aboriginal and Torres Strait Islander Australians </w:t>
            </w:r>
            <w:r w:rsidRPr="00B32236">
              <w:rPr>
                <w:color w:val="000000" w:themeColor="text1"/>
              </w:rPr>
              <w:t xml:space="preserve">and </w:t>
            </w:r>
            <w:r w:rsidR="006A390C" w:rsidRPr="00B32236">
              <w:rPr>
                <w:color w:val="000000" w:themeColor="text1"/>
              </w:rPr>
              <w:t>government — often with the non</w:t>
            </w:r>
            <w:r w:rsidR="006A390C" w:rsidRPr="00B32236">
              <w:rPr>
                <w:color w:val="000000" w:themeColor="text1"/>
              </w:rPr>
              <w:noBreakHyphen/>
            </w:r>
            <w:r w:rsidRPr="00B32236">
              <w:rPr>
                <w:color w:val="000000" w:themeColor="text1"/>
              </w:rPr>
              <w:t>profit and private sectors as well</w:t>
            </w:r>
          </w:p>
          <w:p w:rsidR="00C76332" w:rsidRPr="00B32236" w:rsidRDefault="00C76332" w:rsidP="00C76332">
            <w:pPr>
              <w:pStyle w:val="BoxListBullet"/>
              <w:spacing w:before="120" w:line="280" w:lineRule="atLeast"/>
              <w:rPr>
                <w:color w:val="000000" w:themeColor="text1"/>
              </w:rPr>
            </w:pPr>
            <w:r w:rsidRPr="00B32236">
              <w:rPr>
                <w:color w:val="000000" w:themeColor="text1"/>
              </w:rPr>
              <w:t>community involvement in program design and decision</w:t>
            </w:r>
            <w:r w:rsidR="00FB3DF6">
              <w:rPr>
                <w:color w:val="000000" w:themeColor="text1"/>
              </w:rPr>
              <w:noBreakHyphen/>
            </w:r>
            <w:r w:rsidRPr="00B32236">
              <w:rPr>
                <w:color w:val="000000" w:themeColor="text1"/>
              </w:rPr>
              <w:t>making — a ‘bottom</w:t>
            </w:r>
            <w:r w:rsidR="00FB3DF6">
              <w:rPr>
                <w:color w:val="000000" w:themeColor="text1"/>
              </w:rPr>
              <w:noBreakHyphen/>
            </w:r>
            <w:r w:rsidRPr="00B32236">
              <w:rPr>
                <w:color w:val="000000" w:themeColor="text1"/>
              </w:rPr>
              <w:t>up’ rather than ‘top</w:t>
            </w:r>
            <w:r w:rsidR="00FB3DF6">
              <w:rPr>
                <w:color w:val="000000" w:themeColor="text1"/>
              </w:rPr>
              <w:noBreakHyphen/>
            </w:r>
            <w:r w:rsidRPr="00B32236">
              <w:rPr>
                <w:color w:val="000000" w:themeColor="text1"/>
              </w:rPr>
              <w:t>down’ approach</w:t>
            </w:r>
          </w:p>
          <w:p w:rsidR="00C76332" w:rsidRPr="00B32236" w:rsidRDefault="00C76332" w:rsidP="00C76332">
            <w:pPr>
              <w:pStyle w:val="BoxListBullet"/>
              <w:spacing w:before="120" w:line="280" w:lineRule="atLeast"/>
              <w:rPr>
                <w:color w:val="000000" w:themeColor="text1"/>
              </w:rPr>
            </w:pPr>
            <w:r w:rsidRPr="00B32236">
              <w:rPr>
                <w:color w:val="000000" w:themeColor="text1"/>
              </w:rPr>
              <w:t>good governance — at organisation, community and government levels</w:t>
            </w:r>
          </w:p>
          <w:p w:rsidR="00C76332" w:rsidRPr="00B32236" w:rsidRDefault="00C76332" w:rsidP="00C76332">
            <w:pPr>
              <w:pStyle w:val="BoxListBullet"/>
              <w:spacing w:before="120" w:line="280" w:lineRule="atLeast"/>
              <w:rPr>
                <w:color w:val="000000" w:themeColor="text1"/>
              </w:rPr>
            </w:pPr>
            <w:r w:rsidRPr="00B32236">
              <w:rPr>
                <w:color w:val="000000" w:themeColor="text1"/>
              </w:rPr>
              <w:t>ongoing government support — including human, financial and physical resources.</w:t>
            </w:r>
          </w:p>
          <w:p w:rsidR="0074663B" w:rsidRPr="00B32236" w:rsidRDefault="00C76332" w:rsidP="00C76332">
            <w:pPr>
              <w:pStyle w:val="Box"/>
            </w:pPr>
            <w:r w:rsidRPr="00B32236">
              <w:rPr>
                <w:color w:val="000000" w:themeColor="text1"/>
              </w:rPr>
              <w:t>Government acting alone is unable to overcome Indigenous disadvantage. Meaningful change also requires continuing involvement and action by Aboriginal and Torres Strait Islander Australians</w:t>
            </w:r>
            <w:r w:rsidRPr="00B32236" w:rsidDel="004914BB">
              <w:rPr>
                <w:color w:val="000000" w:themeColor="text1"/>
              </w:rPr>
              <w:t xml:space="preserve"> </w:t>
            </w:r>
            <w:r w:rsidRPr="00B32236">
              <w:rPr>
                <w:color w:val="000000" w:themeColor="text1"/>
              </w:rPr>
              <w:t>themselves, with support from the private and non</w:t>
            </w:r>
            <w:r w:rsidR="00FB3DF6">
              <w:rPr>
                <w:color w:val="000000" w:themeColor="text1"/>
              </w:rPr>
              <w:noBreakHyphen/>
            </w:r>
            <w:r w:rsidRPr="00B32236">
              <w:rPr>
                <w:color w:val="000000" w:themeColor="text1"/>
              </w:rPr>
              <w:t>profit sectors and the general community.</w:t>
            </w:r>
          </w:p>
        </w:tc>
      </w:tr>
      <w:tr w:rsidR="00037871" w:rsidRPr="00037871" w:rsidTr="00F409A2">
        <w:trPr>
          <w:cantSplit/>
        </w:trPr>
        <w:tc>
          <w:tcPr>
            <w:tcW w:w="8771" w:type="dxa"/>
            <w:tcBorders>
              <w:top w:val="nil"/>
              <w:left w:val="nil"/>
              <w:bottom w:val="single" w:sz="6" w:space="0" w:color="78A22F"/>
              <w:right w:val="nil"/>
            </w:tcBorders>
            <w:shd w:val="clear" w:color="auto" w:fill="F2F2F2"/>
          </w:tcPr>
          <w:p w:rsidR="0074663B" w:rsidRPr="00B32236" w:rsidRDefault="0074663B">
            <w:pPr>
              <w:pStyle w:val="Box"/>
              <w:spacing w:before="0" w:line="120" w:lineRule="exact"/>
            </w:pPr>
          </w:p>
        </w:tc>
      </w:tr>
      <w:tr w:rsidR="00037871" w:rsidRPr="00037871" w:rsidTr="00F409A2">
        <w:tc>
          <w:tcPr>
            <w:tcW w:w="8771" w:type="dxa"/>
            <w:tcBorders>
              <w:top w:val="single" w:sz="6" w:space="0" w:color="78A22F"/>
              <w:left w:val="nil"/>
              <w:bottom w:val="nil"/>
              <w:right w:val="nil"/>
            </w:tcBorders>
          </w:tcPr>
          <w:p w:rsidR="0074663B" w:rsidRPr="00037871" w:rsidRDefault="0074663B" w:rsidP="00F409A2">
            <w:pPr>
              <w:pStyle w:val="BoxSpaceBelow"/>
              <w:rPr>
                <w:color w:val="00B050"/>
              </w:rPr>
            </w:pPr>
          </w:p>
        </w:tc>
      </w:tr>
    </w:tbl>
    <w:p w:rsidR="004F3501" w:rsidRPr="00B32236" w:rsidRDefault="004F3501" w:rsidP="0074663B">
      <w:pPr>
        <w:pStyle w:val="Heading2"/>
      </w:pPr>
    </w:p>
    <w:p w:rsidR="004F3501" w:rsidRPr="00B32236" w:rsidRDefault="004F3501" w:rsidP="004F3501">
      <w:pPr>
        <w:pStyle w:val="BodyText"/>
      </w:pPr>
      <w:r w:rsidRPr="00037871">
        <w:rPr>
          <w:color w:val="00B050"/>
        </w:rPr>
        <w:br w:type="page"/>
      </w:r>
    </w:p>
    <w:p w:rsidR="00976114" w:rsidRPr="00B32236" w:rsidRDefault="00C76332" w:rsidP="0074663B">
      <w:pPr>
        <w:pStyle w:val="Heading2"/>
        <w:rPr>
          <w:color w:val="000000" w:themeColor="text1"/>
        </w:rPr>
      </w:pPr>
      <w:r w:rsidRPr="00B32236">
        <w:rPr>
          <w:color w:val="000000" w:themeColor="text1"/>
        </w:rPr>
        <w:t>4</w:t>
      </w:r>
      <w:r w:rsidRPr="00B32236">
        <w:rPr>
          <w:color w:val="000000" w:themeColor="text1"/>
        </w:rPr>
        <w:tab/>
      </w:r>
      <w:r w:rsidR="0074663B" w:rsidRPr="00B32236">
        <w:rPr>
          <w:color w:val="000000" w:themeColor="text1"/>
        </w:rPr>
        <w:t>COAG targets and headline indicators</w:t>
      </w:r>
    </w:p>
    <w:p w:rsidR="00124A61" w:rsidRDefault="00124A61" w:rsidP="00124A61">
      <w:pPr>
        <w:pStyle w:val="BodyText"/>
        <w:rPr>
          <w:color w:val="000000" w:themeColor="text1"/>
        </w:rPr>
      </w:pPr>
      <w:r w:rsidRPr="00B32236">
        <w:rPr>
          <w:color w:val="000000" w:themeColor="text1"/>
        </w:rPr>
        <w:t>The s</w:t>
      </w:r>
      <w:r w:rsidR="00B32236" w:rsidRPr="00B32236">
        <w:rPr>
          <w:color w:val="000000" w:themeColor="text1"/>
        </w:rPr>
        <w:t>even</w:t>
      </w:r>
      <w:r w:rsidRPr="00B32236">
        <w:rPr>
          <w:color w:val="000000" w:themeColor="text1"/>
        </w:rPr>
        <w:t xml:space="preserve"> COAG targets and six headline indicators are high level social and economic outcomes that must improve in order to achieve the priority outcomes. Numbers beside each indicator refer to section numbers in the main report.</w:t>
      </w:r>
    </w:p>
    <w:p w:rsidR="001D733F" w:rsidRPr="00B32236" w:rsidRDefault="001D733F" w:rsidP="00124A61">
      <w:pPr>
        <w:pStyle w:val="BodyText"/>
        <w:rPr>
          <w:color w:val="000000" w:themeColor="text1"/>
        </w:rPr>
      </w:pPr>
      <w:r w:rsidRPr="00E92224">
        <w:rPr>
          <w:color w:val="000000" w:themeColor="text1"/>
        </w:rPr>
        <w:t>COAG targets are covered in sections</w:t>
      </w:r>
      <w:r w:rsidR="00FB3DF6">
        <w:rPr>
          <w:color w:val="000000" w:themeColor="text1"/>
        </w:rPr>
        <w:t> </w:t>
      </w:r>
      <w:r w:rsidRPr="00E92224">
        <w:rPr>
          <w:color w:val="000000" w:themeColor="text1"/>
        </w:rPr>
        <w:t>4.1 to 4.7. Headlines indicators are covered in sections</w:t>
      </w:r>
      <w:r w:rsidR="00FB3DF6">
        <w:rPr>
          <w:color w:val="000000" w:themeColor="text1"/>
        </w:rPr>
        <w:t> </w:t>
      </w:r>
      <w:r w:rsidRPr="00E92224">
        <w:rPr>
          <w:color w:val="000000" w:themeColor="text1"/>
        </w:rPr>
        <w:t>4.8 to 4.13.</w:t>
      </w:r>
    </w:p>
    <w:p w:rsidR="00124A61" w:rsidRPr="00B32236" w:rsidRDefault="00124A61" w:rsidP="00124A61">
      <w:pPr>
        <w:pStyle w:val="BodyText"/>
        <w:rPr>
          <w:color w:val="000000" w:themeColor="text1"/>
        </w:rPr>
      </w:pPr>
      <w:r w:rsidRPr="00B32236">
        <w:rPr>
          <w:color w:val="000000" w:themeColor="text1"/>
        </w:rPr>
        <w:t>These indicators are often closely inter</w:t>
      </w:r>
      <w:r w:rsidR="00FB3DF6">
        <w:rPr>
          <w:color w:val="000000" w:themeColor="text1"/>
        </w:rPr>
        <w:noBreakHyphen/>
      </w:r>
      <w:r w:rsidRPr="00B32236">
        <w:rPr>
          <w:color w:val="000000" w:themeColor="text1"/>
        </w:rPr>
        <w:t>related and positive change will generally require action across a range of areas. In addition, most of these high level indicators are likely to take some time to improve, even if effective policies are implemented.</w:t>
      </w:r>
    </w:p>
    <w:p w:rsidR="0074663B" w:rsidRPr="002F7C99" w:rsidRDefault="0074663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69"/>
      </w:tblGrid>
      <w:tr w:rsidR="00037871" w:rsidRPr="00037871" w:rsidTr="0025114F">
        <w:tc>
          <w:tcPr>
            <w:tcW w:w="8789" w:type="dxa"/>
            <w:gridSpan w:val="3"/>
            <w:tcBorders>
              <w:top w:val="single" w:sz="6" w:space="0" w:color="78A22F"/>
              <w:left w:val="nil"/>
              <w:bottom w:val="nil"/>
              <w:right w:val="nil"/>
            </w:tcBorders>
            <w:shd w:val="clear" w:color="auto" w:fill="F2F2F2"/>
          </w:tcPr>
          <w:p w:rsidR="0074663B" w:rsidRPr="002F7C99" w:rsidRDefault="0074663B" w:rsidP="0074663B">
            <w:pPr>
              <w:pStyle w:val="BoxTitle"/>
            </w:pPr>
            <w:r w:rsidRPr="002F7C99">
              <w:t xml:space="preserve">4.1 </w:t>
            </w:r>
            <w:r w:rsidR="00142B01" w:rsidRPr="002F7C99">
              <w:tab/>
              <w:t>Life expectancy</w:t>
            </w:r>
          </w:p>
        </w:tc>
      </w:tr>
      <w:tr w:rsidR="00037871" w:rsidRPr="00037871" w:rsidTr="0025114F">
        <w:trPr>
          <w:cantSplit/>
        </w:trPr>
        <w:tc>
          <w:tcPr>
            <w:tcW w:w="8789" w:type="dxa"/>
            <w:gridSpan w:val="3"/>
            <w:tcBorders>
              <w:top w:val="nil"/>
              <w:left w:val="nil"/>
              <w:bottom w:val="nil"/>
              <w:right w:val="nil"/>
            </w:tcBorders>
            <w:shd w:val="clear" w:color="auto" w:fill="F2F2F2"/>
          </w:tcPr>
          <w:p w:rsidR="0074663B" w:rsidRPr="002F7C99" w:rsidRDefault="00124A61" w:rsidP="008528B1">
            <w:pPr>
              <w:pStyle w:val="Box"/>
              <w:spacing w:after="120"/>
            </w:pPr>
            <w:r w:rsidRPr="002F7C99">
              <w:t>Closing the Indigenous life expectancy gap within a generation (by 2031) is a COAG target.</w:t>
            </w:r>
          </w:p>
        </w:tc>
      </w:tr>
      <w:tr w:rsidR="00037871" w:rsidRPr="00037871" w:rsidTr="0025114F">
        <w:trPr>
          <w:cantSplit/>
        </w:trPr>
        <w:tc>
          <w:tcPr>
            <w:tcW w:w="3828" w:type="dxa"/>
            <w:tcBorders>
              <w:top w:val="nil"/>
              <w:left w:val="nil"/>
              <w:bottom w:val="nil"/>
              <w:right w:val="nil"/>
            </w:tcBorders>
            <w:shd w:val="clear" w:color="auto" w:fill="F2F2F2"/>
          </w:tcPr>
          <w:p w:rsidR="0074663B" w:rsidRPr="009909B8" w:rsidRDefault="00124A61" w:rsidP="00124A61">
            <w:pPr>
              <w:pStyle w:val="Box"/>
            </w:pPr>
            <w:r w:rsidRPr="009909B8">
              <w:t>Life expectancy is a broad indicator of a population’s long</w:t>
            </w:r>
            <w:r w:rsidR="00FB3DF6">
              <w:noBreakHyphen/>
            </w:r>
            <w:r w:rsidRPr="009909B8">
              <w:t>term health and wellbeing.</w:t>
            </w:r>
          </w:p>
        </w:tc>
        <w:tc>
          <w:tcPr>
            <w:tcW w:w="992" w:type="dxa"/>
            <w:tcBorders>
              <w:top w:val="nil"/>
              <w:left w:val="nil"/>
              <w:bottom w:val="nil"/>
              <w:right w:val="nil"/>
            </w:tcBorders>
            <w:shd w:val="clear" w:color="auto" w:fill="418B50"/>
          </w:tcPr>
          <w:p w:rsidR="0074663B" w:rsidRPr="00655D2E" w:rsidRDefault="0074663B" w:rsidP="0074663B">
            <w:pPr>
              <w:pStyle w:val="BoxHeading1"/>
              <w:jc w:val="center"/>
              <w:rPr>
                <w:b w:val="0"/>
              </w:rPr>
            </w:pPr>
          </w:p>
          <w:p w:rsidR="0074663B" w:rsidRPr="00655D2E" w:rsidRDefault="0074663B" w:rsidP="0074663B">
            <w:pPr>
              <w:pStyle w:val="Box"/>
            </w:pPr>
          </w:p>
          <w:p w:rsidR="0074663B" w:rsidRPr="00655D2E" w:rsidRDefault="00124A61" w:rsidP="0074663B">
            <w:pPr>
              <w:pStyle w:val="Box"/>
              <w:jc w:val="center"/>
              <w:rPr>
                <w:rFonts w:ascii="Wingdings 2" w:hAnsi="Wingdings 2"/>
              </w:rPr>
            </w:pPr>
            <w:r w:rsidRPr="00655D2E">
              <w:rPr>
                <w:rFonts w:cs="Arial"/>
                <w:b/>
                <w:sz w:val="48"/>
                <w:szCs w:val="48"/>
              </w:rPr>
              <w:br/>
            </w:r>
            <w:r w:rsidR="00142ACE" w:rsidRPr="00655D2E">
              <w:rPr>
                <w:rFonts w:ascii="Wingdings 2" w:hAnsi="Wingdings 2" w:cs="Arial"/>
                <w:b/>
                <w:sz w:val="48"/>
                <w:szCs w:val="48"/>
              </w:rPr>
              <w:t></w:t>
            </w:r>
          </w:p>
        </w:tc>
        <w:tc>
          <w:tcPr>
            <w:tcW w:w="3969" w:type="dxa"/>
            <w:tcBorders>
              <w:top w:val="nil"/>
              <w:left w:val="nil"/>
              <w:bottom w:val="nil"/>
              <w:right w:val="nil"/>
            </w:tcBorders>
            <w:shd w:val="clear" w:color="auto" w:fill="F2F2F2"/>
          </w:tcPr>
          <w:p w:rsidR="00124A61" w:rsidRPr="00655D2E" w:rsidRDefault="00124A61" w:rsidP="00124A61">
            <w:pPr>
              <w:pStyle w:val="Box"/>
            </w:pPr>
            <w:r w:rsidRPr="00655D2E">
              <w:t>From 2005–2007 to 2010–2012:</w:t>
            </w:r>
          </w:p>
          <w:p w:rsidR="00124A61" w:rsidRPr="00655D2E" w:rsidRDefault="00124A61" w:rsidP="00124A61">
            <w:pPr>
              <w:pStyle w:val="BoxListBullet"/>
            </w:pPr>
            <w:r w:rsidRPr="00655D2E">
              <w:t>life expectancy at birth for Aboriginal and Torres Strait Islander Australians in</w:t>
            </w:r>
            <w:r w:rsidR="00B97C7F" w:rsidRPr="00655D2E">
              <w:t>creased from 67.5 years to 69.1 years for males and from 73.1 </w:t>
            </w:r>
            <w:r w:rsidRPr="00655D2E">
              <w:t>years to 73.7 years for females.</w:t>
            </w:r>
          </w:p>
          <w:p w:rsidR="0074663B" w:rsidRPr="00655D2E" w:rsidRDefault="00124A61" w:rsidP="00124A61">
            <w:pPr>
              <w:pStyle w:val="BoxListBullet"/>
            </w:pPr>
            <w:r w:rsidRPr="00655D2E">
              <w:t>the gap between Aboriginal and Torres Strait Islander Australians and non</w:t>
            </w:r>
            <w:r w:rsidRPr="00655D2E">
              <w:noBreakHyphen/>
              <w:t>Indigenous Australians narrowed from 11.4 years to 10.6 years for males and from 9.6 years to 9.5 years for females.</w:t>
            </w:r>
          </w:p>
        </w:tc>
      </w:tr>
      <w:tr w:rsidR="00037871" w:rsidRPr="00037871" w:rsidTr="0025114F">
        <w:trPr>
          <w:cantSplit/>
        </w:trPr>
        <w:tc>
          <w:tcPr>
            <w:tcW w:w="8789" w:type="dxa"/>
            <w:gridSpan w:val="3"/>
            <w:tcBorders>
              <w:top w:val="nil"/>
              <w:left w:val="nil"/>
              <w:bottom w:val="single" w:sz="6" w:space="0" w:color="78A22F"/>
              <w:right w:val="nil"/>
            </w:tcBorders>
            <w:shd w:val="clear" w:color="auto" w:fill="F2F2F2"/>
          </w:tcPr>
          <w:p w:rsidR="0074663B" w:rsidRPr="00037871" w:rsidRDefault="0074663B">
            <w:pPr>
              <w:pStyle w:val="Box"/>
              <w:spacing w:before="0" w:line="120" w:lineRule="exact"/>
              <w:rPr>
                <w:color w:val="00B050"/>
              </w:rPr>
            </w:pPr>
          </w:p>
        </w:tc>
      </w:tr>
      <w:tr w:rsidR="00037871" w:rsidRPr="00037871" w:rsidTr="0025114F">
        <w:tc>
          <w:tcPr>
            <w:tcW w:w="8789" w:type="dxa"/>
            <w:gridSpan w:val="3"/>
            <w:tcBorders>
              <w:top w:val="single" w:sz="6" w:space="0" w:color="78A22F"/>
              <w:left w:val="nil"/>
              <w:bottom w:val="nil"/>
              <w:right w:val="nil"/>
            </w:tcBorders>
          </w:tcPr>
          <w:p w:rsidR="0074663B" w:rsidRPr="00037871" w:rsidRDefault="0074663B" w:rsidP="00F409A2">
            <w:pPr>
              <w:pStyle w:val="BoxSpaceBelow"/>
              <w:rPr>
                <w:color w:val="00B050"/>
              </w:rPr>
            </w:pPr>
          </w:p>
        </w:tc>
      </w:tr>
    </w:tbl>
    <w:p w:rsidR="0074663B" w:rsidRPr="00037871" w:rsidRDefault="0074663B">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25114F">
        <w:tc>
          <w:tcPr>
            <w:tcW w:w="8793" w:type="dxa"/>
            <w:gridSpan w:val="3"/>
            <w:tcBorders>
              <w:top w:val="single" w:sz="6" w:space="0" w:color="78A22F"/>
              <w:left w:val="nil"/>
              <w:bottom w:val="nil"/>
              <w:right w:val="nil"/>
            </w:tcBorders>
            <w:shd w:val="clear" w:color="auto" w:fill="F2F2F2"/>
          </w:tcPr>
          <w:p w:rsidR="0074663B" w:rsidRPr="002F7C99" w:rsidRDefault="0074663B" w:rsidP="0074663B">
            <w:pPr>
              <w:pStyle w:val="BoxTitle"/>
            </w:pPr>
            <w:r w:rsidRPr="009909B8">
              <w:t>4.</w:t>
            </w:r>
            <w:r w:rsidRPr="002F7C99">
              <w:t>2</w:t>
            </w:r>
            <w:r w:rsidRPr="002F7C99">
              <w:tab/>
              <w:t>Young child mortality</w:t>
            </w:r>
          </w:p>
        </w:tc>
      </w:tr>
      <w:tr w:rsidR="00037871" w:rsidRPr="00037871" w:rsidTr="0025114F">
        <w:trPr>
          <w:cantSplit/>
        </w:trPr>
        <w:tc>
          <w:tcPr>
            <w:tcW w:w="8793" w:type="dxa"/>
            <w:gridSpan w:val="3"/>
            <w:tcBorders>
              <w:top w:val="nil"/>
              <w:left w:val="nil"/>
              <w:bottom w:val="nil"/>
              <w:right w:val="nil"/>
            </w:tcBorders>
            <w:shd w:val="clear" w:color="auto" w:fill="F2F2F2"/>
          </w:tcPr>
          <w:p w:rsidR="0074663B" w:rsidRPr="009909B8" w:rsidRDefault="00124A61" w:rsidP="008528B1">
            <w:pPr>
              <w:pStyle w:val="Box"/>
              <w:spacing w:after="120"/>
            </w:pPr>
            <w:r w:rsidRPr="009909B8">
              <w:t xml:space="preserve">Halving the gap in mortality rates for children under five within a decade </w:t>
            </w:r>
            <w:r w:rsidRPr="009909B8">
              <w:br/>
              <w:t>(by 2018) is a COAG target.</w:t>
            </w:r>
          </w:p>
        </w:tc>
      </w:tr>
      <w:tr w:rsidR="00037871" w:rsidRPr="00037871" w:rsidTr="0025114F">
        <w:trPr>
          <w:cantSplit/>
        </w:trPr>
        <w:tc>
          <w:tcPr>
            <w:tcW w:w="3828" w:type="dxa"/>
            <w:tcBorders>
              <w:top w:val="nil"/>
              <w:left w:val="nil"/>
              <w:bottom w:val="nil"/>
              <w:right w:val="nil"/>
            </w:tcBorders>
            <w:shd w:val="clear" w:color="auto" w:fill="F2F2F2"/>
          </w:tcPr>
          <w:p w:rsidR="0015485D" w:rsidRPr="009909B8" w:rsidRDefault="00124A61" w:rsidP="0015485D">
            <w:pPr>
              <w:pStyle w:val="Box"/>
            </w:pPr>
            <w:r w:rsidRPr="009909B8">
              <w:t>Young child mortality (particularly infant mortality) is a long established indicator of child health and the physical and social environment.</w:t>
            </w:r>
          </w:p>
        </w:tc>
        <w:tc>
          <w:tcPr>
            <w:tcW w:w="992" w:type="dxa"/>
            <w:tcBorders>
              <w:top w:val="nil"/>
              <w:left w:val="nil"/>
              <w:bottom w:val="nil"/>
              <w:right w:val="nil"/>
            </w:tcBorders>
            <w:shd w:val="clear" w:color="auto" w:fill="418B50"/>
          </w:tcPr>
          <w:p w:rsidR="0015485D" w:rsidRPr="00554197" w:rsidRDefault="0015485D" w:rsidP="0015485D">
            <w:pPr>
              <w:pStyle w:val="BoxHeading1"/>
              <w:jc w:val="center"/>
              <w:rPr>
                <w:rFonts w:cs="Arial"/>
                <w:b w:val="0"/>
                <w:sz w:val="48"/>
                <w:szCs w:val="48"/>
              </w:rPr>
            </w:pPr>
          </w:p>
          <w:p w:rsidR="0015485D" w:rsidRPr="000D7EAE" w:rsidRDefault="00142ACE" w:rsidP="0015485D">
            <w:pPr>
              <w:pStyle w:val="BoxHeading1"/>
              <w:spacing w:before="0"/>
              <w:jc w:val="center"/>
            </w:pPr>
            <w:r w:rsidRPr="000D7EAE">
              <w:rPr>
                <w:rFonts w:ascii="Wingdings 2" w:hAnsi="Wingdings 2" w:cs="Arial"/>
                <w:sz w:val="48"/>
                <w:szCs w:val="48"/>
              </w:rPr>
              <w:t></w:t>
            </w:r>
          </w:p>
        </w:tc>
        <w:tc>
          <w:tcPr>
            <w:tcW w:w="3973" w:type="dxa"/>
            <w:tcBorders>
              <w:top w:val="nil"/>
              <w:left w:val="nil"/>
              <w:bottom w:val="nil"/>
              <w:right w:val="nil"/>
            </w:tcBorders>
            <w:shd w:val="clear" w:color="auto" w:fill="F2F2F2"/>
          </w:tcPr>
          <w:p w:rsidR="0015485D" w:rsidRPr="00554197" w:rsidRDefault="00124A61" w:rsidP="002460B8">
            <w:pPr>
              <w:pStyle w:val="Box"/>
            </w:pPr>
            <w:r w:rsidRPr="00554197">
              <w:t>From 1998 to 201</w:t>
            </w:r>
            <w:r w:rsidR="002460B8" w:rsidRPr="00554197">
              <w:t>4</w:t>
            </w:r>
            <w:r w:rsidRPr="00554197">
              <w:t xml:space="preserve">, there was a significant decline in mortality rates for Aboriginal and Torres Strait Islander children </w:t>
            </w:r>
            <w:r w:rsidR="002460B8" w:rsidRPr="00554197">
              <w:t>aged 0–4 years (from 217 to 159</w:t>
            </w:r>
            <w:r w:rsidR="00B97C7F" w:rsidRPr="00554197">
              <w:t> </w:t>
            </w:r>
            <w:r w:rsidRPr="00554197">
              <w:t>deaths per 100 000 population), with the great</w:t>
            </w:r>
            <w:r w:rsidR="00B97C7F" w:rsidRPr="00554197">
              <w:t>est decrease in the infant (0&lt;1 </w:t>
            </w:r>
            <w:r w:rsidRPr="00554197">
              <w:t>yea</w:t>
            </w:r>
            <w:r w:rsidR="00554197" w:rsidRPr="00554197">
              <w:t>r) mortality rate (from 14 to 6</w:t>
            </w:r>
            <w:r w:rsidR="00B97C7F" w:rsidRPr="00554197">
              <w:t> </w:t>
            </w:r>
            <w:r w:rsidRPr="00554197">
              <w:t>deaths per 1000 live births).</w:t>
            </w:r>
          </w:p>
        </w:tc>
      </w:tr>
      <w:tr w:rsidR="00037871" w:rsidRPr="00037871" w:rsidTr="0025114F">
        <w:trPr>
          <w:cantSplit/>
        </w:trPr>
        <w:tc>
          <w:tcPr>
            <w:tcW w:w="8793" w:type="dxa"/>
            <w:gridSpan w:val="3"/>
            <w:tcBorders>
              <w:top w:val="nil"/>
              <w:left w:val="nil"/>
              <w:bottom w:val="nil"/>
              <w:right w:val="nil"/>
            </w:tcBorders>
            <w:shd w:val="clear" w:color="auto" w:fill="F2F2F2"/>
          </w:tcPr>
          <w:p w:rsidR="0015485D" w:rsidRPr="00037871" w:rsidRDefault="0015485D" w:rsidP="00554197">
            <w:pPr>
              <w:pStyle w:val="BoxHeading1"/>
              <w:rPr>
                <w:rStyle w:val="NoteLabel"/>
                <w:color w:val="00B050"/>
              </w:rPr>
            </w:pPr>
            <w:r w:rsidRPr="00554197">
              <w:t>Infant mortality</w:t>
            </w:r>
            <w:r w:rsidR="000B18DD" w:rsidRPr="00554197">
              <w:t xml:space="preserve"> rates</w:t>
            </w:r>
            <w:r w:rsidRPr="00554197">
              <w:t>, 1998 to 201</w:t>
            </w:r>
            <w:r w:rsidR="00554197" w:rsidRPr="00554197">
              <w:t>4</w:t>
            </w:r>
            <w:r w:rsidRPr="00554197">
              <w:rPr>
                <w:rStyle w:val="NoteLabel"/>
                <w:b/>
              </w:rPr>
              <w:t>a,b</w:t>
            </w:r>
          </w:p>
        </w:tc>
      </w:tr>
      <w:tr w:rsidR="00037871" w:rsidRPr="00037871" w:rsidTr="0025114F">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15485D" w:rsidRDefault="00554197" w:rsidP="0074663B">
            <w:pPr>
              <w:pStyle w:val="BoxHeading1"/>
              <w:rPr>
                <w:color w:val="00B050"/>
              </w:rPr>
            </w:pPr>
            <w:r>
              <w:rPr>
                <w:noProof/>
              </w:rPr>
              <w:drawing>
                <wp:inline distT="0" distB="0" distL="0" distR="0" wp14:anchorId="4602019E" wp14:editId="5604ED9A">
                  <wp:extent cx="5401340" cy="2732567"/>
                  <wp:effectExtent l="0" t="0" r="8890" b="0"/>
                  <wp:docPr id="1" name="Chart 1" descr="Figure:  Infant mortality rates, 1998 to 2014&#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1E39" w:rsidRPr="00281E39" w:rsidRDefault="00281E39" w:rsidP="00281E39">
            <w:pPr>
              <w:pStyle w:val="Box"/>
            </w:pPr>
            <w:r>
              <w:rPr>
                <w:noProof/>
              </w:rPr>
              <w:drawing>
                <wp:inline distT="0" distB="0" distL="0" distR="0" wp14:anchorId="161C19AB" wp14:editId="4F117E1A">
                  <wp:extent cx="5400000" cy="342900"/>
                  <wp:effectExtent l="0" t="0" r="0" b="0"/>
                  <wp:docPr id="9" name="Chart 9" descr="Legend to Figure: Infant mortality rates, 1998 to 2014&#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037871" w:rsidRPr="00037871" w:rsidTr="0025114F">
        <w:trPr>
          <w:cantSplit/>
        </w:trPr>
        <w:tc>
          <w:tcPr>
            <w:tcW w:w="8793" w:type="dxa"/>
            <w:gridSpan w:val="3"/>
            <w:tcBorders>
              <w:top w:val="nil"/>
              <w:left w:val="nil"/>
              <w:bottom w:val="nil"/>
              <w:right w:val="nil"/>
            </w:tcBorders>
            <w:shd w:val="clear" w:color="auto" w:fill="F2F2F2"/>
          </w:tcPr>
          <w:p w:rsidR="0074663B" w:rsidRPr="00554197" w:rsidRDefault="0074663B" w:rsidP="001139FA">
            <w:pPr>
              <w:pStyle w:val="Note"/>
            </w:pPr>
            <w:r w:rsidRPr="00554197">
              <w:rPr>
                <w:rStyle w:val="NoteLabel"/>
              </w:rPr>
              <w:t>a</w:t>
            </w:r>
            <w:r w:rsidRPr="00554197">
              <w:rPr>
                <w:rFonts w:ascii="Arial Bold" w:hAnsi="Arial Bold"/>
                <w:b/>
                <w:vertAlign w:val="superscript"/>
              </w:rPr>
              <w:t xml:space="preserve"> </w:t>
            </w:r>
            <w:r w:rsidR="00124A61" w:rsidRPr="00554197">
              <w:t xml:space="preserve">Small numbers of </w:t>
            </w:r>
            <w:r w:rsidR="00D42A93" w:rsidRPr="00554197">
              <w:t>Aboriginal and Torres Strait Islander</w:t>
            </w:r>
            <w:r w:rsidR="00124A61" w:rsidRPr="00554197">
              <w:t xml:space="preserve"> infant </w:t>
            </w:r>
            <w:r w:rsidR="00512AE6" w:rsidRPr="00554197">
              <w:t xml:space="preserve">(0&lt;1 year old) </w:t>
            </w:r>
            <w:r w:rsidR="00124A61" w:rsidRPr="00554197">
              <w:t xml:space="preserve">deaths contribute to variability in the reported rates. </w:t>
            </w:r>
            <w:r w:rsidR="00124A61" w:rsidRPr="00554197">
              <w:rPr>
                <w:rStyle w:val="NoteLabel"/>
              </w:rPr>
              <w:t>b </w:t>
            </w:r>
            <w:r w:rsidR="00124A61" w:rsidRPr="00554197">
              <w:t xml:space="preserve">Totals here include NSW, Queensland, WA, SA and the NT. These five jurisdictions have sufficient </w:t>
            </w:r>
            <w:r w:rsidR="00315B62">
              <w:t xml:space="preserve">levels of </w:t>
            </w:r>
            <w:r w:rsidR="000D7EAE">
              <w:t>Aboriginal and Torres Strait Islander</w:t>
            </w:r>
            <w:r w:rsidR="00124A61" w:rsidRPr="00554197">
              <w:t xml:space="preserve"> </w:t>
            </w:r>
            <w:r w:rsidR="00E9056C">
              <w:t xml:space="preserve">identification and </w:t>
            </w:r>
            <w:r w:rsidR="00E9056C" w:rsidRPr="00554197">
              <w:t>numbers of</w:t>
            </w:r>
            <w:r w:rsidR="00E9056C">
              <w:t xml:space="preserve"> </w:t>
            </w:r>
            <w:r w:rsidR="00124A61" w:rsidRPr="00554197">
              <w:t>deaths for reporting purposes.</w:t>
            </w:r>
          </w:p>
        </w:tc>
      </w:tr>
      <w:tr w:rsidR="00037871" w:rsidRPr="00037871" w:rsidTr="0025114F">
        <w:trPr>
          <w:cantSplit/>
        </w:trPr>
        <w:tc>
          <w:tcPr>
            <w:tcW w:w="8793" w:type="dxa"/>
            <w:gridSpan w:val="3"/>
            <w:tcBorders>
              <w:top w:val="nil"/>
              <w:left w:val="nil"/>
              <w:bottom w:val="nil"/>
              <w:right w:val="nil"/>
            </w:tcBorders>
            <w:shd w:val="clear" w:color="auto" w:fill="F2F2F2"/>
          </w:tcPr>
          <w:p w:rsidR="0074663B" w:rsidRPr="00554197" w:rsidRDefault="0074663B" w:rsidP="0074663B">
            <w:pPr>
              <w:pStyle w:val="BoxSource"/>
            </w:pPr>
            <w:r w:rsidRPr="00554197">
              <w:rPr>
                <w:i/>
              </w:rPr>
              <w:t>Source</w:t>
            </w:r>
            <w:r w:rsidRPr="00554197">
              <w:t xml:space="preserve">: </w:t>
            </w:r>
            <w:r w:rsidRPr="00554197">
              <w:rPr>
                <w:iCs/>
              </w:rPr>
              <w:t>Figure</w:t>
            </w:r>
            <w:r w:rsidR="00FB3DF6">
              <w:rPr>
                <w:iCs/>
              </w:rPr>
              <w:t> </w:t>
            </w:r>
            <w:r w:rsidRPr="00554197">
              <w:rPr>
                <w:iCs/>
              </w:rPr>
              <w:t>4.2.3 in the main report.</w:t>
            </w:r>
          </w:p>
        </w:tc>
      </w:tr>
      <w:tr w:rsidR="00037871" w:rsidRPr="00037871" w:rsidTr="0025114F">
        <w:trPr>
          <w:cantSplit/>
        </w:trPr>
        <w:tc>
          <w:tcPr>
            <w:tcW w:w="8793" w:type="dxa"/>
            <w:gridSpan w:val="3"/>
            <w:tcBorders>
              <w:top w:val="nil"/>
              <w:left w:val="nil"/>
              <w:bottom w:val="single" w:sz="6" w:space="0" w:color="78A22F"/>
              <w:right w:val="nil"/>
            </w:tcBorders>
            <w:shd w:val="clear" w:color="auto" w:fill="F2F2F2"/>
          </w:tcPr>
          <w:p w:rsidR="0074663B" w:rsidRPr="00037871" w:rsidRDefault="0074663B">
            <w:pPr>
              <w:pStyle w:val="Box"/>
              <w:spacing w:before="0" w:line="120" w:lineRule="exact"/>
              <w:rPr>
                <w:color w:val="00B050"/>
              </w:rPr>
            </w:pPr>
          </w:p>
        </w:tc>
      </w:tr>
      <w:tr w:rsidR="00037871" w:rsidRPr="00037871" w:rsidTr="0025114F">
        <w:tc>
          <w:tcPr>
            <w:tcW w:w="8793" w:type="dxa"/>
            <w:gridSpan w:val="3"/>
            <w:tcBorders>
              <w:top w:val="single" w:sz="6" w:space="0" w:color="78A22F"/>
              <w:left w:val="nil"/>
              <w:bottom w:val="nil"/>
              <w:right w:val="nil"/>
            </w:tcBorders>
          </w:tcPr>
          <w:p w:rsidR="0074663B" w:rsidRPr="00037871" w:rsidRDefault="0074663B" w:rsidP="00F409A2">
            <w:pPr>
              <w:pStyle w:val="BoxSpaceBelow"/>
              <w:rPr>
                <w:color w:val="00B050"/>
              </w:rPr>
            </w:pPr>
          </w:p>
        </w:tc>
      </w:tr>
    </w:tbl>
    <w:p w:rsidR="00444B6F" w:rsidRPr="00037871" w:rsidRDefault="00444B6F">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25114F">
        <w:tc>
          <w:tcPr>
            <w:tcW w:w="8793" w:type="dxa"/>
            <w:gridSpan w:val="3"/>
            <w:tcBorders>
              <w:top w:val="single" w:sz="6" w:space="0" w:color="78A22F"/>
              <w:left w:val="nil"/>
              <w:bottom w:val="nil"/>
              <w:right w:val="nil"/>
            </w:tcBorders>
            <w:shd w:val="clear" w:color="auto" w:fill="F2F2F2"/>
          </w:tcPr>
          <w:p w:rsidR="00444B6F" w:rsidRPr="002F7C99" w:rsidRDefault="00444B6F" w:rsidP="00B962F2">
            <w:pPr>
              <w:pStyle w:val="BoxTitle"/>
            </w:pPr>
            <w:r w:rsidRPr="002F7C99">
              <w:t>4.3</w:t>
            </w:r>
            <w:r w:rsidRPr="002F7C99">
              <w:tab/>
              <w:t>Early childhood education</w:t>
            </w:r>
            <w:r w:rsidR="00554197">
              <w:t xml:space="preserve"> </w:t>
            </w:r>
          </w:p>
        </w:tc>
      </w:tr>
      <w:tr w:rsidR="00037871" w:rsidRPr="00037871" w:rsidTr="0025114F">
        <w:trPr>
          <w:cantSplit/>
        </w:trPr>
        <w:tc>
          <w:tcPr>
            <w:tcW w:w="8793" w:type="dxa"/>
            <w:gridSpan w:val="3"/>
            <w:tcBorders>
              <w:top w:val="nil"/>
              <w:left w:val="nil"/>
              <w:bottom w:val="nil"/>
              <w:right w:val="nil"/>
            </w:tcBorders>
            <w:shd w:val="clear" w:color="auto" w:fill="F2F2F2"/>
          </w:tcPr>
          <w:p w:rsidR="00444B6F" w:rsidRPr="009909B8" w:rsidRDefault="00444B6F" w:rsidP="009909B8">
            <w:pPr>
              <w:pStyle w:val="Box"/>
              <w:spacing w:after="120"/>
            </w:pPr>
            <w:r w:rsidRPr="009909B8">
              <w:t xml:space="preserve">Ensuring </w:t>
            </w:r>
            <w:r w:rsidR="009909B8" w:rsidRPr="009909B8">
              <w:t>95 per cent of Aboriginal and Torres Strait Islander</w:t>
            </w:r>
            <w:r w:rsidRPr="009909B8">
              <w:t xml:space="preserve"> four year old</w:t>
            </w:r>
            <w:r w:rsidR="009909B8" w:rsidRPr="009909B8">
              <w:t xml:space="preserve"> children</w:t>
            </w:r>
            <w:r w:rsidRPr="009909B8">
              <w:t xml:space="preserve"> </w:t>
            </w:r>
            <w:r w:rsidR="009909B8" w:rsidRPr="009909B8">
              <w:t xml:space="preserve">are enrolled in </w:t>
            </w:r>
            <w:r w:rsidRPr="009909B8">
              <w:t>early childhood education (by 20</w:t>
            </w:r>
            <w:r w:rsidR="009909B8" w:rsidRPr="009909B8">
              <w:t>25</w:t>
            </w:r>
            <w:r w:rsidRPr="009909B8">
              <w:t>) is a COAG target.</w:t>
            </w:r>
          </w:p>
        </w:tc>
      </w:tr>
      <w:tr w:rsidR="00037871" w:rsidRPr="00037871" w:rsidTr="0025114F">
        <w:trPr>
          <w:cantSplit/>
        </w:trPr>
        <w:tc>
          <w:tcPr>
            <w:tcW w:w="3828" w:type="dxa"/>
            <w:tcBorders>
              <w:top w:val="nil"/>
              <w:left w:val="nil"/>
              <w:bottom w:val="nil"/>
              <w:right w:val="nil"/>
            </w:tcBorders>
            <w:shd w:val="clear" w:color="auto" w:fill="F2F2F2"/>
          </w:tcPr>
          <w:p w:rsidR="00444B6F" w:rsidRPr="009909B8" w:rsidRDefault="00444B6F" w:rsidP="00444B6F">
            <w:pPr>
              <w:pStyle w:val="Box"/>
            </w:pPr>
            <w:r w:rsidRPr="009909B8">
              <w:t>High quality early childhood education can provide children with a head start, and is associated with enhanced literacy, numeracy and social skills, and improved school completion.</w:t>
            </w:r>
          </w:p>
        </w:tc>
        <w:tc>
          <w:tcPr>
            <w:tcW w:w="992" w:type="dxa"/>
            <w:tcBorders>
              <w:top w:val="nil"/>
              <w:left w:val="nil"/>
              <w:bottom w:val="nil"/>
              <w:right w:val="nil"/>
            </w:tcBorders>
            <w:shd w:val="clear" w:color="auto" w:fill="8E8FA6"/>
          </w:tcPr>
          <w:p w:rsidR="00444B6F" w:rsidRPr="00B962F2" w:rsidRDefault="00444B6F" w:rsidP="00444B6F">
            <w:pPr>
              <w:pStyle w:val="BoxHeading1"/>
            </w:pPr>
          </w:p>
          <w:p w:rsidR="00444B6F" w:rsidRPr="00B962F2" w:rsidRDefault="00444B6F" w:rsidP="00444B6F">
            <w:pPr>
              <w:pStyle w:val="Box"/>
            </w:pPr>
          </w:p>
          <w:p w:rsidR="00444B6F" w:rsidRPr="00B962F2" w:rsidRDefault="00444B6F" w:rsidP="00444B6F">
            <w:pPr>
              <w:pStyle w:val="Box"/>
              <w:jc w:val="center"/>
              <w:rPr>
                <w:b/>
                <w:sz w:val="48"/>
                <w:szCs w:val="48"/>
              </w:rPr>
            </w:pPr>
            <w:r w:rsidRPr="00B962F2">
              <w:rPr>
                <w:b/>
                <w:sz w:val="48"/>
                <w:szCs w:val="48"/>
              </w:rPr>
              <w:t>?</w:t>
            </w:r>
          </w:p>
        </w:tc>
        <w:tc>
          <w:tcPr>
            <w:tcW w:w="3973" w:type="dxa"/>
            <w:tcBorders>
              <w:top w:val="nil"/>
              <w:left w:val="nil"/>
              <w:bottom w:val="nil"/>
              <w:right w:val="nil"/>
            </w:tcBorders>
            <w:shd w:val="clear" w:color="auto" w:fill="F2F2F2"/>
          </w:tcPr>
          <w:p w:rsidR="00B97C7F" w:rsidRPr="00B962F2" w:rsidRDefault="00444B6F" w:rsidP="00B97C7F">
            <w:pPr>
              <w:pStyle w:val="Box"/>
            </w:pPr>
            <w:r w:rsidRPr="00B962F2">
              <w:t>In 201</w:t>
            </w:r>
            <w:r w:rsidR="00B962F2" w:rsidRPr="00B962F2">
              <w:t>5</w:t>
            </w:r>
            <w:r w:rsidRPr="00B962F2">
              <w:t>, for Aboriginal and Torres Strait Islander children in the y</w:t>
            </w:r>
            <w:r w:rsidR="00B97C7F" w:rsidRPr="00B962F2">
              <w:t>ear before full time schooling:</w:t>
            </w:r>
          </w:p>
          <w:p w:rsidR="00444B6F" w:rsidRPr="00B962F2" w:rsidRDefault="00B962F2" w:rsidP="00B97C7F">
            <w:pPr>
              <w:pStyle w:val="BoxListBullet"/>
            </w:pPr>
            <w:r w:rsidRPr="00B962F2">
              <w:t>87</w:t>
            </w:r>
            <w:r w:rsidR="00444B6F" w:rsidRPr="00B962F2">
              <w:t xml:space="preserve"> per cent were enrolled in preschool</w:t>
            </w:r>
          </w:p>
          <w:p w:rsidR="00444B6F" w:rsidRPr="00B962F2" w:rsidRDefault="00B962F2" w:rsidP="00444B6F">
            <w:pPr>
              <w:pStyle w:val="BoxListBullet"/>
            </w:pPr>
            <w:r w:rsidRPr="00B962F2">
              <w:t>8</w:t>
            </w:r>
            <w:r w:rsidR="00444B6F" w:rsidRPr="00B962F2">
              <w:t>0 per cent were attending preschool</w:t>
            </w:r>
            <w:r w:rsidRPr="00B962F2">
              <w:t>.</w:t>
            </w:r>
          </w:p>
          <w:p w:rsidR="00D44B60" w:rsidRPr="00B962F2" w:rsidRDefault="00B962F2" w:rsidP="00A82426">
            <w:pPr>
              <w:pStyle w:val="Box"/>
            </w:pPr>
            <w:r w:rsidRPr="00B962F2">
              <w:t>This compares to 97</w:t>
            </w:r>
            <w:r w:rsidR="00A82426" w:rsidRPr="00B962F2">
              <w:t xml:space="preserve"> per cent </w:t>
            </w:r>
            <w:r w:rsidRPr="00B962F2">
              <w:t>enrolment and 93</w:t>
            </w:r>
            <w:r w:rsidR="00A82426" w:rsidRPr="00B962F2">
              <w:t xml:space="preserve"> per cent </w:t>
            </w:r>
            <w:r w:rsidR="00D44B60" w:rsidRPr="00B962F2">
              <w:t>attendance for non</w:t>
            </w:r>
            <w:r w:rsidR="00D44B60" w:rsidRPr="00B962F2">
              <w:noBreakHyphen/>
              <w:t>Indigenous children.</w:t>
            </w:r>
          </w:p>
        </w:tc>
      </w:tr>
      <w:tr w:rsidR="00215DAA" w:rsidRPr="00215DAA" w:rsidTr="0025114F">
        <w:trPr>
          <w:cantSplit/>
        </w:trPr>
        <w:tc>
          <w:tcPr>
            <w:tcW w:w="8793" w:type="dxa"/>
            <w:gridSpan w:val="3"/>
            <w:tcBorders>
              <w:top w:val="nil"/>
              <w:left w:val="nil"/>
              <w:bottom w:val="nil"/>
              <w:right w:val="nil"/>
            </w:tcBorders>
            <w:shd w:val="clear" w:color="auto" w:fill="F2F2F2"/>
          </w:tcPr>
          <w:p w:rsidR="00444B6F" w:rsidRPr="00215DAA" w:rsidRDefault="00444B6F" w:rsidP="00215DAA">
            <w:pPr>
              <w:pStyle w:val="Box"/>
              <w:rPr>
                <w:i/>
              </w:rPr>
            </w:pPr>
            <w:r w:rsidRPr="00215DAA">
              <w:rPr>
                <w:i/>
              </w:rPr>
              <w:t xml:space="preserve">Results for this indicator are unclear as </w:t>
            </w:r>
            <w:r w:rsidR="00B962F2" w:rsidRPr="00215DAA">
              <w:rPr>
                <w:i/>
              </w:rPr>
              <w:t>the current method for deriving rates does not account for different starting ages for preschool and primary school which affects accuracy of the results</w:t>
            </w:r>
            <w:r w:rsidR="00A82426" w:rsidRPr="00215DAA">
              <w:rPr>
                <w:i/>
              </w:rPr>
              <w:t>.</w:t>
            </w:r>
            <w:r w:rsidR="00B962F2" w:rsidRPr="00215DAA">
              <w:rPr>
                <w:i/>
              </w:rPr>
              <w:t xml:space="preserve"> It is anticipated that a new method will be available for the next </w:t>
            </w:r>
            <w:r w:rsidR="00B962F2" w:rsidRPr="002D76C7">
              <w:rPr>
                <w:i/>
              </w:rPr>
              <w:t>report.</w:t>
            </w:r>
            <w:r w:rsidR="00215DAA" w:rsidRPr="002D76C7">
              <w:rPr>
                <w:i/>
              </w:rPr>
              <w:t xml:space="preserve"> Data in this report are not to be used for assessment against the COAG target.</w:t>
            </w:r>
          </w:p>
        </w:tc>
      </w:tr>
      <w:tr w:rsidR="00037871" w:rsidRPr="00037871" w:rsidTr="0025114F">
        <w:trPr>
          <w:cantSplit/>
        </w:trPr>
        <w:tc>
          <w:tcPr>
            <w:tcW w:w="8793" w:type="dxa"/>
            <w:gridSpan w:val="3"/>
            <w:tcBorders>
              <w:top w:val="nil"/>
              <w:left w:val="nil"/>
              <w:bottom w:val="nil"/>
              <w:right w:val="nil"/>
            </w:tcBorders>
            <w:shd w:val="clear" w:color="auto" w:fill="F2F2F2"/>
          </w:tcPr>
          <w:p w:rsidR="00444B6F" w:rsidRPr="00554197" w:rsidRDefault="00444B6F" w:rsidP="00444B6F">
            <w:pPr>
              <w:pStyle w:val="BoxHeading2"/>
            </w:pPr>
            <w:r w:rsidRPr="00554197">
              <w:t>Things that work</w:t>
            </w:r>
          </w:p>
          <w:p w:rsidR="00444B6F" w:rsidRPr="00037871" w:rsidRDefault="00444B6F" w:rsidP="00554197">
            <w:pPr>
              <w:pStyle w:val="Box"/>
              <w:rPr>
                <w:color w:val="00B050"/>
              </w:rPr>
            </w:pPr>
            <w:r w:rsidRPr="00554197">
              <w:rPr>
                <w:b/>
              </w:rPr>
              <w:t>Families</w:t>
            </w:r>
            <w:r w:rsidRPr="00554197">
              <w:t xml:space="preserve"> </w:t>
            </w:r>
            <w:r w:rsidRPr="00554197">
              <w:rPr>
                <w:b/>
              </w:rPr>
              <w:t>as</w:t>
            </w:r>
            <w:r w:rsidRPr="00554197">
              <w:t xml:space="preserve"> </w:t>
            </w:r>
            <w:r w:rsidRPr="00554197">
              <w:rPr>
                <w:b/>
              </w:rPr>
              <w:t>First Teachers</w:t>
            </w:r>
            <w:r w:rsidRPr="00554197">
              <w:t xml:space="preserve"> (NT) is a promising early learning and parenting support program, </w:t>
            </w:r>
            <w:r w:rsidR="00554197" w:rsidRPr="00554197">
              <w:t xml:space="preserve">rolled out to </w:t>
            </w:r>
            <w:r w:rsidRPr="00554197">
              <w:t xml:space="preserve">21 remote </w:t>
            </w:r>
            <w:r w:rsidR="00D42A93" w:rsidRPr="00554197">
              <w:t>Aboriginal and Torres Strait Islander</w:t>
            </w:r>
            <w:r w:rsidRPr="00554197">
              <w:t xml:space="preserve"> communities </w:t>
            </w:r>
            <w:r w:rsidR="00554197" w:rsidRPr="00554197">
              <w:t>from 2009</w:t>
            </w:r>
            <w:r w:rsidRPr="00554197">
              <w:t xml:space="preserve">. </w:t>
            </w:r>
            <w:r w:rsidR="00554197" w:rsidRPr="00554197">
              <w:t>A 2011 study found p</w:t>
            </w:r>
            <w:r w:rsidRPr="00554197">
              <w:t>reschool enrolments increased in half the sites surveyed and 95 per cent of parents were satisfied with the program and felt more skilled and able to support their child’s learning and development (</w:t>
            </w:r>
            <w:r w:rsidR="002D57A1">
              <w:t xml:space="preserve">see </w:t>
            </w:r>
            <w:r w:rsidRPr="00554197">
              <w:t>box</w:t>
            </w:r>
            <w:r w:rsidR="00FB3DF6">
              <w:t> </w:t>
            </w:r>
            <w:r w:rsidRPr="00554197">
              <w:t>4.3.3</w:t>
            </w:r>
            <w:r w:rsidR="002D57A1">
              <w:t xml:space="preserve"> in the main report for further detail</w:t>
            </w:r>
            <w:r w:rsidRPr="00554197">
              <w:t>).</w:t>
            </w:r>
          </w:p>
        </w:tc>
      </w:tr>
      <w:tr w:rsidR="00037871" w:rsidRPr="00037871" w:rsidTr="0025114F">
        <w:trPr>
          <w:cantSplit/>
        </w:trPr>
        <w:tc>
          <w:tcPr>
            <w:tcW w:w="8793" w:type="dxa"/>
            <w:gridSpan w:val="3"/>
            <w:tcBorders>
              <w:top w:val="nil"/>
              <w:left w:val="nil"/>
              <w:bottom w:val="single" w:sz="6" w:space="0" w:color="78A22F"/>
              <w:right w:val="nil"/>
            </w:tcBorders>
            <w:shd w:val="clear" w:color="auto" w:fill="F2F2F2"/>
          </w:tcPr>
          <w:p w:rsidR="00444B6F" w:rsidRPr="00037871" w:rsidRDefault="00444B6F">
            <w:pPr>
              <w:pStyle w:val="Box"/>
              <w:spacing w:before="0" w:line="120" w:lineRule="exact"/>
              <w:rPr>
                <w:color w:val="00B050"/>
              </w:rPr>
            </w:pPr>
          </w:p>
        </w:tc>
      </w:tr>
      <w:tr w:rsidR="00037871" w:rsidRPr="00037871" w:rsidTr="0025114F">
        <w:tc>
          <w:tcPr>
            <w:tcW w:w="8793" w:type="dxa"/>
            <w:gridSpan w:val="3"/>
            <w:tcBorders>
              <w:top w:val="single" w:sz="6" w:space="0" w:color="78A22F"/>
              <w:left w:val="nil"/>
              <w:bottom w:val="nil"/>
              <w:right w:val="nil"/>
            </w:tcBorders>
          </w:tcPr>
          <w:p w:rsidR="00444B6F" w:rsidRPr="00037871" w:rsidRDefault="00444B6F" w:rsidP="00F409A2">
            <w:pPr>
              <w:pStyle w:val="BoxSpaceBelow"/>
              <w:rPr>
                <w:color w:val="00B050"/>
              </w:rPr>
            </w:pPr>
          </w:p>
        </w:tc>
      </w:tr>
    </w:tbl>
    <w:p w:rsidR="00444B6F" w:rsidRPr="00037871" w:rsidRDefault="00444B6F">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25114F">
        <w:tc>
          <w:tcPr>
            <w:tcW w:w="8793" w:type="dxa"/>
            <w:gridSpan w:val="3"/>
            <w:tcBorders>
              <w:top w:val="single" w:sz="6" w:space="0" w:color="78A22F"/>
              <w:left w:val="nil"/>
              <w:bottom w:val="nil"/>
              <w:right w:val="nil"/>
            </w:tcBorders>
            <w:shd w:val="clear" w:color="auto" w:fill="F2F2F2"/>
          </w:tcPr>
          <w:p w:rsidR="00444B6F" w:rsidRPr="002F7C99" w:rsidRDefault="00444B6F" w:rsidP="00444B6F">
            <w:pPr>
              <w:pStyle w:val="BoxTitle"/>
            </w:pPr>
            <w:r w:rsidRPr="002F7C99">
              <w:t>4.4</w:t>
            </w:r>
            <w:r w:rsidRPr="002F7C99">
              <w:tab/>
              <w:t>Reading, writing and numeracy</w:t>
            </w:r>
          </w:p>
        </w:tc>
      </w:tr>
      <w:tr w:rsidR="00037871" w:rsidRPr="00037871" w:rsidTr="0025114F">
        <w:trPr>
          <w:cantSplit/>
        </w:trPr>
        <w:tc>
          <w:tcPr>
            <w:tcW w:w="8793" w:type="dxa"/>
            <w:gridSpan w:val="3"/>
            <w:tcBorders>
              <w:top w:val="nil"/>
              <w:left w:val="nil"/>
              <w:bottom w:val="nil"/>
              <w:right w:val="nil"/>
            </w:tcBorders>
            <w:shd w:val="clear" w:color="auto" w:fill="F2F2F2"/>
          </w:tcPr>
          <w:p w:rsidR="00444B6F" w:rsidRPr="00E4557C" w:rsidRDefault="00444B6F" w:rsidP="008528B1">
            <w:pPr>
              <w:pStyle w:val="Box"/>
              <w:spacing w:after="120"/>
            </w:pPr>
            <w:r w:rsidRPr="00E4557C">
              <w:t>Halving the gap for Indigenous students in reading, writing and numeracy within a decade (by 2018) is a COAG target.</w:t>
            </w:r>
          </w:p>
        </w:tc>
      </w:tr>
      <w:tr w:rsidR="00554197" w:rsidRPr="00037871" w:rsidTr="0025114F">
        <w:trPr>
          <w:cantSplit/>
        </w:trPr>
        <w:tc>
          <w:tcPr>
            <w:tcW w:w="3828" w:type="dxa"/>
            <w:tcBorders>
              <w:top w:val="nil"/>
              <w:left w:val="nil"/>
              <w:bottom w:val="nil"/>
              <w:right w:val="nil"/>
            </w:tcBorders>
            <w:shd w:val="clear" w:color="auto" w:fill="F2F2F2"/>
          </w:tcPr>
          <w:p w:rsidR="00554197" w:rsidRPr="00E4557C" w:rsidRDefault="00554197" w:rsidP="00834478">
            <w:pPr>
              <w:pStyle w:val="Box"/>
            </w:pPr>
            <w:r w:rsidRPr="00E4557C">
              <w:t>Improved literacy and numeracy levels can improve social, educational and employment outcomes.</w:t>
            </w:r>
          </w:p>
        </w:tc>
        <w:tc>
          <w:tcPr>
            <w:tcW w:w="992" w:type="dxa"/>
            <w:tcBorders>
              <w:top w:val="nil"/>
              <w:left w:val="nil"/>
              <w:bottom w:val="nil"/>
              <w:right w:val="nil"/>
            </w:tcBorders>
            <w:shd w:val="clear" w:color="auto" w:fill="8E8FA6"/>
          </w:tcPr>
          <w:p w:rsidR="00554197" w:rsidRPr="003774EF" w:rsidRDefault="00554197" w:rsidP="00834478">
            <w:pPr>
              <w:pStyle w:val="BoxHeading1"/>
              <w:jc w:val="center"/>
              <w:rPr>
                <w:rFonts w:cs="Arial"/>
                <w:b w:val="0"/>
                <w:sz w:val="48"/>
                <w:szCs w:val="48"/>
              </w:rPr>
            </w:pPr>
          </w:p>
          <w:p w:rsidR="00FD03D1" w:rsidRDefault="00FD03D1" w:rsidP="00834478">
            <w:pPr>
              <w:pStyle w:val="BoxHeading1"/>
              <w:jc w:val="center"/>
              <w:rPr>
                <w:rFonts w:ascii="Wingdings 2" w:hAnsi="Wingdings 2" w:cs="Arial"/>
                <w:b w:val="0"/>
                <w:sz w:val="48"/>
                <w:szCs w:val="48"/>
              </w:rPr>
            </w:pPr>
          </w:p>
          <w:p w:rsidR="00554197" w:rsidRPr="003774EF" w:rsidRDefault="002D76C7" w:rsidP="00834478">
            <w:pPr>
              <w:pStyle w:val="BoxHeading1"/>
              <w:jc w:val="center"/>
            </w:pPr>
            <w:r w:rsidRPr="004B7B30">
              <w:rPr>
                <w:sz w:val="48"/>
                <w:szCs w:val="48"/>
              </w:rPr>
              <w:t>?</w:t>
            </w:r>
          </w:p>
        </w:tc>
        <w:tc>
          <w:tcPr>
            <w:tcW w:w="3973" w:type="dxa"/>
            <w:tcBorders>
              <w:top w:val="nil"/>
              <w:left w:val="nil"/>
              <w:bottom w:val="nil"/>
              <w:right w:val="nil"/>
            </w:tcBorders>
            <w:shd w:val="clear" w:color="auto" w:fill="F2F2F2"/>
          </w:tcPr>
          <w:p w:rsidR="00554197" w:rsidRPr="002D76C7" w:rsidRDefault="009737B6" w:rsidP="00834478">
            <w:pPr>
              <w:pStyle w:val="Box"/>
            </w:pPr>
            <w:r w:rsidRPr="002D76C7">
              <w:t xml:space="preserve">Comparing </w:t>
            </w:r>
            <w:r w:rsidR="00554197" w:rsidRPr="002D76C7">
              <w:t xml:space="preserve">2008 </w:t>
            </w:r>
            <w:r w:rsidRPr="002D76C7">
              <w:t>and</w:t>
            </w:r>
            <w:r w:rsidR="00CE26DA" w:rsidRPr="002D76C7">
              <w:t xml:space="preserve"> </w:t>
            </w:r>
            <w:r w:rsidR="00554197" w:rsidRPr="002D76C7">
              <w:t xml:space="preserve">2015, the proportion of Aboriginal and Torres Strait Islander students achieving national minimum standards increased for Years 3, 5 and 7 for reading, and for Years </w:t>
            </w:r>
            <w:r w:rsidR="00215DAA" w:rsidRPr="002D76C7">
              <w:t>5 and 9</w:t>
            </w:r>
            <w:r w:rsidR="00554197" w:rsidRPr="002D76C7">
              <w:t xml:space="preserve"> for numeracy.</w:t>
            </w:r>
            <w:r w:rsidR="00FB3DF6">
              <w:t xml:space="preserve"> </w:t>
            </w:r>
            <w:r w:rsidRPr="002D76C7">
              <w:t xml:space="preserve">However, volatility in the data means conclusions drawn from comparisons </w:t>
            </w:r>
            <w:r w:rsidR="005D6C71" w:rsidRPr="002D76C7">
              <w:t xml:space="preserve">should not be interpreted as consistent improvement </w:t>
            </w:r>
            <w:r w:rsidRPr="002D76C7">
              <w:t>over time.</w:t>
            </w:r>
          </w:p>
          <w:p w:rsidR="00494726" w:rsidRPr="00037871" w:rsidRDefault="00494726" w:rsidP="00494726">
            <w:pPr>
              <w:pStyle w:val="Box"/>
              <w:rPr>
                <w:color w:val="00B050"/>
              </w:rPr>
            </w:pPr>
            <w:r>
              <w:t>Nationally, rates for Aboriginal and Torres Strait Islander students declined with increasing remoteness, while there was little variation for non</w:t>
            </w:r>
            <w:r w:rsidR="00FB3DF6">
              <w:noBreakHyphen/>
            </w:r>
            <w:r>
              <w:t>Indigenous students.</w:t>
            </w:r>
          </w:p>
        </w:tc>
      </w:tr>
      <w:tr w:rsidR="002D76C7" w:rsidRPr="00037871" w:rsidTr="0025114F">
        <w:trPr>
          <w:cantSplit/>
        </w:trPr>
        <w:tc>
          <w:tcPr>
            <w:tcW w:w="8793" w:type="dxa"/>
            <w:gridSpan w:val="3"/>
            <w:tcBorders>
              <w:top w:val="nil"/>
              <w:left w:val="nil"/>
              <w:bottom w:val="nil"/>
              <w:right w:val="nil"/>
            </w:tcBorders>
            <w:shd w:val="clear" w:color="auto" w:fill="F2F2F2"/>
          </w:tcPr>
          <w:p w:rsidR="002D76C7" w:rsidRPr="00FE5D53" w:rsidRDefault="00FE5D53" w:rsidP="002D76C7">
            <w:pPr>
              <w:pStyle w:val="BoxHeading2"/>
              <w:spacing w:before="120"/>
              <w:rPr>
                <w:sz w:val="20"/>
              </w:rPr>
            </w:pPr>
            <w:r w:rsidRPr="00FE5D53">
              <w:rPr>
                <w:sz w:val="20"/>
              </w:rPr>
              <w:t>Results for this indicator have fluctuated over time with no clear trend</w:t>
            </w:r>
            <w:r w:rsidR="002D76C7" w:rsidRPr="00FE5D53">
              <w:rPr>
                <w:sz w:val="20"/>
              </w:rPr>
              <w:t>.</w:t>
            </w:r>
          </w:p>
        </w:tc>
      </w:tr>
      <w:tr w:rsidR="00037871" w:rsidRPr="00037871" w:rsidTr="0025114F">
        <w:trPr>
          <w:cantSplit/>
        </w:trPr>
        <w:tc>
          <w:tcPr>
            <w:tcW w:w="8793" w:type="dxa"/>
            <w:gridSpan w:val="3"/>
            <w:tcBorders>
              <w:top w:val="nil"/>
              <w:left w:val="nil"/>
              <w:bottom w:val="nil"/>
              <w:right w:val="nil"/>
            </w:tcBorders>
            <w:shd w:val="clear" w:color="auto" w:fill="F2F2F2"/>
          </w:tcPr>
          <w:p w:rsidR="00554197" w:rsidRPr="005D4975" w:rsidRDefault="00554197" w:rsidP="00554197">
            <w:pPr>
              <w:pStyle w:val="BoxHeading2"/>
            </w:pPr>
            <w:r w:rsidRPr="005D4975">
              <w:t>Things that work</w:t>
            </w:r>
          </w:p>
          <w:p w:rsidR="00554197" w:rsidRPr="00215DAA" w:rsidRDefault="00554197" w:rsidP="00554197">
            <w:pPr>
              <w:pStyle w:val="Box"/>
              <w:rPr>
                <w:noProof/>
              </w:rPr>
            </w:pPr>
            <w:r w:rsidRPr="00215DAA">
              <w:rPr>
                <w:noProof/>
              </w:rPr>
              <w:t xml:space="preserve">The </w:t>
            </w:r>
            <w:r w:rsidRPr="00215DAA">
              <w:rPr>
                <w:b/>
                <w:noProof/>
              </w:rPr>
              <w:t xml:space="preserve">Cape York Aboriginal Australian Academy Initiative </w:t>
            </w:r>
            <w:r w:rsidRPr="00215DAA">
              <w:rPr>
                <w:noProof/>
              </w:rPr>
              <w:t>(Qld)</w:t>
            </w:r>
            <w:r w:rsidRPr="00215DAA">
              <w:rPr>
                <w:b/>
                <w:noProof/>
              </w:rPr>
              <w:t xml:space="preserve"> </w:t>
            </w:r>
            <w:r w:rsidRPr="00215DAA">
              <w:rPr>
                <w:noProof/>
              </w:rPr>
              <w:t xml:space="preserve">is a pilot program operating in primary schools in Coen, Hope Vale and Aurukun. </w:t>
            </w:r>
            <w:r w:rsidR="004B486E" w:rsidRPr="00215DAA">
              <w:rPr>
                <w:noProof/>
              </w:rPr>
              <w:t>An e</w:t>
            </w:r>
            <w:r w:rsidRPr="00215DAA">
              <w:rPr>
                <w:noProof/>
              </w:rPr>
              <w:t xml:space="preserve">arly evaluation found </w:t>
            </w:r>
            <w:r w:rsidR="004B486E" w:rsidRPr="00215DAA">
              <w:rPr>
                <w:noProof/>
              </w:rPr>
              <w:t xml:space="preserve">that whilst it was not possible to conclude for the available data whether the Initiative had an impact on student learning, there was </w:t>
            </w:r>
            <w:r w:rsidRPr="00215DAA">
              <w:rPr>
                <w:noProof/>
              </w:rPr>
              <w:t xml:space="preserve">general </w:t>
            </w:r>
            <w:r w:rsidRPr="00215DAA">
              <w:t>agreement</w:t>
            </w:r>
            <w:r w:rsidR="004B486E" w:rsidRPr="00215DAA">
              <w:rPr>
                <w:noProof/>
              </w:rPr>
              <w:t xml:space="preserve"> among</w:t>
            </w:r>
            <w:r w:rsidRPr="00215DAA">
              <w:rPr>
                <w:noProof/>
              </w:rPr>
              <w:t xml:space="preserve"> school staff and most</w:t>
            </w:r>
            <w:r w:rsidR="005D4975" w:rsidRPr="00215DAA">
              <w:rPr>
                <w:noProof/>
              </w:rPr>
              <w:t xml:space="preserve"> parents that student literacy wa</w:t>
            </w:r>
            <w:r w:rsidRPr="00215DAA">
              <w:rPr>
                <w:noProof/>
              </w:rPr>
              <w:t>s improving.</w:t>
            </w:r>
            <w:r w:rsidR="004B486E" w:rsidRPr="00215DAA">
              <w:rPr>
                <w:noProof/>
              </w:rPr>
              <w:t xml:space="preserve"> The Queensland Department of Education </w:t>
            </w:r>
            <w:r w:rsidR="00E63DCA" w:rsidRPr="00E92224">
              <w:rPr>
                <w:noProof/>
              </w:rPr>
              <w:t>and Training</w:t>
            </w:r>
            <w:r w:rsidR="00E63DCA">
              <w:rPr>
                <w:noProof/>
              </w:rPr>
              <w:t xml:space="preserve"> </w:t>
            </w:r>
            <w:r w:rsidR="004B486E" w:rsidRPr="00215DAA">
              <w:rPr>
                <w:noProof/>
              </w:rPr>
              <w:t>is working with the Aurukun community to implement recommendations from a 2016 review by the Department focused on improving schooling outcomes.</w:t>
            </w:r>
          </w:p>
          <w:p w:rsidR="00444B6F" w:rsidRPr="002D76C7" w:rsidRDefault="00554197" w:rsidP="005D4975">
            <w:pPr>
              <w:pStyle w:val="Box"/>
            </w:pPr>
            <w:r w:rsidRPr="005D4975">
              <w:rPr>
                <w:b/>
              </w:rPr>
              <w:t>Quick Smart</w:t>
            </w:r>
            <w:r w:rsidRPr="005D4975">
              <w:t xml:space="preserve"> was established</w:t>
            </w:r>
            <w:r w:rsidR="005D4975" w:rsidRPr="005D4975">
              <w:t xml:space="preserve"> in 2001 for students in years 5</w:t>
            </w:r>
            <w:r w:rsidRPr="005D4975">
              <w:t>–8 who are at/below national minimum standards in literacy or numeracy. A</w:t>
            </w:r>
            <w:r w:rsidR="00494726">
              <w:t xml:space="preserve"> 2012 e</w:t>
            </w:r>
            <w:r w:rsidRPr="005D4975">
              <w:t>valuation</w:t>
            </w:r>
            <w:r w:rsidR="005D4975" w:rsidRPr="005D4975">
              <w:t xml:space="preserve"> </w:t>
            </w:r>
            <w:r w:rsidRPr="002D76C7">
              <w:t>of the numeracy program reported improved numeracy outcomes for Aboriginal students</w:t>
            </w:r>
            <w:r w:rsidR="005D4975" w:rsidRPr="002D76C7">
              <w:t xml:space="preserve"> equivalent to</w:t>
            </w:r>
            <w:r w:rsidR="00215DAA" w:rsidRPr="002D76C7">
              <w:t xml:space="preserve">, and in some cases </w:t>
            </w:r>
            <w:r w:rsidR="005D4975" w:rsidRPr="002D76C7">
              <w:t>better than</w:t>
            </w:r>
            <w:r w:rsidR="00215DAA" w:rsidRPr="002D76C7">
              <w:t>,</w:t>
            </w:r>
            <w:r w:rsidR="005D4975" w:rsidRPr="002D76C7">
              <w:t xml:space="preserve"> those for non</w:t>
            </w:r>
            <w:r w:rsidR="00FB3DF6">
              <w:noBreakHyphen/>
            </w:r>
            <w:r w:rsidR="005D4975" w:rsidRPr="002D76C7">
              <w:t>Indigenous students.</w:t>
            </w:r>
          </w:p>
          <w:p w:rsidR="005D4975" w:rsidRDefault="005D4975" w:rsidP="00494726">
            <w:pPr>
              <w:pStyle w:val="Box"/>
            </w:pPr>
            <w:r w:rsidRPr="005D4975">
              <w:rPr>
                <w:b/>
              </w:rPr>
              <w:t>ABRACADABRA</w:t>
            </w:r>
            <w:r w:rsidRPr="005D4975">
              <w:t xml:space="preserve"> is an interactive computer tool developed in Canada, designed to help teach basic literacy skills to young children. An evaluation undertaken in the NT from 2008 to 2010 demonstrated improvements in awareness of English language sounds and early literacy skills. </w:t>
            </w:r>
          </w:p>
          <w:p w:rsidR="002D57A1" w:rsidRPr="00037871" w:rsidRDefault="002D57A1" w:rsidP="004E3AC1">
            <w:pPr>
              <w:pStyle w:val="Box"/>
              <w:rPr>
                <w:color w:val="00B050"/>
              </w:rPr>
            </w:pPr>
            <w:r>
              <w:t>See box</w:t>
            </w:r>
            <w:r w:rsidR="00FB3DF6">
              <w:t> </w:t>
            </w:r>
            <w:r>
              <w:t>4.</w:t>
            </w:r>
            <w:r w:rsidR="001372F8">
              <w:t>4.4</w:t>
            </w:r>
            <w:r>
              <w:t xml:space="preserve"> in the main report for </w:t>
            </w:r>
            <w:r w:rsidR="0021286F">
              <w:t>further detail</w:t>
            </w:r>
            <w:r>
              <w:t xml:space="preserve"> on these case studies.</w:t>
            </w:r>
          </w:p>
        </w:tc>
      </w:tr>
      <w:tr w:rsidR="00037871" w:rsidRPr="00037871" w:rsidTr="0025114F">
        <w:trPr>
          <w:cantSplit/>
        </w:trPr>
        <w:tc>
          <w:tcPr>
            <w:tcW w:w="8793" w:type="dxa"/>
            <w:gridSpan w:val="3"/>
            <w:tcBorders>
              <w:top w:val="nil"/>
              <w:left w:val="nil"/>
              <w:bottom w:val="single" w:sz="6" w:space="0" w:color="78A22F"/>
              <w:right w:val="nil"/>
            </w:tcBorders>
            <w:shd w:val="clear" w:color="auto" w:fill="F2F2F2"/>
          </w:tcPr>
          <w:p w:rsidR="00444B6F" w:rsidRPr="00037871" w:rsidRDefault="00444B6F">
            <w:pPr>
              <w:pStyle w:val="Box"/>
              <w:spacing w:before="0" w:line="120" w:lineRule="exact"/>
              <w:rPr>
                <w:color w:val="00B050"/>
              </w:rPr>
            </w:pPr>
          </w:p>
        </w:tc>
      </w:tr>
      <w:tr w:rsidR="00037871" w:rsidRPr="00037871" w:rsidTr="0025114F">
        <w:tc>
          <w:tcPr>
            <w:tcW w:w="8793" w:type="dxa"/>
            <w:gridSpan w:val="3"/>
            <w:tcBorders>
              <w:top w:val="single" w:sz="6" w:space="0" w:color="78A22F"/>
              <w:left w:val="nil"/>
              <w:bottom w:val="nil"/>
              <w:right w:val="nil"/>
            </w:tcBorders>
          </w:tcPr>
          <w:p w:rsidR="00444B6F" w:rsidRPr="00037871" w:rsidRDefault="00444B6F" w:rsidP="00F409A2">
            <w:pPr>
              <w:pStyle w:val="BoxSpaceBelow"/>
              <w:rPr>
                <w:color w:val="00B050"/>
              </w:rPr>
            </w:pPr>
          </w:p>
        </w:tc>
      </w:tr>
    </w:tbl>
    <w:p w:rsidR="002F7C99" w:rsidRPr="00037871" w:rsidRDefault="002F7C99" w:rsidP="002F7C99">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2F7C99" w:rsidRPr="00037871" w:rsidTr="0025114F">
        <w:tc>
          <w:tcPr>
            <w:tcW w:w="8793" w:type="dxa"/>
            <w:gridSpan w:val="3"/>
            <w:tcBorders>
              <w:top w:val="single" w:sz="6" w:space="0" w:color="78A22F"/>
              <w:left w:val="nil"/>
              <w:bottom w:val="nil"/>
              <w:right w:val="nil"/>
            </w:tcBorders>
            <w:shd w:val="clear" w:color="auto" w:fill="F2F2F2"/>
          </w:tcPr>
          <w:p w:rsidR="002F7C99" w:rsidRPr="002F7C99" w:rsidRDefault="002F7C99" w:rsidP="002F7C99">
            <w:pPr>
              <w:pStyle w:val="BoxTitle"/>
            </w:pPr>
            <w:r w:rsidRPr="002F7C99">
              <w:t>4.5</w:t>
            </w:r>
            <w:r w:rsidRPr="002F7C99">
              <w:tab/>
              <w:t>Year 1 to 10 attendance</w:t>
            </w:r>
          </w:p>
        </w:tc>
      </w:tr>
      <w:tr w:rsidR="002F7C99" w:rsidRPr="00037871" w:rsidTr="0025114F">
        <w:tc>
          <w:tcPr>
            <w:tcW w:w="8793" w:type="dxa"/>
            <w:gridSpan w:val="3"/>
            <w:tcBorders>
              <w:top w:val="nil"/>
              <w:left w:val="nil"/>
              <w:bottom w:val="nil"/>
              <w:right w:val="nil"/>
            </w:tcBorders>
            <w:shd w:val="clear" w:color="auto" w:fill="F2F2F2"/>
          </w:tcPr>
          <w:p w:rsidR="002F7C99" w:rsidRPr="00E4557C" w:rsidRDefault="002F7C99" w:rsidP="00E4557C">
            <w:pPr>
              <w:pStyle w:val="Box"/>
              <w:spacing w:after="120"/>
            </w:pPr>
            <w:r w:rsidRPr="00E4557C">
              <w:t>In May 2014, COAG agreed to a target to close the gap in school attendance between Aboriginal and Torres Strait Islander children and non</w:t>
            </w:r>
            <w:r w:rsidRPr="00E4557C">
              <w:noBreakHyphen/>
              <w:t>Indigenous children within 5 years</w:t>
            </w:r>
            <w:r w:rsidR="00E4557C" w:rsidRPr="00E4557C">
              <w:t xml:space="preserve"> (by 2018)</w:t>
            </w:r>
            <w:r w:rsidRPr="00E4557C">
              <w:t>.</w:t>
            </w:r>
          </w:p>
        </w:tc>
      </w:tr>
      <w:tr w:rsidR="00304C13" w:rsidRPr="00037871" w:rsidTr="0025114F">
        <w:trPr>
          <w:cantSplit/>
        </w:trPr>
        <w:tc>
          <w:tcPr>
            <w:tcW w:w="3828" w:type="dxa"/>
            <w:tcBorders>
              <w:top w:val="nil"/>
              <w:left w:val="nil"/>
              <w:bottom w:val="nil"/>
              <w:right w:val="nil"/>
            </w:tcBorders>
            <w:shd w:val="clear" w:color="auto" w:fill="F2F2F2"/>
          </w:tcPr>
          <w:p w:rsidR="00304C13" w:rsidRPr="00494726" w:rsidRDefault="00304C13" w:rsidP="002F7C99">
            <w:pPr>
              <w:pStyle w:val="Box"/>
            </w:pPr>
            <w:r w:rsidRPr="00494726">
              <w:t>Regular school attendance is important to achieving core skills, such as literacy and numeracy.</w:t>
            </w:r>
          </w:p>
        </w:tc>
        <w:tc>
          <w:tcPr>
            <w:tcW w:w="992" w:type="dxa"/>
            <w:tcBorders>
              <w:top w:val="nil"/>
              <w:left w:val="nil"/>
              <w:bottom w:val="nil"/>
              <w:right w:val="nil"/>
            </w:tcBorders>
            <w:shd w:val="clear" w:color="auto" w:fill="DA9C13"/>
          </w:tcPr>
          <w:p w:rsidR="00494726" w:rsidRDefault="00304C13" w:rsidP="00834478">
            <w:pPr>
              <w:pStyle w:val="Box"/>
              <w:spacing w:before="0"/>
              <w:jc w:val="center"/>
              <w:rPr>
                <w:sz w:val="48"/>
                <w:szCs w:val="48"/>
              </w:rPr>
            </w:pPr>
            <w:r w:rsidRPr="00494726">
              <w:rPr>
                <w:sz w:val="48"/>
                <w:szCs w:val="48"/>
              </w:rPr>
              <w:softHyphen/>
            </w:r>
            <w:r w:rsidRPr="00494726">
              <w:rPr>
                <w:sz w:val="48"/>
                <w:szCs w:val="48"/>
              </w:rPr>
              <w:softHyphen/>
            </w:r>
          </w:p>
          <w:p w:rsidR="00494726" w:rsidRDefault="00494726" w:rsidP="00834478">
            <w:pPr>
              <w:pStyle w:val="Box"/>
              <w:spacing w:before="0"/>
              <w:jc w:val="center"/>
              <w:rPr>
                <w:sz w:val="48"/>
                <w:szCs w:val="48"/>
              </w:rPr>
            </w:pPr>
          </w:p>
          <w:p w:rsidR="00304C13" w:rsidRPr="00494726" w:rsidRDefault="00304C13" w:rsidP="00834478">
            <w:pPr>
              <w:pStyle w:val="Box"/>
              <w:spacing w:before="0"/>
              <w:jc w:val="center"/>
              <w:rPr>
                <w:sz w:val="48"/>
                <w:szCs w:val="48"/>
              </w:rPr>
            </w:pPr>
            <w:r w:rsidRPr="00494726">
              <w:rPr>
                <w:b/>
                <w:sz w:val="48"/>
                <w:szCs w:val="48"/>
              </w:rPr>
              <w:t>_</w:t>
            </w:r>
          </w:p>
        </w:tc>
        <w:tc>
          <w:tcPr>
            <w:tcW w:w="3973" w:type="dxa"/>
            <w:tcBorders>
              <w:top w:val="nil"/>
              <w:left w:val="nil"/>
              <w:bottom w:val="nil"/>
              <w:right w:val="nil"/>
            </w:tcBorders>
            <w:shd w:val="clear" w:color="auto" w:fill="F2F2F2"/>
          </w:tcPr>
          <w:p w:rsidR="00304C13" w:rsidRDefault="00494726" w:rsidP="00494726">
            <w:pPr>
              <w:pStyle w:val="Box"/>
            </w:pPr>
            <w:r w:rsidRPr="00494726">
              <w:t>In 2015</w:t>
            </w:r>
            <w:r w:rsidR="00540CA8">
              <w:t xml:space="preserve"> (similar to 2014)</w:t>
            </w:r>
            <w:r w:rsidR="00304C13" w:rsidRPr="00494726">
              <w:t xml:space="preserve">, </w:t>
            </w:r>
            <w:r w:rsidRPr="00494726">
              <w:t>the overall attendance rate for Aboriginal and Torres Strait Islander students was 84 per cent, co</w:t>
            </w:r>
            <w:r w:rsidR="00902379">
              <w:t>mpared with 93 per cent for non</w:t>
            </w:r>
            <w:r w:rsidR="00902379">
              <w:noBreakHyphen/>
            </w:r>
            <w:r w:rsidRPr="00494726">
              <w:t xml:space="preserve">Indigenous students. </w:t>
            </w:r>
          </w:p>
          <w:p w:rsidR="00494726" w:rsidRPr="00494726" w:rsidRDefault="00494726" w:rsidP="00494726">
            <w:pPr>
              <w:pStyle w:val="Box"/>
            </w:pPr>
            <w:r>
              <w:t>Nationally, the attendance rate for Aboriginal and Torres Strait Islander students declined with increasing remoteness, while there was little variation for non</w:t>
            </w:r>
            <w:r w:rsidR="00FB3DF6">
              <w:noBreakHyphen/>
            </w:r>
            <w:r>
              <w:t>Indigenous students.</w:t>
            </w:r>
          </w:p>
        </w:tc>
      </w:tr>
      <w:tr w:rsidR="002F7C99" w:rsidRPr="00037871" w:rsidTr="0025114F">
        <w:trPr>
          <w:cantSplit/>
        </w:trPr>
        <w:tc>
          <w:tcPr>
            <w:tcW w:w="8793" w:type="dxa"/>
            <w:gridSpan w:val="3"/>
            <w:tcBorders>
              <w:top w:val="nil"/>
              <w:left w:val="nil"/>
              <w:bottom w:val="single" w:sz="6" w:space="0" w:color="78A22F"/>
              <w:right w:val="nil"/>
            </w:tcBorders>
            <w:shd w:val="clear" w:color="auto" w:fill="F2F2F2"/>
          </w:tcPr>
          <w:p w:rsidR="002F7C99" w:rsidRPr="00037871" w:rsidRDefault="002F7C99" w:rsidP="002F7C99">
            <w:pPr>
              <w:pStyle w:val="Box"/>
              <w:spacing w:before="0" w:line="120" w:lineRule="exact"/>
              <w:rPr>
                <w:color w:val="00B050"/>
              </w:rPr>
            </w:pPr>
          </w:p>
        </w:tc>
      </w:tr>
      <w:tr w:rsidR="002F7C99" w:rsidRPr="00037871" w:rsidTr="0025114F">
        <w:tc>
          <w:tcPr>
            <w:tcW w:w="8793" w:type="dxa"/>
            <w:gridSpan w:val="3"/>
            <w:tcBorders>
              <w:top w:val="single" w:sz="6" w:space="0" w:color="78A22F"/>
              <w:left w:val="nil"/>
              <w:bottom w:val="nil"/>
              <w:right w:val="nil"/>
            </w:tcBorders>
          </w:tcPr>
          <w:p w:rsidR="002F7C99" w:rsidRPr="00037871" w:rsidRDefault="002F7C99" w:rsidP="002F7C99">
            <w:pPr>
              <w:pStyle w:val="BoxSpaceBelow"/>
              <w:rPr>
                <w:color w:val="00B050"/>
              </w:rPr>
            </w:pPr>
          </w:p>
        </w:tc>
      </w:tr>
    </w:tbl>
    <w:p w:rsidR="00444B6F" w:rsidRPr="00037871" w:rsidRDefault="00444B6F" w:rsidP="00444B6F">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2F7C99" w:rsidTr="0025114F">
        <w:tc>
          <w:tcPr>
            <w:tcW w:w="8793" w:type="dxa"/>
            <w:gridSpan w:val="3"/>
            <w:tcBorders>
              <w:top w:val="single" w:sz="6" w:space="0" w:color="78A22F"/>
              <w:left w:val="nil"/>
              <w:bottom w:val="nil"/>
              <w:right w:val="nil"/>
            </w:tcBorders>
            <w:shd w:val="clear" w:color="auto" w:fill="F2F2F2"/>
          </w:tcPr>
          <w:p w:rsidR="00444B6F" w:rsidRPr="002F7C99" w:rsidRDefault="00444B6F" w:rsidP="002F7C99">
            <w:pPr>
              <w:pStyle w:val="BoxTitle"/>
            </w:pPr>
            <w:r w:rsidRPr="002F7C99">
              <w:t>4.</w:t>
            </w:r>
            <w:r w:rsidR="002F7C99">
              <w:t>6</w:t>
            </w:r>
            <w:r w:rsidRPr="002F7C99">
              <w:tab/>
              <w:t>Year 12 attainment</w:t>
            </w:r>
          </w:p>
        </w:tc>
      </w:tr>
      <w:tr w:rsidR="00037871" w:rsidRPr="002F7C99" w:rsidTr="0025114F">
        <w:trPr>
          <w:cantSplit/>
        </w:trPr>
        <w:tc>
          <w:tcPr>
            <w:tcW w:w="8793" w:type="dxa"/>
            <w:gridSpan w:val="3"/>
            <w:tcBorders>
              <w:top w:val="nil"/>
              <w:left w:val="nil"/>
              <w:bottom w:val="nil"/>
              <w:right w:val="nil"/>
            </w:tcBorders>
            <w:shd w:val="clear" w:color="auto" w:fill="F2F2F2"/>
          </w:tcPr>
          <w:p w:rsidR="00444B6F" w:rsidRPr="002F7C99" w:rsidRDefault="00444B6F" w:rsidP="008528B1">
            <w:pPr>
              <w:pStyle w:val="Box"/>
              <w:spacing w:after="120"/>
            </w:pPr>
            <w:r w:rsidRPr="002F7C99">
              <w:t>Halving the gap for Indigenous 20–24 year olds in year 12 or equivalent attainment rates by 2020 is a COAG target.</w:t>
            </w:r>
          </w:p>
        </w:tc>
      </w:tr>
      <w:tr w:rsidR="00037871" w:rsidRPr="002F7C99" w:rsidTr="0025114F">
        <w:trPr>
          <w:cantSplit/>
        </w:trPr>
        <w:tc>
          <w:tcPr>
            <w:tcW w:w="3828" w:type="dxa"/>
            <w:tcBorders>
              <w:top w:val="nil"/>
              <w:left w:val="nil"/>
              <w:bottom w:val="nil"/>
              <w:right w:val="nil"/>
            </w:tcBorders>
            <w:shd w:val="clear" w:color="auto" w:fill="F2F2F2"/>
          </w:tcPr>
          <w:p w:rsidR="00444B6F" w:rsidRPr="00494726" w:rsidRDefault="00444B6F" w:rsidP="00F409A2">
            <w:pPr>
              <w:pStyle w:val="Box"/>
            </w:pPr>
            <w:r w:rsidRPr="00494726">
              <w:t>Students who complete year 12 or equivalent are more likely to go on to further education and training, have better employment options, and have improved economic and social wellbeing.</w:t>
            </w:r>
          </w:p>
        </w:tc>
        <w:tc>
          <w:tcPr>
            <w:tcW w:w="992" w:type="dxa"/>
            <w:tcBorders>
              <w:top w:val="nil"/>
              <w:left w:val="nil"/>
              <w:bottom w:val="nil"/>
              <w:right w:val="nil"/>
            </w:tcBorders>
            <w:shd w:val="clear" w:color="auto" w:fill="418B50"/>
          </w:tcPr>
          <w:p w:rsidR="00444B6F" w:rsidRPr="00494726" w:rsidRDefault="00444B6F" w:rsidP="00F409A2">
            <w:pPr>
              <w:pStyle w:val="BoxHeading1"/>
            </w:pPr>
          </w:p>
          <w:p w:rsidR="00444B6F" w:rsidRPr="00494726" w:rsidRDefault="00444B6F" w:rsidP="00142ACE">
            <w:pPr>
              <w:pStyle w:val="Box"/>
              <w:spacing w:before="240"/>
              <w:jc w:val="center"/>
            </w:pPr>
            <w:r w:rsidRPr="00494726">
              <w:softHyphen/>
            </w:r>
            <w:r w:rsidRPr="00494726">
              <w:softHyphen/>
            </w:r>
            <w:r w:rsidR="00494726" w:rsidRPr="0081102D">
              <w:rPr>
                <w:rFonts w:ascii="Wingdings 2" w:hAnsi="Wingdings 2" w:cs="Arial"/>
                <w:b/>
                <w:sz w:val="48"/>
                <w:szCs w:val="48"/>
              </w:rPr>
              <w:t></w:t>
            </w:r>
          </w:p>
        </w:tc>
        <w:tc>
          <w:tcPr>
            <w:tcW w:w="3973" w:type="dxa"/>
            <w:tcBorders>
              <w:top w:val="nil"/>
              <w:left w:val="nil"/>
              <w:bottom w:val="nil"/>
              <w:right w:val="nil"/>
            </w:tcBorders>
            <w:shd w:val="clear" w:color="auto" w:fill="F2F2F2"/>
          </w:tcPr>
          <w:p w:rsidR="00444B6F" w:rsidRPr="00494726" w:rsidRDefault="00124A61" w:rsidP="00215DAA">
            <w:pPr>
              <w:pStyle w:val="Box"/>
            </w:pPr>
            <w:r w:rsidRPr="00494726">
              <w:t xml:space="preserve">The proportion of Aboriginal and Torres Strait Islander </w:t>
            </w:r>
            <w:r w:rsidR="00512AE6" w:rsidRPr="00494726">
              <w:t>20–24 year olds</w:t>
            </w:r>
            <w:r w:rsidRPr="00494726">
              <w:t xml:space="preserve"> completing year 12 or equivalent or above increased from 45 per cent in 2008 to </w:t>
            </w:r>
            <w:r w:rsidR="00494726" w:rsidRPr="001D733F">
              <w:t>6</w:t>
            </w:r>
            <w:r w:rsidR="009F24D6" w:rsidRPr="001D733F">
              <w:t>2</w:t>
            </w:r>
            <w:r w:rsidR="00494726" w:rsidRPr="001D733F">
              <w:t xml:space="preserve"> per cent</w:t>
            </w:r>
            <w:r w:rsidR="00494726" w:rsidRPr="00494726">
              <w:t xml:space="preserve"> in 2014</w:t>
            </w:r>
            <w:r w:rsidR="00512AE6" w:rsidRPr="00494726">
              <w:noBreakHyphen/>
              <w:t>1</w:t>
            </w:r>
            <w:r w:rsidR="00494726" w:rsidRPr="00494726">
              <w:t>5</w:t>
            </w:r>
            <w:r w:rsidR="00512AE6" w:rsidRPr="00494726">
              <w:t>. For non</w:t>
            </w:r>
            <w:r w:rsidR="00512AE6" w:rsidRPr="00494726">
              <w:noBreakHyphen/>
            </w:r>
            <w:r w:rsidRPr="00494726">
              <w:t xml:space="preserve">Indigenous Australians, the proportion remained </w:t>
            </w:r>
            <w:r w:rsidR="00215DAA">
              <w:t>similar (</w:t>
            </w:r>
            <w:r w:rsidRPr="00494726">
              <w:t>88 per cent</w:t>
            </w:r>
            <w:r w:rsidR="00215DAA">
              <w:t xml:space="preserve"> in 2014</w:t>
            </w:r>
            <w:r w:rsidR="00FB3DF6">
              <w:noBreakHyphen/>
            </w:r>
            <w:r w:rsidR="00215DAA">
              <w:t>15)</w:t>
            </w:r>
            <w:r w:rsidRPr="00494726">
              <w:t>.</w:t>
            </w:r>
          </w:p>
        </w:tc>
      </w:tr>
      <w:tr w:rsidR="00037871" w:rsidRPr="002F7C99" w:rsidTr="0025114F">
        <w:trPr>
          <w:cantSplit/>
        </w:trPr>
        <w:tc>
          <w:tcPr>
            <w:tcW w:w="8793" w:type="dxa"/>
            <w:gridSpan w:val="3"/>
            <w:tcBorders>
              <w:top w:val="nil"/>
              <w:left w:val="nil"/>
              <w:bottom w:val="nil"/>
              <w:right w:val="nil"/>
            </w:tcBorders>
            <w:shd w:val="clear" w:color="auto" w:fill="F2F2F2"/>
          </w:tcPr>
          <w:p w:rsidR="00444B6F" w:rsidRPr="00494726" w:rsidRDefault="00444B6F" w:rsidP="00F409A2">
            <w:pPr>
              <w:pStyle w:val="BoxHeading2"/>
            </w:pPr>
            <w:r w:rsidRPr="00494726">
              <w:t>Things that work</w:t>
            </w:r>
          </w:p>
          <w:p w:rsidR="00444B6F" w:rsidRPr="002F7C99" w:rsidRDefault="00094646" w:rsidP="00F409A2">
            <w:pPr>
              <w:pStyle w:val="Box"/>
            </w:pPr>
            <w:r w:rsidRPr="00494726">
              <w:t xml:space="preserve">The national </w:t>
            </w:r>
            <w:r w:rsidRPr="006C1699">
              <w:rPr>
                <w:b/>
              </w:rPr>
              <w:t>Australian Indigenous Mentoring Experience</w:t>
            </w:r>
            <w:r w:rsidRPr="00494726">
              <w:t xml:space="preserve"> program was established in 2005, with university students mentoring Aboriginal and Torres Strait Islander </w:t>
            </w:r>
            <w:r w:rsidR="00DE6094" w:rsidRPr="00494726">
              <w:t>students in y</w:t>
            </w:r>
            <w:r w:rsidRPr="00494726">
              <w:t>ears 7 to 12. A 2012 evaluation found that the program was effective i</w:t>
            </w:r>
            <w:r w:rsidR="00A82426" w:rsidRPr="00494726">
              <w:t>n strengthening school and post</w:t>
            </w:r>
            <w:r w:rsidR="00A82426" w:rsidRPr="00494726">
              <w:noBreakHyphen/>
            </w:r>
            <w:r w:rsidRPr="00494726">
              <w:t>school aspirations, sense of engagement, and sense of identity. Outcomes for mentored students were better th</w:t>
            </w:r>
            <w:r w:rsidR="00494726" w:rsidRPr="00494726">
              <w:t>an the national average (</w:t>
            </w:r>
            <w:r w:rsidR="002D57A1">
              <w:t xml:space="preserve">see </w:t>
            </w:r>
            <w:r w:rsidR="00494726" w:rsidRPr="00494726">
              <w:t>box</w:t>
            </w:r>
            <w:r w:rsidR="00FB3DF6">
              <w:t> </w:t>
            </w:r>
            <w:r w:rsidR="00494726" w:rsidRPr="00494726">
              <w:t>4.6</w:t>
            </w:r>
            <w:r w:rsidRPr="00494726">
              <w:t>.3</w:t>
            </w:r>
            <w:r w:rsidR="002D57A1">
              <w:t xml:space="preserve"> in the main report for further detail</w:t>
            </w:r>
            <w:r w:rsidRPr="00494726">
              <w:t>).</w:t>
            </w:r>
          </w:p>
        </w:tc>
      </w:tr>
      <w:tr w:rsidR="00037871" w:rsidRPr="002F7C99" w:rsidTr="0025114F">
        <w:trPr>
          <w:cantSplit/>
        </w:trPr>
        <w:tc>
          <w:tcPr>
            <w:tcW w:w="8793" w:type="dxa"/>
            <w:gridSpan w:val="3"/>
            <w:tcBorders>
              <w:top w:val="nil"/>
              <w:left w:val="nil"/>
              <w:bottom w:val="single" w:sz="6" w:space="0" w:color="78A22F"/>
              <w:right w:val="nil"/>
            </w:tcBorders>
            <w:shd w:val="clear" w:color="auto" w:fill="F2F2F2"/>
          </w:tcPr>
          <w:p w:rsidR="00444B6F" w:rsidRPr="002F7C99" w:rsidRDefault="00444B6F" w:rsidP="00F409A2">
            <w:pPr>
              <w:pStyle w:val="Box"/>
              <w:spacing w:before="0" w:line="120" w:lineRule="exact"/>
            </w:pPr>
          </w:p>
        </w:tc>
      </w:tr>
      <w:tr w:rsidR="00037871" w:rsidRPr="002F7C99" w:rsidTr="0025114F">
        <w:tc>
          <w:tcPr>
            <w:tcW w:w="8793" w:type="dxa"/>
            <w:gridSpan w:val="3"/>
            <w:tcBorders>
              <w:top w:val="single" w:sz="6" w:space="0" w:color="78A22F"/>
              <w:left w:val="nil"/>
              <w:bottom w:val="nil"/>
              <w:right w:val="nil"/>
            </w:tcBorders>
          </w:tcPr>
          <w:p w:rsidR="00444B6F" w:rsidRPr="002F7C99" w:rsidRDefault="00444B6F" w:rsidP="00F409A2">
            <w:pPr>
              <w:pStyle w:val="BoxSpaceBelow"/>
            </w:pPr>
          </w:p>
        </w:tc>
      </w:tr>
    </w:tbl>
    <w:p w:rsidR="00444B6F" w:rsidRPr="00FD3F04" w:rsidRDefault="00444B6F" w:rsidP="00444B6F">
      <w:pPr>
        <w:pStyle w:val="BodyText"/>
      </w:pPr>
    </w:p>
    <w:p w:rsidR="00094646" w:rsidRPr="00037871" w:rsidRDefault="00094646" w:rsidP="00094646">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25114F">
        <w:tc>
          <w:tcPr>
            <w:tcW w:w="8793" w:type="dxa"/>
            <w:gridSpan w:val="3"/>
            <w:tcBorders>
              <w:top w:val="single" w:sz="6" w:space="0" w:color="78A22F"/>
              <w:left w:val="nil"/>
              <w:bottom w:val="nil"/>
              <w:right w:val="nil"/>
            </w:tcBorders>
            <w:shd w:val="clear" w:color="auto" w:fill="F2F2F2"/>
          </w:tcPr>
          <w:p w:rsidR="00094646" w:rsidRPr="002F7C99" w:rsidRDefault="00094646" w:rsidP="002F7C99">
            <w:pPr>
              <w:pStyle w:val="BoxTitle"/>
            </w:pPr>
            <w:r w:rsidRPr="002F7C99">
              <w:t>4.</w:t>
            </w:r>
            <w:r w:rsidR="002F7C99" w:rsidRPr="002F7C99">
              <w:t>7</w:t>
            </w:r>
            <w:r w:rsidRPr="002F7C99">
              <w:tab/>
              <w:t>Employment</w:t>
            </w:r>
          </w:p>
        </w:tc>
      </w:tr>
      <w:tr w:rsidR="00037871" w:rsidRPr="00037871" w:rsidTr="0025114F">
        <w:trPr>
          <w:cantSplit/>
        </w:trPr>
        <w:tc>
          <w:tcPr>
            <w:tcW w:w="8793" w:type="dxa"/>
            <w:gridSpan w:val="3"/>
            <w:tcBorders>
              <w:top w:val="nil"/>
              <w:left w:val="nil"/>
              <w:bottom w:val="nil"/>
              <w:right w:val="nil"/>
            </w:tcBorders>
            <w:shd w:val="clear" w:color="auto" w:fill="F2F2F2"/>
          </w:tcPr>
          <w:p w:rsidR="00094646" w:rsidRPr="00893BC4" w:rsidRDefault="00094646" w:rsidP="008528B1">
            <w:pPr>
              <w:pStyle w:val="Box"/>
              <w:spacing w:after="120"/>
            </w:pPr>
            <w:r w:rsidRPr="00893BC4">
              <w:t>Halving the gap in employment outcomes between Indigenous and non</w:t>
            </w:r>
            <w:r w:rsidR="00FB3DF6">
              <w:noBreakHyphen/>
            </w:r>
            <w:r w:rsidRPr="00893BC4">
              <w:t>Indigenous Australians within a decade (by 2018) is a COAG target.</w:t>
            </w:r>
          </w:p>
        </w:tc>
      </w:tr>
      <w:tr w:rsidR="00037871" w:rsidRPr="00037871" w:rsidTr="0025114F">
        <w:trPr>
          <w:cantSplit/>
        </w:trPr>
        <w:tc>
          <w:tcPr>
            <w:tcW w:w="3828" w:type="dxa"/>
            <w:tcBorders>
              <w:top w:val="nil"/>
              <w:left w:val="nil"/>
              <w:bottom w:val="nil"/>
              <w:right w:val="nil"/>
            </w:tcBorders>
            <w:shd w:val="clear" w:color="auto" w:fill="F2F2F2"/>
          </w:tcPr>
          <w:p w:rsidR="00094646" w:rsidRPr="004B7B30" w:rsidRDefault="00094646" w:rsidP="00F409A2">
            <w:pPr>
              <w:pStyle w:val="Box"/>
            </w:pPr>
            <w:r w:rsidRPr="004B7B30">
              <w:t>Being employed directly improves social and economic wellbeing, and contributes to improved outcomes for individuals, families and communities.</w:t>
            </w:r>
          </w:p>
        </w:tc>
        <w:tc>
          <w:tcPr>
            <w:tcW w:w="992" w:type="dxa"/>
            <w:tcBorders>
              <w:top w:val="nil"/>
              <w:left w:val="nil"/>
              <w:bottom w:val="nil"/>
              <w:right w:val="nil"/>
            </w:tcBorders>
            <w:shd w:val="clear" w:color="auto" w:fill="8E8FA6"/>
          </w:tcPr>
          <w:p w:rsidR="00094646" w:rsidRPr="004B7B30" w:rsidRDefault="00094646" w:rsidP="00F409A2">
            <w:pPr>
              <w:pStyle w:val="BoxHeading1"/>
            </w:pPr>
          </w:p>
          <w:p w:rsidR="004B7B30" w:rsidRDefault="004B7B30" w:rsidP="004F3501">
            <w:pPr>
              <w:pStyle w:val="Box"/>
              <w:spacing w:before="280"/>
              <w:jc w:val="center"/>
              <w:rPr>
                <w:b/>
                <w:sz w:val="48"/>
                <w:szCs w:val="48"/>
              </w:rPr>
            </w:pPr>
          </w:p>
          <w:p w:rsidR="00094646" w:rsidRPr="004B7B30" w:rsidRDefault="00094646" w:rsidP="004F3501">
            <w:pPr>
              <w:pStyle w:val="Box"/>
              <w:spacing w:before="280"/>
              <w:jc w:val="center"/>
              <w:rPr>
                <w:b/>
                <w:sz w:val="48"/>
                <w:szCs w:val="48"/>
              </w:rPr>
            </w:pPr>
            <w:r w:rsidRPr="004B7B30">
              <w:rPr>
                <w:b/>
                <w:sz w:val="48"/>
                <w:szCs w:val="48"/>
              </w:rPr>
              <w:t>?</w:t>
            </w:r>
          </w:p>
        </w:tc>
        <w:tc>
          <w:tcPr>
            <w:tcW w:w="3973" w:type="dxa"/>
            <w:tcBorders>
              <w:top w:val="nil"/>
              <w:left w:val="nil"/>
              <w:bottom w:val="nil"/>
              <w:right w:val="nil"/>
            </w:tcBorders>
            <w:shd w:val="clear" w:color="auto" w:fill="F2F2F2"/>
          </w:tcPr>
          <w:p w:rsidR="00094646" w:rsidRPr="004B7B30" w:rsidRDefault="00124A61" w:rsidP="00094646">
            <w:pPr>
              <w:pStyle w:val="Box"/>
            </w:pPr>
            <w:r w:rsidRPr="004B7B30">
              <w:t xml:space="preserve">The employment to population rate for Aboriginal and Torres Strait Islander </w:t>
            </w:r>
            <w:r w:rsidR="00D44B60" w:rsidRPr="004B7B30">
              <w:br/>
            </w:r>
            <w:r w:rsidRPr="004B7B30">
              <w:t>15–64 year olds increase</w:t>
            </w:r>
            <w:r w:rsidR="009E01B1">
              <w:t>d from 38 </w:t>
            </w:r>
            <w:r w:rsidR="003E3A2A" w:rsidRPr="004B7B30">
              <w:t>per cent in 1994 to 54</w:t>
            </w:r>
            <w:r w:rsidRPr="004B7B30">
              <w:t xml:space="preserve"> per cent in 2008, before decreasing to 48</w:t>
            </w:r>
            <w:r w:rsidR="009E01B1">
              <w:t> </w:t>
            </w:r>
            <w:r w:rsidRPr="004B7B30">
              <w:t>per cent in 2012</w:t>
            </w:r>
            <w:r w:rsidRPr="004B7B30">
              <w:noBreakHyphen/>
              <w:t>13 (</w:t>
            </w:r>
            <w:r w:rsidR="00494726" w:rsidRPr="004B7B30">
              <w:t>similar to 2014</w:t>
            </w:r>
            <w:r w:rsidR="00FB3DF6">
              <w:noBreakHyphen/>
            </w:r>
            <w:r w:rsidR="00494726" w:rsidRPr="004B7B30">
              <w:t xml:space="preserve">15), </w:t>
            </w:r>
            <w:r w:rsidRPr="004B7B30">
              <w:t xml:space="preserve">potentially </w:t>
            </w:r>
            <w:r w:rsidR="00494726" w:rsidRPr="004B7B30">
              <w:t>partly driven by changes to the CDEP program</w:t>
            </w:r>
            <w:r w:rsidRPr="004B7B30">
              <w:t>.</w:t>
            </w:r>
          </w:p>
          <w:p w:rsidR="00D44B60" w:rsidRPr="004B7B30" w:rsidRDefault="00D44B60" w:rsidP="004B7B30">
            <w:pPr>
              <w:pStyle w:val="Box"/>
            </w:pPr>
            <w:r w:rsidRPr="004B7B30">
              <w:t>Data for non</w:t>
            </w:r>
            <w:r w:rsidR="00FB3DF6">
              <w:noBreakHyphen/>
            </w:r>
            <w:r w:rsidRPr="004B7B30">
              <w:t>Indigenous 15–64 year olds are available from 2004</w:t>
            </w:r>
            <w:r w:rsidR="00FB3DF6">
              <w:noBreakHyphen/>
            </w:r>
            <w:r w:rsidRPr="004B7B30">
              <w:t>05</w:t>
            </w:r>
            <w:r w:rsidR="00A82426" w:rsidRPr="004B7B30">
              <w:t xml:space="preserve">. The </w:t>
            </w:r>
            <w:r w:rsidRPr="004B7B30">
              <w:t>rate increased from 74</w:t>
            </w:r>
            <w:r w:rsidR="00A82426" w:rsidRPr="004B7B30">
              <w:t xml:space="preserve"> per cent in 2004</w:t>
            </w:r>
            <w:r w:rsidR="00FB3DF6">
              <w:noBreakHyphen/>
            </w:r>
            <w:r w:rsidR="00A82426" w:rsidRPr="004B7B30">
              <w:t>05</w:t>
            </w:r>
            <w:r w:rsidRPr="004B7B30">
              <w:t xml:space="preserve"> to 77 per cent in 2011</w:t>
            </w:r>
            <w:r w:rsidR="00FB3DF6">
              <w:noBreakHyphen/>
            </w:r>
            <w:r w:rsidRPr="004B7B30">
              <w:t>12</w:t>
            </w:r>
            <w:r w:rsidR="004B7B30" w:rsidRPr="004B7B30">
              <w:t xml:space="preserve"> before decreasing to 75 per cent in 2014</w:t>
            </w:r>
            <w:r w:rsidR="00FB3DF6">
              <w:noBreakHyphen/>
            </w:r>
            <w:r w:rsidR="004B7B30" w:rsidRPr="004B7B30">
              <w:t>15</w:t>
            </w:r>
            <w:r w:rsidRPr="004B7B30">
              <w:t>.</w:t>
            </w:r>
          </w:p>
        </w:tc>
      </w:tr>
      <w:tr w:rsidR="00037871" w:rsidRPr="00037871" w:rsidTr="0025114F">
        <w:trPr>
          <w:cantSplit/>
        </w:trPr>
        <w:tc>
          <w:tcPr>
            <w:tcW w:w="8793" w:type="dxa"/>
            <w:gridSpan w:val="3"/>
            <w:tcBorders>
              <w:top w:val="nil"/>
              <w:left w:val="nil"/>
              <w:bottom w:val="nil"/>
              <w:right w:val="nil"/>
            </w:tcBorders>
            <w:shd w:val="clear" w:color="auto" w:fill="F2F2F2"/>
          </w:tcPr>
          <w:p w:rsidR="00124A61" w:rsidRPr="004B7B30" w:rsidRDefault="00124A61" w:rsidP="0057529E">
            <w:pPr>
              <w:pStyle w:val="Box"/>
              <w:spacing w:before="80"/>
              <w:rPr>
                <w:i/>
              </w:rPr>
            </w:pPr>
            <w:r w:rsidRPr="004B7B30">
              <w:rPr>
                <w:i/>
              </w:rPr>
              <w:t>Data for this indicator are difficult to interp</w:t>
            </w:r>
            <w:r w:rsidR="00F174BD" w:rsidRPr="004B7B30">
              <w:rPr>
                <w:i/>
              </w:rPr>
              <w:t xml:space="preserve">ret due to </w:t>
            </w:r>
            <w:r w:rsidR="001D733F" w:rsidRPr="00E92224">
              <w:rPr>
                <w:i/>
              </w:rPr>
              <w:t xml:space="preserve">a number of changes including </w:t>
            </w:r>
            <w:r w:rsidR="00F174BD" w:rsidRPr="00E92224">
              <w:rPr>
                <w:i/>
              </w:rPr>
              <w:t xml:space="preserve">the Community Development </w:t>
            </w:r>
            <w:r w:rsidR="0057529E" w:rsidRPr="00E92224">
              <w:rPr>
                <w:i/>
              </w:rPr>
              <w:t>Employment</w:t>
            </w:r>
            <w:r w:rsidR="0057529E" w:rsidRPr="004B7B30">
              <w:rPr>
                <w:i/>
              </w:rPr>
              <w:t xml:space="preserve"> </w:t>
            </w:r>
            <w:r w:rsidR="00F174BD" w:rsidRPr="004B7B30">
              <w:rPr>
                <w:i/>
              </w:rPr>
              <w:t>Projects (</w:t>
            </w:r>
            <w:r w:rsidRPr="004B7B30">
              <w:rPr>
                <w:i/>
              </w:rPr>
              <w:t>CDEP</w:t>
            </w:r>
            <w:r w:rsidR="00F174BD" w:rsidRPr="004B7B30">
              <w:rPr>
                <w:i/>
              </w:rPr>
              <w:t>) program</w:t>
            </w:r>
            <w:r w:rsidRPr="004B7B30">
              <w:rPr>
                <w:i/>
              </w:rPr>
              <w:t>.</w:t>
            </w:r>
          </w:p>
        </w:tc>
      </w:tr>
      <w:tr w:rsidR="00037871" w:rsidRPr="00037871" w:rsidTr="0025114F">
        <w:trPr>
          <w:cantSplit/>
        </w:trPr>
        <w:tc>
          <w:tcPr>
            <w:tcW w:w="8793" w:type="dxa"/>
            <w:gridSpan w:val="3"/>
            <w:tcBorders>
              <w:top w:val="nil"/>
              <w:left w:val="nil"/>
              <w:bottom w:val="nil"/>
              <w:right w:val="nil"/>
            </w:tcBorders>
            <w:shd w:val="clear" w:color="auto" w:fill="F2F2F2"/>
          </w:tcPr>
          <w:p w:rsidR="00094646" w:rsidRPr="004B7B30" w:rsidRDefault="00D42A93" w:rsidP="004B7B30">
            <w:pPr>
              <w:pStyle w:val="BoxHeading1"/>
              <w:spacing w:before="120"/>
              <w:rPr>
                <w:rStyle w:val="NoteLabel"/>
              </w:rPr>
            </w:pPr>
            <w:r w:rsidRPr="004B7B30">
              <w:t>Aboriginal and Torres Strait Islander</w:t>
            </w:r>
            <w:r w:rsidR="00C32E7D" w:rsidRPr="004B7B30">
              <w:t xml:space="preserve"> e</w:t>
            </w:r>
            <w:r w:rsidR="00094646" w:rsidRPr="004B7B30">
              <w:t xml:space="preserve">mployment </w:t>
            </w:r>
            <w:r w:rsidR="004B7B30" w:rsidRPr="004B7B30">
              <w:t>to population rate, 1994 to 2014</w:t>
            </w:r>
            <w:r w:rsidR="00FB3DF6">
              <w:noBreakHyphen/>
            </w:r>
            <w:r w:rsidR="00094646" w:rsidRPr="004B7B30">
              <w:t>1</w:t>
            </w:r>
            <w:r w:rsidR="004B7B30" w:rsidRPr="004B7B30">
              <w:t>5</w:t>
            </w:r>
            <w:r w:rsidR="00094646" w:rsidRPr="00E04A22">
              <w:rPr>
                <w:rStyle w:val="NoteLabel"/>
                <w:b/>
              </w:rPr>
              <w:t>a</w:t>
            </w:r>
          </w:p>
        </w:tc>
      </w:tr>
      <w:tr w:rsidR="00037871" w:rsidRPr="00037871" w:rsidTr="0025114F">
        <w:trPr>
          <w:cantSplit/>
        </w:trPr>
        <w:tc>
          <w:tcPr>
            <w:tcW w:w="8793" w:type="dxa"/>
            <w:gridSpan w:val="3"/>
            <w:tcBorders>
              <w:top w:val="nil"/>
              <w:left w:val="nil"/>
              <w:bottom w:val="nil"/>
              <w:right w:val="nil"/>
            </w:tcBorders>
            <w:shd w:val="clear" w:color="auto" w:fill="F2F2F2"/>
          </w:tcPr>
          <w:p w:rsidR="00094646" w:rsidRPr="00E92224" w:rsidRDefault="00CF5D2B" w:rsidP="00094646">
            <w:pPr>
              <w:pStyle w:val="BoxHeading2"/>
              <w:jc w:val="center"/>
              <w:rPr>
                <w:i w:val="0"/>
              </w:rPr>
            </w:pPr>
            <w:r w:rsidRPr="00E92224">
              <w:rPr>
                <w:noProof/>
              </w:rPr>
              <w:drawing>
                <wp:inline distT="0" distB="0" distL="0" distR="0" wp14:anchorId="7A6E631E" wp14:editId="77DD7712">
                  <wp:extent cx="5400000" cy="2880000"/>
                  <wp:effectExtent l="0" t="0" r="0" b="0"/>
                  <wp:docPr id="10" name="Chart 10" descr="Figure: Aboriginal and Torres Strait Islander employment to population rate, 1994 to 2014-15&#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37871" w:rsidRPr="00037871" w:rsidTr="000A5776">
        <w:trPr>
          <w:cantSplit/>
        </w:trPr>
        <w:tc>
          <w:tcPr>
            <w:tcW w:w="8793" w:type="dxa"/>
            <w:gridSpan w:val="3"/>
            <w:tcBorders>
              <w:top w:val="nil"/>
              <w:left w:val="nil"/>
              <w:bottom w:val="nil"/>
              <w:right w:val="nil"/>
            </w:tcBorders>
            <w:shd w:val="clear" w:color="auto" w:fill="F2F2F2"/>
          </w:tcPr>
          <w:p w:rsidR="00094646" w:rsidRPr="004B7B30" w:rsidRDefault="00094646" w:rsidP="00094646">
            <w:pPr>
              <w:pStyle w:val="BoxHeading2"/>
              <w:spacing w:before="80" w:line="240" w:lineRule="exact"/>
              <w:rPr>
                <w:i w:val="0"/>
                <w:sz w:val="18"/>
                <w:szCs w:val="18"/>
              </w:rPr>
            </w:pPr>
            <w:r w:rsidRPr="004B7B30">
              <w:rPr>
                <w:rStyle w:val="NoteLabel"/>
                <w:i w:val="0"/>
                <w:szCs w:val="18"/>
              </w:rPr>
              <w:t>a</w:t>
            </w:r>
            <w:r w:rsidRPr="004B7B30">
              <w:rPr>
                <w:sz w:val="18"/>
                <w:szCs w:val="18"/>
              </w:rPr>
              <w:t xml:space="preserve"> </w:t>
            </w:r>
            <w:r w:rsidRPr="004B7B30">
              <w:rPr>
                <w:i w:val="0"/>
                <w:sz w:val="18"/>
                <w:szCs w:val="18"/>
              </w:rPr>
              <w:t>Error bars represent 95 per cent confidence intervals around each estimate.</w:t>
            </w:r>
          </w:p>
          <w:p w:rsidR="003D78B3" w:rsidRDefault="003D78B3" w:rsidP="004B7B30">
            <w:pPr>
              <w:pStyle w:val="Source"/>
            </w:pPr>
            <w:r w:rsidRPr="004B7B30">
              <w:rPr>
                <w:i/>
              </w:rPr>
              <w:t>Source</w:t>
            </w:r>
            <w:r w:rsidRPr="004B7B30">
              <w:t>: Figure</w:t>
            </w:r>
            <w:r w:rsidR="00FB3DF6">
              <w:t> </w:t>
            </w:r>
            <w:r w:rsidRPr="004B7B30">
              <w:t>4.</w:t>
            </w:r>
            <w:r w:rsidR="004B7B30" w:rsidRPr="004B7B30">
              <w:t>7</w:t>
            </w:r>
            <w:r w:rsidRPr="004B7B30">
              <w:t>.1 in the main report.</w:t>
            </w:r>
          </w:p>
          <w:p w:rsidR="0025114F" w:rsidRPr="0025114F" w:rsidRDefault="0025114F" w:rsidP="0025114F">
            <w:pPr>
              <w:pStyle w:val="BodyText"/>
              <w:jc w:val="right"/>
              <w:rPr>
                <w:rFonts w:asciiTheme="majorHAnsi" w:hAnsiTheme="majorHAnsi" w:cstheme="majorHAnsi"/>
                <w:sz w:val="18"/>
                <w:szCs w:val="18"/>
              </w:rPr>
            </w:pPr>
            <w:r w:rsidRPr="0025114F">
              <w:rPr>
                <w:rFonts w:asciiTheme="majorHAnsi" w:hAnsiTheme="majorHAnsi" w:cstheme="majorHAnsi"/>
                <w:sz w:val="18"/>
                <w:szCs w:val="18"/>
              </w:rPr>
              <w:t>(continued next page)</w:t>
            </w:r>
          </w:p>
        </w:tc>
      </w:tr>
      <w:tr w:rsidR="0025114F" w:rsidRPr="0025114F" w:rsidTr="000A5776">
        <w:trPr>
          <w:cantSplit/>
        </w:trPr>
        <w:tc>
          <w:tcPr>
            <w:tcW w:w="8793" w:type="dxa"/>
            <w:gridSpan w:val="3"/>
            <w:tcBorders>
              <w:top w:val="nil"/>
              <w:left w:val="nil"/>
              <w:bottom w:val="single" w:sz="4" w:space="0" w:color="78A22F" w:themeColor="accent1"/>
              <w:right w:val="nil"/>
            </w:tcBorders>
            <w:shd w:val="clear" w:color="auto" w:fill="F2F2F2"/>
          </w:tcPr>
          <w:p w:rsidR="0025114F" w:rsidRPr="0025114F" w:rsidRDefault="0025114F" w:rsidP="0025114F">
            <w:pPr>
              <w:pStyle w:val="BoxHeading2"/>
              <w:spacing w:before="0" w:line="240" w:lineRule="auto"/>
              <w:rPr>
                <w:rStyle w:val="NoteLabel"/>
                <w:i w:val="0"/>
                <w:sz w:val="10"/>
                <w:szCs w:val="10"/>
              </w:rPr>
            </w:pPr>
          </w:p>
        </w:tc>
      </w:tr>
      <w:tr w:rsidR="00037871" w:rsidRPr="00037871" w:rsidTr="000A5776">
        <w:trPr>
          <w:cantSplit/>
        </w:trPr>
        <w:tc>
          <w:tcPr>
            <w:tcW w:w="8793" w:type="dxa"/>
            <w:gridSpan w:val="3"/>
            <w:tcBorders>
              <w:top w:val="single" w:sz="4" w:space="0" w:color="78A22F" w:themeColor="accent1"/>
              <w:left w:val="nil"/>
              <w:bottom w:val="nil"/>
              <w:right w:val="nil"/>
            </w:tcBorders>
            <w:shd w:val="clear" w:color="auto" w:fill="F2F2F2"/>
          </w:tcPr>
          <w:p w:rsidR="000A5776" w:rsidRPr="000A5776" w:rsidRDefault="000A5776" w:rsidP="00F409A2">
            <w:pPr>
              <w:pStyle w:val="BoxHeading2"/>
              <w:rPr>
                <w:b/>
                <w:i w:val="0"/>
              </w:rPr>
            </w:pPr>
            <w:r w:rsidRPr="00026106">
              <w:rPr>
                <w:b/>
                <w:i w:val="0"/>
                <w:sz w:val="24"/>
                <w:szCs w:val="24"/>
              </w:rPr>
              <w:t>4.7</w:t>
            </w:r>
            <w:r>
              <w:rPr>
                <w:b/>
                <w:i w:val="0"/>
              </w:rPr>
              <w:t xml:space="preserve">                   </w:t>
            </w:r>
            <w:r w:rsidRPr="000A5776">
              <w:rPr>
                <w:b/>
                <w:i w:val="0"/>
                <w:sz w:val="18"/>
                <w:szCs w:val="18"/>
              </w:rPr>
              <w:t>(continued)</w:t>
            </w:r>
          </w:p>
          <w:p w:rsidR="00094646" w:rsidRPr="00FF2BBD" w:rsidRDefault="00094646" w:rsidP="00F409A2">
            <w:pPr>
              <w:pStyle w:val="BoxHeading2"/>
            </w:pPr>
            <w:r w:rsidRPr="00FF2BBD">
              <w:t>Things that work</w:t>
            </w:r>
          </w:p>
          <w:p w:rsidR="00094646" w:rsidRPr="00037871" w:rsidRDefault="00094646" w:rsidP="0081102D">
            <w:pPr>
              <w:pStyle w:val="Box"/>
              <w:rPr>
                <w:color w:val="00B050"/>
              </w:rPr>
            </w:pPr>
            <w:r w:rsidRPr="00FF2BBD">
              <w:t>The national</w:t>
            </w:r>
            <w:r w:rsidRPr="00FF2BBD">
              <w:rPr>
                <w:b/>
              </w:rPr>
              <w:t xml:space="preserve"> Working on Country</w:t>
            </w:r>
            <w:r w:rsidRPr="00FF2BBD">
              <w:t xml:space="preserve"> program provides employment and training opportunities to assist Aboriginal and Torres Strait Islander Australians in rural and remote areas to undertake work in natural resource management</w:t>
            </w:r>
            <w:r w:rsidR="00A82426" w:rsidRPr="00FF2BBD">
              <w:t>. I</w:t>
            </w:r>
            <w:r w:rsidR="00FF2BBD" w:rsidRPr="00FF2BBD">
              <w:t>n May 2016</w:t>
            </w:r>
            <w:r w:rsidRPr="00FF2BBD">
              <w:t xml:space="preserve"> there </w:t>
            </w:r>
            <w:r w:rsidR="00FF2BBD" w:rsidRPr="00FF2BBD">
              <w:t>were over 777 FTE</w:t>
            </w:r>
            <w:r w:rsidRPr="00FF2BBD">
              <w:t xml:space="preserve"> ranger</w:t>
            </w:r>
            <w:r w:rsidR="00FF2BBD" w:rsidRPr="00FF2BBD">
              <w:t xml:space="preserve"> positions</w:t>
            </w:r>
            <w:r w:rsidRPr="00FF2BBD">
              <w:t xml:space="preserve">. A 2011 evaluation found that the rangers saw the jobs as ‘real jobs’ that provided better income and conditions, more interesting work and ongoing employment, </w:t>
            </w:r>
            <w:r w:rsidR="0081102D">
              <w:t>compared to</w:t>
            </w:r>
            <w:r w:rsidRPr="00FF2BBD">
              <w:t xml:space="preserve"> the CDEP a</w:t>
            </w:r>
            <w:r w:rsidR="00DD2358" w:rsidRPr="00FF2BBD">
              <w:t>lternative (</w:t>
            </w:r>
            <w:r w:rsidR="002D57A1">
              <w:t xml:space="preserve">see </w:t>
            </w:r>
            <w:r w:rsidR="00DD2358" w:rsidRPr="00FF2BBD">
              <w:t>box </w:t>
            </w:r>
            <w:r w:rsidR="00FF2BBD" w:rsidRPr="00FF2BBD">
              <w:t>4.7.4</w:t>
            </w:r>
            <w:r w:rsidR="002D57A1">
              <w:t xml:space="preserve"> in the main report for further detail</w:t>
            </w:r>
            <w:r w:rsidR="00FF2BBD" w:rsidRPr="00FF2BBD">
              <w:t>).</w:t>
            </w:r>
          </w:p>
        </w:tc>
      </w:tr>
      <w:tr w:rsidR="00037871" w:rsidRPr="00037871" w:rsidTr="0025114F">
        <w:trPr>
          <w:cantSplit/>
        </w:trPr>
        <w:tc>
          <w:tcPr>
            <w:tcW w:w="8793" w:type="dxa"/>
            <w:gridSpan w:val="3"/>
            <w:tcBorders>
              <w:top w:val="nil"/>
              <w:left w:val="nil"/>
              <w:bottom w:val="single" w:sz="6" w:space="0" w:color="78A22F"/>
              <w:right w:val="nil"/>
            </w:tcBorders>
            <w:shd w:val="clear" w:color="auto" w:fill="F2F2F2"/>
          </w:tcPr>
          <w:p w:rsidR="00094646" w:rsidRPr="00037871" w:rsidRDefault="00094646" w:rsidP="00F409A2">
            <w:pPr>
              <w:pStyle w:val="Box"/>
              <w:spacing w:before="0" w:line="120" w:lineRule="exact"/>
              <w:rPr>
                <w:color w:val="00B050"/>
              </w:rPr>
            </w:pPr>
          </w:p>
        </w:tc>
      </w:tr>
      <w:tr w:rsidR="00037871" w:rsidRPr="00037871" w:rsidTr="0025114F">
        <w:tc>
          <w:tcPr>
            <w:tcW w:w="8793" w:type="dxa"/>
            <w:gridSpan w:val="3"/>
            <w:tcBorders>
              <w:top w:val="single" w:sz="6" w:space="0" w:color="78A22F"/>
              <w:left w:val="nil"/>
              <w:bottom w:val="nil"/>
              <w:right w:val="nil"/>
            </w:tcBorders>
          </w:tcPr>
          <w:p w:rsidR="00094646" w:rsidRPr="00037871" w:rsidRDefault="00094646" w:rsidP="00F409A2">
            <w:pPr>
              <w:pStyle w:val="BoxSpaceBelow"/>
              <w:rPr>
                <w:color w:val="00B050"/>
              </w:rPr>
            </w:pPr>
          </w:p>
        </w:tc>
      </w:tr>
    </w:tbl>
    <w:p w:rsidR="00094646" w:rsidRPr="00037871" w:rsidRDefault="00094646" w:rsidP="00094646">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094646" w:rsidRPr="002F7C99" w:rsidRDefault="00094646" w:rsidP="002F7C99">
            <w:pPr>
              <w:pStyle w:val="BoxTitle"/>
              <w:spacing w:after="120"/>
            </w:pPr>
            <w:r w:rsidRPr="002F7C99">
              <w:t>4.</w:t>
            </w:r>
            <w:r w:rsidR="002F7C99">
              <w:t>8</w:t>
            </w:r>
            <w:r w:rsidRPr="002F7C99">
              <w:tab/>
              <w:t>Post</w:t>
            </w:r>
            <w:r w:rsidR="00FB3DF6">
              <w:noBreakHyphen/>
            </w:r>
            <w:r w:rsidRPr="002F7C99">
              <w:t xml:space="preserve">secondary education </w:t>
            </w:r>
            <w:r w:rsidRPr="002F7C99">
              <w:softHyphen/>
            </w:r>
            <w:r w:rsidR="00FB3DF6">
              <w:t xml:space="preserve"> </w:t>
            </w:r>
            <w:r w:rsidRPr="002F7C99">
              <w:t>— participation and attainment</w:t>
            </w:r>
          </w:p>
        </w:tc>
      </w:tr>
      <w:tr w:rsidR="00037871" w:rsidRPr="00037871" w:rsidTr="00671987">
        <w:trPr>
          <w:cantSplit/>
        </w:trPr>
        <w:tc>
          <w:tcPr>
            <w:tcW w:w="3828" w:type="dxa"/>
            <w:tcBorders>
              <w:top w:val="nil"/>
              <w:left w:val="nil"/>
              <w:bottom w:val="nil"/>
              <w:right w:val="nil"/>
            </w:tcBorders>
            <w:shd w:val="clear" w:color="auto" w:fill="F2F2F2"/>
          </w:tcPr>
          <w:p w:rsidR="00094646" w:rsidRPr="00FF2BBD" w:rsidRDefault="00124A61" w:rsidP="00F409A2">
            <w:pPr>
              <w:pStyle w:val="Box"/>
            </w:pPr>
            <w:r w:rsidRPr="00FF2BBD">
              <w:t>People with a skilled vocational or higher qualification are more likely to be employed that those without. Other potential benefits include a positive influen</w:t>
            </w:r>
            <w:r w:rsidR="00902379">
              <w:t>ce on health outcomes and inter</w:t>
            </w:r>
            <w:r w:rsidR="00902379">
              <w:noBreakHyphen/>
            </w:r>
            <w:r w:rsidRPr="00FF2BBD">
              <w:t>generational flow</w:t>
            </w:r>
            <w:r w:rsidR="00FB3DF6">
              <w:noBreakHyphen/>
            </w:r>
            <w:r w:rsidRPr="00FF2BBD">
              <w:t>ons.</w:t>
            </w:r>
          </w:p>
        </w:tc>
        <w:tc>
          <w:tcPr>
            <w:tcW w:w="992" w:type="dxa"/>
            <w:tcBorders>
              <w:top w:val="nil"/>
              <w:left w:val="nil"/>
              <w:bottom w:val="nil"/>
              <w:right w:val="nil"/>
            </w:tcBorders>
            <w:shd w:val="clear" w:color="auto" w:fill="418B50"/>
          </w:tcPr>
          <w:p w:rsidR="00094646" w:rsidRPr="00FF2BBD" w:rsidRDefault="00094646" w:rsidP="00F409A2">
            <w:pPr>
              <w:pStyle w:val="BoxHeading1"/>
            </w:pPr>
          </w:p>
          <w:p w:rsidR="00094646" w:rsidRPr="00FF2BBD" w:rsidRDefault="00094646" w:rsidP="00142ACE">
            <w:pPr>
              <w:pStyle w:val="Box"/>
              <w:spacing w:before="480"/>
              <w:jc w:val="center"/>
              <w:rPr>
                <w:sz w:val="48"/>
                <w:szCs w:val="48"/>
              </w:rPr>
            </w:pPr>
            <w:r w:rsidRPr="00FF2BBD">
              <w:rPr>
                <w:sz w:val="48"/>
                <w:szCs w:val="48"/>
              </w:rPr>
              <w:softHyphen/>
            </w:r>
            <w:r w:rsidR="00142ACE" w:rsidRPr="00FF2BBD">
              <w:rPr>
                <w:rFonts w:ascii="Wingdings 2" w:hAnsi="Wingdings 2" w:cs="Arial"/>
                <w:b/>
                <w:sz w:val="48"/>
                <w:szCs w:val="48"/>
              </w:rPr>
              <w:t></w:t>
            </w:r>
          </w:p>
        </w:tc>
        <w:tc>
          <w:tcPr>
            <w:tcW w:w="3973" w:type="dxa"/>
            <w:tcBorders>
              <w:top w:val="nil"/>
              <w:left w:val="nil"/>
              <w:bottom w:val="nil"/>
              <w:right w:val="nil"/>
            </w:tcBorders>
            <w:shd w:val="clear" w:color="auto" w:fill="F2F2F2"/>
          </w:tcPr>
          <w:p w:rsidR="00540CA8" w:rsidRDefault="00540CA8" w:rsidP="00540CA8">
            <w:pPr>
              <w:pStyle w:val="Box"/>
            </w:pPr>
            <w:r>
              <w:t>The proportion of</w:t>
            </w:r>
            <w:r w:rsidR="00124A61" w:rsidRPr="00FF2BBD">
              <w:t xml:space="preserve"> Aboriginal and Torres Strait Islander 20–64 year olds </w:t>
            </w:r>
            <w:r>
              <w:t>with</w:t>
            </w:r>
            <w:r w:rsidRPr="00FF2BBD">
              <w:t xml:space="preserve"> </w:t>
            </w:r>
            <w:r w:rsidR="00124A61" w:rsidRPr="00FF2BBD">
              <w:t>a Certificate level III</w:t>
            </w:r>
            <w:r w:rsidR="00FF2BBD" w:rsidRPr="00FF2BBD">
              <w:t xml:space="preserve"> or above or studying</w:t>
            </w:r>
            <w:r>
              <w:t xml:space="preserve"> increased from 26 per cent in 2002 to 47 per cent in 2014</w:t>
            </w:r>
            <w:r w:rsidR="00FB3DF6">
              <w:noBreakHyphen/>
            </w:r>
            <w:r>
              <w:t>15</w:t>
            </w:r>
            <w:r w:rsidR="00124A61" w:rsidRPr="00FF2BBD">
              <w:t xml:space="preserve">. </w:t>
            </w:r>
          </w:p>
          <w:p w:rsidR="00094646" w:rsidRPr="00FF2BBD" w:rsidRDefault="00124A61">
            <w:pPr>
              <w:pStyle w:val="Box"/>
            </w:pPr>
            <w:r w:rsidRPr="00FF2BBD">
              <w:t>The gap between Aboriginal and Torres Strait Islander and non</w:t>
            </w:r>
            <w:r w:rsidR="00FB3DF6">
              <w:noBreakHyphen/>
            </w:r>
            <w:r w:rsidRPr="00FF2BBD">
              <w:t>Indigenous Austra</w:t>
            </w:r>
            <w:r w:rsidR="00FF2BBD" w:rsidRPr="00FF2BBD">
              <w:t>lians remained steady</w:t>
            </w:r>
            <w:r w:rsidR="00540CA8">
              <w:t xml:space="preserve"> </w:t>
            </w:r>
            <w:r w:rsidR="00FF2BBD" w:rsidRPr="00FF2BBD">
              <w:t>around</w:t>
            </w:r>
            <w:r w:rsidR="00540CA8">
              <w:t xml:space="preserve"> </w:t>
            </w:r>
            <w:r w:rsidR="00902379">
              <w:br/>
            </w:r>
            <w:r w:rsidR="00FF2BBD" w:rsidRPr="00FF2BBD">
              <w:t>23</w:t>
            </w:r>
            <w:r w:rsidRPr="00FF2BBD">
              <w:t>–25 percentage points over the period.</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094646" w:rsidRPr="00037871" w:rsidRDefault="00094646"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094646" w:rsidRPr="00037871" w:rsidRDefault="00094646" w:rsidP="00F409A2">
            <w:pPr>
              <w:pStyle w:val="BoxSpaceBelow"/>
              <w:rPr>
                <w:color w:val="00B050"/>
              </w:rPr>
            </w:pPr>
          </w:p>
        </w:tc>
      </w:tr>
    </w:tbl>
    <w:p w:rsidR="00094646" w:rsidRPr="00037871" w:rsidRDefault="00094646" w:rsidP="00094646">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094646" w:rsidRPr="002F7C99" w:rsidRDefault="00094646" w:rsidP="002F7C99">
            <w:pPr>
              <w:pStyle w:val="BoxTitle"/>
              <w:spacing w:after="120"/>
            </w:pPr>
            <w:r w:rsidRPr="002F7C99">
              <w:t>4.</w:t>
            </w:r>
            <w:r w:rsidR="002F7C99" w:rsidRPr="002F7C99">
              <w:t>9</w:t>
            </w:r>
            <w:r w:rsidRPr="002F7C99">
              <w:tab/>
            </w:r>
            <w:r w:rsidR="00864095" w:rsidRPr="002F7C99">
              <w:t>Disability and chronic disease</w:t>
            </w:r>
          </w:p>
        </w:tc>
      </w:tr>
      <w:tr w:rsidR="00037871" w:rsidRPr="00037871" w:rsidTr="00671987">
        <w:trPr>
          <w:cantSplit/>
        </w:trPr>
        <w:tc>
          <w:tcPr>
            <w:tcW w:w="3828" w:type="dxa"/>
            <w:tcBorders>
              <w:top w:val="nil"/>
              <w:left w:val="nil"/>
              <w:bottom w:val="nil"/>
              <w:right w:val="nil"/>
            </w:tcBorders>
            <w:shd w:val="clear" w:color="auto" w:fill="F2F2F2"/>
          </w:tcPr>
          <w:p w:rsidR="00864095" w:rsidRPr="00FF2BBD" w:rsidRDefault="00864095" w:rsidP="00F409A2">
            <w:pPr>
              <w:pStyle w:val="Box"/>
            </w:pPr>
            <w:r w:rsidRPr="00FF2BBD">
              <w:t xml:space="preserve">High rates of disability and chronic disease affect the quality of life of many Aboriginal and Torres Strait Islander Australians. Disability can affect other outcomes, by creating barriers to social interaction and reducing access to services, </w:t>
            </w:r>
            <w:r w:rsidR="00DD2358" w:rsidRPr="00FF2BBD">
              <w:t>education and employment</w:t>
            </w:r>
            <w:r w:rsidRPr="00FF2BBD">
              <w:t>.</w:t>
            </w:r>
          </w:p>
        </w:tc>
        <w:tc>
          <w:tcPr>
            <w:tcW w:w="992" w:type="dxa"/>
            <w:tcBorders>
              <w:top w:val="nil"/>
              <w:left w:val="nil"/>
              <w:bottom w:val="nil"/>
              <w:right w:val="nil"/>
            </w:tcBorders>
            <w:shd w:val="clear" w:color="auto" w:fill="DA9C13"/>
          </w:tcPr>
          <w:p w:rsidR="00864095" w:rsidRPr="00FF2BBD" w:rsidRDefault="00864095" w:rsidP="00F409A2">
            <w:pPr>
              <w:pStyle w:val="BoxHeading1"/>
            </w:pPr>
          </w:p>
          <w:p w:rsidR="00864095" w:rsidRPr="00FF2BBD" w:rsidRDefault="00864095" w:rsidP="00F409A2">
            <w:pPr>
              <w:pStyle w:val="Box"/>
            </w:pPr>
          </w:p>
          <w:p w:rsidR="00374986" w:rsidRDefault="00864095" w:rsidP="00F409A2">
            <w:pPr>
              <w:pStyle w:val="Box"/>
              <w:spacing w:before="0"/>
              <w:jc w:val="center"/>
              <w:rPr>
                <w:sz w:val="48"/>
                <w:szCs w:val="48"/>
              </w:rPr>
            </w:pPr>
            <w:r w:rsidRPr="00FF2BBD">
              <w:rPr>
                <w:sz w:val="48"/>
                <w:szCs w:val="48"/>
              </w:rPr>
              <w:softHyphen/>
            </w:r>
            <w:r w:rsidRPr="00FF2BBD">
              <w:rPr>
                <w:sz w:val="48"/>
                <w:szCs w:val="48"/>
              </w:rPr>
              <w:softHyphen/>
            </w:r>
          </w:p>
          <w:p w:rsidR="00864095" w:rsidRPr="00FF2BBD" w:rsidRDefault="00864095" w:rsidP="00F409A2">
            <w:pPr>
              <w:pStyle w:val="Box"/>
              <w:spacing w:before="0"/>
              <w:jc w:val="center"/>
              <w:rPr>
                <w:sz w:val="48"/>
                <w:szCs w:val="48"/>
              </w:rPr>
            </w:pPr>
            <w:r w:rsidRPr="00FF2BBD">
              <w:rPr>
                <w:b/>
                <w:sz w:val="48"/>
                <w:szCs w:val="48"/>
              </w:rPr>
              <w:t>_</w:t>
            </w:r>
          </w:p>
        </w:tc>
        <w:tc>
          <w:tcPr>
            <w:tcW w:w="3973" w:type="dxa"/>
            <w:tcBorders>
              <w:top w:val="nil"/>
              <w:left w:val="nil"/>
              <w:bottom w:val="nil"/>
              <w:right w:val="nil"/>
            </w:tcBorders>
            <w:shd w:val="clear" w:color="auto" w:fill="F2F2F2"/>
          </w:tcPr>
          <w:p w:rsidR="00540CA8" w:rsidRDefault="00864095" w:rsidP="00F409A2">
            <w:pPr>
              <w:pStyle w:val="Box"/>
              <w:tabs>
                <w:tab w:val="left" w:pos="990"/>
              </w:tabs>
            </w:pPr>
            <w:r w:rsidRPr="00FF2BBD">
              <w:t>In 2012, the overall rate of disability among Aboriginal and Torres Str</w:t>
            </w:r>
            <w:r w:rsidR="009E01B1">
              <w:t>ait Islander Australians was 23 </w:t>
            </w:r>
            <w:r w:rsidRPr="00FF2BBD">
              <w:t>per cent, little changed from 21</w:t>
            </w:r>
            <w:r w:rsidR="009E01B1">
              <w:t> </w:t>
            </w:r>
            <w:r w:rsidRPr="00FF2BBD">
              <w:t xml:space="preserve">per cent in 2009. </w:t>
            </w:r>
          </w:p>
          <w:p w:rsidR="00864095" w:rsidRPr="005000A8" w:rsidRDefault="00864095" w:rsidP="00F409A2">
            <w:pPr>
              <w:pStyle w:val="Box"/>
              <w:tabs>
                <w:tab w:val="left" w:pos="990"/>
              </w:tabs>
            </w:pPr>
            <w:r w:rsidRPr="00FF2BBD">
              <w:t xml:space="preserve">After adjusting for </w:t>
            </w:r>
            <w:r w:rsidR="00202EF4" w:rsidRPr="00FF2BBD">
              <w:t xml:space="preserve">differences in </w:t>
            </w:r>
            <w:r w:rsidRPr="00FF2BBD">
              <w:t xml:space="preserve">population age </w:t>
            </w:r>
            <w:r w:rsidRPr="005000A8">
              <w:t xml:space="preserve">structures, the rate for Aboriginal and Torres Strait Islander Australians </w:t>
            </w:r>
            <w:r w:rsidR="00B97C7F" w:rsidRPr="005000A8">
              <w:t>was 1.7 </w:t>
            </w:r>
            <w:r w:rsidRPr="005000A8">
              <w:t>times the rate for non</w:t>
            </w:r>
            <w:r w:rsidRPr="005000A8">
              <w:noBreakHyphen/>
              <w:t>Indigenous Australians</w:t>
            </w:r>
            <w:r w:rsidR="006F1C9E" w:rsidRPr="005000A8">
              <w:t xml:space="preserve"> in 2012</w:t>
            </w:r>
            <w:r w:rsidRPr="005000A8">
              <w:t>.</w:t>
            </w:r>
          </w:p>
          <w:p w:rsidR="00FF2BBD" w:rsidRPr="00FF2BBD" w:rsidRDefault="00FF2BBD" w:rsidP="009E01B1">
            <w:pPr>
              <w:pStyle w:val="Box"/>
              <w:tabs>
                <w:tab w:val="left" w:pos="990"/>
              </w:tabs>
            </w:pPr>
            <w:r>
              <w:t>In 2014</w:t>
            </w:r>
            <w:r w:rsidR="00FB3DF6">
              <w:noBreakHyphen/>
            </w:r>
            <w:r>
              <w:t>15, hospitalisation rates for all chronic diseases (except cancer) were higher for Aboriginal and Torres Strait Is</w:t>
            </w:r>
            <w:r w:rsidR="00902379">
              <w:t>lander Australians than for non</w:t>
            </w:r>
            <w:r w:rsidR="00902379">
              <w:noBreakHyphen/>
            </w:r>
            <w:r>
              <w:t>Indigenous Australians (ranging from twice the rate for circulatory disease to 11</w:t>
            </w:r>
            <w:r w:rsidR="009E01B1">
              <w:t> </w:t>
            </w:r>
            <w:r>
              <w:t>times the rate for kidney failure).</w:t>
            </w:r>
          </w:p>
        </w:tc>
      </w:tr>
      <w:tr w:rsidR="00037871" w:rsidRPr="00037871" w:rsidTr="00671987">
        <w:trPr>
          <w:cantSplit/>
        </w:trPr>
        <w:tc>
          <w:tcPr>
            <w:tcW w:w="8793" w:type="dxa"/>
            <w:gridSpan w:val="3"/>
            <w:tcBorders>
              <w:top w:val="nil"/>
              <w:left w:val="nil"/>
              <w:bottom w:val="nil"/>
              <w:right w:val="nil"/>
            </w:tcBorders>
            <w:shd w:val="clear" w:color="auto" w:fill="F2F2F2"/>
          </w:tcPr>
          <w:p w:rsidR="003F232F" w:rsidRPr="00FF2BBD" w:rsidRDefault="003F232F" w:rsidP="003F232F">
            <w:pPr>
              <w:pStyle w:val="BoxHeading2"/>
            </w:pPr>
            <w:r w:rsidRPr="00FF2BBD">
              <w:t>Things that work</w:t>
            </w:r>
          </w:p>
          <w:p w:rsidR="004B11F2" w:rsidRPr="00037871" w:rsidRDefault="003F232F" w:rsidP="00374986">
            <w:pPr>
              <w:pStyle w:val="Box"/>
              <w:rPr>
                <w:color w:val="00B050"/>
                <w:sz w:val="18"/>
                <w:szCs w:val="18"/>
              </w:rPr>
            </w:pPr>
            <w:r w:rsidRPr="00FF2BBD">
              <w:t>The</w:t>
            </w:r>
            <w:r w:rsidR="00374986">
              <w:t xml:space="preserve"> </w:t>
            </w:r>
            <w:r w:rsidR="00374986" w:rsidRPr="00374986">
              <w:rPr>
                <w:b/>
              </w:rPr>
              <w:t>Anyinginyi Health Aboriginal Corporation’s Eye Program</w:t>
            </w:r>
            <w:r w:rsidR="00374986" w:rsidRPr="00374986">
              <w:t xml:space="preserve"> (NT) </w:t>
            </w:r>
            <w:r w:rsidR="00374986">
              <w:t xml:space="preserve">is a promising program that </w:t>
            </w:r>
            <w:r w:rsidR="00374986" w:rsidRPr="00374986">
              <w:t>coordinates optometrist and eye specialist visits</w:t>
            </w:r>
            <w:r w:rsidR="00374986">
              <w:t>,</w:t>
            </w:r>
            <w:r w:rsidR="00374986" w:rsidRPr="00374986">
              <w:t xml:space="preserve"> and runs </w:t>
            </w:r>
            <w:r w:rsidR="00374986">
              <w:t xml:space="preserve">culturally appropriate </w:t>
            </w:r>
            <w:r w:rsidR="00374986" w:rsidRPr="00374986">
              <w:t xml:space="preserve">clinics </w:t>
            </w:r>
            <w:r w:rsidR="00374986">
              <w:t xml:space="preserve">in </w:t>
            </w:r>
            <w:r w:rsidR="00374986" w:rsidRPr="00374986">
              <w:t>the Tennant Creek and Barkly region</w:t>
            </w:r>
            <w:r w:rsidR="00374986">
              <w:t>s</w:t>
            </w:r>
            <w:r w:rsidR="00374986" w:rsidRPr="00374986">
              <w:t>.</w:t>
            </w:r>
            <w:r w:rsidR="00374986">
              <w:t xml:space="preserve"> Successes in 2007–2008 included an increase in the services offered (from 7 to 78 days per year) and the number of custom made specta</w:t>
            </w:r>
            <w:r w:rsidR="009E01B1">
              <w:t>cles for clients (from 52 to 82 </w:t>
            </w:r>
            <w:r w:rsidR="00374986">
              <w:t>per cent)</w:t>
            </w:r>
            <w:r w:rsidR="002D57A1">
              <w:t xml:space="preserve"> (see box</w:t>
            </w:r>
            <w:r w:rsidR="00FB3DF6">
              <w:t> </w:t>
            </w:r>
            <w:r w:rsidR="002D57A1">
              <w:t>4.9.3 in the main report for further detail)</w:t>
            </w:r>
            <w:r w:rsidR="00374986">
              <w:t xml:space="preserve">. </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094646" w:rsidRPr="00037871" w:rsidRDefault="00094646"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094646" w:rsidRPr="00037871" w:rsidRDefault="00094646" w:rsidP="00F409A2">
            <w:pPr>
              <w:pStyle w:val="BoxSpaceBelow"/>
              <w:rPr>
                <w:color w:val="00B050"/>
              </w:rPr>
            </w:pPr>
          </w:p>
        </w:tc>
      </w:tr>
    </w:tbl>
    <w:p w:rsidR="004B11F2" w:rsidRPr="00037871" w:rsidRDefault="004B11F2" w:rsidP="004B11F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4B11F2" w:rsidRPr="002F7C99" w:rsidRDefault="004B11F2" w:rsidP="002F7C99">
            <w:pPr>
              <w:pStyle w:val="BoxTitle"/>
              <w:spacing w:after="120"/>
            </w:pPr>
            <w:r w:rsidRPr="002F7C99">
              <w:t>4.</w:t>
            </w:r>
            <w:r w:rsidR="002F7C99" w:rsidRPr="002F7C99">
              <w:t>10</w:t>
            </w:r>
            <w:r w:rsidRPr="002F7C99">
              <w:tab/>
              <w:t>Household and individual income</w:t>
            </w:r>
          </w:p>
        </w:tc>
      </w:tr>
      <w:tr w:rsidR="00037871" w:rsidRPr="00037871" w:rsidTr="00671987">
        <w:trPr>
          <w:cantSplit/>
        </w:trPr>
        <w:tc>
          <w:tcPr>
            <w:tcW w:w="3828" w:type="dxa"/>
            <w:tcBorders>
              <w:top w:val="nil"/>
              <w:left w:val="nil"/>
              <w:bottom w:val="nil"/>
              <w:right w:val="nil"/>
            </w:tcBorders>
            <w:shd w:val="clear" w:color="auto" w:fill="F2F2F2"/>
          </w:tcPr>
          <w:p w:rsidR="004B11F2" w:rsidRPr="00FB0C7A" w:rsidRDefault="004B11F2" w:rsidP="004B11F2">
            <w:pPr>
              <w:pStyle w:val="Box"/>
            </w:pPr>
            <w:r w:rsidRPr="00FB0C7A">
              <w:t>Income levels provide an indicator of material advantage, and are an important determinant of socioeconomic status.</w:t>
            </w:r>
          </w:p>
        </w:tc>
        <w:tc>
          <w:tcPr>
            <w:tcW w:w="992" w:type="dxa"/>
            <w:tcBorders>
              <w:top w:val="nil"/>
              <w:left w:val="nil"/>
              <w:bottom w:val="nil"/>
              <w:right w:val="nil"/>
            </w:tcBorders>
            <w:shd w:val="clear" w:color="auto" w:fill="418B50"/>
          </w:tcPr>
          <w:p w:rsidR="004B11F2" w:rsidRPr="00FB0C7A" w:rsidRDefault="004B11F2" w:rsidP="00F409A2">
            <w:pPr>
              <w:pStyle w:val="BoxHeading1"/>
            </w:pPr>
          </w:p>
          <w:p w:rsidR="004B11F2" w:rsidRPr="00FB0C7A" w:rsidRDefault="004B11F2" w:rsidP="00142ACE">
            <w:pPr>
              <w:pStyle w:val="Box"/>
              <w:spacing w:before="360"/>
              <w:jc w:val="center"/>
              <w:rPr>
                <w:sz w:val="48"/>
                <w:szCs w:val="48"/>
              </w:rPr>
            </w:pPr>
            <w:r w:rsidRPr="00FB0C7A">
              <w:rPr>
                <w:sz w:val="48"/>
                <w:szCs w:val="48"/>
              </w:rPr>
              <w:softHyphen/>
            </w:r>
            <w:r w:rsidR="00142ACE" w:rsidRPr="00FB0C7A">
              <w:rPr>
                <w:rFonts w:ascii="Wingdings 2" w:hAnsi="Wingdings 2" w:cs="Arial"/>
                <w:b/>
                <w:sz w:val="48"/>
                <w:szCs w:val="48"/>
              </w:rPr>
              <w:t></w:t>
            </w:r>
          </w:p>
        </w:tc>
        <w:tc>
          <w:tcPr>
            <w:tcW w:w="3973" w:type="dxa"/>
            <w:tcBorders>
              <w:top w:val="nil"/>
              <w:left w:val="nil"/>
              <w:bottom w:val="nil"/>
              <w:right w:val="nil"/>
            </w:tcBorders>
            <w:shd w:val="clear" w:color="auto" w:fill="F2F2F2"/>
          </w:tcPr>
          <w:p w:rsidR="00540CA8" w:rsidRDefault="004B11F2" w:rsidP="00CA5250">
            <w:pPr>
              <w:pStyle w:val="Box"/>
            </w:pPr>
            <w:r w:rsidRPr="00FB0C7A">
              <w:t>After adjusting for inflation, median real equivalised gross weekly household (EGWH) income for Aboriginal and Torres Strait Islander Australians increased from $</w:t>
            </w:r>
            <w:r w:rsidR="00CA5250" w:rsidRPr="00FB0C7A">
              <w:t>402</w:t>
            </w:r>
            <w:r w:rsidRPr="00FB0C7A">
              <w:t xml:space="preserve"> in 2002 to $</w:t>
            </w:r>
            <w:r w:rsidR="00CA5250" w:rsidRPr="00FB0C7A">
              <w:t>542</w:t>
            </w:r>
            <w:r w:rsidRPr="00FB0C7A">
              <w:t xml:space="preserve"> in </w:t>
            </w:r>
            <w:r w:rsidR="00CA5250" w:rsidRPr="00FB0C7A">
              <w:t>2014</w:t>
            </w:r>
            <w:r w:rsidRPr="00FB0C7A">
              <w:noBreakHyphen/>
              <w:t>1</w:t>
            </w:r>
            <w:r w:rsidR="00CA5250" w:rsidRPr="00FB0C7A">
              <w:t>5</w:t>
            </w:r>
            <w:r w:rsidRPr="00FB0C7A">
              <w:t xml:space="preserve">. </w:t>
            </w:r>
          </w:p>
          <w:p w:rsidR="004B11F2" w:rsidRPr="00FB0C7A" w:rsidRDefault="00CA5250" w:rsidP="00540CA8">
            <w:pPr>
              <w:pStyle w:val="Box"/>
            </w:pPr>
            <w:r w:rsidRPr="00FB0C7A">
              <w:t>This</w:t>
            </w:r>
            <w:r w:rsidR="00540CA8">
              <w:t xml:space="preserve"> increase</w:t>
            </w:r>
            <w:r w:rsidRPr="00FB0C7A">
              <w:t xml:space="preserve"> represents a narrowing of the gap from $349 in 2002 to $316 in 2014</w:t>
            </w:r>
            <w:r w:rsidR="00FB3DF6">
              <w:noBreakHyphen/>
            </w:r>
            <w:r w:rsidRPr="00FB0C7A">
              <w:t>15 (</w:t>
            </w:r>
            <w:r w:rsidR="004B11F2" w:rsidRPr="00FB0C7A">
              <w:t>non</w:t>
            </w:r>
            <w:r w:rsidR="004B11F2" w:rsidRPr="00FB0C7A">
              <w:noBreakHyphen/>
              <w:t>Indige</w:t>
            </w:r>
            <w:r w:rsidRPr="00FB0C7A">
              <w:t>nous median EGWH income in 2014</w:t>
            </w:r>
            <w:r w:rsidR="00FB3DF6">
              <w:noBreakHyphen/>
            </w:r>
            <w:r w:rsidRPr="00FB0C7A">
              <w:t>15 was $852)</w:t>
            </w:r>
            <w:r w:rsidR="004B11F2" w:rsidRPr="00FB0C7A">
              <w:t xml:space="preserve">. </w:t>
            </w:r>
          </w:p>
        </w:tc>
      </w:tr>
      <w:tr w:rsidR="00FB0C7A" w:rsidRPr="00037871" w:rsidTr="00671987">
        <w:trPr>
          <w:cantSplit/>
        </w:trPr>
        <w:tc>
          <w:tcPr>
            <w:tcW w:w="8793" w:type="dxa"/>
            <w:gridSpan w:val="3"/>
            <w:tcBorders>
              <w:top w:val="nil"/>
              <w:left w:val="nil"/>
              <w:bottom w:val="nil"/>
              <w:right w:val="nil"/>
            </w:tcBorders>
            <w:shd w:val="clear" w:color="auto" w:fill="F2F2F2"/>
          </w:tcPr>
          <w:p w:rsidR="00FB0C7A" w:rsidRPr="00FB0C7A" w:rsidRDefault="00797E60" w:rsidP="00797E60">
            <w:pPr>
              <w:pStyle w:val="BoxHeading1"/>
            </w:pPr>
            <w:r>
              <w:t>Median equivalised gross weekly household income</w:t>
            </w:r>
            <w:r w:rsidR="00FB0C7A" w:rsidRPr="004B7B30">
              <w:t xml:space="preserve">, </w:t>
            </w:r>
            <w:r>
              <w:t>2002</w:t>
            </w:r>
            <w:r w:rsidR="00FB0C7A" w:rsidRPr="004B7B30">
              <w:t xml:space="preserve"> to 2014</w:t>
            </w:r>
            <w:r w:rsidR="00FB3DF6">
              <w:noBreakHyphen/>
            </w:r>
            <w:r w:rsidR="00FB0C7A" w:rsidRPr="004B7B30">
              <w:t>15</w:t>
            </w:r>
            <w:r>
              <w:t xml:space="preserve"> </w:t>
            </w:r>
            <w:r w:rsidR="00B539DA">
              <w:br/>
            </w:r>
            <w:r>
              <w:t>(2014</w:t>
            </w:r>
            <w:r w:rsidR="00FB3DF6">
              <w:noBreakHyphen/>
            </w:r>
            <w:r>
              <w:t>15 dollars)</w:t>
            </w:r>
            <w:r w:rsidR="00FB0C7A" w:rsidRPr="00797E60">
              <w:rPr>
                <w:rStyle w:val="NoteLabel"/>
                <w:b/>
              </w:rPr>
              <w:t>a</w:t>
            </w:r>
          </w:p>
        </w:tc>
      </w:tr>
      <w:tr w:rsidR="00FB0C7A" w:rsidRPr="00037871" w:rsidTr="00671987">
        <w:trPr>
          <w:cantSplit/>
        </w:trPr>
        <w:tc>
          <w:tcPr>
            <w:tcW w:w="8793" w:type="dxa"/>
            <w:gridSpan w:val="3"/>
            <w:tcBorders>
              <w:top w:val="nil"/>
              <w:left w:val="nil"/>
              <w:bottom w:val="nil"/>
              <w:right w:val="nil"/>
            </w:tcBorders>
            <w:shd w:val="clear" w:color="auto" w:fill="F2F2F2"/>
          </w:tcPr>
          <w:p w:rsidR="00FB0C7A" w:rsidRPr="00FB0C7A" w:rsidRDefault="00797E60" w:rsidP="00797E60">
            <w:pPr>
              <w:pStyle w:val="Box"/>
            </w:pPr>
            <w:r>
              <w:rPr>
                <w:noProof/>
              </w:rPr>
              <w:drawing>
                <wp:inline distT="0" distB="0" distL="0" distR="0" wp14:anchorId="7655CFB0" wp14:editId="550D81FB">
                  <wp:extent cx="5411972" cy="2700670"/>
                  <wp:effectExtent l="0" t="0" r="0" b="4445"/>
                  <wp:docPr id="19" name="Chart 19" descr="Figure: Median equivalised gross weekly household income, 2002 to 2014-15  (2014-15 doll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97E60" w:rsidRPr="00037871" w:rsidTr="00671987">
        <w:trPr>
          <w:cantSplit/>
        </w:trPr>
        <w:tc>
          <w:tcPr>
            <w:tcW w:w="8793" w:type="dxa"/>
            <w:gridSpan w:val="3"/>
            <w:tcBorders>
              <w:top w:val="nil"/>
              <w:left w:val="nil"/>
              <w:bottom w:val="nil"/>
              <w:right w:val="nil"/>
            </w:tcBorders>
            <w:shd w:val="clear" w:color="auto" w:fill="F2F2F2"/>
          </w:tcPr>
          <w:p w:rsidR="00797E60" w:rsidRDefault="00797E60" w:rsidP="00834478">
            <w:pPr>
              <w:pStyle w:val="Note"/>
            </w:pPr>
            <w:r>
              <w:rPr>
                <w:rStyle w:val="NoteLabel"/>
              </w:rPr>
              <w:t>a</w:t>
            </w:r>
            <w:r>
              <w:t xml:space="preserve"> </w:t>
            </w:r>
            <w:r w:rsidRPr="00502E54">
              <w:t>Error bars represent 95 per cent confidence intervals around each estimate</w:t>
            </w:r>
            <w:r w:rsidRPr="00037584">
              <w:t>.</w:t>
            </w:r>
          </w:p>
          <w:p w:rsidR="00DA607A" w:rsidRPr="00DA607A" w:rsidRDefault="00DA607A" w:rsidP="00DA607A">
            <w:pPr>
              <w:pStyle w:val="Source"/>
            </w:pPr>
            <w:r w:rsidRPr="004B7B30">
              <w:rPr>
                <w:i/>
              </w:rPr>
              <w:t>Source</w:t>
            </w:r>
            <w:r w:rsidRPr="004B7B30">
              <w:t>: Figure</w:t>
            </w:r>
            <w:r w:rsidR="00FB3DF6">
              <w:t> </w:t>
            </w:r>
            <w:r w:rsidRPr="004B7B30">
              <w:t>4.</w:t>
            </w:r>
            <w:r>
              <w:t>10</w:t>
            </w:r>
            <w:r w:rsidRPr="004B7B30">
              <w:t>.1 in the main report.</w:t>
            </w:r>
          </w:p>
        </w:tc>
      </w:tr>
      <w:tr w:rsidR="00797E60" w:rsidRPr="00037871" w:rsidTr="00671987">
        <w:trPr>
          <w:cantSplit/>
        </w:trPr>
        <w:tc>
          <w:tcPr>
            <w:tcW w:w="8793" w:type="dxa"/>
            <w:gridSpan w:val="3"/>
            <w:tcBorders>
              <w:top w:val="nil"/>
              <w:left w:val="nil"/>
              <w:bottom w:val="nil"/>
              <w:right w:val="nil"/>
            </w:tcBorders>
            <w:shd w:val="clear" w:color="auto" w:fill="F2F2F2"/>
          </w:tcPr>
          <w:p w:rsidR="00797E60" w:rsidRPr="00FB0C7A" w:rsidRDefault="00797E60" w:rsidP="00F409A2">
            <w:pPr>
              <w:pStyle w:val="BoxHeading2"/>
            </w:pPr>
            <w:r w:rsidRPr="00FB0C7A">
              <w:t>Things that work</w:t>
            </w:r>
          </w:p>
          <w:p w:rsidR="00797E60" w:rsidRPr="00FB0C7A" w:rsidRDefault="00797E60" w:rsidP="004B11F2">
            <w:pPr>
              <w:pStyle w:val="Box"/>
            </w:pPr>
            <w:r w:rsidRPr="00FB0C7A">
              <w:t xml:space="preserve">The </w:t>
            </w:r>
            <w:r w:rsidRPr="00FB0C7A">
              <w:rPr>
                <w:b/>
              </w:rPr>
              <w:t>MoneyMob Talkabout (MMT)</w:t>
            </w:r>
            <w:r w:rsidRPr="00FB0C7A">
              <w:t xml:space="preserve"> program (SA) assists people in remote Aboriginal and Torres Strait Islander communities to develop basic financial management skills. A 2013 evaluation found that MMT clients were more likely than non</w:t>
            </w:r>
            <w:r w:rsidRPr="00FB0C7A">
              <w:noBreakHyphen/>
              <w:t>clients to have developed basic financial management skills (saved money, able to access bank account in emergency, know bank balance).</w:t>
            </w:r>
          </w:p>
          <w:p w:rsidR="00797E60" w:rsidRDefault="00797E60" w:rsidP="002D57A1">
            <w:pPr>
              <w:pStyle w:val="Box"/>
            </w:pPr>
            <w:r w:rsidRPr="00FB0C7A">
              <w:t xml:space="preserve">The </w:t>
            </w:r>
            <w:r w:rsidRPr="00FB0C7A">
              <w:rPr>
                <w:b/>
              </w:rPr>
              <w:t>MPower program</w:t>
            </w:r>
            <w:r w:rsidRPr="00FB0C7A">
              <w:t xml:space="preserve"> (Qld) operates in four Cape York communities and assists individuals and families to meet basic material needs, develop financial literacy and build assets, through saving and money management. In late 2015, 662 community members had accessed the program 6504 times. A 2012 evaluation found the program improved money management and assisted with budgeting and saving.</w:t>
            </w:r>
          </w:p>
          <w:p w:rsidR="002D57A1" w:rsidRPr="00037871" w:rsidRDefault="002D57A1" w:rsidP="004E3AC1">
            <w:pPr>
              <w:pStyle w:val="Box"/>
              <w:rPr>
                <w:color w:val="00B050"/>
              </w:rPr>
            </w:pPr>
            <w:r>
              <w:t>See box</w:t>
            </w:r>
            <w:r w:rsidR="00FB3DF6">
              <w:t> </w:t>
            </w:r>
            <w:r>
              <w:t xml:space="preserve">4.10.3 in the main report for </w:t>
            </w:r>
            <w:r w:rsidR="0021286F">
              <w:t>further detail</w:t>
            </w:r>
            <w:r>
              <w:t xml:space="preserve"> on these case studies.</w:t>
            </w:r>
          </w:p>
        </w:tc>
      </w:tr>
      <w:tr w:rsidR="00797E60" w:rsidRPr="00037871" w:rsidTr="00671987">
        <w:trPr>
          <w:cantSplit/>
        </w:trPr>
        <w:tc>
          <w:tcPr>
            <w:tcW w:w="8793" w:type="dxa"/>
            <w:gridSpan w:val="3"/>
            <w:tcBorders>
              <w:top w:val="nil"/>
              <w:left w:val="nil"/>
              <w:bottom w:val="single" w:sz="6" w:space="0" w:color="78A22F"/>
              <w:right w:val="nil"/>
            </w:tcBorders>
            <w:shd w:val="clear" w:color="auto" w:fill="F2F2F2"/>
          </w:tcPr>
          <w:p w:rsidR="00797E60" w:rsidRPr="00037871" w:rsidRDefault="00797E60" w:rsidP="00F409A2">
            <w:pPr>
              <w:pStyle w:val="Box"/>
              <w:spacing w:before="0" w:line="120" w:lineRule="exact"/>
              <w:rPr>
                <w:color w:val="00B050"/>
              </w:rPr>
            </w:pPr>
          </w:p>
        </w:tc>
      </w:tr>
      <w:tr w:rsidR="00797E60" w:rsidRPr="00037871" w:rsidTr="00671987">
        <w:tc>
          <w:tcPr>
            <w:tcW w:w="8793" w:type="dxa"/>
            <w:gridSpan w:val="3"/>
            <w:tcBorders>
              <w:top w:val="single" w:sz="6" w:space="0" w:color="78A22F"/>
              <w:left w:val="nil"/>
              <w:bottom w:val="nil"/>
              <w:right w:val="nil"/>
            </w:tcBorders>
          </w:tcPr>
          <w:p w:rsidR="00797E60" w:rsidRPr="00037871" w:rsidRDefault="00797E60" w:rsidP="00F409A2">
            <w:pPr>
              <w:pStyle w:val="BoxSpaceBelow"/>
              <w:rPr>
                <w:color w:val="00B050"/>
              </w:rPr>
            </w:pPr>
          </w:p>
        </w:tc>
      </w:tr>
    </w:tbl>
    <w:p w:rsidR="007064EC" w:rsidRPr="00037871" w:rsidRDefault="007064EC" w:rsidP="007064E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7064EC" w:rsidRPr="002F7C99" w:rsidRDefault="007064EC" w:rsidP="002F7C99">
            <w:pPr>
              <w:pStyle w:val="BoxTitle"/>
              <w:spacing w:after="120"/>
            </w:pPr>
            <w:r w:rsidRPr="002F7C99">
              <w:t>4.1</w:t>
            </w:r>
            <w:r w:rsidR="002F7C99" w:rsidRPr="002F7C99">
              <w:t>1</w:t>
            </w:r>
            <w:r w:rsidRPr="002F7C99">
              <w:tab/>
              <w:t>Substantiated child abuse and neglect</w:t>
            </w:r>
          </w:p>
        </w:tc>
      </w:tr>
      <w:tr w:rsidR="00037871" w:rsidRPr="00037871" w:rsidTr="00671987">
        <w:trPr>
          <w:cantSplit/>
        </w:trPr>
        <w:tc>
          <w:tcPr>
            <w:tcW w:w="3828" w:type="dxa"/>
            <w:tcBorders>
              <w:top w:val="nil"/>
              <w:left w:val="nil"/>
              <w:bottom w:val="nil"/>
              <w:right w:val="nil"/>
            </w:tcBorders>
            <w:shd w:val="clear" w:color="auto" w:fill="F2F2F2"/>
          </w:tcPr>
          <w:p w:rsidR="007064EC" w:rsidRPr="00972832" w:rsidRDefault="00A9316D" w:rsidP="00686FD4">
            <w:pPr>
              <w:pStyle w:val="Box"/>
            </w:pPr>
            <w:r w:rsidRPr="00972832">
              <w:t xml:space="preserve">Adverse experiences in childhood can have lifelong </w:t>
            </w:r>
            <w:r w:rsidR="00686FD4" w:rsidRPr="00972832">
              <w:t>impacts</w:t>
            </w:r>
            <w:r w:rsidRPr="00972832">
              <w:t xml:space="preserve">, </w:t>
            </w:r>
            <w:r w:rsidR="00686FD4" w:rsidRPr="00972832">
              <w:t>affecting</w:t>
            </w:r>
            <w:r w:rsidRPr="00972832">
              <w:t xml:space="preserve"> the ability of the child to regulate their own behaviour and to build trusting relationships with others.</w:t>
            </w:r>
          </w:p>
        </w:tc>
        <w:tc>
          <w:tcPr>
            <w:tcW w:w="992" w:type="dxa"/>
            <w:tcBorders>
              <w:top w:val="nil"/>
              <w:left w:val="nil"/>
              <w:bottom w:val="nil"/>
              <w:right w:val="nil"/>
            </w:tcBorders>
            <w:shd w:val="clear" w:color="auto" w:fill="8E8FA6"/>
          </w:tcPr>
          <w:p w:rsidR="007064EC" w:rsidRPr="00972832" w:rsidRDefault="007064EC" w:rsidP="00F409A2">
            <w:pPr>
              <w:pStyle w:val="BoxHeading1"/>
            </w:pPr>
          </w:p>
          <w:p w:rsidR="007064EC" w:rsidRPr="00972832" w:rsidRDefault="007064EC" w:rsidP="00F409A2">
            <w:pPr>
              <w:pStyle w:val="Box"/>
            </w:pPr>
          </w:p>
          <w:p w:rsidR="007064EC" w:rsidRPr="00972832" w:rsidRDefault="00A9316D" w:rsidP="00F409A2">
            <w:pPr>
              <w:pStyle w:val="Box"/>
              <w:jc w:val="center"/>
              <w:rPr>
                <w:b/>
                <w:sz w:val="48"/>
                <w:szCs w:val="48"/>
              </w:rPr>
            </w:pPr>
            <w:r w:rsidRPr="00972832">
              <w:rPr>
                <w:b/>
                <w:sz w:val="48"/>
                <w:szCs w:val="48"/>
              </w:rPr>
              <w:br/>
            </w:r>
            <w:r w:rsidR="007064EC" w:rsidRPr="00972832">
              <w:rPr>
                <w:b/>
                <w:sz w:val="48"/>
                <w:szCs w:val="48"/>
              </w:rPr>
              <w:t>?</w:t>
            </w:r>
          </w:p>
        </w:tc>
        <w:tc>
          <w:tcPr>
            <w:tcW w:w="3973" w:type="dxa"/>
            <w:tcBorders>
              <w:top w:val="nil"/>
              <w:left w:val="nil"/>
              <w:bottom w:val="nil"/>
              <w:right w:val="nil"/>
            </w:tcBorders>
            <w:shd w:val="clear" w:color="auto" w:fill="F2F2F2"/>
          </w:tcPr>
          <w:p w:rsidR="00972832" w:rsidRPr="00972832" w:rsidRDefault="00A9316D" w:rsidP="00972832">
            <w:pPr>
              <w:pStyle w:val="Box"/>
            </w:pPr>
            <w:r w:rsidRPr="00972832">
              <w:t>Child protection substantiations for Aboriginal and Torres Strait Islander children increased from 30 per 1000 chi</w:t>
            </w:r>
            <w:r w:rsidR="00972832" w:rsidRPr="00972832">
              <w:t>ldren in 2009</w:t>
            </w:r>
            <w:r w:rsidR="00FB3DF6">
              <w:noBreakHyphen/>
            </w:r>
            <w:r w:rsidR="00972832" w:rsidRPr="00972832">
              <w:t>10 to 40</w:t>
            </w:r>
            <w:r w:rsidR="00B97C7F" w:rsidRPr="00972832">
              <w:t xml:space="preserve"> per 1000 </w:t>
            </w:r>
            <w:r w:rsidR="00972832" w:rsidRPr="00972832">
              <w:t>children in 2014</w:t>
            </w:r>
            <w:r w:rsidR="00FB3DF6">
              <w:noBreakHyphen/>
            </w:r>
            <w:r w:rsidRPr="00972832">
              <w:t>1</w:t>
            </w:r>
            <w:r w:rsidR="00AF4F2F">
              <w:t>5 (more than 6 </w:t>
            </w:r>
            <w:r w:rsidR="00972832" w:rsidRPr="00972832">
              <w:t>times the rate for non</w:t>
            </w:r>
            <w:r w:rsidR="00FB3DF6">
              <w:noBreakHyphen/>
            </w:r>
            <w:r w:rsidR="00972832" w:rsidRPr="00972832">
              <w:t>Indigenous children in 2014</w:t>
            </w:r>
            <w:r w:rsidR="00FB3DF6">
              <w:noBreakHyphen/>
            </w:r>
            <w:r w:rsidR="00972832" w:rsidRPr="00972832">
              <w:t>15)</w:t>
            </w:r>
            <w:r w:rsidRPr="00972832">
              <w:t>.</w:t>
            </w:r>
          </w:p>
          <w:p w:rsidR="007064EC" w:rsidRPr="00972832" w:rsidRDefault="00A9316D" w:rsidP="009E01B1">
            <w:pPr>
              <w:pStyle w:val="Box"/>
            </w:pPr>
            <w:r w:rsidRPr="00972832">
              <w:t>The rate of Aboriginal and Torres Strait Islander children on care and pr</w:t>
            </w:r>
            <w:r w:rsidR="00972832" w:rsidRPr="00972832">
              <w:t>otection orders increased from 21</w:t>
            </w:r>
            <w:r w:rsidR="009E01B1">
              <w:t> </w:t>
            </w:r>
            <w:r w:rsidR="00972832" w:rsidRPr="00972832">
              <w:t>per 1000 children in 2004</w:t>
            </w:r>
            <w:r w:rsidR="00FB3DF6">
              <w:noBreakHyphen/>
            </w:r>
            <w:r w:rsidRPr="00972832">
              <w:t>0</w:t>
            </w:r>
            <w:r w:rsidR="00972832" w:rsidRPr="00972832">
              <w:t>5 to 58</w:t>
            </w:r>
            <w:r w:rsidR="009E01B1">
              <w:t> </w:t>
            </w:r>
            <w:r w:rsidRPr="00972832">
              <w:t>per</w:t>
            </w:r>
            <w:r w:rsidR="00972832" w:rsidRPr="00972832">
              <w:t xml:space="preserve"> 1000 children in 2014</w:t>
            </w:r>
            <w:r w:rsidR="00B97C7F" w:rsidRPr="00972832">
              <w:noBreakHyphen/>
            </w:r>
            <w:r w:rsidR="00972832" w:rsidRPr="00972832">
              <w:t>15 (more than 9</w:t>
            </w:r>
            <w:r w:rsidR="009E01B1">
              <w:t> </w:t>
            </w:r>
            <w:r w:rsidR="00972832" w:rsidRPr="00972832">
              <w:t>times the rate for non</w:t>
            </w:r>
            <w:r w:rsidR="00FB3DF6">
              <w:noBreakHyphen/>
            </w:r>
            <w:r w:rsidR="00972832" w:rsidRPr="00972832">
              <w:t>Indigenous children in 2014</w:t>
            </w:r>
            <w:r w:rsidR="00FB3DF6">
              <w:noBreakHyphen/>
            </w:r>
            <w:r w:rsidR="00972832" w:rsidRPr="00972832">
              <w:t>15)</w:t>
            </w:r>
            <w:r w:rsidRPr="00972832">
              <w:t>.</w:t>
            </w:r>
          </w:p>
        </w:tc>
      </w:tr>
      <w:tr w:rsidR="00037871" w:rsidRPr="00037871" w:rsidTr="00671987">
        <w:trPr>
          <w:cantSplit/>
        </w:trPr>
        <w:tc>
          <w:tcPr>
            <w:tcW w:w="8793" w:type="dxa"/>
            <w:gridSpan w:val="3"/>
            <w:tcBorders>
              <w:top w:val="nil"/>
              <w:left w:val="nil"/>
              <w:bottom w:val="nil"/>
              <w:right w:val="nil"/>
            </w:tcBorders>
            <w:shd w:val="clear" w:color="auto" w:fill="F2F2F2"/>
          </w:tcPr>
          <w:p w:rsidR="00CE3D53" w:rsidRPr="00572651" w:rsidRDefault="00A9316D" w:rsidP="00CE3D53">
            <w:pPr>
              <w:pStyle w:val="Box"/>
              <w:rPr>
                <w:i/>
                <w:color w:val="000000" w:themeColor="text1"/>
              </w:rPr>
            </w:pPr>
            <w:r w:rsidRPr="0030126B">
              <w:rPr>
                <w:i/>
                <w:color w:val="000000" w:themeColor="text1"/>
              </w:rPr>
              <w:t>Data for this indicator are difficult to interpret, as increases in substantiations and orders might reflect a mix of changes in laws and policies relating to mandatory reporting, increased propensity to report, increased services and/or an increase in prevalence.</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7064EC" w:rsidRPr="00037871" w:rsidRDefault="007064EC"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7064EC" w:rsidRPr="00037871" w:rsidRDefault="007064EC" w:rsidP="00F409A2">
            <w:pPr>
              <w:pStyle w:val="BoxSpaceBelow"/>
              <w:rPr>
                <w:color w:val="00B050"/>
              </w:rPr>
            </w:pPr>
          </w:p>
        </w:tc>
      </w:tr>
    </w:tbl>
    <w:p w:rsidR="007064EC" w:rsidRPr="00037871" w:rsidRDefault="007064EC" w:rsidP="007064E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7064EC" w:rsidRPr="002F7C99" w:rsidRDefault="002F7C99" w:rsidP="001D480C">
            <w:pPr>
              <w:pStyle w:val="BoxTitle"/>
              <w:spacing w:after="120"/>
            </w:pPr>
            <w:r w:rsidRPr="002F7C99">
              <w:t>4.12</w:t>
            </w:r>
            <w:r w:rsidR="007064EC" w:rsidRPr="002F7C99">
              <w:tab/>
              <w:t>Family and community violence</w:t>
            </w:r>
          </w:p>
        </w:tc>
      </w:tr>
      <w:tr w:rsidR="00037871" w:rsidRPr="00037871" w:rsidTr="00671987">
        <w:trPr>
          <w:cantSplit/>
        </w:trPr>
        <w:tc>
          <w:tcPr>
            <w:tcW w:w="3828" w:type="dxa"/>
            <w:tcBorders>
              <w:top w:val="nil"/>
              <w:left w:val="nil"/>
              <w:bottom w:val="nil"/>
              <w:right w:val="nil"/>
            </w:tcBorders>
            <w:shd w:val="clear" w:color="auto" w:fill="F2F2F2"/>
          </w:tcPr>
          <w:p w:rsidR="007064EC" w:rsidRPr="00C84F61" w:rsidRDefault="00A9316D" w:rsidP="006F1C9E">
            <w:pPr>
              <w:pStyle w:val="Box"/>
            </w:pPr>
            <w:r w:rsidRPr="00C84F61">
              <w:t>Family violence has a significant impact on the health and welfare of individuals, families and communities.</w:t>
            </w:r>
          </w:p>
        </w:tc>
        <w:tc>
          <w:tcPr>
            <w:tcW w:w="992" w:type="dxa"/>
            <w:tcBorders>
              <w:top w:val="nil"/>
              <w:left w:val="nil"/>
              <w:bottom w:val="nil"/>
              <w:right w:val="nil"/>
            </w:tcBorders>
            <w:shd w:val="clear" w:color="auto" w:fill="DA9C13"/>
          </w:tcPr>
          <w:p w:rsidR="007064EC" w:rsidRPr="00C84F61" w:rsidRDefault="007064EC" w:rsidP="00F409A2">
            <w:pPr>
              <w:pStyle w:val="BoxHeading1"/>
            </w:pPr>
          </w:p>
          <w:p w:rsidR="007064EC" w:rsidRPr="00C84F61" w:rsidRDefault="00C84F61" w:rsidP="00F409A2">
            <w:pPr>
              <w:pStyle w:val="Box"/>
              <w:spacing w:before="0"/>
              <w:jc w:val="center"/>
              <w:rPr>
                <w:sz w:val="48"/>
                <w:szCs w:val="48"/>
              </w:rPr>
            </w:pPr>
            <w:r w:rsidRPr="00C84F61">
              <w:rPr>
                <w:sz w:val="48"/>
                <w:szCs w:val="48"/>
              </w:rPr>
              <w:softHyphen/>
            </w:r>
            <w:r w:rsidR="007064EC" w:rsidRPr="00C84F61">
              <w:rPr>
                <w:b/>
                <w:sz w:val="48"/>
                <w:szCs w:val="48"/>
              </w:rPr>
              <w:t>_</w:t>
            </w:r>
          </w:p>
        </w:tc>
        <w:tc>
          <w:tcPr>
            <w:tcW w:w="3973" w:type="dxa"/>
            <w:tcBorders>
              <w:top w:val="nil"/>
              <w:left w:val="nil"/>
              <w:bottom w:val="nil"/>
              <w:right w:val="nil"/>
            </w:tcBorders>
            <w:shd w:val="clear" w:color="auto" w:fill="F2F2F2"/>
          </w:tcPr>
          <w:p w:rsidR="00540CA8" w:rsidRDefault="00C84F61" w:rsidP="00C84F61">
            <w:pPr>
              <w:pStyle w:val="Box"/>
            </w:pPr>
            <w:r w:rsidRPr="00C84F61">
              <w:t>In 2014</w:t>
            </w:r>
            <w:r w:rsidR="00FB3DF6">
              <w:noBreakHyphen/>
            </w:r>
            <w:r w:rsidRPr="00C84F61">
              <w:t>15, around 22</w:t>
            </w:r>
            <w:r w:rsidR="009E01B1">
              <w:t> </w:t>
            </w:r>
            <w:r w:rsidR="00A9316D" w:rsidRPr="00C84F61">
              <w:t>per cent of Aboriginal and Torres Strait Islander adults reported being a victim of physical or threatened violence — similar to rate</w:t>
            </w:r>
            <w:r w:rsidRPr="00C84F61">
              <w:t>s</w:t>
            </w:r>
            <w:r w:rsidR="00A9316D" w:rsidRPr="00C84F61">
              <w:t xml:space="preserve"> in 2002</w:t>
            </w:r>
            <w:r w:rsidRPr="00C84F61">
              <w:t xml:space="preserve"> and 2008</w:t>
            </w:r>
            <w:r w:rsidR="00A9316D" w:rsidRPr="00C84F61">
              <w:t xml:space="preserve">. </w:t>
            </w:r>
          </w:p>
          <w:p w:rsidR="007064EC" w:rsidRPr="00C84F61" w:rsidRDefault="00A9316D" w:rsidP="00C84F61">
            <w:pPr>
              <w:pStyle w:val="Box"/>
            </w:pPr>
            <w:r w:rsidRPr="00C84F61">
              <w:t>After adjusting for differences in population age structures</w:t>
            </w:r>
            <w:r w:rsidR="00C84F61" w:rsidRPr="00C84F61">
              <w:t>, this was 2.5</w:t>
            </w:r>
            <w:r w:rsidR="00B568B0" w:rsidRPr="00C84F61">
              <w:t> </w:t>
            </w:r>
            <w:r w:rsidRPr="00C84F61">
              <w:t>times the rate for non</w:t>
            </w:r>
            <w:r w:rsidRPr="00C84F61">
              <w:noBreakHyphen/>
              <w:t>Indigenous adults</w:t>
            </w:r>
            <w:r w:rsidR="00C84F61" w:rsidRPr="00C84F61">
              <w:t xml:space="preserve"> in 2014</w:t>
            </w:r>
            <w:r w:rsidR="00FB3DF6">
              <w:noBreakHyphen/>
            </w:r>
            <w:r w:rsidR="00C84F61" w:rsidRPr="00C84F61">
              <w:t>15</w:t>
            </w:r>
            <w:r w:rsidRPr="00C84F61">
              <w:t>.</w:t>
            </w:r>
          </w:p>
        </w:tc>
      </w:tr>
      <w:tr w:rsidR="00037871" w:rsidRPr="00037871" w:rsidTr="00671987">
        <w:trPr>
          <w:cantSplit/>
        </w:trPr>
        <w:tc>
          <w:tcPr>
            <w:tcW w:w="8793" w:type="dxa"/>
            <w:gridSpan w:val="3"/>
            <w:tcBorders>
              <w:top w:val="nil"/>
              <w:left w:val="nil"/>
              <w:bottom w:val="nil"/>
              <w:right w:val="nil"/>
            </w:tcBorders>
            <w:shd w:val="clear" w:color="auto" w:fill="F2F2F2"/>
          </w:tcPr>
          <w:p w:rsidR="007064EC" w:rsidRPr="002E52F1" w:rsidRDefault="007064EC" w:rsidP="00F409A2">
            <w:pPr>
              <w:pStyle w:val="BoxHeading2"/>
            </w:pPr>
            <w:r w:rsidRPr="002E52F1">
              <w:t>Things that work</w:t>
            </w:r>
          </w:p>
          <w:p w:rsidR="007064EC" w:rsidRPr="00037871" w:rsidRDefault="00A9316D" w:rsidP="002D7349">
            <w:pPr>
              <w:pStyle w:val="Box"/>
              <w:rPr>
                <w:color w:val="00B050"/>
              </w:rPr>
            </w:pPr>
            <w:r w:rsidRPr="002E52F1">
              <w:t xml:space="preserve">The </w:t>
            </w:r>
            <w:r w:rsidRPr="002E52F1">
              <w:rPr>
                <w:b/>
              </w:rPr>
              <w:t>Alice Springs Domestic and Family Violence Outreach Service</w:t>
            </w:r>
            <w:r w:rsidRPr="002E52F1">
              <w:t xml:space="preserve"> (NT) provides targeted support to women experiencing domestic and family violence. In 201</w:t>
            </w:r>
            <w:r w:rsidR="002E52F1" w:rsidRPr="002E52F1">
              <w:t>4</w:t>
            </w:r>
            <w:r w:rsidR="00FB3DF6">
              <w:noBreakHyphen/>
            </w:r>
            <w:r w:rsidR="002E52F1" w:rsidRPr="002E52F1">
              <w:t>15</w:t>
            </w:r>
            <w:r w:rsidRPr="002E52F1">
              <w:t xml:space="preserve">, </w:t>
            </w:r>
            <w:r w:rsidR="002E52F1" w:rsidRPr="002E52F1">
              <w:t>around 49</w:t>
            </w:r>
            <w:r w:rsidRPr="002E52F1">
              <w:t>0 women were assisted. A 2012</w:t>
            </w:r>
            <w:r w:rsidR="00FB3DF6">
              <w:noBreakHyphen/>
            </w:r>
            <w:r w:rsidRPr="002E52F1">
              <w:t>13 evaluation found that all of the 19 women interviewed reported their safety had improved. Almost half of the women who had previously used the crisis accommodation services had not used crisis accommodation since recei</w:t>
            </w:r>
            <w:r w:rsidR="002E52F1" w:rsidRPr="002E52F1">
              <w:t>ving outreach services (</w:t>
            </w:r>
            <w:r w:rsidR="002D57A1">
              <w:t xml:space="preserve">see </w:t>
            </w:r>
            <w:r w:rsidR="002E52F1" w:rsidRPr="002E52F1">
              <w:t>box 4.12</w:t>
            </w:r>
            <w:r w:rsidRPr="002E52F1">
              <w:t>.3</w:t>
            </w:r>
            <w:r w:rsidR="002D57A1">
              <w:t xml:space="preserve"> in the main report for further detail</w:t>
            </w:r>
            <w:r w:rsidRPr="002E52F1">
              <w: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7064EC" w:rsidRPr="00037871" w:rsidRDefault="007064EC"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7064EC" w:rsidRPr="00037871" w:rsidRDefault="007064EC" w:rsidP="00F409A2">
            <w:pPr>
              <w:pStyle w:val="BoxSpaceBelow"/>
              <w:rPr>
                <w:color w:val="00B050"/>
              </w:rPr>
            </w:pPr>
          </w:p>
        </w:tc>
      </w:tr>
    </w:tbl>
    <w:p w:rsidR="007064EC" w:rsidRPr="00037871" w:rsidRDefault="007064EC" w:rsidP="007064E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7064EC" w:rsidRPr="002F7C99" w:rsidRDefault="007064EC" w:rsidP="002F7C99">
            <w:pPr>
              <w:pStyle w:val="BoxTitle"/>
              <w:spacing w:after="120"/>
            </w:pPr>
            <w:r w:rsidRPr="002F7C99">
              <w:t>4.1</w:t>
            </w:r>
            <w:r w:rsidR="002F7C99" w:rsidRPr="002F7C99">
              <w:t>3</w:t>
            </w:r>
            <w:r w:rsidRPr="002F7C99">
              <w:tab/>
              <w:t>Imprisonment and juvenile detention</w:t>
            </w:r>
          </w:p>
        </w:tc>
      </w:tr>
      <w:tr w:rsidR="00037871" w:rsidRPr="00037871" w:rsidTr="00671987">
        <w:trPr>
          <w:cantSplit/>
        </w:trPr>
        <w:tc>
          <w:tcPr>
            <w:tcW w:w="3828" w:type="dxa"/>
            <w:tcBorders>
              <w:top w:val="nil"/>
              <w:left w:val="nil"/>
              <w:bottom w:val="nil"/>
              <w:right w:val="nil"/>
            </w:tcBorders>
            <w:shd w:val="clear" w:color="auto" w:fill="F2F2F2"/>
          </w:tcPr>
          <w:p w:rsidR="007064EC" w:rsidRPr="00975310" w:rsidRDefault="007064EC" w:rsidP="006F1C9E">
            <w:pPr>
              <w:pStyle w:val="Box"/>
            </w:pPr>
            <w:r w:rsidRPr="00975310">
              <w:t>Imprisonment has a heavy social and economic impact. High rates of imprisonment can lead to the ‘normalisation’ of incarceration among community members.</w:t>
            </w:r>
          </w:p>
        </w:tc>
        <w:tc>
          <w:tcPr>
            <w:tcW w:w="992" w:type="dxa"/>
            <w:tcBorders>
              <w:top w:val="nil"/>
              <w:left w:val="nil"/>
              <w:bottom w:val="nil"/>
              <w:right w:val="nil"/>
            </w:tcBorders>
            <w:shd w:val="clear" w:color="auto" w:fill="AB0F14"/>
          </w:tcPr>
          <w:p w:rsidR="007064EC" w:rsidRPr="00975310" w:rsidRDefault="007064EC" w:rsidP="00F409A2">
            <w:pPr>
              <w:pStyle w:val="BoxHeading1"/>
            </w:pPr>
          </w:p>
          <w:p w:rsidR="007064EC" w:rsidRPr="00975310" w:rsidRDefault="007064EC" w:rsidP="00F409A2">
            <w:pPr>
              <w:pStyle w:val="Box"/>
            </w:pPr>
          </w:p>
          <w:p w:rsidR="00A9316D" w:rsidRPr="00975310" w:rsidRDefault="007064EC" w:rsidP="007064EC">
            <w:pPr>
              <w:pStyle w:val="Box"/>
              <w:spacing w:before="0"/>
              <w:jc w:val="center"/>
              <w:rPr>
                <w:sz w:val="48"/>
                <w:szCs w:val="48"/>
              </w:rPr>
            </w:pPr>
            <w:r w:rsidRPr="00975310">
              <w:rPr>
                <w:sz w:val="48"/>
                <w:szCs w:val="48"/>
              </w:rPr>
              <w:softHyphen/>
            </w:r>
            <w:r w:rsidRPr="00975310">
              <w:rPr>
                <w:sz w:val="48"/>
                <w:szCs w:val="48"/>
              </w:rPr>
              <w:softHyphen/>
            </w:r>
          </w:p>
          <w:p w:rsidR="00A9316D" w:rsidRPr="00975310" w:rsidRDefault="00A9316D" w:rsidP="007064EC">
            <w:pPr>
              <w:pStyle w:val="Box"/>
              <w:spacing w:before="0"/>
              <w:jc w:val="center"/>
              <w:rPr>
                <w:sz w:val="48"/>
                <w:szCs w:val="48"/>
              </w:rPr>
            </w:pPr>
          </w:p>
          <w:p w:rsidR="007064EC" w:rsidRPr="007B37B7" w:rsidRDefault="00142ACE" w:rsidP="00A9316D">
            <w:pPr>
              <w:pStyle w:val="Box"/>
              <w:spacing w:before="240"/>
              <w:jc w:val="center"/>
              <w:rPr>
                <w:rFonts w:ascii="Wingdings 2" w:hAnsi="Wingdings 2"/>
                <w:b/>
                <w:sz w:val="48"/>
                <w:szCs w:val="48"/>
              </w:rPr>
            </w:pPr>
            <w:r w:rsidRPr="007B37B7">
              <w:rPr>
                <w:rFonts w:ascii="Wingdings 2" w:hAnsi="Wingdings 2"/>
                <w:b/>
                <w:sz w:val="48"/>
                <w:szCs w:val="48"/>
              </w:rPr>
              <w:t></w:t>
            </w:r>
          </w:p>
        </w:tc>
        <w:tc>
          <w:tcPr>
            <w:tcW w:w="3973" w:type="dxa"/>
            <w:tcBorders>
              <w:top w:val="nil"/>
              <w:left w:val="nil"/>
              <w:bottom w:val="nil"/>
              <w:right w:val="nil"/>
            </w:tcBorders>
            <w:shd w:val="clear" w:color="auto" w:fill="F2F2F2"/>
          </w:tcPr>
          <w:p w:rsidR="00A9316D" w:rsidRDefault="00975310" w:rsidP="00A9316D">
            <w:pPr>
              <w:pStyle w:val="Box"/>
              <w:keepNext w:val="0"/>
              <w:keepLines/>
              <w:tabs>
                <w:tab w:val="left" w:pos="990"/>
              </w:tabs>
            </w:pPr>
            <w:r w:rsidRPr="00975310">
              <w:t>From 2000 to 2015</w:t>
            </w:r>
            <w:r w:rsidR="00A9316D" w:rsidRPr="00975310">
              <w:t>, the imprisonment rate for Aboriginal and Torres St</w:t>
            </w:r>
            <w:r w:rsidRPr="00975310">
              <w:t>rait Islander adults increased 7</w:t>
            </w:r>
            <w:r w:rsidR="00A9316D" w:rsidRPr="00975310">
              <w:t>7</w:t>
            </w:r>
            <w:r w:rsidR="00D85608" w:rsidRPr="00975310">
              <w:t> </w:t>
            </w:r>
            <w:r w:rsidR="00A9316D" w:rsidRPr="00975310">
              <w:t>per cent</w:t>
            </w:r>
            <w:r w:rsidRPr="00975310">
              <w:t xml:space="preserve"> —</w:t>
            </w:r>
            <w:r w:rsidR="00A9316D" w:rsidRPr="00975310">
              <w:t xml:space="preserve"> the non</w:t>
            </w:r>
            <w:r w:rsidR="00FB3DF6">
              <w:noBreakHyphen/>
            </w:r>
            <w:r w:rsidR="00A9316D" w:rsidRPr="00975310">
              <w:t>Indigenous rate remained fairly constant</w:t>
            </w:r>
            <w:r w:rsidRPr="00975310">
              <w:t xml:space="preserve"> until 2013</w:t>
            </w:r>
            <w:r w:rsidR="00A9316D" w:rsidRPr="00975310">
              <w:t xml:space="preserve">, </w:t>
            </w:r>
            <w:r w:rsidRPr="00975310">
              <w:t>before increasing by 15 per cent over the last 2 years</w:t>
            </w:r>
            <w:r w:rsidR="00A9316D" w:rsidRPr="00975310">
              <w:t xml:space="preserve">. </w:t>
            </w:r>
          </w:p>
          <w:p w:rsidR="00540CA8" w:rsidRPr="00975310" w:rsidRDefault="00540CA8" w:rsidP="00A9316D">
            <w:pPr>
              <w:pStyle w:val="Box"/>
              <w:keepNext w:val="0"/>
              <w:keepLines/>
              <w:tabs>
                <w:tab w:val="left" w:pos="990"/>
              </w:tabs>
            </w:pPr>
            <w:r w:rsidRPr="00975310">
              <w:t>In 2015, after adjusting for differences in population age structures, Aboriginal and Torres Strait Islander adults were imprisoned at 13 times the rate for non</w:t>
            </w:r>
            <w:r w:rsidRPr="00975310">
              <w:noBreakHyphen/>
              <w:t>Indigenous adults.</w:t>
            </w:r>
          </w:p>
          <w:p w:rsidR="007064EC" w:rsidRPr="00975310" w:rsidRDefault="00A9316D" w:rsidP="009E01B1">
            <w:pPr>
              <w:pStyle w:val="Box"/>
            </w:pPr>
            <w:r w:rsidRPr="00975310">
              <w:t xml:space="preserve">The daily average detention rate for Aboriginal and Torres Strait Islander youth </w:t>
            </w:r>
            <w:r w:rsidR="00975310" w:rsidRPr="00975310">
              <w:t>decreased from 2007</w:t>
            </w:r>
            <w:r w:rsidR="00FB3DF6">
              <w:noBreakHyphen/>
            </w:r>
            <w:r w:rsidR="00975310" w:rsidRPr="00975310">
              <w:t>08 to 2014</w:t>
            </w:r>
            <w:r w:rsidR="00FB3DF6">
              <w:noBreakHyphen/>
            </w:r>
            <w:r w:rsidR="00975310" w:rsidRPr="00975310">
              <w:t>15 (from 416 to 349</w:t>
            </w:r>
            <w:r w:rsidR="009E01B1">
              <w:t> </w:t>
            </w:r>
            <w:r w:rsidRPr="00975310">
              <w:t>per 100 000 10–17 year olds</w:t>
            </w:r>
            <w:r w:rsidR="00975310" w:rsidRPr="00975310">
              <w:t>)</w:t>
            </w:r>
            <w:r w:rsidRPr="00975310">
              <w:t xml:space="preserve">, </w:t>
            </w:r>
            <w:r w:rsidR="00975310" w:rsidRPr="00975310">
              <w:t xml:space="preserve">but remains </w:t>
            </w:r>
            <w:r w:rsidR="00A02E23" w:rsidRPr="00975310">
              <w:t xml:space="preserve">around </w:t>
            </w:r>
            <w:r w:rsidRPr="00975310">
              <w:t>24 times the rate for non</w:t>
            </w:r>
            <w:r w:rsidR="00FB3DF6">
              <w:noBreakHyphen/>
            </w:r>
            <w:r w:rsidRPr="00975310">
              <w:t>Indigenous youth.</w:t>
            </w:r>
            <w:r w:rsidR="00FB3DF6">
              <w:t xml:space="preserve"> </w:t>
            </w:r>
          </w:p>
        </w:tc>
      </w:tr>
      <w:tr w:rsidR="00037871" w:rsidRPr="00037871" w:rsidTr="00671987">
        <w:trPr>
          <w:cantSplit/>
        </w:trPr>
        <w:tc>
          <w:tcPr>
            <w:tcW w:w="8793" w:type="dxa"/>
            <w:gridSpan w:val="3"/>
            <w:tcBorders>
              <w:top w:val="nil"/>
              <w:left w:val="nil"/>
              <w:bottom w:val="nil"/>
              <w:right w:val="nil"/>
            </w:tcBorders>
            <w:shd w:val="clear" w:color="auto" w:fill="F2F2F2"/>
          </w:tcPr>
          <w:p w:rsidR="007064EC" w:rsidRPr="00975310" w:rsidRDefault="00501CE9" w:rsidP="00501CE9">
            <w:pPr>
              <w:pStyle w:val="BoxHeading1"/>
              <w:rPr>
                <w:rStyle w:val="NoteLabel"/>
              </w:rPr>
            </w:pPr>
            <w:r>
              <w:t>A</w:t>
            </w:r>
            <w:r w:rsidR="000752A8">
              <w:t>boriginal and Torres Strait Islander a</w:t>
            </w:r>
            <w:r w:rsidR="007064EC" w:rsidRPr="00975310">
              <w:t xml:space="preserve">dult imprisonment </w:t>
            </w:r>
            <w:r w:rsidR="00975310" w:rsidRPr="00975310">
              <w:t xml:space="preserve">rate </w:t>
            </w:r>
            <w:r>
              <w:t xml:space="preserve">and juvenile detention rate, </w:t>
            </w:r>
            <w:r w:rsidR="00975310" w:rsidRPr="00975310">
              <w:t>2000 to 2015</w:t>
            </w:r>
            <w:r w:rsidRPr="00501CE9">
              <w:rPr>
                <w:rStyle w:val="NoteLabel"/>
                <w:b/>
              </w:rPr>
              <w:t>a</w:t>
            </w:r>
          </w:p>
        </w:tc>
      </w:tr>
      <w:tr w:rsidR="00037871" w:rsidRPr="00037871" w:rsidTr="00671987">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7064EC" w:rsidRPr="00975310" w:rsidRDefault="00B539DA" w:rsidP="00975310">
            <w:pPr>
              <w:pStyle w:val="Box"/>
            </w:pPr>
            <w:r>
              <w:rPr>
                <w:noProof/>
              </w:rPr>
              <w:drawing>
                <wp:inline distT="0" distB="0" distL="0" distR="0">
                  <wp:extent cx="5391785" cy="2863850"/>
                  <wp:effectExtent l="0" t="0" r="0" b="0"/>
                  <wp:docPr id="14" name="Picture 14" descr="Figure: Aboriginal and Torres Strait Islander adult imprisonment rate and juvenile detention rate, 2000 to 2015&#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785" cy="2863850"/>
                          </a:xfrm>
                          <a:prstGeom prst="rect">
                            <a:avLst/>
                          </a:prstGeom>
                          <a:noFill/>
                          <a:ln>
                            <a:noFill/>
                          </a:ln>
                        </pic:spPr>
                      </pic:pic>
                    </a:graphicData>
                  </a:graphic>
                </wp:inline>
              </w:drawing>
            </w:r>
          </w:p>
        </w:tc>
      </w:tr>
      <w:tr w:rsidR="00037871" w:rsidRPr="00037871" w:rsidTr="00671987">
        <w:trPr>
          <w:cantSplit/>
        </w:trPr>
        <w:tc>
          <w:tcPr>
            <w:tcW w:w="8793" w:type="dxa"/>
            <w:gridSpan w:val="3"/>
            <w:tcBorders>
              <w:top w:val="nil"/>
              <w:left w:val="nil"/>
              <w:bottom w:val="nil"/>
              <w:right w:val="nil"/>
            </w:tcBorders>
            <w:shd w:val="clear" w:color="auto" w:fill="F2F2F2"/>
          </w:tcPr>
          <w:p w:rsidR="00501CE9" w:rsidRPr="00501CE9" w:rsidRDefault="00501CE9" w:rsidP="0014070A">
            <w:pPr>
              <w:pStyle w:val="Source"/>
              <w:rPr>
                <w:rStyle w:val="NoteChar"/>
              </w:rPr>
            </w:pPr>
            <w:r w:rsidRPr="00501CE9">
              <w:rPr>
                <w:rStyle w:val="NoteLabel"/>
              </w:rPr>
              <w:t>a</w:t>
            </w:r>
            <w:r>
              <w:rPr>
                <w:i/>
              </w:rPr>
              <w:t xml:space="preserve"> </w:t>
            </w:r>
            <w:r w:rsidRPr="00501CE9">
              <w:rPr>
                <w:rStyle w:val="NoteChar"/>
              </w:rPr>
              <w:t>Adult imprisonment rate is calculated as at 30 June and is age standardised</w:t>
            </w:r>
            <w:r>
              <w:rPr>
                <w:rStyle w:val="NoteChar"/>
              </w:rPr>
              <w:t xml:space="preserve"> (scale on left side of chart)</w:t>
            </w:r>
            <w:r w:rsidRPr="00501CE9">
              <w:rPr>
                <w:rStyle w:val="NoteChar"/>
              </w:rPr>
              <w:t>. Juvenile detention rate is the daily average for each financial year</w:t>
            </w:r>
            <w:r>
              <w:rPr>
                <w:rStyle w:val="NoteChar"/>
              </w:rPr>
              <w:t xml:space="preserve"> (scale on right side of chart)</w:t>
            </w:r>
            <w:r w:rsidRPr="00501CE9">
              <w:rPr>
                <w:rStyle w:val="NoteChar"/>
              </w:rPr>
              <w:t>.</w:t>
            </w:r>
          </w:p>
          <w:p w:rsidR="007064EC" w:rsidRPr="00975310" w:rsidRDefault="007064EC" w:rsidP="0014070A">
            <w:pPr>
              <w:pStyle w:val="Source"/>
            </w:pPr>
            <w:r w:rsidRPr="00975310">
              <w:rPr>
                <w:i/>
              </w:rPr>
              <w:t>Source</w:t>
            </w:r>
            <w:r w:rsidRPr="00FB3DF6">
              <w:t>:</w:t>
            </w:r>
            <w:r w:rsidR="00975310" w:rsidRPr="00975310">
              <w:t xml:space="preserve"> Figure</w:t>
            </w:r>
            <w:r w:rsidR="007B05C6">
              <w:t>s</w:t>
            </w:r>
            <w:r w:rsidR="00FB3DF6">
              <w:t> </w:t>
            </w:r>
            <w:r w:rsidR="00975310" w:rsidRPr="00975310">
              <w:t>4.13</w:t>
            </w:r>
            <w:r w:rsidRPr="00975310">
              <w:t>.2</w:t>
            </w:r>
            <w:r w:rsidR="007B05C6">
              <w:t xml:space="preserve"> and 4.13.3</w:t>
            </w:r>
            <w:r w:rsidRPr="00975310">
              <w:t xml:space="preserve"> in the main report.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7064EC" w:rsidRPr="00037871" w:rsidRDefault="007064EC"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7064EC" w:rsidRPr="00037871" w:rsidRDefault="007064EC" w:rsidP="00F409A2">
            <w:pPr>
              <w:pStyle w:val="BoxSpaceBelow"/>
              <w:rPr>
                <w:color w:val="00B050"/>
              </w:rPr>
            </w:pPr>
          </w:p>
        </w:tc>
      </w:tr>
    </w:tbl>
    <w:p w:rsidR="007064EC" w:rsidRPr="00891904" w:rsidRDefault="007064EC" w:rsidP="007064EC">
      <w:pPr>
        <w:pStyle w:val="Heading2"/>
        <w:rPr>
          <w:color w:val="000000" w:themeColor="text1"/>
        </w:rPr>
      </w:pPr>
      <w:r w:rsidRPr="00891904">
        <w:rPr>
          <w:color w:val="000000" w:themeColor="text1"/>
        </w:rPr>
        <w:t>Strategic areas for action</w:t>
      </w:r>
    </w:p>
    <w:p w:rsidR="007064EC" w:rsidRPr="00891904" w:rsidRDefault="00A9316D" w:rsidP="00A9316D">
      <w:pPr>
        <w:pStyle w:val="BodyText"/>
        <w:keepLines/>
        <w:widowControl w:val="0"/>
        <w:rPr>
          <w:color w:val="000000" w:themeColor="text1"/>
        </w:rPr>
      </w:pPr>
      <w:r w:rsidRPr="00891904">
        <w:rPr>
          <w:color w:val="000000" w:themeColor="text1"/>
        </w:rPr>
        <w:t>The following section</w:t>
      </w:r>
      <w:r w:rsidR="00B568B0" w:rsidRPr="00891904">
        <w:rPr>
          <w:color w:val="000000" w:themeColor="text1"/>
        </w:rPr>
        <w:t>s</w:t>
      </w:r>
      <w:r w:rsidRPr="00891904">
        <w:rPr>
          <w:color w:val="000000" w:themeColor="text1"/>
        </w:rPr>
        <w:t xml:space="preserve"> summarise the key messages and ‘things that work’ for each strategic area for action. </w:t>
      </w:r>
      <w:r w:rsidR="00B568B0" w:rsidRPr="00891904">
        <w:rPr>
          <w:color w:val="000000" w:themeColor="text1"/>
        </w:rPr>
        <w:t xml:space="preserve">Much more information can be found in the main report. </w:t>
      </w:r>
      <w:r w:rsidRPr="00891904">
        <w:rPr>
          <w:color w:val="000000" w:themeColor="text1"/>
        </w:rPr>
        <w:t>The strategic areas deliberately do not mirror typical government service areas. In some cases (such as healthy lives, or education and training), a specific service area can be expected to play a major role but, in all strategic areas, more than one government agency is relevant to achieving better outcomes. Conversely, sometimes a single, well</w:t>
      </w:r>
      <w:r w:rsidR="00FB3DF6">
        <w:rPr>
          <w:color w:val="000000" w:themeColor="text1"/>
        </w:rPr>
        <w:noBreakHyphen/>
      </w:r>
      <w:r w:rsidRPr="00891904">
        <w:rPr>
          <w:color w:val="000000" w:themeColor="text1"/>
        </w:rPr>
        <w:t xml:space="preserve">targeted action by one agency can lead to improvements across many strategic areas. </w:t>
      </w:r>
    </w:p>
    <w:p w:rsidR="007064EC" w:rsidRPr="00891904" w:rsidRDefault="0054551C" w:rsidP="0054551C">
      <w:pPr>
        <w:pStyle w:val="Heading2"/>
        <w:rPr>
          <w:color w:val="000000" w:themeColor="text1"/>
        </w:rPr>
      </w:pPr>
      <w:r w:rsidRPr="00891904">
        <w:rPr>
          <w:color w:val="000000" w:themeColor="text1"/>
        </w:rPr>
        <w:t xml:space="preserve">5 </w:t>
      </w:r>
      <w:r w:rsidRPr="00891904">
        <w:rPr>
          <w:color w:val="000000" w:themeColor="text1"/>
        </w:rPr>
        <w:tab/>
      </w:r>
      <w:r w:rsidR="00A1258F" w:rsidRPr="00891904">
        <w:rPr>
          <w:color w:val="000000" w:themeColor="text1"/>
        </w:rPr>
        <w:t>Governance, leadership and culture</w:t>
      </w:r>
    </w:p>
    <w:p w:rsidR="00A9316D" w:rsidRPr="00891904" w:rsidRDefault="00A9316D" w:rsidP="00A9316D">
      <w:pPr>
        <w:pStyle w:val="BodyText"/>
      </w:pPr>
      <w:r w:rsidRPr="00891904">
        <w:t>Effective governance and leadership, and recognition of culture, play essential parts in the social and economic development of Aboriginal and Torre</w:t>
      </w:r>
      <w:r w:rsidR="008E3159" w:rsidRPr="00891904">
        <w:t>s</w:t>
      </w:r>
      <w:r w:rsidRPr="00891904">
        <w:t xml:space="preserve"> Strait Islander Australians, and influence virtually all indicators in the framework. Governance refers to the way the members of a group or community organise themselves to make decisions that affect themselves and others, and includes both Aboriginal and Torres Strait Islander governance and government governance. Leadership is important to the development of a strong governance culture, and there are specific cultural aspects to Aboriginal and Torres Strait Islander leadership.</w:t>
      </w:r>
    </w:p>
    <w:p w:rsidR="00A1258F" w:rsidRPr="00037871" w:rsidRDefault="00A1258F" w:rsidP="00A1258F">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A1258F" w:rsidRPr="00891904" w:rsidRDefault="00A1258F" w:rsidP="001D480C">
            <w:pPr>
              <w:pStyle w:val="BoxTitle"/>
              <w:spacing w:after="120"/>
            </w:pPr>
            <w:r w:rsidRPr="00891904">
              <w:t>5.1</w:t>
            </w:r>
            <w:r w:rsidRPr="00891904">
              <w:tab/>
              <w:t>Valuing Indigenous Australians and their cultures</w:t>
            </w:r>
          </w:p>
        </w:tc>
      </w:tr>
      <w:tr w:rsidR="00A068AF" w:rsidRPr="00037871" w:rsidTr="00671987">
        <w:trPr>
          <w:cantSplit/>
        </w:trPr>
        <w:tc>
          <w:tcPr>
            <w:tcW w:w="3828" w:type="dxa"/>
            <w:tcBorders>
              <w:top w:val="nil"/>
              <w:left w:val="nil"/>
              <w:bottom w:val="nil"/>
              <w:right w:val="nil"/>
            </w:tcBorders>
            <w:shd w:val="clear" w:color="auto" w:fill="F2F2F2"/>
          </w:tcPr>
          <w:p w:rsidR="00A068AF" w:rsidRPr="00A068AF" w:rsidRDefault="00A068AF" w:rsidP="00A1258F">
            <w:pPr>
              <w:pStyle w:val="Box"/>
            </w:pPr>
            <w:r w:rsidRPr="00A068AF">
              <w:t>Culture is a key aspect of Aboriginal and Torres Strait Islander wellbeing — both knowledge and practice of culture by Aboriginal and Torres Strait Islander Australians, and respect for that culture among the wider community.</w:t>
            </w:r>
          </w:p>
        </w:tc>
        <w:tc>
          <w:tcPr>
            <w:tcW w:w="992" w:type="dxa"/>
            <w:tcBorders>
              <w:top w:val="nil"/>
              <w:left w:val="nil"/>
              <w:bottom w:val="nil"/>
              <w:right w:val="nil"/>
            </w:tcBorders>
            <w:shd w:val="clear" w:color="auto" w:fill="7E9CA0"/>
          </w:tcPr>
          <w:p w:rsidR="00A068AF" w:rsidRPr="00A068AF" w:rsidRDefault="00A068AF" w:rsidP="00834478">
            <w:pPr>
              <w:pStyle w:val="BoxHeading1"/>
            </w:pPr>
          </w:p>
          <w:p w:rsidR="00A068AF" w:rsidRPr="00A068AF" w:rsidRDefault="00A068AF" w:rsidP="00834478">
            <w:pPr>
              <w:pStyle w:val="Box"/>
              <w:jc w:val="center"/>
              <w:rPr>
                <w:b/>
                <w:sz w:val="30"/>
                <w:szCs w:val="30"/>
              </w:rPr>
            </w:pPr>
            <w:r w:rsidRPr="00A068AF">
              <w:rPr>
                <w:b/>
                <w:sz w:val="30"/>
                <w:szCs w:val="30"/>
              </w:rPr>
              <w:t>Data gap</w:t>
            </w:r>
          </w:p>
        </w:tc>
        <w:tc>
          <w:tcPr>
            <w:tcW w:w="3973" w:type="dxa"/>
            <w:tcBorders>
              <w:top w:val="nil"/>
              <w:left w:val="nil"/>
              <w:bottom w:val="nil"/>
              <w:right w:val="nil"/>
            </w:tcBorders>
            <w:shd w:val="clear" w:color="auto" w:fill="F2F2F2"/>
          </w:tcPr>
          <w:p w:rsidR="00A068AF" w:rsidRPr="00A068AF" w:rsidRDefault="001A15D4" w:rsidP="009E01B1">
            <w:pPr>
              <w:pStyle w:val="Box"/>
            </w:pPr>
            <w:r>
              <w:t>In 2014</w:t>
            </w:r>
            <w:r w:rsidR="00A068AF" w:rsidRPr="00A068AF">
              <w:t xml:space="preserve">, four out of five </w:t>
            </w:r>
            <w:r w:rsidR="00540CA8">
              <w:t>people</w:t>
            </w:r>
            <w:r w:rsidR="00A068AF" w:rsidRPr="00A068AF">
              <w:t xml:space="preserve"> regarded Aboriginal and To</w:t>
            </w:r>
            <w:r w:rsidR="00EE7901">
              <w:t>rres Strait Islander culture (80</w:t>
            </w:r>
            <w:r w:rsidR="009E01B1">
              <w:t> </w:t>
            </w:r>
            <w:r w:rsidR="00EE7901">
              <w:t>per cent) and history (83</w:t>
            </w:r>
            <w:r w:rsidR="00A068AF" w:rsidRPr="00A068AF">
              <w:t xml:space="preserve"> per cent) as important, and </w:t>
            </w:r>
            <w:r w:rsidR="00EE7901">
              <w:t>over half (57</w:t>
            </w:r>
            <w:r w:rsidR="009E01B1">
              <w:t> </w:t>
            </w:r>
            <w:r w:rsidR="00A068AF" w:rsidRPr="00A068AF">
              <w:t>per cent) reported feeling personally proud of the culture.</w:t>
            </w:r>
          </w:p>
        </w:tc>
      </w:tr>
      <w:tr w:rsidR="00EE7901" w:rsidRPr="00037871" w:rsidTr="00671987">
        <w:trPr>
          <w:cantSplit/>
        </w:trPr>
        <w:tc>
          <w:tcPr>
            <w:tcW w:w="8793" w:type="dxa"/>
            <w:gridSpan w:val="3"/>
            <w:tcBorders>
              <w:top w:val="nil"/>
              <w:left w:val="nil"/>
              <w:bottom w:val="nil"/>
              <w:right w:val="nil"/>
            </w:tcBorders>
            <w:shd w:val="clear" w:color="auto" w:fill="F2F2F2"/>
          </w:tcPr>
          <w:p w:rsidR="00EE7901" w:rsidRPr="00EE7901" w:rsidRDefault="00EE7901" w:rsidP="00464B99">
            <w:pPr>
              <w:pStyle w:val="Box"/>
              <w:rPr>
                <w:i/>
                <w:color w:val="00B050"/>
              </w:rPr>
            </w:pPr>
            <w:r w:rsidRPr="00464B99">
              <w:rPr>
                <w:i/>
              </w:rPr>
              <w:t xml:space="preserve">Time series data are not available due to extensive revisions to the main data source for </w:t>
            </w:r>
            <w:r w:rsidR="00464B99" w:rsidRPr="00464B99">
              <w:rPr>
                <w:i/>
              </w:rPr>
              <w:t>the most recent reporting period. It is anticipated that time series data will be available for the next report.</w:t>
            </w:r>
          </w:p>
        </w:tc>
      </w:tr>
      <w:tr w:rsidR="00037871" w:rsidRPr="00037871" w:rsidTr="00671987">
        <w:trPr>
          <w:cantSplit/>
        </w:trPr>
        <w:tc>
          <w:tcPr>
            <w:tcW w:w="8793" w:type="dxa"/>
            <w:gridSpan w:val="3"/>
            <w:tcBorders>
              <w:top w:val="nil"/>
              <w:left w:val="nil"/>
              <w:bottom w:val="nil"/>
              <w:right w:val="nil"/>
            </w:tcBorders>
            <w:shd w:val="clear" w:color="auto" w:fill="F2F2F2"/>
          </w:tcPr>
          <w:p w:rsidR="00A1258F" w:rsidRPr="00464B99" w:rsidRDefault="00A1258F" w:rsidP="00F409A2">
            <w:pPr>
              <w:pStyle w:val="BoxHeading2"/>
            </w:pPr>
            <w:r w:rsidRPr="00464B99">
              <w:t>Things that work</w:t>
            </w:r>
          </w:p>
          <w:p w:rsidR="00A1258F" w:rsidRPr="00037871" w:rsidRDefault="00A9316D" w:rsidP="00464B99">
            <w:pPr>
              <w:pStyle w:val="BoxListBullet"/>
              <w:numPr>
                <w:ilvl w:val="0"/>
                <w:numId w:val="0"/>
              </w:numPr>
              <w:rPr>
                <w:color w:val="00B050"/>
              </w:rPr>
            </w:pPr>
            <w:r w:rsidRPr="00464B99">
              <w:rPr>
                <w:b/>
              </w:rPr>
              <w:t>Reconciliation Action Plans (RAPs)</w:t>
            </w:r>
            <w:r w:rsidRPr="00464B99">
              <w:t xml:space="preserve"> are formal reconciliation commitments undertaken by organisations, promoted by Reconciliation Australia. Reconciliation Australia found that RAP organisations are more likely to be proud of, and trust, Aboriginal and Torres Strait Islander </w:t>
            </w:r>
            <w:r w:rsidR="00F174BD" w:rsidRPr="00464B99">
              <w:t>Australians</w:t>
            </w:r>
            <w:r w:rsidRPr="00464B99">
              <w:t xml:space="preserve"> and their cultures, and to take action to suppo</w:t>
            </w:r>
            <w:r w:rsidR="00464B99" w:rsidRPr="00464B99">
              <w:t xml:space="preserve">rt reconciliation. In 2015, there were 658 organisations </w:t>
            </w:r>
            <w:r w:rsidR="00464B99">
              <w:t>that had created a</w:t>
            </w:r>
            <w:r w:rsidR="00464B99" w:rsidRPr="00464B99">
              <w:t xml:space="preserve"> RAP</w:t>
            </w:r>
            <w:r w:rsidR="00464B99">
              <w:t xml:space="preserve"> since 2006</w:t>
            </w:r>
            <w:r w:rsidR="00464B99" w:rsidRPr="00464B99">
              <w:t>, an increase from 590 in 2014 (</w:t>
            </w:r>
            <w:r w:rsidR="002D57A1">
              <w:t xml:space="preserve">see </w:t>
            </w:r>
            <w:r w:rsidR="00464B99" w:rsidRPr="00464B99">
              <w:t>box 5.1.3</w:t>
            </w:r>
            <w:r w:rsidR="002D57A1">
              <w:t xml:space="preserve"> in the main report for further detail</w:t>
            </w:r>
            <w:r w:rsidR="00464B99" w:rsidRPr="00464B99">
              <w:t xml:space="preserve">). </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A1258F" w:rsidRPr="00037871" w:rsidRDefault="00A1258F"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A1258F" w:rsidRPr="00037871" w:rsidRDefault="00A1258F" w:rsidP="00F409A2">
            <w:pPr>
              <w:pStyle w:val="BoxSpaceBelow"/>
              <w:rPr>
                <w:color w:val="00B050"/>
              </w:rPr>
            </w:pPr>
          </w:p>
        </w:tc>
      </w:tr>
    </w:tbl>
    <w:p w:rsidR="000F0F09" w:rsidRPr="00037871" w:rsidRDefault="000F0F09" w:rsidP="000F0F09">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0F0F09" w:rsidRPr="00E152FA" w:rsidRDefault="000F0F09" w:rsidP="001D480C">
            <w:pPr>
              <w:pStyle w:val="BoxTitle"/>
              <w:spacing w:after="120"/>
            </w:pPr>
            <w:r w:rsidRPr="00E152FA">
              <w:t>5.2</w:t>
            </w:r>
            <w:r w:rsidRPr="00E152FA">
              <w:tab/>
              <w:t>Participation in decision making</w:t>
            </w:r>
          </w:p>
        </w:tc>
      </w:tr>
      <w:tr w:rsidR="00037871" w:rsidRPr="00037871" w:rsidTr="00671987">
        <w:trPr>
          <w:cantSplit/>
        </w:trPr>
        <w:tc>
          <w:tcPr>
            <w:tcW w:w="3828" w:type="dxa"/>
            <w:tcBorders>
              <w:top w:val="nil"/>
              <w:left w:val="nil"/>
              <w:bottom w:val="nil"/>
              <w:right w:val="nil"/>
            </w:tcBorders>
            <w:shd w:val="clear" w:color="auto" w:fill="F2F2F2"/>
          </w:tcPr>
          <w:p w:rsidR="000F0F09" w:rsidRPr="00464B99" w:rsidRDefault="00A9316D" w:rsidP="00F409A2">
            <w:pPr>
              <w:pStyle w:val="Box"/>
            </w:pPr>
            <w:r w:rsidRPr="00464B99">
              <w:t>Participation in decision making is a key element of self</w:t>
            </w:r>
            <w:r w:rsidR="00FB3DF6">
              <w:noBreakHyphen/>
            </w:r>
            <w:r w:rsidRPr="00464B99">
              <w:t>determination, which in turn is a critical part of governance. Participation includes both wanting to participate, and feeling that one can.</w:t>
            </w:r>
          </w:p>
        </w:tc>
        <w:tc>
          <w:tcPr>
            <w:tcW w:w="992" w:type="dxa"/>
            <w:tcBorders>
              <w:top w:val="nil"/>
              <w:left w:val="nil"/>
              <w:bottom w:val="nil"/>
              <w:right w:val="nil"/>
            </w:tcBorders>
            <w:shd w:val="clear" w:color="auto" w:fill="7E9CA0"/>
          </w:tcPr>
          <w:p w:rsidR="000F0F09" w:rsidRPr="00464B99" w:rsidRDefault="000F0F09" w:rsidP="00F409A2">
            <w:pPr>
              <w:pStyle w:val="BoxHeading1"/>
            </w:pPr>
          </w:p>
          <w:p w:rsidR="000F0F09" w:rsidRPr="00464B99" w:rsidRDefault="00F409A2" w:rsidP="00F409A2">
            <w:pPr>
              <w:pStyle w:val="Box"/>
              <w:jc w:val="center"/>
              <w:rPr>
                <w:b/>
                <w:sz w:val="30"/>
                <w:szCs w:val="30"/>
              </w:rPr>
            </w:pPr>
            <w:r w:rsidRPr="00464B99">
              <w:rPr>
                <w:b/>
                <w:sz w:val="30"/>
                <w:szCs w:val="30"/>
              </w:rPr>
              <w:t>Data gap</w:t>
            </w:r>
          </w:p>
        </w:tc>
        <w:tc>
          <w:tcPr>
            <w:tcW w:w="3973" w:type="dxa"/>
            <w:tcBorders>
              <w:top w:val="nil"/>
              <w:left w:val="nil"/>
              <w:bottom w:val="nil"/>
              <w:right w:val="nil"/>
            </w:tcBorders>
            <w:shd w:val="clear" w:color="auto" w:fill="F2F2F2"/>
          </w:tcPr>
          <w:p w:rsidR="000F0F09" w:rsidRPr="00464B99" w:rsidRDefault="00A9316D" w:rsidP="00464B99">
            <w:pPr>
              <w:pStyle w:val="Box"/>
            </w:pPr>
            <w:r w:rsidRPr="00464B99">
              <w:t>As at 30</w:t>
            </w:r>
            <w:r w:rsidR="00FB3DF6">
              <w:t> </w:t>
            </w:r>
            <w:r w:rsidRPr="00464B99">
              <w:t>June 201</w:t>
            </w:r>
            <w:r w:rsidR="007B37B7">
              <w:t>6, 16</w:t>
            </w:r>
            <w:r w:rsidRPr="00464B99">
              <w:t xml:space="preserve"> members of parliament across Australia identified as being Aboriginal and Torres Strait Islander</w:t>
            </w:r>
            <w:r w:rsidR="00464B99">
              <w:t xml:space="preserve"> (an increase from 13 at 30</w:t>
            </w:r>
            <w:r w:rsidR="00FB3DF6">
              <w:t> </w:t>
            </w:r>
            <w:r w:rsidR="00464B99">
              <w:t>June 2014)</w:t>
            </w:r>
            <w:r w:rsidRPr="00464B99">
              <w:t>. Parity of representation with population share is mixed across jurisdictions.</w:t>
            </w:r>
          </w:p>
        </w:tc>
      </w:tr>
      <w:tr w:rsidR="00037871" w:rsidRPr="00037871" w:rsidTr="00671987">
        <w:trPr>
          <w:cantSplit/>
        </w:trPr>
        <w:tc>
          <w:tcPr>
            <w:tcW w:w="8793" w:type="dxa"/>
            <w:gridSpan w:val="3"/>
            <w:tcBorders>
              <w:top w:val="nil"/>
              <w:left w:val="nil"/>
              <w:bottom w:val="nil"/>
              <w:right w:val="nil"/>
            </w:tcBorders>
            <w:shd w:val="clear" w:color="auto" w:fill="F2F2F2"/>
          </w:tcPr>
          <w:p w:rsidR="000F0F09" w:rsidRPr="00464B99" w:rsidRDefault="00A9316D" w:rsidP="0014070A">
            <w:pPr>
              <w:pStyle w:val="Box"/>
              <w:rPr>
                <w:i/>
              </w:rPr>
            </w:pPr>
            <w:r w:rsidRPr="00464B99">
              <w:rPr>
                <w:i/>
              </w:rPr>
              <w:t>There are no data available on Aboriginal and Torres Strait Islander Australians wanting to, and feeling that they can, participate in decision making</w:t>
            </w:r>
            <w:r w:rsidR="00540CA8">
              <w:rPr>
                <w:i/>
              </w:rPr>
              <w:t xml:space="preserve"> that is important to them</w:t>
            </w:r>
            <w:r w:rsidRPr="00464B99">
              <w:rPr>
                <w:i/>
              </w:rPr>
              <w:t>.</w:t>
            </w:r>
          </w:p>
        </w:tc>
      </w:tr>
      <w:tr w:rsidR="00037871" w:rsidRPr="00037871" w:rsidTr="00671987">
        <w:trPr>
          <w:cantSplit/>
        </w:trPr>
        <w:tc>
          <w:tcPr>
            <w:tcW w:w="8793" w:type="dxa"/>
            <w:gridSpan w:val="3"/>
            <w:tcBorders>
              <w:top w:val="nil"/>
              <w:left w:val="nil"/>
              <w:bottom w:val="nil"/>
              <w:right w:val="nil"/>
            </w:tcBorders>
            <w:shd w:val="clear" w:color="auto" w:fill="F2F2F2"/>
          </w:tcPr>
          <w:p w:rsidR="000F0F09" w:rsidRPr="00464B99" w:rsidRDefault="000F0F09" w:rsidP="00F409A2">
            <w:pPr>
              <w:pStyle w:val="BoxHeading2"/>
            </w:pPr>
            <w:r w:rsidRPr="00464B99">
              <w:t>Things that work</w:t>
            </w:r>
          </w:p>
          <w:p w:rsidR="000F0F09" w:rsidRPr="00037871" w:rsidRDefault="00A9316D" w:rsidP="00B962F2">
            <w:pPr>
              <w:pStyle w:val="Box"/>
              <w:rPr>
                <w:color w:val="00B050"/>
              </w:rPr>
            </w:pPr>
            <w:r w:rsidRPr="00464B99">
              <w:t>The</w:t>
            </w:r>
            <w:r w:rsidRPr="00464B99">
              <w:rPr>
                <w:b/>
              </w:rPr>
              <w:t xml:space="preserve"> Australian Electoral Commission’s electoral participation program </w:t>
            </w:r>
            <w:r w:rsidRPr="00464B99">
              <w:t xml:space="preserve">is aimed at empowering </w:t>
            </w:r>
            <w:r w:rsidR="00FC51CA" w:rsidRPr="00464B99">
              <w:t>Aboriginal and Torres Strait Islander Australians</w:t>
            </w:r>
            <w:r w:rsidRPr="00464B99">
              <w:t xml:space="preserve"> to exercise their right to vote. A 2011</w:t>
            </w:r>
            <w:r w:rsidRPr="00464B99">
              <w:rPr>
                <w:rFonts w:cs="Arial"/>
              </w:rPr>
              <w:t xml:space="preserve"> evaluation found that the program’s early results were positive</w:t>
            </w:r>
            <w:r w:rsidR="00FC51CA" w:rsidRPr="00464B99">
              <w:rPr>
                <w:rFonts w:cs="Arial"/>
              </w:rPr>
              <w:t>,</w:t>
            </w:r>
            <w:r w:rsidRPr="00464B99">
              <w:rPr>
                <w:rFonts w:cs="Arial"/>
              </w:rPr>
              <w:t xml:space="preserve"> that it</w:t>
            </w:r>
            <w:r w:rsidRPr="00464B99">
              <w:rPr>
                <w:rFonts w:cs="Arial"/>
                <w:b/>
              </w:rPr>
              <w:t xml:space="preserve"> </w:t>
            </w:r>
            <w:r w:rsidRPr="00464B99">
              <w:rPr>
                <w:rFonts w:cs="Arial"/>
              </w:rPr>
              <w:t xml:space="preserve">‘has a significant role to play in addressing the barriers to participation of </w:t>
            </w:r>
            <w:r w:rsidR="00D42A93" w:rsidRPr="00464B99">
              <w:rPr>
                <w:rFonts w:cs="Arial"/>
              </w:rPr>
              <w:t>Aboriginal and Torres Strait Islander</w:t>
            </w:r>
            <w:r w:rsidRPr="00464B99">
              <w:rPr>
                <w:rFonts w:cs="Arial"/>
              </w:rPr>
              <w:t xml:space="preserve"> </w:t>
            </w:r>
            <w:r w:rsidR="00D42A93" w:rsidRPr="00464B99">
              <w:rPr>
                <w:rFonts w:cs="Arial"/>
              </w:rPr>
              <w:t>Australians</w:t>
            </w:r>
            <w:r w:rsidR="00FC51CA" w:rsidRPr="00464B99">
              <w:rPr>
                <w:rFonts w:cs="Arial"/>
              </w:rPr>
              <w:t xml:space="preserve"> in democratic processes’</w:t>
            </w:r>
            <w:r w:rsidRPr="00464B99">
              <w:rPr>
                <w:rFonts w:cs="Arial"/>
              </w:rPr>
              <w:t xml:space="preserve"> </w:t>
            </w:r>
            <w:r w:rsidR="00FC51CA" w:rsidRPr="00464B99">
              <w:rPr>
                <w:rFonts w:cs="Arial"/>
              </w:rPr>
              <w:t>and</w:t>
            </w:r>
            <w:r w:rsidRPr="00464B99">
              <w:rPr>
                <w:rFonts w:cs="Arial"/>
              </w:rPr>
              <w:t xml:space="preserve"> made a number of recommendations to improve the program’s performance </w:t>
            </w:r>
            <w:r w:rsidR="00B962F2">
              <w:rPr>
                <w:rFonts w:cs="Arial"/>
              </w:rPr>
              <w:t>(</w:t>
            </w:r>
            <w:r w:rsidR="00540CA8">
              <w:rPr>
                <w:rFonts w:cs="Arial"/>
              </w:rPr>
              <w:t xml:space="preserve">see </w:t>
            </w:r>
            <w:r w:rsidRPr="00464B99">
              <w:rPr>
                <w:rFonts w:cs="Arial"/>
              </w:rPr>
              <w:t>box</w:t>
            </w:r>
            <w:r w:rsidR="00FB3DF6">
              <w:rPr>
                <w:rFonts w:cs="Arial"/>
              </w:rPr>
              <w:t> </w:t>
            </w:r>
            <w:r w:rsidRPr="00464B99">
              <w:rPr>
                <w:rFonts w:cs="Arial"/>
              </w:rPr>
              <w:t>5.2.3</w:t>
            </w:r>
            <w:r w:rsidR="00540CA8">
              <w:rPr>
                <w:rFonts w:cs="Arial"/>
              </w:rPr>
              <w:t xml:space="preserve"> in the main report for further detail</w:t>
            </w:r>
            <w:r w:rsidRPr="00464B99">
              <w:rPr>
                <w:rFonts w:cs="Arial"/>
              </w:rPr>
              <w: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0F0F09" w:rsidRPr="00037871" w:rsidRDefault="000F0F09"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0F0F09" w:rsidRPr="00037871" w:rsidRDefault="000F0F09" w:rsidP="00F409A2">
            <w:pPr>
              <w:pStyle w:val="BoxSpaceBelow"/>
              <w:rPr>
                <w:color w:val="00B050"/>
              </w:rPr>
            </w:pPr>
          </w:p>
        </w:tc>
      </w:tr>
    </w:tbl>
    <w:p w:rsidR="00F409A2" w:rsidRPr="00037871" w:rsidRDefault="00F409A2" w:rsidP="00F409A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F409A2" w:rsidRPr="00E152FA" w:rsidRDefault="00F409A2" w:rsidP="001D480C">
            <w:pPr>
              <w:pStyle w:val="BoxTitle"/>
              <w:spacing w:after="120"/>
            </w:pPr>
            <w:r w:rsidRPr="00E152FA">
              <w:t>5.3</w:t>
            </w:r>
            <w:r w:rsidRPr="00E152FA">
              <w:tab/>
              <w:t>Engagement with services</w:t>
            </w:r>
          </w:p>
        </w:tc>
      </w:tr>
      <w:tr w:rsidR="00037871" w:rsidRPr="00037871" w:rsidTr="00671987">
        <w:trPr>
          <w:cantSplit/>
        </w:trPr>
        <w:tc>
          <w:tcPr>
            <w:tcW w:w="3828" w:type="dxa"/>
            <w:tcBorders>
              <w:top w:val="nil"/>
              <w:left w:val="nil"/>
              <w:bottom w:val="nil"/>
              <w:right w:val="nil"/>
            </w:tcBorders>
            <w:shd w:val="clear" w:color="auto" w:fill="F2F2F2"/>
          </w:tcPr>
          <w:p w:rsidR="00F409A2" w:rsidRPr="00DA607A" w:rsidRDefault="00A9316D" w:rsidP="00F409A2">
            <w:pPr>
              <w:pStyle w:val="Box"/>
            </w:pPr>
            <w:r w:rsidRPr="00DA607A">
              <w:t>Positive engagement with services is critical to improve outcomes for Aboriginal and Torres Strait Islander Australians. Engagement covers both access to services and the culturally appropriate delivery of services.</w:t>
            </w:r>
          </w:p>
        </w:tc>
        <w:tc>
          <w:tcPr>
            <w:tcW w:w="992" w:type="dxa"/>
            <w:tcBorders>
              <w:top w:val="nil"/>
              <w:left w:val="nil"/>
              <w:bottom w:val="nil"/>
              <w:right w:val="nil"/>
            </w:tcBorders>
            <w:shd w:val="clear" w:color="auto" w:fill="418B50"/>
          </w:tcPr>
          <w:p w:rsidR="00F409A2" w:rsidRPr="00DA607A" w:rsidRDefault="00F409A2" w:rsidP="00F409A2">
            <w:pPr>
              <w:pStyle w:val="BoxHeading1"/>
            </w:pPr>
          </w:p>
          <w:p w:rsidR="00F409A2" w:rsidRPr="00DA607A" w:rsidRDefault="00DA607A" w:rsidP="00F409A2">
            <w:pPr>
              <w:pStyle w:val="Box"/>
              <w:jc w:val="center"/>
              <w:rPr>
                <w:b/>
                <w:sz w:val="30"/>
                <w:szCs w:val="30"/>
              </w:rPr>
            </w:pPr>
            <w:r w:rsidRPr="00DA607A">
              <w:rPr>
                <w:rFonts w:ascii="Wingdings 2" w:hAnsi="Wingdings 2" w:cs="Arial"/>
                <w:b/>
                <w:sz w:val="48"/>
                <w:szCs w:val="48"/>
              </w:rPr>
              <w:t></w:t>
            </w:r>
          </w:p>
        </w:tc>
        <w:tc>
          <w:tcPr>
            <w:tcW w:w="3973" w:type="dxa"/>
            <w:tcBorders>
              <w:top w:val="nil"/>
              <w:left w:val="nil"/>
              <w:bottom w:val="nil"/>
              <w:right w:val="nil"/>
            </w:tcBorders>
            <w:shd w:val="clear" w:color="auto" w:fill="F2F2F2"/>
          </w:tcPr>
          <w:p w:rsidR="00F409A2" w:rsidRPr="00DA607A" w:rsidRDefault="00540CA8" w:rsidP="009E01B1">
            <w:pPr>
              <w:pStyle w:val="Box"/>
            </w:pPr>
            <w:r>
              <w:t xml:space="preserve">The proportion of </w:t>
            </w:r>
            <w:r w:rsidR="00A9316D" w:rsidRPr="00DA607A">
              <w:t>Aboriginal and Torres Strait Islander Australians aged 15 years</w:t>
            </w:r>
            <w:r w:rsidR="004733CC" w:rsidRPr="00DA607A">
              <w:t xml:space="preserve"> and over</w:t>
            </w:r>
            <w:r w:rsidR="00A9316D" w:rsidRPr="00DA607A">
              <w:t xml:space="preserve"> </w:t>
            </w:r>
            <w:r>
              <w:t xml:space="preserve">that </w:t>
            </w:r>
            <w:r w:rsidR="00A9316D" w:rsidRPr="00DA607A">
              <w:t>reported problems accessing services in the previous 12 months</w:t>
            </w:r>
            <w:r>
              <w:t xml:space="preserve"> decreased from </w:t>
            </w:r>
            <w:r w:rsidR="00DA607A" w:rsidRPr="00DA607A">
              <w:t>30</w:t>
            </w:r>
            <w:r w:rsidR="00A9316D" w:rsidRPr="00DA607A">
              <w:t xml:space="preserve"> per cent</w:t>
            </w:r>
            <w:r w:rsidR="00DA607A" w:rsidRPr="00DA607A">
              <w:t xml:space="preserve"> in 2008</w:t>
            </w:r>
            <w:r>
              <w:t xml:space="preserve"> to 24</w:t>
            </w:r>
            <w:r w:rsidR="009E01B1">
              <w:t> </w:t>
            </w:r>
            <w:r>
              <w:t>per cent in 2014</w:t>
            </w:r>
            <w:r w:rsidR="00FB3DF6">
              <w:noBreakHyphen/>
            </w:r>
            <w:r>
              <w:t>15</w:t>
            </w:r>
            <w:r w:rsidR="00A9316D" w:rsidRPr="00DA607A">
              <w:t>.</w:t>
            </w:r>
            <w:r w:rsidR="00DA607A" w:rsidRPr="00DA607A">
              <w:t xml:space="preserve"> Difficulty with access was higher in remote areas compared to non</w:t>
            </w:r>
            <w:r w:rsidR="00FB3DF6">
              <w:noBreakHyphen/>
            </w:r>
            <w:r w:rsidR="00DA607A" w:rsidRPr="00DA607A">
              <w:t>remote areas (</w:t>
            </w:r>
            <w:r w:rsidR="00646112">
              <w:t>33</w:t>
            </w:r>
            <w:r w:rsidR="009E01B1">
              <w:t> </w:t>
            </w:r>
            <w:r w:rsidR="00646112">
              <w:t xml:space="preserve">per cent compared to </w:t>
            </w:r>
            <w:r w:rsidR="00DA607A" w:rsidRPr="00DA607A">
              <w:t>22</w:t>
            </w:r>
            <w:r w:rsidR="009E01B1">
              <w:t> </w:t>
            </w:r>
            <w:r w:rsidR="00DA607A" w:rsidRPr="00DA607A">
              <w:t>per cent).</w:t>
            </w:r>
          </w:p>
        </w:tc>
      </w:tr>
      <w:tr w:rsidR="00DA607A" w:rsidRPr="00037871" w:rsidTr="00671987">
        <w:trPr>
          <w:cantSplit/>
        </w:trPr>
        <w:tc>
          <w:tcPr>
            <w:tcW w:w="8793" w:type="dxa"/>
            <w:gridSpan w:val="3"/>
            <w:tcBorders>
              <w:top w:val="nil"/>
              <w:left w:val="nil"/>
              <w:bottom w:val="nil"/>
              <w:right w:val="nil"/>
            </w:tcBorders>
            <w:shd w:val="clear" w:color="auto" w:fill="F2F2F2"/>
          </w:tcPr>
          <w:p w:rsidR="00DA607A" w:rsidRPr="00DA607A" w:rsidRDefault="00DA607A" w:rsidP="00DA607A">
            <w:pPr>
              <w:pStyle w:val="BoxHeading1"/>
              <w:rPr>
                <w:color w:val="00B050"/>
              </w:rPr>
            </w:pPr>
            <w:r>
              <w:t>Aboriginal and Torres Strait Islander people aged 15 years and over who reported problems accessing services, by selected services, 2008 and 2014</w:t>
            </w:r>
            <w:r>
              <w:noBreakHyphen/>
              <w:t>15</w:t>
            </w:r>
            <w:r w:rsidRPr="00B260CD">
              <w:rPr>
                <w:rStyle w:val="NoteLabel"/>
                <w:b/>
              </w:rPr>
              <w:t>a</w:t>
            </w:r>
          </w:p>
        </w:tc>
      </w:tr>
      <w:tr w:rsidR="00DA607A" w:rsidRPr="00037871" w:rsidTr="00671987">
        <w:trPr>
          <w:cantSplit/>
        </w:trPr>
        <w:tc>
          <w:tcPr>
            <w:tcW w:w="8793" w:type="dxa"/>
            <w:gridSpan w:val="3"/>
            <w:tcBorders>
              <w:top w:val="nil"/>
              <w:left w:val="nil"/>
              <w:bottom w:val="nil"/>
              <w:right w:val="nil"/>
            </w:tcBorders>
            <w:shd w:val="clear" w:color="auto" w:fill="F2F2F2"/>
          </w:tcPr>
          <w:p w:rsidR="00DA607A" w:rsidRPr="00DA607A" w:rsidRDefault="00B539DA" w:rsidP="007B37B7">
            <w:pPr>
              <w:pStyle w:val="Box"/>
              <w:jc w:val="center"/>
              <w:rPr>
                <w:color w:val="00B050"/>
              </w:rPr>
            </w:pPr>
            <w:r>
              <w:rPr>
                <w:noProof/>
                <w:color w:val="00B050"/>
              </w:rPr>
              <w:drawing>
                <wp:inline distT="0" distB="0" distL="0" distR="0">
                  <wp:extent cx="5391785" cy="2863850"/>
                  <wp:effectExtent l="0" t="0" r="0" b="0"/>
                  <wp:docPr id="15" name="Picture 15" descr="Figure: Aboriginal and Torres Strait Islander people aged 15 years and over who repoted problems accessing services, by selected services, 2008 and 2014-15&#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785" cy="2863850"/>
                          </a:xfrm>
                          <a:prstGeom prst="rect">
                            <a:avLst/>
                          </a:prstGeom>
                          <a:noFill/>
                          <a:ln>
                            <a:noFill/>
                          </a:ln>
                        </pic:spPr>
                      </pic:pic>
                    </a:graphicData>
                  </a:graphic>
                </wp:inline>
              </w:drawing>
            </w:r>
          </w:p>
        </w:tc>
      </w:tr>
      <w:tr w:rsidR="00037871" w:rsidRPr="00037871" w:rsidTr="00671987">
        <w:trPr>
          <w:cantSplit/>
        </w:trPr>
        <w:tc>
          <w:tcPr>
            <w:tcW w:w="8793" w:type="dxa"/>
            <w:gridSpan w:val="3"/>
            <w:tcBorders>
              <w:top w:val="nil"/>
              <w:left w:val="nil"/>
              <w:bottom w:val="nil"/>
              <w:right w:val="nil"/>
            </w:tcBorders>
            <w:shd w:val="clear" w:color="auto" w:fill="F2F2F2"/>
          </w:tcPr>
          <w:p w:rsidR="00DA607A" w:rsidRPr="004B7B30" w:rsidRDefault="00DA607A" w:rsidP="00DA607A">
            <w:pPr>
              <w:pStyle w:val="BoxHeading2"/>
              <w:spacing w:before="80" w:line="240" w:lineRule="exact"/>
              <w:rPr>
                <w:i w:val="0"/>
                <w:sz w:val="18"/>
                <w:szCs w:val="18"/>
              </w:rPr>
            </w:pPr>
            <w:r w:rsidRPr="004B7B30">
              <w:rPr>
                <w:rStyle w:val="NoteLabel"/>
                <w:i w:val="0"/>
                <w:szCs w:val="18"/>
              </w:rPr>
              <w:t>a</w:t>
            </w:r>
            <w:r w:rsidRPr="004B7B30">
              <w:rPr>
                <w:sz w:val="18"/>
                <w:szCs w:val="18"/>
              </w:rPr>
              <w:t xml:space="preserve"> </w:t>
            </w:r>
            <w:r w:rsidRPr="004B7B30">
              <w:rPr>
                <w:i w:val="0"/>
                <w:sz w:val="18"/>
                <w:szCs w:val="18"/>
              </w:rPr>
              <w:t>Error bars represent 95 per cent confidence intervals around each estimate.</w:t>
            </w:r>
          </w:p>
          <w:p w:rsidR="00F409A2" w:rsidRPr="00DA607A" w:rsidRDefault="00DA607A" w:rsidP="00DA607A">
            <w:pPr>
              <w:pStyle w:val="Source"/>
              <w:rPr>
                <w:color w:val="00B050"/>
              </w:rPr>
            </w:pPr>
            <w:r w:rsidRPr="004B7B30">
              <w:rPr>
                <w:i/>
              </w:rPr>
              <w:t>Source</w:t>
            </w:r>
            <w:r w:rsidR="002177F8">
              <w:t>: Figure</w:t>
            </w:r>
            <w:r w:rsidR="00FB3DF6">
              <w:t> </w:t>
            </w:r>
            <w:r w:rsidR="002177F8">
              <w:t>5.3</w:t>
            </w:r>
            <w:r w:rsidRPr="004B7B30">
              <w:t>.1 in the main report.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F409A2" w:rsidRPr="00037871" w:rsidRDefault="00F409A2"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F409A2" w:rsidRPr="00037871" w:rsidRDefault="00F409A2" w:rsidP="00F409A2">
            <w:pPr>
              <w:pStyle w:val="BoxSpaceBelow"/>
              <w:rPr>
                <w:color w:val="00B050"/>
              </w:rPr>
            </w:pPr>
          </w:p>
        </w:tc>
      </w:tr>
    </w:tbl>
    <w:p w:rsidR="00A1258F" w:rsidRPr="00FD3F04" w:rsidRDefault="00A1258F" w:rsidP="00A1258F">
      <w:pPr>
        <w:pStyle w:val="BodyText"/>
      </w:pPr>
    </w:p>
    <w:p w:rsidR="00F409A2" w:rsidRPr="00037871" w:rsidRDefault="00F409A2" w:rsidP="00F409A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F409A2" w:rsidRPr="00E152FA" w:rsidRDefault="00F409A2" w:rsidP="001D480C">
            <w:pPr>
              <w:pStyle w:val="BoxTitle"/>
              <w:spacing w:after="120"/>
            </w:pPr>
            <w:r w:rsidRPr="00E152FA">
              <w:t>5.4</w:t>
            </w:r>
            <w:r w:rsidRPr="00E152FA">
              <w:tab/>
              <w:t>Case studies in governance</w:t>
            </w:r>
          </w:p>
        </w:tc>
      </w:tr>
      <w:tr w:rsidR="00037871" w:rsidRPr="00037871" w:rsidTr="00671987">
        <w:trPr>
          <w:cantSplit/>
        </w:trPr>
        <w:tc>
          <w:tcPr>
            <w:tcW w:w="3828" w:type="dxa"/>
            <w:tcBorders>
              <w:top w:val="nil"/>
              <w:left w:val="nil"/>
              <w:bottom w:val="nil"/>
              <w:right w:val="nil"/>
            </w:tcBorders>
            <w:shd w:val="clear" w:color="auto" w:fill="F2F2F2"/>
          </w:tcPr>
          <w:p w:rsidR="00A9316D" w:rsidRPr="00F322D0" w:rsidRDefault="00A9316D" w:rsidP="00A9316D">
            <w:pPr>
              <w:pStyle w:val="Box"/>
            </w:pPr>
            <w:r w:rsidRPr="00F322D0">
              <w:t>Good governance contributes to the success of organisations</w:t>
            </w:r>
            <w:r w:rsidR="00012BDE" w:rsidRPr="00F322D0">
              <w:t xml:space="preserve"> and of government engagement with Aboriginal and Torres Strait Islander Australians</w:t>
            </w:r>
            <w:r w:rsidRPr="00F322D0">
              <w:t>.</w:t>
            </w:r>
          </w:p>
          <w:p w:rsidR="00F409A2" w:rsidRPr="00F322D0" w:rsidRDefault="00012BDE" w:rsidP="00012BDE">
            <w:pPr>
              <w:pStyle w:val="Box"/>
            </w:pPr>
            <w:r w:rsidRPr="00F322D0">
              <w:t xml:space="preserve">Since 2006, the Indigenous Governance Awards (IGA) have recognised successful organisations that </w:t>
            </w:r>
            <w:r w:rsidR="00A9316D" w:rsidRPr="00F322D0">
              <w:t>contribute to positive social and economic outcomes for Aboriginal and Torres Strait Islander Australians</w:t>
            </w:r>
            <w:r w:rsidRPr="00F322D0">
              <w:t>.</w:t>
            </w:r>
          </w:p>
        </w:tc>
        <w:tc>
          <w:tcPr>
            <w:tcW w:w="992" w:type="dxa"/>
            <w:tcBorders>
              <w:top w:val="nil"/>
              <w:left w:val="nil"/>
              <w:bottom w:val="nil"/>
              <w:right w:val="nil"/>
            </w:tcBorders>
            <w:shd w:val="clear" w:color="auto" w:fill="F2F2F2"/>
          </w:tcPr>
          <w:p w:rsidR="00F409A2" w:rsidRPr="00F322D0" w:rsidRDefault="00F409A2" w:rsidP="00A908B5">
            <w:pPr>
              <w:pStyle w:val="Box"/>
              <w:rPr>
                <w:b/>
                <w:sz w:val="30"/>
                <w:szCs w:val="30"/>
              </w:rPr>
            </w:pPr>
          </w:p>
        </w:tc>
        <w:tc>
          <w:tcPr>
            <w:tcW w:w="3973" w:type="dxa"/>
            <w:tcBorders>
              <w:top w:val="nil"/>
              <w:left w:val="nil"/>
              <w:bottom w:val="nil"/>
              <w:right w:val="nil"/>
            </w:tcBorders>
            <w:shd w:val="clear" w:color="auto" w:fill="F2F2F2"/>
          </w:tcPr>
          <w:p w:rsidR="00A9316D" w:rsidRPr="00F322D0" w:rsidRDefault="00A9316D" w:rsidP="00A9316D">
            <w:pPr>
              <w:pStyle w:val="Box"/>
            </w:pPr>
            <w:r w:rsidRPr="00F322D0">
              <w:t xml:space="preserve">Research has identified six determinants of good governance that apply to Aboriginal and Torres Strait Islander organisations and communities, and governments: </w:t>
            </w:r>
          </w:p>
          <w:p w:rsidR="00A9316D" w:rsidRPr="00F322D0" w:rsidRDefault="00A9316D" w:rsidP="00A9316D">
            <w:pPr>
              <w:pStyle w:val="BoxListBullet"/>
            </w:pPr>
            <w:r w:rsidRPr="00F322D0">
              <w:t>governing institutions</w:t>
            </w:r>
          </w:p>
          <w:p w:rsidR="00A9316D" w:rsidRPr="00F322D0" w:rsidRDefault="00A9316D" w:rsidP="00A9316D">
            <w:pPr>
              <w:pStyle w:val="BoxListBullet"/>
            </w:pPr>
            <w:r w:rsidRPr="00F322D0">
              <w:t>leadership</w:t>
            </w:r>
          </w:p>
          <w:p w:rsidR="00A9316D" w:rsidRPr="00F322D0" w:rsidRDefault="00A9316D" w:rsidP="00A9316D">
            <w:pPr>
              <w:pStyle w:val="BoxListBullet"/>
            </w:pPr>
            <w:r w:rsidRPr="00F322D0">
              <w:t>self</w:t>
            </w:r>
            <w:r w:rsidR="00FB3DF6">
              <w:noBreakHyphen/>
            </w:r>
            <w:r w:rsidRPr="00F322D0">
              <w:t>determination</w:t>
            </w:r>
          </w:p>
          <w:p w:rsidR="00A9316D" w:rsidRPr="00F322D0" w:rsidRDefault="00A9316D" w:rsidP="00A9316D">
            <w:pPr>
              <w:pStyle w:val="BoxListBullet"/>
            </w:pPr>
            <w:r w:rsidRPr="00F322D0">
              <w:t>capacity building</w:t>
            </w:r>
          </w:p>
          <w:p w:rsidR="00A9316D" w:rsidRPr="00F322D0" w:rsidRDefault="00A9316D" w:rsidP="00A9316D">
            <w:pPr>
              <w:pStyle w:val="BoxListBullet"/>
            </w:pPr>
            <w:r w:rsidRPr="00F322D0">
              <w:t>cultural match</w:t>
            </w:r>
          </w:p>
          <w:p w:rsidR="00F409A2" w:rsidRPr="00F322D0" w:rsidRDefault="00A9316D" w:rsidP="00A9316D">
            <w:pPr>
              <w:pStyle w:val="BoxListBullet"/>
            </w:pPr>
            <w:r w:rsidRPr="00F322D0">
              <w:t>resources.</w:t>
            </w:r>
          </w:p>
        </w:tc>
      </w:tr>
      <w:tr w:rsidR="00037871" w:rsidRPr="00037871" w:rsidTr="00671987">
        <w:trPr>
          <w:cantSplit/>
        </w:trPr>
        <w:tc>
          <w:tcPr>
            <w:tcW w:w="8793" w:type="dxa"/>
            <w:gridSpan w:val="3"/>
            <w:tcBorders>
              <w:top w:val="nil"/>
              <w:left w:val="nil"/>
              <w:bottom w:val="nil"/>
              <w:right w:val="nil"/>
            </w:tcBorders>
            <w:shd w:val="clear" w:color="auto" w:fill="F2F2F2"/>
          </w:tcPr>
          <w:p w:rsidR="00F409A2" w:rsidRPr="00FD3F04" w:rsidRDefault="00A9316D" w:rsidP="0014070A">
            <w:pPr>
              <w:pStyle w:val="Box"/>
            </w:pPr>
            <w:r w:rsidRPr="008E1D84">
              <w:rPr>
                <w:i/>
                <w:color w:val="000000" w:themeColor="text1"/>
              </w:rPr>
              <w:t>There is no trend category for this indicator, which is based on qualitative case studies.</w:t>
            </w:r>
          </w:p>
        </w:tc>
      </w:tr>
      <w:tr w:rsidR="00037871" w:rsidRPr="00037871" w:rsidTr="00671987">
        <w:trPr>
          <w:cantSplit/>
        </w:trPr>
        <w:tc>
          <w:tcPr>
            <w:tcW w:w="8793" w:type="dxa"/>
            <w:gridSpan w:val="3"/>
            <w:tcBorders>
              <w:top w:val="nil"/>
              <w:left w:val="nil"/>
              <w:bottom w:val="nil"/>
              <w:right w:val="nil"/>
            </w:tcBorders>
            <w:shd w:val="clear" w:color="auto" w:fill="F2F2F2"/>
          </w:tcPr>
          <w:p w:rsidR="00F409A2" w:rsidRPr="00BF6B77" w:rsidRDefault="00F409A2" w:rsidP="00F409A2">
            <w:pPr>
              <w:pStyle w:val="BoxHeading2"/>
              <w:rPr>
                <w:color w:val="000000" w:themeColor="text1"/>
              </w:rPr>
            </w:pPr>
            <w:r w:rsidRPr="00BF6B77">
              <w:rPr>
                <w:color w:val="000000" w:themeColor="text1"/>
              </w:rPr>
              <w:t>Things that work</w:t>
            </w:r>
          </w:p>
          <w:p w:rsidR="00A9316D" w:rsidRPr="00BF6B77" w:rsidRDefault="00A9316D" w:rsidP="00A9316D">
            <w:pPr>
              <w:pStyle w:val="BoxListBullet"/>
              <w:numPr>
                <w:ilvl w:val="0"/>
                <w:numId w:val="0"/>
              </w:numPr>
              <w:rPr>
                <w:color w:val="000000" w:themeColor="text1"/>
              </w:rPr>
            </w:pPr>
            <w:r w:rsidRPr="00BF6B77">
              <w:rPr>
                <w:color w:val="000000" w:themeColor="text1"/>
              </w:rPr>
              <w:t xml:space="preserve">The </w:t>
            </w:r>
            <w:r w:rsidR="00BF6B77" w:rsidRPr="00BF6B77">
              <w:rPr>
                <w:b/>
                <w:color w:val="000000" w:themeColor="text1"/>
              </w:rPr>
              <w:t xml:space="preserve">Waltja Tjutangku Palyapayi Aboriginal Corporation </w:t>
            </w:r>
            <w:r w:rsidRPr="00BF6B77">
              <w:rPr>
                <w:color w:val="000000" w:themeColor="text1"/>
              </w:rPr>
              <w:t>(201</w:t>
            </w:r>
            <w:r w:rsidR="00BF6B77" w:rsidRPr="00BF6B77">
              <w:rPr>
                <w:color w:val="000000" w:themeColor="text1"/>
              </w:rPr>
              <w:t>4</w:t>
            </w:r>
            <w:r w:rsidRPr="00BF6B77">
              <w:rPr>
                <w:color w:val="000000" w:themeColor="text1"/>
              </w:rPr>
              <w:t xml:space="preserve"> IGA Winner — incorporated organisations) is </w:t>
            </w:r>
            <w:r w:rsidR="00BF6B77" w:rsidRPr="00BF6B77">
              <w:rPr>
                <w:color w:val="000000" w:themeColor="text1"/>
              </w:rPr>
              <w:t xml:space="preserve">a family resource centre and is an initiative of women leaders from Central Australian communities. It supports communities to address economic disadvantage and ensure local voices are heard </w:t>
            </w:r>
            <w:r w:rsidRPr="00BF6B77">
              <w:rPr>
                <w:color w:val="000000" w:themeColor="text1"/>
              </w:rPr>
              <w:t>(</w:t>
            </w:r>
            <w:r w:rsidR="00646112">
              <w:rPr>
                <w:color w:val="000000" w:themeColor="text1"/>
              </w:rPr>
              <w:t xml:space="preserve">see </w:t>
            </w:r>
            <w:r w:rsidRPr="00BF6B77">
              <w:rPr>
                <w:color w:val="000000" w:themeColor="text1"/>
              </w:rPr>
              <w:t>box</w:t>
            </w:r>
            <w:r w:rsidR="00FB3DF6">
              <w:rPr>
                <w:color w:val="000000" w:themeColor="text1"/>
              </w:rPr>
              <w:t> </w:t>
            </w:r>
            <w:r w:rsidRPr="00BF6B77">
              <w:rPr>
                <w:color w:val="000000" w:themeColor="text1"/>
              </w:rPr>
              <w:t>5.4.2</w:t>
            </w:r>
            <w:r w:rsidR="00646112">
              <w:rPr>
                <w:color w:val="000000" w:themeColor="text1"/>
              </w:rPr>
              <w:t xml:space="preserve"> in the main report for further detail</w:t>
            </w:r>
            <w:r w:rsidRPr="00BF6B77">
              <w:rPr>
                <w:color w:val="000000" w:themeColor="text1"/>
              </w:rPr>
              <w:t>).</w:t>
            </w:r>
          </w:p>
          <w:p w:rsidR="00A9316D" w:rsidRPr="00BF6B77" w:rsidRDefault="00A9316D" w:rsidP="00A9316D">
            <w:pPr>
              <w:pStyle w:val="BoxListBullet"/>
              <w:numPr>
                <w:ilvl w:val="0"/>
                <w:numId w:val="0"/>
              </w:numPr>
              <w:rPr>
                <w:color w:val="000000" w:themeColor="text1"/>
              </w:rPr>
            </w:pPr>
            <w:r w:rsidRPr="00BF6B77">
              <w:rPr>
                <w:color w:val="000000" w:themeColor="text1"/>
              </w:rPr>
              <w:t xml:space="preserve">The </w:t>
            </w:r>
            <w:r w:rsidR="00BF6B77" w:rsidRPr="00BF6B77">
              <w:rPr>
                <w:b/>
                <w:color w:val="000000" w:themeColor="text1"/>
              </w:rPr>
              <w:t xml:space="preserve">Marruk Project </w:t>
            </w:r>
            <w:r w:rsidRPr="00BF6B77">
              <w:rPr>
                <w:color w:val="000000" w:themeColor="text1"/>
              </w:rPr>
              <w:t>(201</w:t>
            </w:r>
            <w:r w:rsidR="00BF6B77" w:rsidRPr="00BF6B77">
              <w:rPr>
                <w:color w:val="000000" w:themeColor="text1"/>
              </w:rPr>
              <w:t>4</w:t>
            </w:r>
            <w:r w:rsidRPr="00BF6B77">
              <w:rPr>
                <w:color w:val="000000" w:themeColor="text1"/>
              </w:rPr>
              <w:t xml:space="preserve"> IGA Winner — non</w:t>
            </w:r>
            <w:r w:rsidR="00FB3DF6">
              <w:rPr>
                <w:color w:val="000000" w:themeColor="text1"/>
              </w:rPr>
              <w:noBreakHyphen/>
            </w:r>
            <w:r w:rsidRPr="00BF6B77">
              <w:rPr>
                <w:color w:val="000000" w:themeColor="text1"/>
              </w:rPr>
              <w:t>incorporated projects and initiatives)</w:t>
            </w:r>
            <w:r w:rsidR="00BF6B77" w:rsidRPr="00BF6B77">
              <w:rPr>
                <w:color w:val="000000" w:themeColor="text1"/>
              </w:rPr>
              <w:t>, connects members of its local community in the northern Victorian town of Swan Hill, using performing arts to strengthen culture and create opportunities for elders, young people, artists and cultural leaders to get to know each other by sharing their histories</w:t>
            </w:r>
            <w:r w:rsidRPr="00BF6B77">
              <w:rPr>
                <w:color w:val="000000" w:themeColor="text1"/>
              </w:rPr>
              <w:t xml:space="preserve"> (</w:t>
            </w:r>
            <w:r w:rsidR="00646112">
              <w:rPr>
                <w:color w:val="000000" w:themeColor="text1"/>
              </w:rPr>
              <w:t xml:space="preserve">see </w:t>
            </w:r>
            <w:r w:rsidRPr="00BF6B77">
              <w:rPr>
                <w:color w:val="000000" w:themeColor="text1"/>
              </w:rPr>
              <w:t>box</w:t>
            </w:r>
            <w:r w:rsidR="00FB3DF6">
              <w:rPr>
                <w:color w:val="000000" w:themeColor="text1"/>
              </w:rPr>
              <w:t> </w:t>
            </w:r>
            <w:r w:rsidRPr="00BF6B77">
              <w:rPr>
                <w:color w:val="000000" w:themeColor="text1"/>
              </w:rPr>
              <w:t>5.4.3</w:t>
            </w:r>
            <w:r w:rsidR="00646112">
              <w:rPr>
                <w:color w:val="000000" w:themeColor="text1"/>
              </w:rPr>
              <w:t xml:space="preserve"> in the main report for further detail</w:t>
            </w:r>
            <w:r w:rsidRPr="00BF6B77">
              <w:rPr>
                <w:color w:val="000000" w:themeColor="text1"/>
              </w:rPr>
              <w:t xml:space="preserve">). </w:t>
            </w:r>
          </w:p>
          <w:p w:rsidR="00F409A2" w:rsidRDefault="00EC0C6E" w:rsidP="00EC0C6E">
            <w:pPr>
              <w:pStyle w:val="Box"/>
              <w:rPr>
                <w:color w:val="000000" w:themeColor="text1"/>
              </w:rPr>
            </w:pPr>
            <w:r w:rsidRPr="00EC0C6E">
              <w:rPr>
                <w:b/>
                <w:color w:val="000000" w:themeColor="text1"/>
              </w:rPr>
              <w:t>Girringun Aboriginal Corporation</w:t>
            </w:r>
            <w:r w:rsidRPr="00EC0C6E">
              <w:rPr>
                <w:color w:val="000000" w:themeColor="text1"/>
              </w:rPr>
              <w:t xml:space="preserve"> (2014 IGA Highly commended — incorporated organisations) represents traditional owners in part of coastal north Queensland. It works to promote traditional cultures, support traditional owners and has social and economic programs including land and biodiversity management and an art centre.</w:t>
            </w:r>
            <w:r w:rsidR="00A9316D" w:rsidRPr="00EC0C6E">
              <w:rPr>
                <w:color w:val="000000" w:themeColor="text1"/>
              </w:rPr>
              <w:t xml:space="preserve"> (</w:t>
            </w:r>
            <w:r w:rsidR="00646112">
              <w:rPr>
                <w:color w:val="000000" w:themeColor="text1"/>
              </w:rPr>
              <w:t xml:space="preserve">see </w:t>
            </w:r>
            <w:r w:rsidR="00A9316D" w:rsidRPr="00EC0C6E">
              <w:rPr>
                <w:color w:val="000000" w:themeColor="text1"/>
              </w:rPr>
              <w:t>box 5.4.</w:t>
            </w:r>
            <w:r>
              <w:rPr>
                <w:color w:val="000000" w:themeColor="text1"/>
              </w:rPr>
              <w:t>4</w:t>
            </w:r>
            <w:r w:rsidR="00646112">
              <w:rPr>
                <w:color w:val="000000" w:themeColor="text1"/>
              </w:rPr>
              <w:t xml:space="preserve"> in the main report for further detail</w:t>
            </w:r>
            <w:r w:rsidR="00A9316D" w:rsidRPr="00EC0C6E">
              <w:rPr>
                <w:color w:val="000000" w:themeColor="text1"/>
              </w:rPr>
              <w:t>).</w:t>
            </w:r>
          </w:p>
          <w:p w:rsidR="00EC0C6E" w:rsidRDefault="00EC0C6E" w:rsidP="003F3CB2">
            <w:pPr>
              <w:pStyle w:val="Box"/>
              <w:rPr>
                <w:color w:val="000000" w:themeColor="text1"/>
              </w:rPr>
            </w:pPr>
            <w:r w:rsidRPr="00EC0C6E">
              <w:rPr>
                <w:b/>
                <w:color w:val="000000" w:themeColor="text1"/>
              </w:rPr>
              <w:t>Muntjiltjarra Wurrgumu Group</w:t>
            </w:r>
            <w:r w:rsidRPr="00EC0C6E">
              <w:rPr>
                <w:color w:val="000000" w:themeColor="text1"/>
              </w:rPr>
              <w:t xml:space="preserve"> (2014 IGA Highly commended — non</w:t>
            </w:r>
            <w:r w:rsidR="00FB3DF6">
              <w:rPr>
                <w:color w:val="000000" w:themeColor="text1"/>
              </w:rPr>
              <w:noBreakHyphen/>
            </w:r>
            <w:r w:rsidRPr="00EC0C6E">
              <w:rPr>
                <w:color w:val="000000" w:themeColor="text1"/>
              </w:rPr>
              <w:t>incorporated projects) based in Wiluna, WA, provides a voice at the decision making table and aims to address barriers to communication between the Aboriginal community, government agencies and industry</w:t>
            </w:r>
            <w:r w:rsidR="003F3CB2">
              <w:rPr>
                <w:color w:val="000000" w:themeColor="text1"/>
              </w:rPr>
              <w:t xml:space="preserve"> (</w:t>
            </w:r>
            <w:r w:rsidR="00646112">
              <w:rPr>
                <w:color w:val="000000" w:themeColor="text1"/>
              </w:rPr>
              <w:t xml:space="preserve">see </w:t>
            </w:r>
            <w:r w:rsidR="003F3CB2">
              <w:rPr>
                <w:color w:val="000000" w:themeColor="text1"/>
              </w:rPr>
              <w:t>box</w:t>
            </w:r>
            <w:r w:rsidR="00FB3DF6">
              <w:rPr>
                <w:color w:val="000000" w:themeColor="text1"/>
              </w:rPr>
              <w:t> </w:t>
            </w:r>
            <w:r w:rsidR="003F3CB2">
              <w:rPr>
                <w:color w:val="000000" w:themeColor="text1"/>
              </w:rPr>
              <w:t>5.4.5</w:t>
            </w:r>
            <w:r w:rsidR="00646112">
              <w:rPr>
                <w:color w:val="000000" w:themeColor="text1"/>
              </w:rPr>
              <w:t xml:space="preserve"> in the main report for further detail</w:t>
            </w:r>
            <w:r w:rsidR="003F3CB2">
              <w:rPr>
                <w:color w:val="000000" w:themeColor="text1"/>
              </w:rPr>
              <w:t>)</w:t>
            </w:r>
            <w:r w:rsidRPr="00EC0C6E">
              <w:rPr>
                <w:color w:val="000000" w:themeColor="text1"/>
              </w:rPr>
              <w:t>.</w:t>
            </w:r>
          </w:p>
          <w:p w:rsidR="00646112" w:rsidRPr="00EC0C6E" w:rsidRDefault="00646112" w:rsidP="001F102F">
            <w:pPr>
              <w:pStyle w:val="Box"/>
            </w:pPr>
            <w:r w:rsidRPr="006C1699">
              <w:rPr>
                <w:b/>
              </w:rPr>
              <w:t>Kimberley Aboriginal Law and Cultural Centre Cultural Governance Program</w:t>
            </w:r>
            <w:r w:rsidRPr="006C1699">
              <w:t xml:space="preserve"> (WA) </w:t>
            </w:r>
            <w:r w:rsidR="008C7EC2" w:rsidRPr="006C1699">
              <w:t xml:space="preserve">aims to </w:t>
            </w:r>
            <w:r w:rsidR="001F102F" w:rsidRPr="006C1699">
              <w:t xml:space="preserve">support </w:t>
            </w:r>
            <w:r w:rsidR="008C7EC2" w:rsidRPr="006C1699">
              <w:t>cultural governanc</w:t>
            </w:r>
            <w:r w:rsidR="001F102F" w:rsidRPr="006C1699">
              <w:t xml:space="preserve">e across the Kimberley. </w:t>
            </w:r>
            <w:r w:rsidR="008C7EC2" w:rsidRPr="006C1699">
              <w:t xml:space="preserve">A 2014 evaluation </w:t>
            </w:r>
            <w:r w:rsidR="001F102F" w:rsidRPr="006C1699">
              <w:t xml:space="preserve">in the Ardyaloon community </w:t>
            </w:r>
            <w:r w:rsidR="008C7EC2" w:rsidRPr="006C1699">
              <w:t xml:space="preserve">showed the importance of working in cooperation with local Aboriginal law and culture to </w:t>
            </w:r>
            <w:r w:rsidR="001F102F" w:rsidRPr="006C1699">
              <w:t xml:space="preserve">successfully </w:t>
            </w:r>
            <w:r w:rsidR="008C7EC2" w:rsidRPr="006C1699">
              <w:t>repatriate sacred objects and remains in a culturally appropriate way</w:t>
            </w:r>
            <w:r w:rsidR="001F102F" w:rsidRPr="006C1699">
              <w:t xml:space="preserve"> (see box</w:t>
            </w:r>
            <w:r w:rsidR="00FB3DF6">
              <w:t> </w:t>
            </w:r>
            <w:r w:rsidR="001F102F" w:rsidRPr="006C1699">
              <w:t>5.4.6 in the main report for further detail)</w:t>
            </w:r>
            <w:r w:rsidR="008C7EC2" w:rsidRPr="006C1699">
              <w:t>.</w:t>
            </w:r>
            <w:r w:rsidRPr="006C1699">
              <w:t xml:space="preserve"> </w:t>
            </w:r>
          </w:p>
        </w:tc>
      </w:tr>
      <w:tr w:rsidR="00037871" w:rsidRPr="00037871" w:rsidTr="00671987">
        <w:trPr>
          <w:cantSplit/>
        </w:trPr>
        <w:tc>
          <w:tcPr>
            <w:tcW w:w="8793" w:type="dxa"/>
            <w:gridSpan w:val="3"/>
            <w:tcBorders>
              <w:top w:val="nil"/>
              <w:left w:val="nil"/>
              <w:bottom w:val="nil"/>
              <w:right w:val="nil"/>
            </w:tcBorders>
            <w:shd w:val="clear" w:color="auto" w:fill="F2F2F2"/>
          </w:tcPr>
          <w:p w:rsidR="00012BDE" w:rsidRPr="003F3CB2" w:rsidRDefault="00012BDE" w:rsidP="003F3CB2">
            <w:pPr>
              <w:pStyle w:val="Note"/>
            </w:pPr>
            <w:r w:rsidRPr="003F3CB2">
              <w:rPr>
                <w:i/>
                <w:color w:val="000000" w:themeColor="text1"/>
              </w:rPr>
              <w:t>Note</w:t>
            </w:r>
            <w:r w:rsidRPr="003F3CB2">
              <w:rPr>
                <w:color w:val="000000" w:themeColor="text1"/>
              </w:rPr>
              <w:t xml:space="preserve">: The winners of the latest round of IGAs were announced </w:t>
            </w:r>
            <w:r w:rsidR="003F3CB2" w:rsidRPr="003F3CB2">
              <w:rPr>
                <w:color w:val="000000" w:themeColor="text1"/>
              </w:rPr>
              <w:t>in</w:t>
            </w:r>
            <w:r w:rsidRPr="003F3CB2">
              <w:rPr>
                <w:color w:val="000000" w:themeColor="text1"/>
              </w:rPr>
              <w:t xml:space="preserve"> </w:t>
            </w:r>
            <w:r w:rsidR="003F3CB2" w:rsidRPr="003F3CB2">
              <w:rPr>
                <w:color w:val="000000" w:themeColor="text1"/>
              </w:rPr>
              <w:t>November</w:t>
            </w:r>
            <w:r w:rsidRPr="003F3CB2">
              <w:rPr>
                <w:color w:val="000000" w:themeColor="text1"/>
              </w:rPr>
              <w:t xml:space="preserve"> 201</w:t>
            </w:r>
            <w:r w:rsidR="003F3CB2" w:rsidRPr="003F3CB2">
              <w:rPr>
                <w:color w:val="000000" w:themeColor="text1"/>
              </w:rPr>
              <w:t>6</w:t>
            </w:r>
            <w:r w:rsidRPr="003F3CB2">
              <w:rPr>
                <w:color w:val="000000" w:themeColor="text1"/>
              </w:rPr>
              <w:t>, too late for inclusion in this report.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F409A2" w:rsidRPr="00037871" w:rsidRDefault="00F409A2"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F409A2" w:rsidRPr="00037871" w:rsidRDefault="00F409A2" w:rsidP="00F409A2">
            <w:pPr>
              <w:pStyle w:val="BoxSpaceBelow"/>
              <w:rPr>
                <w:color w:val="00B050"/>
              </w:rPr>
            </w:pPr>
          </w:p>
        </w:tc>
      </w:tr>
    </w:tbl>
    <w:p w:rsidR="00976114" w:rsidRPr="00FD3F04" w:rsidRDefault="00976114" w:rsidP="00120072">
      <w:pPr>
        <w:pStyle w:val="BodyText"/>
      </w:pPr>
    </w:p>
    <w:p w:rsidR="00F409A2" w:rsidRPr="00037871" w:rsidRDefault="00F409A2" w:rsidP="00F409A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F409A2" w:rsidRPr="00B959ED" w:rsidRDefault="00F409A2" w:rsidP="001D480C">
            <w:pPr>
              <w:pStyle w:val="BoxTitle"/>
              <w:spacing w:after="120"/>
            </w:pPr>
            <w:r w:rsidRPr="00B959ED">
              <w:t>5.5</w:t>
            </w:r>
            <w:r w:rsidRPr="00B959ED">
              <w:tab/>
              <w:t xml:space="preserve">Indigenous language revitalisation and maintenance </w:t>
            </w:r>
          </w:p>
        </w:tc>
      </w:tr>
      <w:tr w:rsidR="00037871" w:rsidRPr="00037871" w:rsidTr="00671987">
        <w:trPr>
          <w:cantSplit/>
        </w:trPr>
        <w:tc>
          <w:tcPr>
            <w:tcW w:w="3828" w:type="dxa"/>
            <w:tcBorders>
              <w:top w:val="nil"/>
              <w:left w:val="nil"/>
              <w:bottom w:val="nil"/>
              <w:right w:val="nil"/>
            </w:tcBorders>
            <w:shd w:val="clear" w:color="auto" w:fill="F2F2F2"/>
          </w:tcPr>
          <w:p w:rsidR="00F409A2" w:rsidRPr="005D21FE" w:rsidRDefault="00A9316D" w:rsidP="00F409A2">
            <w:pPr>
              <w:pStyle w:val="Box"/>
            </w:pPr>
            <w:r w:rsidRPr="005D21FE">
              <w:t>Language is an important cultural signifier for many Aboriginal and Torres Strait Islander Australians, and plays a significant role in the promotion of resilient communities.</w:t>
            </w:r>
          </w:p>
        </w:tc>
        <w:tc>
          <w:tcPr>
            <w:tcW w:w="992" w:type="dxa"/>
            <w:tcBorders>
              <w:top w:val="nil"/>
              <w:left w:val="nil"/>
              <w:bottom w:val="nil"/>
              <w:right w:val="nil"/>
            </w:tcBorders>
            <w:shd w:val="clear" w:color="auto" w:fill="DA9C13"/>
          </w:tcPr>
          <w:p w:rsidR="00F409A2" w:rsidRPr="005D21FE" w:rsidRDefault="00F409A2" w:rsidP="005D21FE">
            <w:pPr>
              <w:pStyle w:val="Box"/>
              <w:spacing w:before="40"/>
              <w:jc w:val="center"/>
              <w:rPr>
                <w:b/>
                <w:sz w:val="30"/>
                <w:szCs w:val="30"/>
              </w:rPr>
            </w:pPr>
            <w:r w:rsidRPr="005D21FE">
              <w:rPr>
                <w:b/>
                <w:sz w:val="30"/>
                <w:szCs w:val="30"/>
              </w:rPr>
              <w:br/>
            </w:r>
          </w:p>
          <w:p w:rsidR="005D21FE" w:rsidRPr="005D21FE" w:rsidRDefault="005D21FE" w:rsidP="005D21FE">
            <w:pPr>
              <w:pStyle w:val="Box"/>
              <w:spacing w:before="40"/>
              <w:jc w:val="center"/>
              <w:rPr>
                <w:b/>
                <w:sz w:val="48"/>
                <w:szCs w:val="48"/>
              </w:rPr>
            </w:pPr>
          </w:p>
          <w:p w:rsidR="005D21FE" w:rsidRPr="005D21FE" w:rsidRDefault="005D21FE" w:rsidP="005D21FE">
            <w:pPr>
              <w:pStyle w:val="Box"/>
              <w:spacing w:before="40"/>
              <w:jc w:val="center"/>
              <w:rPr>
                <w:b/>
                <w:sz w:val="48"/>
                <w:szCs w:val="48"/>
              </w:rPr>
            </w:pPr>
            <w:r w:rsidRPr="005D21FE">
              <w:rPr>
                <w:b/>
                <w:sz w:val="48"/>
                <w:szCs w:val="48"/>
              </w:rPr>
              <w:t>_</w:t>
            </w:r>
          </w:p>
        </w:tc>
        <w:tc>
          <w:tcPr>
            <w:tcW w:w="3973" w:type="dxa"/>
            <w:tcBorders>
              <w:top w:val="nil"/>
              <w:left w:val="nil"/>
              <w:bottom w:val="nil"/>
              <w:right w:val="nil"/>
            </w:tcBorders>
            <w:shd w:val="clear" w:color="auto" w:fill="F2F2F2"/>
          </w:tcPr>
          <w:p w:rsidR="00A9316D" w:rsidRPr="005D21FE" w:rsidRDefault="00A9316D" w:rsidP="00A9316D">
            <w:pPr>
              <w:pStyle w:val="Box"/>
            </w:pPr>
            <w:r w:rsidRPr="005D21FE">
              <w:t xml:space="preserve">In </w:t>
            </w:r>
            <w:r w:rsidR="005D21FE" w:rsidRPr="005D21FE">
              <w:t>2014</w:t>
            </w:r>
            <w:r w:rsidR="00FB3DF6">
              <w:noBreakHyphen/>
            </w:r>
            <w:r w:rsidR="005D21FE" w:rsidRPr="005D21FE">
              <w:t xml:space="preserve">15, similar to </w:t>
            </w:r>
            <w:r w:rsidRPr="005D21FE">
              <w:t>2008, for Aboriginal and Torres Strait Islander Australians aged 3 years and over:</w:t>
            </w:r>
          </w:p>
          <w:p w:rsidR="00A9316D" w:rsidRPr="005D21FE" w:rsidRDefault="00A9316D" w:rsidP="00A9316D">
            <w:pPr>
              <w:pStyle w:val="BoxListBullet"/>
              <w:spacing w:before="120" w:line="280" w:lineRule="atLeast"/>
            </w:pPr>
            <w:r w:rsidRPr="005D21FE">
              <w:t>11 per cent were learning an Indigenous language, with the proportion highest</w:t>
            </w:r>
            <w:r w:rsidR="00AE230A">
              <w:t xml:space="preserve"> for the youngest age group (19 per </w:t>
            </w:r>
            <w:r w:rsidRPr="005D21FE">
              <w:t xml:space="preserve">cent for </w:t>
            </w:r>
            <w:r w:rsidRPr="005D21FE">
              <w:br/>
              <w:t>3–14 year olds)</w:t>
            </w:r>
          </w:p>
          <w:p w:rsidR="00F409A2" w:rsidRPr="005D21FE" w:rsidRDefault="00A9316D" w:rsidP="005D21FE">
            <w:pPr>
              <w:pStyle w:val="BoxListBullet"/>
            </w:pPr>
            <w:r w:rsidRPr="005D21FE">
              <w:t>1</w:t>
            </w:r>
            <w:r w:rsidR="005D21FE" w:rsidRPr="005D21FE">
              <w:t>6</w:t>
            </w:r>
            <w:r w:rsidRPr="005D21FE">
              <w:t xml:space="preserve"> per cent spoke an Indigenous language, with the proportion highest in r</w:t>
            </w:r>
            <w:r w:rsidR="005D21FE" w:rsidRPr="005D21FE">
              <w:t>emote plus very remote areas (50</w:t>
            </w:r>
            <w:r w:rsidR="004733CC" w:rsidRPr="005D21FE">
              <w:t> </w:t>
            </w:r>
            <w:r w:rsidRPr="005D21FE">
              <w:t>per cent).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F409A2" w:rsidRPr="00037871" w:rsidRDefault="00F409A2"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F409A2" w:rsidRPr="00037871" w:rsidRDefault="00F409A2" w:rsidP="00F409A2">
            <w:pPr>
              <w:pStyle w:val="BoxSpaceBelow"/>
              <w:rPr>
                <w:color w:val="00B050"/>
              </w:rPr>
            </w:pPr>
          </w:p>
        </w:tc>
      </w:tr>
    </w:tbl>
    <w:p w:rsidR="00F409A2" w:rsidRPr="00037871" w:rsidRDefault="00F409A2" w:rsidP="00F409A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F409A2" w:rsidRPr="00EF5E6A" w:rsidRDefault="00F409A2" w:rsidP="001D480C">
            <w:pPr>
              <w:pStyle w:val="BoxTitle"/>
              <w:spacing w:after="120"/>
            </w:pPr>
            <w:r w:rsidRPr="00EF5E6A">
              <w:t>5.6</w:t>
            </w:r>
            <w:r w:rsidRPr="00EF5E6A">
              <w:tab/>
              <w:t>Indigenous cultural studies</w:t>
            </w:r>
          </w:p>
        </w:tc>
      </w:tr>
      <w:tr w:rsidR="00037871" w:rsidRPr="00037871" w:rsidTr="00671987">
        <w:trPr>
          <w:cantSplit/>
        </w:trPr>
        <w:tc>
          <w:tcPr>
            <w:tcW w:w="3828" w:type="dxa"/>
            <w:tcBorders>
              <w:top w:val="nil"/>
              <w:left w:val="nil"/>
              <w:bottom w:val="nil"/>
              <w:right w:val="nil"/>
            </w:tcBorders>
            <w:shd w:val="clear" w:color="auto" w:fill="F2F2F2"/>
          </w:tcPr>
          <w:p w:rsidR="00F409A2" w:rsidRPr="00CD5D13" w:rsidRDefault="00A9316D" w:rsidP="00D42A93">
            <w:pPr>
              <w:pStyle w:val="Box"/>
            </w:pPr>
            <w:r w:rsidRPr="00CD5D13">
              <w:t xml:space="preserve">Cultural studies can enhance educational achievement for Aboriginal and Torres Strait Islander students, as well as educate all students about </w:t>
            </w:r>
            <w:r w:rsidR="00D42A93" w:rsidRPr="00CD5D13">
              <w:t>Aboriginal and Torres Strait Islander</w:t>
            </w:r>
            <w:r w:rsidRPr="00CD5D13">
              <w:t xml:space="preserve"> peoples and cultures.</w:t>
            </w:r>
          </w:p>
        </w:tc>
        <w:tc>
          <w:tcPr>
            <w:tcW w:w="992" w:type="dxa"/>
            <w:tcBorders>
              <w:top w:val="nil"/>
              <w:left w:val="nil"/>
              <w:bottom w:val="nil"/>
              <w:right w:val="nil"/>
            </w:tcBorders>
            <w:shd w:val="clear" w:color="auto" w:fill="7E9CA0"/>
          </w:tcPr>
          <w:p w:rsidR="00F409A2" w:rsidRPr="00CD5D13" w:rsidRDefault="00F409A2" w:rsidP="00F409A2">
            <w:pPr>
              <w:pStyle w:val="BoxHeading1"/>
            </w:pPr>
          </w:p>
          <w:p w:rsidR="00F409A2" w:rsidRPr="00CD5D13" w:rsidRDefault="00F409A2" w:rsidP="00F409A2">
            <w:pPr>
              <w:pStyle w:val="Box"/>
              <w:jc w:val="center"/>
              <w:rPr>
                <w:b/>
                <w:sz w:val="30"/>
                <w:szCs w:val="30"/>
              </w:rPr>
            </w:pPr>
            <w:r w:rsidRPr="00CD5D13">
              <w:rPr>
                <w:b/>
                <w:sz w:val="30"/>
                <w:szCs w:val="30"/>
              </w:rPr>
              <w:t>Data gap</w:t>
            </w:r>
          </w:p>
        </w:tc>
        <w:tc>
          <w:tcPr>
            <w:tcW w:w="3973" w:type="dxa"/>
            <w:tcBorders>
              <w:top w:val="nil"/>
              <w:left w:val="nil"/>
              <w:bottom w:val="nil"/>
              <w:right w:val="nil"/>
            </w:tcBorders>
            <w:shd w:val="clear" w:color="auto" w:fill="F2F2F2"/>
          </w:tcPr>
          <w:p w:rsidR="00F409A2" w:rsidRPr="00CD5D13" w:rsidRDefault="00CD5D13" w:rsidP="00CD5D13">
            <w:pPr>
              <w:pStyle w:val="Box"/>
            </w:pPr>
            <w:r w:rsidRPr="00CD5D13">
              <w:t>In 2014</w:t>
            </w:r>
            <w:r w:rsidR="00FB3DF6">
              <w:noBreakHyphen/>
            </w:r>
            <w:r w:rsidRPr="00CD5D13">
              <w:t>15</w:t>
            </w:r>
            <w:r w:rsidR="00A9316D" w:rsidRPr="00CD5D13">
              <w:t>,</w:t>
            </w:r>
            <w:r w:rsidRPr="00CD5D13">
              <w:t xml:space="preserve"> consistent with 2008, around</w:t>
            </w:r>
            <w:r w:rsidR="00192A01" w:rsidRPr="00CD5D13">
              <w:t xml:space="preserve"> </w:t>
            </w:r>
            <w:r w:rsidR="00AF4313" w:rsidRPr="00CD5D13">
              <w:t>two</w:t>
            </w:r>
            <w:r w:rsidR="00FB3DF6">
              <w:noBreakHyphen/>
            </w:r>
            <w:r w:rsidRPr="00CD5D13">
              <w:t xml:space="preserve">thirds </w:t>
            </w:r>
            <w:r w:rsidR="00A9316D" w:rsidRPr="00CD5D13">
              <w:t>of Aborigina</w:t>
            </w:r>
            <w:r w:rsidRPr="00CD5D13">
              <w:t>l and Torres Strait Islander 5–2</w:t>
            </w:r>
            <w:r w:rsidR="00A9316D" w:rsidRPr="00CD5D13">
              <w:t>4 year olds reported being taught Indigenous culture as part of their study. (No data are available for non</w:t>
            </w:r>
            <w:r w:rsidR="00A9316D" w:rsidRPr="00CD5D13">
              <w:noBreakHyphen/>
              <w:t>Indigenous Australians</w:t>
            </w:r>
            <w:r w:rsidR="00F174BD" w:rsidRPr="00CD5D13">
              <w:t>.</w:t>
            </w:r>
            <w:r w:rsidR="00A9316D" w:rsidRPr="00CD5D13">
              <w:t>)</w:t>
            </w:r>
            <w:r w:rsidRPr="00CD5D13">
              <w:t xml:space="preserve"> </w:t>
            </w:r>
          </w:p>
        </w:tc>
      </w:tr>
      <w:tr w:rsidR="00037871" w:rsidRPr="00CD5D13" w:rsidTr="00671987">
        <w:trPr>
          <w:cantSplit/>
        </w:trPr>
        <w:tc>
          <w:tcPr>
            <w:tcW w:w="8793" w:type="dxa"/>
            <w:gridSpan w:val="3"/>
            <w:tcBorders>
              <w:top w:val="nil"/>
              <w:left w:val="nil"/>
              <w:bottom w:val="nil"/>
              <w:right w:val="nil"/>
            </w:tcBorders>
            <w:shd w:val="clear" w:color="auto" w:fill="F2F2F2"/>
          </w:tcPr>
          <w:p w:rsidR="00F409A2" w:rsidRPr="00CD5D13" w:rsidRDefault="00A9316D" w:rsidP="0014070A">
            <w:pPr>
              <w:pStyle w:val="Box"/>
              <w:rPr>
                <w:i/>
              </w:rPr>
            </w:pPr>
            <w:r w:rsidRPr="00CD5D13">
              <w:rPr>
                <w:i/>
              </w:rPr>
              <w:t>There is no main measure for this indicator. Data are reported on supplementary measures around students taught Indigenous culture as part of their studies and the proportion of Aboriginal and Torres Strait Islander school staff.</w:t>
            </w:r>
          </w:p>
        </w:tc>
      </w:tr>
      <w:tr w:rsidR="00037871" w:rsidRPr="00037871" w:rsidTr="00671987">
        <w:trPr>
          <w:cantSplit/>
        </w:trPr>
        <w:tc>
          <w:tcPr>
            <w:tcW w:w="8793" w:type="dxa"/>
            <w:gridSpan w:val="3"/>
            <w:tcBorders>
              <w:top w:val="nil"/>
              <w:left w:val="nil"/>
              <w:bottom w:val="nil"/>
              <w:right w:val="nil"/>
            </w:tcBorders>
            <w:shd w:val="clear" w:color="auto" w:fill="F2F2F2"/>
          </w:tcPr>
          <w:p w:rsidR="00F409A2" w:rsidRPr="006466C6" w:rsidRDefault="00F409A2" w:rsidP="00F409A2">
            <w:pPr>
              <w:pStyle w:val="BoxHeading2"/>
            </w:pPr>
            <w:r w:rsidRPr="006466C6">
              <w:t>Things that work</w:t>
            </w:r>
          </w:p>
          <w:p w:rsidR="00F409A2" w:rsidRPr="006466C6" w:rsidRDefault="006466C6" w:rsidP="00DB45DB">
            <w:pPr>
              <w:pStyle w:val="Box"/>
            </w:pPr>
            <w:r w:rsidRPr="006466C6">
              <w:rPr>
                <w:b/>
              </w:rPr>
              <w:t>Reconciliation Australia’s Narragunnawali: Reconciliation in Schools and Early Learning</w:t>
            </w:r>
            <w:r w:rsidRPr="006466C6">
              <w:t xml:space="preserve"> (Narragunnawali) is a promising program that supports schools and early learning services </w:t>
            </w:r>
            <w:r w:rsidR="00DB45DB">
              <w:t xml:space="preserve">nationally </w:t>
            </w:r>
            <w:r w:rsidRPr="006466C6">
              <w:t xml:space="preserve">to develop environments to foster knowledge and pride in Aboriginal and Torres Strait Islander histories and cultures. An evaluation is currently underway, with initial reports focused on identifying education services less engaged with reconciliation, for program focus </w:t>
            </w:r>
            <w:r w:rsidR="00A9316D" w:rsidRPr="006466C6">
              <w:t>(</w:t>
            </w:r>
            <w:r w:rsidR="0021286F">
              <w:t xml:space="preserve">see </w:t>
            </w:r>
            <w:r w:rsidR="00A9316D" w:rsidRPr="006466C6">
              <w:t>box</w:t>
            </w:r>
            <w:r w:rsidR="00FB3DF6">
              <w:t> </w:t>
            </w:r>
            <w:r w:rsidR="00A9316D" w:rsidRPr="006466C6">
              <w:t>5.6.3</w:t>
            </w:r>
            <w:r w:rsidR="0021286F">
              <w:t xml:space="preserve"> in the main report for further detail</w:t>
            </w:r>
            <w:r w:rsidR="00A9316D" w:rsidRPr="006466C6">
              <w: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F409A2" w:rsidRPr="006466C6" w:rsidRDefault="00F409A2" w:rsidP="00F409A2">
            <w:pPr>
              <w:pStyle w:val="Box"/>
              <w:spacing w:before="0" w:line="120" w:lineRule="exact"/>
            </w:pPr>
          </w:p>
        </w:tc>
      </w:tr>
      <w:tr w:rsidR="00037871" w:rsidRPr="00037871" w:rsidTr="00671987">
        <w:tc>
          <w:tcPr>
            <w:tcW w:w="8793" w:type="dxa"/>
            <w:gridSpan w:val="3"/>
            <w:tcBorders>
              <w:top w:val="single" w:sz="6" w:space="0" w:color="78A22F"/>
              <w:left w:val="nil"/>
              <w:bottom w:val="nil"/>
              <w:right w:val="nil"/>
            </w:tcBorders>
          </w:tcPr>
          <w:p w:rsidR="00F409A2" w:rsidRPr="006466C6" w:rsidRDefault="00F409A2" w:rsidP="00F409A2">
            <w:pPr>
              <w:pStyle w:val="BoxSpaceBelow"/>
            </w:pPr>
          </w:p>
        </w:tc>
      </w:tr>
    </w:tbl>
    <w:p w:rsidR="00F409A2" w:rsidRPr="00037871" w:rsidRDefault="00F409A2" w:rsidP="00F409A2">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F409A2" w:rsidRPr="00EF5E6A" w:rsidRDefault="00F409A2" w:rsidP="001D480C">
            <w:pPr>
              <w:pStyle w:val="BoxTitle"/>
              <w:spacing w:after="120"/>
            </w:pPr>
            <w:r w:rsidRPr="00EF5E6A">
              <w:t>5.7</w:t>
            </w:r>
            <w:r w:rsidRPr="00EF5E6A">
              <w:tab/>
              <w:t>Participation in community activities</w:t>
            </w:r>
          </w:p>
        </w:tc>
      </w:tr>
      <w:tr w:rsidR="00037871" w:rsidRPr="00037871" w:rsidTr="00671987">
        <w:trPr>
          <w:cantSplit/>
        </w:trPr>
        <w:tc>
          <w:tcPr>
            <w:tcW w:w="3828" w:type="dxa"/>
            <w:tcBorders>
              <w:top w:val="nil"/>
              <w:left w:val="nil"/>
              <w:bottom w:val="nil"/>
              <w:right w:val="nil"/>
            </w:tcBorders>
            <w:shd w:val="clear" w:color="auto" w:fill="F2F2F2"/>
          </w:tcPr>
          <w:p w:rsidR="00F409A2" w:rsidRPr="00923019" w:rsidRDefault="00A9316D" w:rsidP="00EF5E6A">
            <w:pPr>
              <w:pStyle w:val="Box"/>
            </w:pPr>
            <w:r w:rsidRPr="00923019">
              <w:t xml:space="preserve">There is a positive association between Aboriginal and Torres Strait Islander Australians’ involvement in sporting and cultural events and a range of socioeconomic indicators, including improved </w:t>
            </w:r>
            <w:r w:rsidR="00923019" w:rsidRPr="00923019">
              <w:t xml:space="preserve">physical, </w:t>
            </w:r>
            <w:r w:rsidR="00EF5E6A" w:rsidRPr="00923019">
              <w:t>social and emotional</w:t>
            </w:r>
            <w:r w:rsidRPr="00923019">
              <w:t xml:space="preserve"> wellbeing.</w:t>
            </w:r>
          </w:p>
        </w:tc>
        <w:tc>
          <w:tcPr>
            <w:tcW w:w="992" w:type="dxa"/>
            <w:tcBorders>
              <w:top w:val="nil"/>
              <w:left w:val="nil"/>
              <w:bottom w:val="nil"/>
              <w:right w:val="nil"/>
            </w:tcBorders>
            <w:shd w:val="clear" w:color="auto" w:fill="8E8FA6"/>
          </w:tcPr>
          <w:p w:rsidR="00172778" w:rsidRPr="00923019" w:rsidRDefault="00172778" w:rsidP="00F409A2">
            <w:pPr>
              <w:pStyle w:val="Box"/>
              <w:jc w:val="center"/>
              <w:rPr>
                <w:b/>
                <w:sz w:val="48"/>
                <w:szCs w:val="48"/>
              </w:rPr>
            </w:pPr>
          </w:p>
          <w:p w:rsidR="00F409A2" w:rsidRPr="00923019" w:rsidRDefault="00172778" w:rsidP="00F409A2">
            <w:pPr>
              <w:pStyle w:val="Box"/>
              <w:jc w:val="center"/>
              <w:rPr>
                <w:b/>
                <w:sz w:val="48"/>
                <w:szCs w:val="48"/>
              </w:rPr>
            </w:pPr>
            <w:r w:rsidRPr="00923019">
              <w:rPr>
                <w:b/>
                <w:sz w:val="48"/>
                <w:szCs w:val="48"/>
              </w:rPr>
              <w:t>?</w:t>
            </w:r>
          </w:p>
        </w:tc>
        <w:tc>
          <w:tcPr>
            <w:tcW w:w="3973" w:type="dxa"/>
            <w:tcBorders>
              <w:top w:val="nil"/>
              <w:left w:val="nil"/>
              <w:bottom w:val="nil"/>
              <w:right w:val="nil"/>
            </w:tcBorders>
            <w:shd w:val="clear" w:color="auto" w:fill="F2F2F2"/>
          </w:tcPr>
          <w:p w:rsidR="00F409A2" w:rsidRPr="00923019" w:rsidRDefault="00923019" w:rsidP="00923019">
            <w:pPr>
              <w:pStyle w:val="Box"/>
            </w:pPr>
            <w:r w:rsidRPr="00923019">
              <w:t>Between 2002 and 2014</w:t>
            </w:r>
            <w:r w:rsidR="00FB3DF6">
              <w:noBreakHyphen/>
            </w:r>
            <w:r w:rsidRPr="00923019">
              <w:t>15</w:t>
            </w:r>
            <w:r w:rsidR="00A9316D" w:rsidRPr="00923019">
              <w:t>, the proportion of Aboriginal and Torres Strait Islander Australians aged 15 years and over attending cultural events decreased (from 68 to 63 per cent), while the proportion participating in sport and recreational activities increased (from 49 to 5</w:t>
            </w:r>
            <w:r w:rsidRPr="00923019">
              <w:t>9</w:t>
            </w:r>
            <w:r w:rsidR="00A9316D" w:rsidRPr="00923019">
              <w:t xml:space="preserve"> per cent).</w:t>
            </w:r>
          </w:p>
        </w:tc>
      </w:tr>
      <w:tr w:rsidR="00923019" w:rsidRPr="00923019" w:rsidTr="00671987">
        <w:trPr>
          <w:cantSplit/>
        </w:trPr>
        <w:tc>
          <w:tcPr>
            <w:tcW w:w="8793" w:type="dxa"/>
            <w:gridSpan w:val="3"/>
            <w:tcBorders>
              <w:top w:val="nil"/>
              <w:left w:val="nil"/>
              <w:bottom w:val="nil"/>
              <w:right w:val="nil"/>
            </w:tcBorders>
            <w:shd w:val="clear" w:color="auto" w:fill="F2F2F2"/>
          </w:tcPr>
          <w:p w:rsidR="00F409A2" w:rsidRPr="00923019" w:rsidRDefault="00A9316D" w:rsidP="00B70CFE">
            <w:pPr>
              <w:pStyle w:val="Box"/>
              <w:rPr>
                <w:i/>
              </w:rPr>
            </w:pPr>
            <w:r w:rsidRPr="00923019">
              <w:rPr>
                <w:i/>
              </w:rPr>
              <w:t>Results for this indicator are unclear as one measure (participation in</w:t>
            </w:r>
            <w:r w:rsidR="00B70CFE" w:rsidRPr="00923019">
              <w:rPr>
                <w:i/>
              </w:rPr>
              <w:t xml:space="preserve"> sport and recreational activities</w:t>
            </w:r>
            <w:r w:rsidRPr="00923019">
              <w:rPr>
                <w:i/>
              </w:rPr>
              <w:t>) has shown progress while the other measure (participation in</w:t>
            </w:r>
            <w:r w:rsidR="00B70CFE" w:rsidRPr="00923019">
              <w:rPr>
                <w:i/>
              </w:rPr>
              <w:t xml:space="preserve"> cultural events</w:t>
            </w:r>
            <w:r w:rsidRPr="00923019">
              <w:rPr>
                <w:i/>
              </w:rPr>
              <w:t>) has declined.</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F409A2" w:rsidRPr="00037871" w:rsidRDefault="00F409A2" w:rsidP="00F409A2">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F409A2" w:rsidRPr="00037871" w:rsidRDefault="00F409A2" w:rsidP="00F409A2">
            <w:pPr>
              <w:pStyle w:val="BoxSpaceBelow"/>
              <w:rPr>
                <w:color w:val="00B050"/>
              </w:rPr>
            </w:pPr>
          </w:p>
        </w:tc>
      </w:tr>
    </w:tbl>
    <w:p w:rsidR="0054551C" w:rsidRPr="00037871" w:rsidRDefault="0054551C" w:rsidP="0054551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54551C" w:rsidRPr="00935DD2" w:rsidRDefault="0054551C" w:rsidP="001D480C">
            <w:pPr>
              <w:pStyle w:val="BoxTitle"/>
              <w:spacing w:after="120"/>
            </w:pPr>
            <w:r w:rsidRPr="00935DD2">
              <w:t>5.8</w:t>
            </w:r>
            <w:r w:rsidRPr="00935DD2">
              <w:tab/>
              <w:t>Access to traditional lands and waters</w:t>
            </w:r>
          </w:p>
        </w:tc>
      </w:tr>
      <w:tr w:rsidR="00037871" w:rsidRPr="00037871" w:rsidTr="00671987">
        <w:trPr>
          <w:cantSplit/>
        </w:trPr>
        <w:tc>
          <w:tcPr>
            <w:tcW w:w="3828" w:type="dxa"/>
            <w:tcBorders>
              <w:top w:val="nil"/>
              <w:left w:val="nil"/>
              <w:bottom w:val="nil"/>
              <w:right w:val="nil"/>
            </w:tcBorders>
            <w:shd w:val="clear" w:color="auto" w:fill="F2F2F2"/>
          </w:tcPr>
          <w:p w:rsidR="0054551C" w:rsidRPr="009109F4" w:rsidRDefault="00A9316D" w:rsidP="008E4321">
            <w:pPr>
              <w:pStyle w:val="Box"/>
            </w:pPr>
            <w:r w:rsidRPr="009109F4">
              <w:t>Aboriginal and Torres Strait Islander Australians report that they derive physical, spiritual, emotional and cultural benefits from their connection to country. Access to traditional lands and waters gives an indication of Aboriginal and Torres Strait Islander Australians’ connection to country and, for some, is associated with improved health outcomes.</w:t>
            </w:r>
          </w:p>
        </w:tc>
        <w:tc>
          <w:tcPr>
            <w:tcW w:w="992" w:type="dxa"/>
            <w:tcBorders>
              <w:top w:val="nil"/>
              <w:left w:val="nil"/>
              <w:bottom w:val="nil"/>
              <w:right w:val="nil"/>
            </w:tcBorders>
            <w:shd w:val="clear" w:color="auto" w:fill="418B50"/>
          </w:tcPr>
          <w:p w:rsidR="0054551C" w:rsidRPr="009109F4" w:rsidRDefault="0054551C" w:rsidP="008E4321">
            <w:pPr>
              <w:pStyle w:val="BoxHeading1"/>
            </w:pPr>
          </w:p>
          <w:p w:rsidR="0054551C" w:rsidRPr="009109F4" w:rsidRDefault="0054551C" w:rsidP="008E4321">
            <w:pPr>
              <w:pStyle w:val="Box"/>
            </w:pPr>
          </w:p>
          <w:p w:rsidR="0054551C" w:rsidRPr="009109F4" w:rsidRDefault="0054551C" w:rsidP="008E4321">
            <w:pPr>
              <w:pStyle w:val="Box"/>
              <w:spacing w:before="0"/>
              <w:jc w:val="center"/>
              <w:rPr>
                <w:sz w:val="48"/>
                <w:szCs w:val="48"/>
              </w:rPr>
            </w:pPr>
            <w:r w:rsidRPr="009109F4">
              <w:rPr>
                <w:sz w:val="48"/>
                <w:szCs w:val="48"/>
              </w:rPr>
              <w:softHyphen/>
            </w:r>
            <w:r w:rsidRPr="009109F4">
              <w:rPr>
                <w:sz w:val="48"/>
                <w:szCs w:val="48"/>
              </w:rPr>
              <w:softHyphen/>
            </w:r>
            <w:r w:rsidR="00A9316D" w:rsidRPr="009109F4">
              <w:rPr>
                <w:sz w:val="48"/>
                <w:szCs w:val="48"/>
              </w:rPr>
              <w:br/>
            </w:r>
            <w:r w:rsidR="009109F4" w:rsidRPr="00DA607A">
              <w:rPr>
                <w:rFonts w:ascii="Wingdings 2" w:hAnsi="Wingdings 2" w:cs="Arial"/>
                <w:b/>
                <w:sz w:val="48"/>
                <w:szCs w:val="48"/>
              </w:rPr>
              <w:t></w:t>
            </w:r>
          </w:p>
        </w:tc>
        <w:tc>
          <w:tcPr>
            <w:tcW w:w="3973" w:type="dxa"/>
            <w:tcBorders>
              <w:top w:val="nil"/>
              <w:left w:val="nil"/>
              <w:bottom w:val="nil"/>
              <w:right w:val="nil"/>
            </w:tcBorders>
            <w:shd w:val="clear" w:color="auto" w:fill="F2F2F2"/>
          </w:tcPr>
          <w:p w:rsidR="0054551C" w:rsidRPr="009109F4" w:rsidRDefault="0021286F" w:rsidP="0021286F">
            <w:pPr>
              <w:pStyle w:val="Box"/>
            </w:pPr>
            <w:r>
              <w:t xml:space="preserve">The proportion </w:t>
            </w:r>
            <w:r w:rsidR="00A9316D" w:rsidRPr="009109F4">
              <w:t xml:space="preserve">of Aboriginal and Torres Strait Islander adults </w:t>
            </w:r>
            <w:r>
              <w:t xml:space="preserve">that </w:t>
            </w:r>
            <w:r w:rsidR="00A9316D" w:rsidRPr="009109F4">
              <w:t>r</w:t>
            </w:r>
            <w:r w:rsidR="009109F4" w:rsidRPr="009109F4">
              <w:t>ecognised traditional homelands</w:t>
            </w:r>
            <w:r>
              <w:t xml:space="preserve"> </w:t>
            </w:r>
            <w:r w:rsidR="009109F4" w:rsidRPr="009109F4">
              <w:t>increase</w:t>
            </w:r>
            <w:r>
              <w:t>d</w:t>
            </w:r>
            <w:r w:rsidR="009109F4" w:rsidRPr="009109F4">
              <w:t xml:space="preserve"> from 70 per cent in 2002</w:t>
            </w:r>
            <w:r>
              <w:t xml:space="preserve"> to 74 per cent in 2014</w:t>
            </w:r>
            <w:r>
              <w:noBreakHyphen/>
              <w:t>15</w:t>
            </w:r>
            <w:r w:rsidR="00A9316D" w:rsidRPr="009109F4">
              <w:t xml:space="preserve">. </w:t>
            </w:r>
            <w:r w:rsidR="001A1FFA">
              <w:t xml:space="preserve">Recognition was higher </w:t>
            </w:r>
            <w:r>
              <w:t xml:space="preserve">in </w:t>
            </w:r>
            <w:r w:rsidR="001A1FFA">
              <w:t>remote areas (89 per cent) than non</w:t>
            </w:r>
            <w:r w:rsidR="00FB3DF6">
              <w:noBreakHyphen/>
            </w:r>
            <w:r w:rsidR="001A1FFA">
              <w:t>remote areas (70 per cent), though the proportion in non</w:t>
            </w:r>
            <w:r w:rsidR="00FB3DF6">
              <w:noBreakHyphen/>
            </w:r>
            <w:r w:rsidR="001A1FFA">
              <w:t>remote areas has increased since 2002 (63 per cent).</w:t>
            </w:r>
          </w:p>
        </w:tc>
      </w:tr>
      <w:tr w:rsidR="00037871" w:rsidRPr="00037871" w:rsidTr="00671987">
        <w:trPr>
          <w:cantSplit/>
        </w:trPr>
        <w:tc>
          <w:tcPr>
            <w:tcW w:w="8793" w:type="dxa"/>
            <w:gridSpan w:val="3"/>
            <w:tcBorders>
              <w:top w:val="nil"/>
              <w:left w:val="nil"/>
              <w:bottom w:val="nil"/>
              <w:right w:val="nil"/>
            </w:tcBorders>
            <w:shd w:val="clear" w:color="auto" w:fill="F2F2F2"/>
          </w:tcPr>
          <w:p w:rsidR="0054551C" w:rsidRPr="009109F4" w:rsidRDefault="00A9316D" w:rsidP="009109F4">
            <w:pPr>
              <w:pStyle w:val="BoxHeading1"/>
              <w:rPr>
                <w:rStyle w:val="NoteLabel"/>
                <w:b/>
                <w:position w:val="0"/>
                <w:sz w:val="20"/>
              </w:rPr>
            </w:pPr>
            <w:r w:rsidRPr="009109F4">
              <w:t xml:space="preserve">Proportion of </w:t>
            </w:r>
            <w:r w:rsidR="00E77546" w:rsidRPr="009109F4">
              <w:t>Aboriginal and Torres Strait Islander</w:t>
            </w:r>
            <w:r w:rsidRPr="009109F4">
              <w:t xml:space="preserve"> </w:t>
            </w:r>
            <w:r w:rsidR="00E77546" w:rsidRPr="009109F4">
              <w:t>Australians</w:t>
            </w:r>
            <w:r w:rsidRPr="009109F4">
              <w:t xml:space="preserve"> who recognise homelands/traditio</w:t>
            </w:r>
            <w:r w:rsidR="00AF4313" w:rsidRPr="009109F4">
              <w:t xml:space="preserve">nal country, by </w:t>
            </w:r>
            <w:r w:rsidR="009109F4" w:rsidRPr="009109F4">
              <w:t>age, 2002, 2008 and 2014</w:t>
            </w:r>
            <w:r w:rsidR="00FB3DF6">
              <w:noBreakHyphen/>
            </w:r>
            <w:r w:rsidRPr="009109F4">
              <w:t>1</w:t>
            </w:r>
            <w:r w:rsidR="009109F4" w:rsidRPr="009109F4">
              <w:t>5</w:t>
            </w:r>
            <w:r w:rsidR="009109F4" w:rsidRPr="009109F4">
              <w:rPr>
                <w:rStyle w:val="NoteLabel"/>
                <w:b/>
              </w:rPr>
              <w:t>a,b</w:t>
            </w:r>
          </w:p>
        </w:tc>
      </w:tr>
      <w:tr w:rsidR="00037871" w:rsidRPr="00037871" w:rsidTr="00671987">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54551C" w:rsidRPr="00037871" w:rsidRDefault="009109F4" w:rsidP="0054551C">
            <w:pPr>
              <w:rPr>
                <w:color w:val="00B050"/>
              </w:rPr>
            </w:pPr>
            <w:r>
              <w:rPr>
                <w:noProof/>
              </w:rPr>
              <w:drawing>
                <wp:inline distT="0" distB="0" distL="0" distR="0" wp14:anchorId="115F1089" wp14:editId="070A113E">
                  <wp:extent cx="5390515" cy="2317750"/>
                  <wp:effectExtent l="0" t="0" r="635" b="6350"/>
                  <wp:docPr id="24" name="Picture 24" descr="Figure: Proportion of Aboriginal and Torres Strait Islander Australians who recognise homelands/traditional country, by age, 2002, 2008 and 2014-15&#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515" cy="2317750"/>
                          </a:xfrm>
                          <a:prstGeom prst="rect">
                            <a:avLst/>
                          </a:prstGeom>
                          <a:noFill/>
                          <a:ln>
                            <a:noFill/>
                          </a:ln>
                        </pic:spPr>
                      </pic:pic>
                    </a:graphicData>
                  </a:graphic>
                </wp:inline>
              </w:drawing>
            </w:r>
          </w:p>
        </w:tc>
      </w:tr>
      <w:tr w:rsidR="00037871" w:rsidRPr="00037871" w:rsidTr="00671987">
        <w:trPr>
          <w:cantSplit/>
        </w:trPr>
        <w:tc>
          <w:tcPr>
            <w:tcW w:w="8793" w:type="dxa"/>
            <w:gridSpan w:val="3"/>
            <w:tcBorders>
              <w:top w:val="nil"/>
              <w:left w:val="nil"/>
              <w:bottom w:val="nil"/>
              <w:right w:val="nil"/>
            </w:tcBorders>
            <w:shd w:val="clear" w:color="auto" w:fill="F2F2F2"/>
          </w:tcPr>
          <w:p w:rsidR="0054551C" w:rsidRPr="009109F4" w:rsidRDefault="0054551C" w:rsidP="009109F4">
            <w:pPr>
              <w:pStyle w:val="Note"/>
              <w:rPr>
                <w:i/>
              </w:rPr>
            </w:pPr>
            <w:r w:rsidRPr="009109F4">
              <w:rPr>
                <w:rStyle w:val="NoteLabel"/>
              </w:rPr>
              <w:t>a</w:t>
            </w:r>
            <w:r w:rsidRPr="009109F4">
              <w:rPr>
                <w:i/>
              </w:rPr>
              <w:t xml:space="preserve"> </w:t>
            </w:r>
            <w:r w:rsidR="009109F4" w:rsidRPr="009109F4">
              <w:t>Data for those aged less than 15 years was only available in 2014</w:t>
            </w:r>
            <w:r w:rsidR="00FB3DF6">
              <w:noBreakHyphen/>
            </w:r>
            <w:r w:rsidR="009109F4" w:rsidRPr="009109F4">
              <w:t>15</w:t>
            </w:r>
            <w:r w:rsidR="00A9316D" w:rsidRPr="009109F4">
              <w:t xml:space="preserve">. </w:t>
            </w:r>
            <w:r w:rsidR="00A9316D" w:rsidRPr="009109F4">
              <w:rPr>
                <w:rStyle w:val="NoteLabel"/>
              </w:rPr>
              <w:t>b</w:t>
            </w:r>
            <w:r w:rsidR="00A9316D" w:rsidRPr="009109F4">
              <w:t xml:space="preserve"> </w:t>
            </w:r>
            <w:r w:rsidR="009109F4" w:rsidRPr="009109F4">
              <w:t>Error bars represent 95 per cent confidence intervals around each proportion.</w:t>
            </w:r>
          </w:p>
        </w:tc>
      </w:tr>
      <w:tr w:rsidR="00037871" w:rsidRPr="00037871" w:rsidTr="00671987">
        <w:trPr>
          <w:cantSplit/>
        </w:trPr>
        <w:tc>
          <w:tcPr>
            <w:tcW w:w="8793" w:type="dxa"/>
            <w:gridSpan w:val="3"/>
            <w:tcBorders>
              <w:top w:val="nil"/>
              <w:left w:val="nil"/>
              <w:bottom w:val="nil"/>
              <w:right w:val="nil"/>
            </w:tcBorders>
            <w:shd w:val="clear" w:color="auto" w:fill="F2F2F2"/>
          </w:tcPr>
          <w:p w:rsidR="0054551C" w:rsidRPr="009109F4" w:rsidRDefault="0054551C" w:rsidP="008E4321">
            <w:pPr>
              <w:pStyle w:val="BoxHeading2"/>
              <w:spacing w:before="80" w:line="240" w:lineRule="exact"/>
              <w:rPr>
                <w:sz w:val="18"/>
                <w:szCs w:val="18"/>
              </w:rPr>
            </w:pPr>
            <w:r w:rsidRPr="009109F4">
              <w:rPr>
                <w:sz w:val="18"/>
                <w:szCs w:val="18"/>
              </w:rPr>
              <w:t xml:space="preserve">Source: </w:t>
            </w:r>
            <w:r w:rsidRPr="009109F4">
              <w:rPr>
                <w:i w:val="0"/>
                <w:sz w:val="18"/>
                <w:szCs w:val="18"/>
              </w:rPr>
              <w:t>Figure</w:t>
            </w:r>
            <w:r w:rsidR="00FB3DF6">
              <w:rPr>
                <w:i w:val="0"/>
                <w:sz w:val="18"/>
                <w:szCs w:val="18"/>
              </w:rPr>
              <w:t> </w:t>
            </w:r>
            <w:r w:rsidRPr="009109F4">
              <w:rPr>
                <w:i w:val="0"/>
                <w:sz w:val="18"/>
                <w:szCs w:val="18"/>
              </w:rPr>
              <w:t>5.8.1 in the main report.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54551C" w:rsidRPr="00037871" w:rsidRDefault="0054551C"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54551C" w:rsidRPr="00037871" w:rsidRDefault="0054551C" w:rsidP="008E4321">
            <w:pPr>
              <w:pStyle w:val="BoxSpaceBelow"/>
              <w:rPr>
                <w:color w:val="00B050"/>
              </w:rPr>
            </w:pPr>
          </w:p>
        </w:tc>
      </w:tr>
    </w:tbl>
    <w:p w:rsidR="00976114" w:rsidRPr="004D61CE" w:rsidRDefault="0054551C" w:rsidP="0054551C">
      <w:pPr>
        <w:pStyle w:val="Heading2"/>
        <w:rPr>
          <w:color w:val="000000" w:themeColor="text1"/>
        </w:rPr>
      </w:pPr>
      <w:r w:rsidRPr="004D61CE">
        <w:rPr>
          <w:color w:val="000000" w:themeColor="text1"/>
        </w:rPr>
        <w:t>6</w:t>
      </w:r>
      <w:r w:rsidRPr="004D61CE">
        <w:rPr>
          <w:color w:val="000000" w:themeColor="text1"/>
        </w:rPr>
        <w:tab/>
        <w:t>Early child development</w:t>
      </w:r>
    </w:p>
    <w:p w:rsidR="00A9316D" w:rsidRPr="004D61CE" w:rsidRDefault="00A9316D" w:rsidP="00A9316D">
      <w:pPr>
        <w:pStyle w:val="BodyText"/>
        <w:rPr>
          <w:color w:val="000000" w:themeColor="text1"/>
        </w:rPr>
      </w:pPr>
      <w:r w:rsidRPr="004D61CE">
        <w:rPr>
          <w:color w:val="000000" w:themeColor="text1"/>
        </w:rPr>
        <w:t xml:space="preserve">Providing children with a good start can have a long lasting effect on the rest of their lives. This early stage can open up opportunities for the future — but can also create barriers that prevent children achieving their full potential. Poor maternal health, growing up in households with multiple disadvantage, or having poor access to effective services can affect children’s development, health, social and cultural participation, educational attainment and employment prospects. The indicators in this strategic area focus on the early </w:t>
      </w:r>
      <w:r w:rsidR="00F174BD" w:rsidRPr="004D61CE">
        <w:rPr>
          <w:color w:val="000000" w:themeColor="text1"/>
        </w:rPr>
        <w:t>drivers of long</w:t>
      </w:r>
      <w:r w:rsidR="00FB3DF6">
        <w:rPr>
          <w:color w:val="000000" w:themeColor="text1"/>
        </w:rPr>
        <w:noBreakHyphen/>
      </w:r>
      <w:r w:rsidRPr="004D61CE">
        <w:rPr>
          <w:color w:val="000000" w:themeColor="text1"/>
        </w:rPr>
        <w:t>term wellbeing</w:t>
      </w:r>
      <w:r w:rsidR="00456BFD">
        <w:rPr>
          <w:color w:val="000000" w:themeColor="text1"/>
        </w:rPr>
        <w:t xml:space="preserve"> which contribute to overcoming disadvantage</w:t>
      </w:r>
      <w:r w:rsidRPr="004D61CE">
        <w:rPr>
          <w:color w:val="000000" w:themeColor="text1"/>
        </w:rPr>
        <w:t>.</w:t>
      </w:r>
    </w:p>
    <w:p w:rsidR="0054551C" w:rsidRPr="00037871" w:rsidRDefault="0054551C" w:rsidP="0054551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54551C" w:rsidRPr="00B544F1" w:rsidRDefault="0054551C" w:rsidP="001D480C">
            <w:pPr>
              <w:pStyle w:val="BoxTitle"/>
              <w:spacing w:after="120"/>
            </w:pPr>
            <w:r w:rsidRPr="004D61CE">
              <w:rPr>
                <w:color w:val="000000" w:themeColor="text1"/>
              </w:rPr>
              <w:t>6.1</w:t>
            </w:r>
            <w:r w:rsidRPr="004D61CE">
              <w:rPr>
                <w:color w:val="000000" w:themeColor="text1"/>
              </w:rPr>
              <w:tab/>
              <w:t>Antenatal care</w:t>
            </w:r>
          </w:p>
        </w:tc>
      </w:tr>
      <w:tr w:rsidR="00037871" w:rsidRPr="00037871" w:rsidTr="00671987">
        <w:trPr>
          <w:cantSplit/>
        </w:trPr>
        <w:tc>
          <w:tcPr>
            <w:tcW w:w="3828" w:type="dxa"/>
            <w:tcBorders>
              <w:top w:val="nil"/>
              <w:left w:val="nil"/>
              <w:bottom w:val="nil"/>
              <w:right w:val="nil"/>
            </w:tcBorders>
            <w:shd w:val="clear" w:color="auto" w:fill="F2F2F2"/>
          </w:tcPr>
          <w:p w:rsidR="0054551C" w:rsidRPr="003927C6" w:rsidRDefault="00A9316D" w:rsidP="008E4321">
            <w:pPr>
              <w:pStyle w:val="Box"/>
            </w:pPr>
            <w:r w:rsidRPr="003927C6">
              <w:t>Antenatal care provides expectant mothers with information and early screening that can identify and help manage issues that may affect birth outcomes.</w:t>
            </w:r>
          </w:p>
        </w:tc>
        <w:tc>
          <w:tcPr>
            <w:tcW w:w="992" w:type="dxa"/>
            <w:tcBorders>
              <w:top w:val="nil"/>
              <w:left w:val="nil"/>
              <w:bottom w:val="nil"/>
              <w:right w:val="nil"/>
            </w:tcBorders>
            <w:shd w:val="clear" w:color="auto" w:fill="418B50"/>
          </w:tcPr>
          <w:p w:rsidR="0054551C" w:rsidRPr="003927C6" w:rsidRDefault="0054551C" w:rsidP="008E4321">
            <w:pPr>
              <w:pStyle w:val="BoxHeading1"/>
            </w:pPr>
          </w:p>
          <w:p w:rsidR="003927C6" w:rsidRPr="003927C6" w:rsidRDefault="003927C6" w:rsidP="008E4321">
            <w:pPr>
              <w:pStyle w:val="Box"/>
              <w:jc w:val="center"/>
              <w:rPr>
                <w:rFonts w:ascii="Wingdings 2" w:hAnsi="Wingdings 2" w:cs="Arial"/>
                <w:b/>
                <w:sz w:val="48"/>
                <w:szCs w:val="48"/>
              </w:rPr>
            </w:pPr>
          </w:p>
          <w:p w:rsidR="0054551C" w:rsidRPr="003927C6" w:rsidRDefault="003927C6" w:rsidP="008E4321">
            <w:pPr>
              <w:pStyle w:val="Box"/>
              <w:jc w:val="center"/>
              <w:rPr>
                <w:b/>
                <w:sz w:val="30"/>
                <w:szCs w:val="30"/>
              </w:rPr>
            </w:pPr>
            <w:r w:rsidRPr="003927C6">
              <w:rPr>
                <w:rFonts w:ascii="Wingdings 2" w:hAnsi="Wingdings 2" w:cs="Arial"/>
                <w:b/>
                <w:sz w:val="48"/>
                <w:szCs w:val="48"/>
              </w:rPr>
              <w:t></w:t>
            </w:r>
          </w:p>
        </w:tc>
        <w:tc>
          <w:tcPr>
            <w:tcW w:w="3973" w:type="dxa"/>
            <w:tcBorders>
              <w:top w:val="nil"/>
              <w:left w:val="nil"/>
              <w:bottom w:val="nil"/>
              <w:right w:val="nil"/>
            </w:tcBorders>
            <w:shd w:val="clear" w:color="auto" w:fill="F2F2F2"/>
          </w:tcPr>
          <w:p w:rsidR="0054551C" w:rsidRPr="003927C6" w:rsidRDefault="0021286F" w:rsidP="008E4321">
            <w:pPr>
              <w:pStyle w:val="Box"/>
            </w:pPr>
            <w:r>
              <w:t xml:space="preserve">The proportion of </w:t>
            </w:r>
            <w:r w:rsidR="00A9316D" w:rsidRPr="003927C6">
              <w:t>Aboriginal and Torres Strait Islan</w:t>
            </w:r>
            <w:r w:rsidR="003927C6" w:rsidRPr="003927C6">
              <w:t xml:space="preserve">der women who gave birth </w:t>
            </w:r>
            <w:r>
              <w:t>and</w:t>
            </w:r>
            <w:r w:rsidR="00A9316D" w:rsidRPr="003927C6">
              <w:t xml:space="preserve"> attended at least one antenatal visit in the first trimester</w:t>
            </w:r>
            <w:r w:rsidR="003927C6" w:rsidRPr="003927C6">
              <w:t>, increase</w:t>
            </w:r>
            <w:r>
              <w:t>d</w:t>
            </w:r>
            <w:r w:rsidR="003927C6" w:rsidRPr="003927C6">
              <w:t xml:space="preserve"> from 50</w:t>
            </w:r>
            <w:r w:rsidR="009E01B1">
              <w:t> </w:t>
            </w:r>
            <w:r w:rsidR="003927C6" w:rsidRPr="003927C6">
              <w:t>per cent in 2011</w:t>
            </w:r>
            <w:r>
              <w:t xml:space="preserve"> to 52 per cent in 2013</w:t>
            </w:r>
            <w:r w:rsidR="00A9316D" w:rsidRPr="003927C6">
              <w:t xml:space="preserve">. </w:t>
            </w:r>
          </w:p>
          <w:p w:rsidR="00D95470" w:rsidRPr="003927C6" w:rsidRDefault="003927C6" w:rsidP="008E4321">
            <w:pPr>
              <w:pStyle w:val="Box"/>
            </w:pPr>
            <w:r w:rsidRPr="003927C6">
              <w:t>A</w:t>
            </w:r>
            <w:r w:rsidR="00D95470" w:rsidRPr="003927C6">
              <w:t>fter adjusting for differences in population age structures, Aboriginal and Torres Strait Islander mothers attended their first antenatal visit later in pregnancy than non</w:t>
            </w:r>
            <w:r w:rsidR="00FB3DF6">
              <w:noBreakHyphen/>
            </w:r>
            <w:r w:rsidR="00D95470" w:rsidRPr="003927C6">
              <w:t>Indigenous mothers and attended less frequently.</w:t>
            </w:r>
          </w:p>
        </w:tc>
      </w:tr>
      <w:tr w:rsidR="00037871" w:rsidRPr="00037871" w:rsidTr="00671987">
        <w:trPr>
          <w:cantSplit/>
        </w:trPr>
        <w:tc>
          <w:tcPr>
            <w:tcW w:w="8793" w:type="dxa"/>
            <w:gridSpan w:val="3"/>
            <w:tcBorders>
              <w:top w:val="nil"/>
              <w:left w:val="nil"/>
              <w:bottom w:val="nil"/>
              <w:right w:val="nil"/>
            </w:tcBorders>
            <w:shd w:val="clear" w:color="auto" w:fill="F2F2F2"/>
          </w:tcPr>
          <w:p w:rsidR="0054551C" w:rsidRPr="00E13A15" w:rsidRDefault="0054551C" w:rsidP="008E4321">
            <w:pPr>
              <w:pStyle w:val="BoxHeading2"/>
            </w:pPr>
            <w:r w:rsidRPr="00E13A15">
              <w:t>Things that work</w:t>
            </w:r>
          </w:p>
          <w:p w:rsidR="00A9316D" w:rsidRPr="00E13A15" w:rsidRDefault="00A9316D" w:rsidP="00A9316D">
            <w:pPr>
              <w:pStyle w:val="BoxListBullet"/>
              <w:numPr>
                <w:ilvl w:val="0"/>
                <w:numId w:val="0"/>
              </w:numPr>
            </w:pPr>
            <w:r w:rsidRPr="00E13A15">
              <w:t>The</w:t>
            </w:r>
            <w:r w:rsidR="003927C6" w:rsidRPr="00E13A15">
              <w:t xml:space="preserve"> </w:t>
            </w:r>
            <w:r w:rsidRPr="00E13A15">
              <w:rPr>
                <w:b/>
              </w:rPr>
              <w:t xml:space="preserve">Aboriginal Midwifery Access </w:t>
            </w:r>
            <w:r w:rsidR="00E13A15" w:rsidRPr="00E13A15">
              <w:rPr>
                <w:b/>
              </w:rPr>
              <w:t>P</w:t>
            </w:r>
            <w:r w:rsidRPr="00E13A15">
              <w:rPr>
                <w:b/>
              </w:rPr>
              <w:t>rogram</w:t>
            </w:r>
            <w:r w:rsidRPr="00E13A15">
              <w:t xml:space="preserve"> (ACT) provides culturally appropriate midwifery services to parents and newborns, and has encouraged more Aboriginal women to visit midwives at an early stage of pregnancy. A 2011 evaluation found the service was a benchmark program for parents and newborns.</w:t>
            </w:r>
          </w:p>
          <w:p w:rsidR="0054551C" w:rsidRDefault="00A9316D" w:rsidP="004E3AC1">
            <w:pPr>
              <w:pStyle w:val="Box"/>
            </w:pPr>
            <w:r w:rsidRPr="00E13A15">
              <w:t>The</w:t>
            </w:r>
            <w:r w:rsidR="003927C6" w:rsidRPr="00E13A15">
              <w:t xml:space="preserve"> </w:t>
            </w:r>
            <w:r w:rsidR="003927C6" w:rsidRPr="00E13A15">
              <w:rPr>
                <w:b/>
              </w:rPr>
              <w:t>Aboriginal Maternity Group Practice Program</w:t>
            </w:r>
            <w:r w:rsidR="003927C6" w:rsidRPr="00E13A15">
              <w:t xml:space="preserve"> (WA) aims to improve timely access to existing antenatal and maternity services</w:t>
            </w:r>
            <w:r w:rsidR="00E13A15" w:rsidRPr="00E13A15">
              <w:t>, with employment of Aboriginal staff and provision of holistic care. A 2012 evaluation found that babies born to program participants, compared to those not in the program, were less likely to be born pre</w:t>
            </w:r>
            <w:r w:rsidR="00FB3DF6">
              <w:noBreakHyphen/>
            </w:r>
            <w:r w:rsidR="00E13A15" w:rsidRPr="00E13A15">
              <w:t>term, require resuscitation at birth, or require a longer hospital stay</w:t>
            </w:r>
            <w:r w:rsidRPr="00E13A15">
              <w:t>.</w:t>
            </w:r>
          </w:p>
          <w:p w:rsidR="0021286F" w:rsidRPr="00037871" w:rsidRDefault="0021286F">
            <w:pPr>
              <w:pStyle w:val="Box"/>
              <w:rPr>
                <w:color w:val="00B050"/>
              </w:rPr>
            </w:pPr>
            <w:r>
              <w:t>See box</w:t>
            </w:r>
            <w:r w:rsidR="00FB3DF6">
              <w:t> </w:t>
            </w:r>
            <w:r>
              <w:t>6.1.3 in the main report for further detail on these case studies.</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54551C" w:rsidRPr="00037871" w:rsidRDefault="0054551C"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54551C" w:rsidRPr="00037871" w:rsidRDefault="0054551C" w:rsidP="008E4321">
            <w:pPr>
              <w:pStyle w:val="BoxSpaceBelow"/>
              <w:rPr>
                <w:color w:val="00B050"/>
              </w:rPr>
            </w:pPr>
          </w:p>
        </w:tc>
      </w:tr>
    </w:tbl>
    <w:p w:rsidR="0054551C" w:rsidRPr="00320D2D" w:rsidRDefault="0054551C" w:rsidP="0054551C">
      <w:pPr>
        <w:pStyle w:val="BodyText"/>
      </w:pPr>
    </w:p>
    <w:p w:rsidR="0054551C" w:rsidRPr="00037871" w:rsidRDefault="0054551C" w:rsidP="0054551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54551C" w:rsidRPr="00B544F1" w:rsidRDefault="0054551C" w:rsidP="001D480C">
            <w:pPr>
              <w:pStyle w:val="BoxTitle"/>
              <w:spacing w:after="120"/>
            </w:pPr>
            <w:r w:rsidRPr="004D61CE">
              <w:rPr>
                <w:color w:val="000000" w:themeColor="text1"/>
              </w:rPr>
              <w:t>6.2</w:t>
            </w:r>
            <w:r w:rsidRPr="004D61CE">
              <w:rPr>
                <w:color w:val="000000" w:themeColor="text1"/>
              </w:rPr>
              <w:tab/>
              <w:t>Health behaviours during pregnancy</w:t>
            </w:r>
          </w:p>
        </w:tc>
      </w:tr>
      <w:tr w:rsidR="00037871" w:rsidRPr="00037871" w:rsidTr="00671987">
        <w:trPr>
          <w:cantSplit/>
        </w:trPr>
        <w:tc>
          <w:tcPr>
            <w:tcW w:w="3828" w:type="dxa"/>
            <w:tcBorders>
              <w:top w:val="nil"/>
              <w:left w:val="nil"/>
              <w:bottom w:val="nil"/>
              <w:right w:val="nil"/>
            </w:tcBorders>
            <w:shd w:val="clear" w:color="auto" w:fill="F2F2F2"/>
          </w:tcPr>
          <w:p w:rsidR="0054551C" w:rsidRPr="00726094" w:rsidRDefault="00A427A4" w:rsidP="008E4321">
            <w:pPr>
              <w:pStyle w:val="Box"/>
            </w:pPr>
            <w:r w:rsidRPr="00726094">
              <w:t>The health behaviours of women during and after pregnancy can be important for the wellbeing of the women and their children.</w:t>
            </w:r>
          </w:p>
        </w:tc>
        <w:tc>
          <w:tcPr>
            <w:tcW w:w="992" w:type="dxa"/>
            <w:tcBorders>
              <w:top w:val="nil"/>
              <w:left w:val="nil"/>
              <w:bottom w:val="nil"/>
              <w:right w:val="nil"/>
            </w:tcBorders>
            <w:shd w:val="clear" w:color="auto" w:fill="418B50"/>
          </w:tcPr>
          <w:p w:rsidR="0054551C" w:rsidRPr="00726094" w:rsidRDefault="0054551C" w:rsidP="00726094">
            <w:pPr>
              <w:pStyle w:val="Box"/>
              <w:spacing w:before="480" w:line="240" w:lineRule="auto"/>
              <w:jc w:val="center"/>
              <w:rPr>
                <w:sz w:val="48"/>
                <w:szCs w:val="48"/>
              </w:rPr>
            </w:pPr>
            <w:r w:rsidRPr="00726094">
              <w:rPr>
                <w:sz w:val="48"/>
                <w:szCs w:val="48"/>
              </w:rPr>
              <w:softHyphen/>
            </w:r>
            <w:r w:rsidR="00142ACE" w:rsidRPr="00726094">
              <w:rPr>
                <w:rFonts w:ascii="Wingdings 2" w:hAnsi="Wingdings 2" w:cs="Arial"/>
                <w:b/>
                <w:sz w:val="48"/>
                <w:szCs w:val="48"/>
              </w:rPr>
              <w:t></w:t>
            </w:r>
          </w:p>
        </w:tc>
        <w:tc>
          <w:tcPr>
            <w:tcW w:w="3973" w:type="dxa"/>
            <w:tcBorders>
              <w:top w:val="nil"/>
              <w:left w:val="nil"/>
              <w:bottom w:val="nil"/>
              <w:right w:val="nil"/>
            </w:tcBorders>
            <w:shd w:val="clear" w:color="auto" w:fill="F2F2F2"/>
          </w:tcPr>
          <w:p w:rsidR="0054551C" w:rsidRPr="00726094" w:rsidRDefault="00A427A4" w:rsidP="00400E30">
            <w:pPr>
              <w:pStyle w:val="Box"/>
            </w:pPr>
            <w:r w:rsidRPr="00726094">
              <w:t xml:space="preserve">Nationally (excluding Victoria) the proportion of Aboriginal and Torres Strait Islander </w:t>
            </w:r>
            <w:r w:rsidR="00400E30" w:rsidRPr="00726094">
              <w:t xml:space="preserve">mothers </w:t>
            </w:r>
            <w:r w:rsidRPr="00726094">
              <w:t>who smoked during pregnancy decreased from 5</w:t>
            </w:r>
            <w:r w:rsidR="00400E30" w:rsidRPr="00726094">
              <w:t>5</w:t>
            </w:r>
            <w:r w:rsidR="00726094" w:rsidRPr="00726094">
              <w:t xml:space="preserve"> per cent in 2005 to 48 per cent in 2013</w:t>
            </w:r>
            <w:r w:rsidRPr="00726094">
              <w:t>.</w:t>
            </w:r>
            <w:r w:rsidR="00726094" w:rsidRPr="00726094">
              <w:t xml:space="preserve"> In 2013</w:t>
            </w:r>
            <w:r w:rsidR="00400E30" w:rsidRPr="00726094">
              <w:t xml:space="preserve">, after adjusting for differences in population age structures, the </w:t>
            </w:r>
            <w:r w:rsidR="00F6583E" w:rsidRPr="00726094">
              <w:t xml:space="preserve">smoking </w:t>
            </w:r>
            <w:r w:rsidR="00400E30" w:rsidRPr="00726094">
              <w:t xml:space="preserve">rate for Aboriginal and Torres Strait Islander mothers </w:t>
            </w:r>
            <w:r w:rsidR="00D95470" w:rsidRPr="00726094">
              <w:t xml:space="preserve">was </w:t>
            </w:r>
            <w:r w:rsidR="00726094" w:rsidRPr="00726094">
              <w:t xml:space="preserve">almost </w:t>
            </w:r>
            <w:r w:rsidR="00D95470" w:rsidRPr="00726094">
              <w:t>four times the rate for non</w:t>
            </w:r>
            <w:r w:rsidR="00D95470" w:rsidRPr="00726094">
              <w:noBreakHyphen/>
            </w:r>
            <w:r w:rsidR="00400E30" w:rsidRPr="00726094">
              <w:t>Indigenous mothers.</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54551C" w:rsidRPr="00037871" w:rsidRDefault="0054551C"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54551C" w:rsidRPr="00037871" w:rsidRDefault="0054551C" w:rsidP="008E4321">
            <w:pPr>
              <w:pStyle w:val="BoxSpaceBelow"/>
              <w:rPr>
                <w:color w:val="00B050"/>
              </w:rPr>
            </w:pPr>
          </w:p>
        </w:tc>
      </w:tr>
    </w:tbl>
    <w:p w:rsidR="004D2588" w:rsidRPr="00037871" w:rsidRDefault="004D2588" w:rsidP="004D258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4D2588" w:rsidRPr="00B544F1" w:rsidRDefault="004D2588" w:rsidP="001D480C">
            <w:pPr>
              <w:pStyle w:val="BoxTitle"/>
              <w:spacing w:after="120"/>
            </w:pPr>
            <w:r w:rsidRPr="004D61CE">
              <w:rPr>
                <w:color w:val="000000" w:themeColor="text1"/>
              </w:rPr>
              <w:t>6.3</w:t>
            </w:r>
            <w:r w:rsidRPr="004D61CE">
              <w:rPr>
                <w:color w:val="000000" w:themeColor="text1"/>
              </w:rPr>
              <w:tab/>
              <w:t>Teenage birth rate</w:t>
            </w:r>
          </w:p>
        </w:tc>
      </w:tr>
      <w:tr w:rsidR="00037871" w:rsidRPr="00037871" w:rsidTr="00671987">
        <w:trPr>
          <w:cantSplit/>
        </w:trPr>
        <w:tc>
          <w:tcPr>
            <w:tcW w:w="3828" w:type="dxa"/>
            <w:tcBorders>
              <w:top w:val="nil"/>
              <w:left w:val="nil"/>
              <w:bottom w:val="nil"/>
              <w:right w:val="nil"/>
            </w:tcBorders>
            <w:shd w:val="clear" w:color="auto" w:fill="F2F2F2"/>
          </w:tcPr>
          <w:p w:rsidR="004D2588" w:rsidRPr="0054740B" w:rsidRDefault="00A427A4" w:rsidP="008E4321">
            <w:pPr>
              <w:pStyle w:val="Box"/>
            </w:pPr>
            <w:r w:rsidRPr="0054740B">
              <w:t>Teenage births are associated with poorer educational and employment outcomes for the mother, which in turn influence outcomes for the child.</w:t>
            </w:r>
          </w:p>
        </w:tc>
        <w:tc>
          <w:tcPr>
            <w:tcW w:w="992" w:type="dxa"/>
            <w:tcBorders>
              <w:top w:val="nil"/>
              <w:left w:val="nil"/>
              <w:bottom w:val="nil"/>
              <w:right w:val="nil"/>
            </w:tcBorders>
            <w:shd w:val="clear" w:color="auto" w:fill="418B50"/>
          </w:tcPr>
          <w:p w:rsidR="004D2588" w:rsidRPr="0054740B" w:rsidRDefault="004D2588" w:rsidP="008E4321">
            <w:pPr>
              <w:pStyle w:val="BoxHeading1"/>
            </w:pPr>
          </w:p>
          <w:p w:rsidR="004D2588" w:rsidRPr="0054740B" w:rsidRDefault="004D2588" w:rsidP="008E4321">
            <w:pPr>
              <w:pStyle w:val="Box"/>
            </w:pPr>
          </w:p>
          <w:p w:rsidR="004D2588" w:rsidRPr="0054740B" w:rsidRDefault="00726094" w:rsidP="004F3501">
            <w:pPr>
              <w:pStyle w:val="Box"/>
              <w:spacing w:before="0"/>
              <w:jc w:val="center"/>
              <w:rPr>
                <w:b/>
                <w:sz w:val="48"/>
                <w:szCs w:val="48"/>
              </w:rPr>
            </w:pPr>
            <w:r w:rsidRPr="0054740B">
              <w:rPr>
                <w:rFonts w:ascii="Wingdings 2" w:hAnsi="Wingdings 2" w:cs="Arial"/>
                <w:b/>
                <w:sz w:val="48"/>
                <w:szCs w:val="48"/>
              </w:rPr>
              <w:t></w:t>
            </w:r>
          </w:p>
        </w:tc>
        <w:tc>
          <w:tcPr>
            <w:tcW w:w="3973" w:type="dxa"/>
            <w:tcBorders>
              <w:top w:val="nil"/>
              <w:left w:val="nil"/>
              <w:bottom w:val="nil"/>
              <w:right w:val="nil"/>
            </w:tcBorders>
            <w:shd w:val="clear" w:color="auto" w:fill="F2F2F2"/>
          </w:tcPr>
          <w:p w:rsidR="004D2588" w:rsidRPr="0054740B" w:rsidRDefault="00726094" w:rsidP="004E3AC1">
            <w:pPr>
              <w:pStyle w:val="Box"/>
            </w:pPr>
            <w:r w:rsidRPr="0054740B">
              <w:t>The Aboriginal and Torres Strait Islander teenage birth rate is at its lowest level since reporting began in 2004, with a rate of 57 births per 1000 women aged 15–19 years in 2014</w:t>
            </w:r>
            <w:r w:rsidR="000E1049" w:rsidRPr="0054740B">
              <w:t xml:space="preserve">. </w:t>
            </w:r>
            <w:r w:rsidR="004E3AC1">
              <w:t>T</w:t>
            </w:r>
            <w:r w:rsidR="000E1049" w:rsidRPr="0054740B">
              <w:t>he non</w:t>
            </w:r>
            <w:r w:rsidR="00FB3DF6">
              <w:noBreakHyphen/>
            </w:r>
            <w:r w:rsidR="000E1049" w:rsidRPr="0054740B">
              <w:t>Indigenous teenage birth rate</w:t>
            </w:r>
            <w:r w:rsidR="004E3AC1">
              <w:t xml:space="preserve"> is also at its lowest level over this period</w:t>
            </w:r>
            <w:r w:rsidR="00F66E0B">
              <w:t>, with a rate of 10 </w:t>
            </w:r>
            <w:r w:rsidR="000E1049" w:rsidRPr="0054740B">
              <w:t>births per 1000 women of this age</w:t>
            </w:r>
            <w:r w:rsidR="004E3AC1">
              <w:t xml:space="preserve"> in 2014</w:t>
            </w:r>
            <w:r w:rsidR="000E1049" w:rsidRPr="0054740B">
              <w:t>.</w:t>
            </w:r>
            <w:r w:rsidR="00FB3DF6">
              <w:t xml:space="preserve"> </w:t>
            </w:r>
          </w:p>
        </w:tc>
      </w:tr>
      <w:tr w:rsidR="00037871" w:rsidRPr="00037871" w:rsidTr="00671987">
        <w:trPr>
          <w:cantSplit/>
        </w:trPr>
        <w:tc>
          <w:tcPr>
            <w:tcW w:w="8793" w:type="dxa"/>
            <w:gridSpan w:val="3"/>
            <w:tcBorders>
              <w:top w:val="nil"/>
              <w:left w:val="nil"/>
              <w:bottom w:val="nil"/>
              <w:right w:val="nil"/>
            </w:tcBorders>
            <w:shd w:val="clear" w:color="auto" w:fill="F2F2F2"/>
          </w:tcPr>
          <w:p w:rsidR="004D2588" w:rsidRPr="0054740B" w:rsidRDefault="000E1049" w:rsidP="000E1049">
            <w:pPr>
              <w:pStyle w:val="BoxHeading1"/>
              <w:rPr>
                <w:rStyle w:val="NoteLabel"/>
              </w:rPr>
            </w:pPr>
            <w:r w:rsidRPr="0054740B">
              <w:t>Teenage birth rate for</w:t>
            </w:r>
            <w:r w:rsidR="004D2588" w:rsidRPr="0054740B">
              <w:t xml:space="preserve"> </w:t>
            </w:r>
            <w:r w:rsidR="00E77546" w:rsidRPr="0054740B">
              <w:t>Aboriginal and Torres Strait Islander</w:t>
            </w:r>
            <w:r w:rsidR="004D2588" w:rsidRPr="0054740B">
              <w:t xml:space="preserve"> females</w:t>
            </w:r>
            <w:r w:rsidRPr="0054740B">
              <w:t xml:space="preserve">, </w:t>
            </w:r>
            <w:r w:rsidR="00AB6124" w:rsidRPr="0054740B">
              <w:t xml:space="preserve">by </w:t>
            </w:r>
            <w:r w:rsidRPr="0054740B">
              <w:t>single year of age, 2004 to 2014</w:t>
            </w:r>
          </w:p>
        </w:tc>
      </w:tr>
      <w:tr w:rsidR="00037871" w:rsidRPr="00037871" w:rsidTr="00671987">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4D2588" w:rsidRPr="0054740B" w:rsidRDefault="00B539DA" w:rsidP="004D2588">
            <w:r>
              <w:rPr>
                <w:noProof/>
              </w:rPr>
              <w:drawing>
                <wp:inline distT="0" distB="0" distL="0" distR="0">
                  <wp:extent cx="5391785" cy="2579370"/>
                  <wp:effectExtent l="0" t="0" r="0" b="0"/>
                  <wp:docPr id="16" name="Picture 16" descr="Figure: Teenage birth rate for Aboriginal and Torres Strait Islander females, by single year of age, 2004 to 2014&#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785" cy="2579370"/>
                          </a:xfrm>
                          <a:prstGeom prst="rect">
                            <a:avLst/>
                          </a:prstGeom>
                          <a:noFill/>
                          <a:ln>
                            <a:noFill/>
                          </a:ln>
                        </pic:spPr>
                      </pic:pic>
                    </a:graphicData>
                  </a:graphic>
                </wp:inline>
              </w:drawing>
            </w:r>
          </w:p>
        </w:tc>
      </w:tr>
      <w:tr w:rsidR="00037871" w:rsidRPr="00037871" w:rsidTr="00671987">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AB6124" w:rsidRPr="0054740B" w:rsidRDefault="00AB6124" w:rsidP="00AB6124">
            <w:pPr>
              <w:pStyle w:val="Source"/>
            </w:pPr>
            <w:r w:rsidRPr="0054740B">
              <w:rPr>
                <w:i/>
              </w:rPr>
              <w:t>Source</w:t>
            </w:r>
            <w:r w:rsidRPr="0054740B">
              <w:t>: Figure</w:t>
            </w:r>
            <w:r w:rsidR="00FB3DF6">
              <w:t> </w:t>
            </w:r>
            <w:r w:rsidRPr="0054740B">
              <w:t>6.3.1 in the main report.</w:t>
            </w:r>
          </w:p>
        </w:tc>
      </w:tr>
      <w:tr w:rsidR="00671987" w:rsidRPr="00037871" w:rsidTr="00671987">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671987" w:rsidRPr="00671987" w:rsidRDefault="00671987" w:rsidP="00671987">
            <w:pPr>
              <w:pStyle w:val="Source"/>
              <w:jc w:val="right"/>
            </w:pPr>
            <w:r>
              <w:t>(continued next page)</w:t>
            </w:r>
          </w:p>
        </w:tc>
      </w:tr>
      <w:tr w:rsidR="00671987" w:rsidRPr="00671987" w:rsidTr="00671987">
        <w:tblPrEx>
          <w:tblCellMar>
            <w:left w:w="108" w:type="dxa"/>
            <w:right w:w="108" w:type="dxa"/>
          </w:tblCellMar>
        </w:tblPrEx>
        <w:trPr>
          <w:cantSplit/>
        </w:trPr>
        <w:tc>
          <w:tcPr>
            <w:tcW w:w="8793" w:type="dxa"/>
            <w:gridSpan w:val="3"/>
            <w:tcBorders>
              <w:top w:val="nil"/>
              <w:left w:val="nil"/>
              <w:bottom w:val="single" w:sz="4" w:space="0" w:color="78A22F" w:themeColor="accent1"/>
              <w:right w:val="nil"/>
            </w:tcBorders>
            <w:shd w:val="clear" w:color="auto" w:fill="F2F2F2"/>
          </w:tcPr>
          <w:p w:rsidR="00671987" w:rsidRPr="00671987" w:rsidRDefault="00671987" w:rsidP="00671987">
            <w:pPr>
              <w:pStyle w:val="Source"/>
              <w:spacing w:before="0" w:line="240" w:lineRule="auto"/>
              <w:jc w:val="right"/>
              <w:rPr>
                <w:sz w:val="10"/>
                <w:szCs w:val="10"/>
              </w:rPr>
            </w:pPr>
          </w:p>
        </w:tc>
      </w:tr>
      <w:tr w:rsidR="0054740B" w:rsidRPr="0054740B" w:rsidTr="00671987">
        <w:trPr>
          <w:cantSplit/>
        </w:trPr>
        <w:tc>
          <w:tcPr>
            <w:tcW w:w="8793" w:type="dxa"/>
            <w:gridSpan w:val="3"/>
            <w:tcBorders>
              <w:top w:val="single" w:sz="4" w:space="0" w:color="78A22F" w:themeColor="accent1"/>
              <w:left w:val="nil"/>
              <w:bottom w:val="nil"/>
              <w:right w:val="nil"/>
            </w:tcBorders>
            <w:shd w:val="clear" w:color="auto" w:fill="F2F2F2"/>
          </w:tcPr>
          <w:p w:rsidR="00671987" w:rsidRPr="00671987" w:rsidRDefault="00671987" w:rsidP="008E4321">
            <w:pPr>
              <w:pStyle w:val="BoxHeading2"/>
              <w:rPr>
                <w:i w:val="0"/>
                <w:sz w:val="18"/>
                <w:szCs w:val="18"/>
              </w:rPr>
            </w:pPr>
            <w:r w:rsidRPr="00026106">
              <w:rPr>
                <w:b/>
                <w:i w:val="0"/>
                <w:sz w:val="24"/>
                <w:szCs w:val="24"/>
              </w:rPr>
              <w:t>6.3</w:t>
            </w:r>
            <w:r w:rsidRPr="00671987">
              <w:rPr>
                <w:b/>
                <w:i w:val="0"/>
              </w:rPr>
              <w:t xml:space="preserve"> </w:t>
            </w:r>
            <w:r>
              <w:rPr>
                <w:i w:val="0"/>
              </w:rPr>
              <w:t xml:space="preserve">                  </w:t>
            </w:r>
            <w:r w:rsidRPr="00671987">
              <w:rPr>
                <w:b/>
                <w:i w:val="0"/>
                <w:sz w:val="18"/>
                <w:szCs w:val="18"/>
              </w:rPr>
              <w:t>(continued)</w:t>
            </w:r>
          </w:p>
          <w:p w:rsidR="004D2588" w:rsidRPr="0054740B" w:rsidRDefault="004D2588" w:rsidP="008E4321">
            <w:pPr>
              <w:pStyle w:val="BoxHeading2"/>
            </w:pPr>
            <w:r w:rsidRPr="0054740B">
              <w:t>Things that work</w:t>
            </w:r>
          </w:p>
          <w:p w:rsidR="004D2588" w:rsidRPr="0054740B" w:rsidRDefault="00A427A4" w:rsidP="007B37B7">
            <w:pPr>
              <w:pStyle w:val="Box"/>
            </w:pPr>
            <w:r w:rsidRPr="0054740B">
              <w:t>The</w:t>
            </w:r>
            <w:r w:rsidRPr="0054740B">
              <w:rPr>
                <w:b/>
              </w:rPr>
              <w:t xml:space="preserve"> Ngala Nanga Mai </w:t>
            </w:r>
            <w:r w:rsidR="007B37B7">
              <w:rPr>
                <w:b/>
              </w:rPr>
              <w:t>p</w:t>
            </w:r>
            <w:r w:rsidRPr="0054740B">
              <w:rPr>
                <w:b/>
              </w:rPr>
              <w:t xml:space="preserve">ARenT Group Program </w:t>
            </w:r>
            <w:r w:rsidRPr="0054740B">
              <w:t>(La Perouse, NSW) facilitates access to health care for young Aboriginal parents and their children</w:t>
            </w:r>
            <w:r w:rsidR="0054740B" w:rsidRPr="0054740B">
              <w:t xml:space="preserve">. A 2012 </w:t>
            </w:r>
            <w:r w:rsidRPr="0054740B">
              <w:t>evaluation found that, betwe</w:t>
            </w:r>
            <w:r w:rsidR="0054740B" w:rsidRPr="0054740B">
              <w:t>en 2009 and 2012, 92</w:t>
            </w:r>
            <w:r w:rsidRPr="0054740B">
              <w:t xml:space="preserve"> </w:t>
            </w:r>
            <w:r w:rsidR="0054740B" w:rsidRPr="0054740B">
              <w:t>parents</w:t>
            </w:r>
            <w:r w:rsidRPr="0054740B">
              <w:t xml:space="preserve"> attended the group at least once, with 31 </w:t>
            </w:r>
            <w:r w:rsidR="0054740B" w:rsidRPr="0054740B">
              <w:t>r</w:t>
            </w:r>
            <w:r w:rsidRPr="0054740B">
              <w:t xml:space="preserve">egular attendees. </w:t>
            </w:r>
            <w:r w:rsidR="0054740B" w:rsidRPr="0054740B">
              <w:t xml:space="preserve">Participation in the group led to improved access to services which resulted in </w:t>
            </w:r>
            <w:r w:rsidR="0054740B">
              <w:t>increase</w:t>
            </w:r>
            <w:r w:rsidR="00D14CD9">
              <w:t xml:space="preserve">d </w:t>
            </w:r>
            <w:r w:rsidR="0054740B" w:rsidRPr="0054740B">
              <w:t>early detection of treatable childhood conditions</w:t>
            </w:r>
            <w:r w:rsidR="0054740B">
              <w:t>,</w:t>
            </w:r>
            <w:r w:rsidR="0054740B" w:rsidRPr="0054740B">
              <w:t xml:space="preserve"> empowerment and social connectedness </w:t>
            </w:r>
            <w:r w:rsidRPr="0054740B">
              <w:t>(</w:t>
            </w:r>
            <w:r w:rsidR="004E3AC1">
              <w:t xml:space="preserve">see </w:t>
            </w:r>
            <w:r w:rsidRPr="0054740B">
              <w:t>box 6.3.3</w:t>
            </w:r>
            <w:r w:rsidR="004E3AC1">
              <w:t xml:space="preserve"> in the main report for further detail</w:t>
            </w:r>
            <w:r w:rsidRPr="0054740B">
              <w: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4D2588" w:rsidRPr="00037871" w:rsidRDefault="004D2588"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4D2588" w:rsidRPr="00037871" w:rsidRDefault="004D2588" w:rsidP="008E4321">
            <w:pPr>
              <w:pStyle w:val="BoxSpaceBelow"/>
              <w:rPr>
                <w:color w:val="00B050"/>
              </w:rPr>
            </w:pPr>
          </w:p>
        </w:tc>
      </w:tr>
    </w:tbl>
    <w:p w:rsidR="004D2588" w:rsidRPr="00037871" w:rsidRDefault="004D2588" w:rsidP="004D258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4D2588" w:rsidRPr="00B544F1" w:rsidRDefault="004D2588" w:rsidP="001D480C">
            <w:pPr>
              <w:pStyle w:val="BoxTitle"/>
              <w:spacing w:after="120"/>
            </w:pPr>
            <w:r w:rsidRPr="004D61CE">
              <w:rPr>
                <w:color w:val="000000" w:themeColor="text1"/>
              </w:rPr>
              <w:t>6.4</w:t>
            </w:r>
            <w:r w:rsidRPr="004D61CE">
              <w:rPr>
                <w:color w:val="000000" w:themeColor="text1"/>
              </w:rPr>
              <w:tab/>
              <w:t>Birthweight</w:t>
            </w:r>
          </w:p>
        </w:tc>
      </w:tr>
      <w:tr w:rsidR="00037871" w:rsidRPr="00037871" w:rsidTr="00671987">
        <w:trPr>
          <w:cantSplit/>
        </w:trPr>
        <w:tc>
          <w:tcPr>
            <w:tcW w:w="3828" w:type="dxa"/>
            <w:tcBorders>
              <w:top w:val="nil"/>
              <w:left w:val="nil"/>
              <w:bottom w:val="nil"/>
              <w:right w:val="nil"/>
            </w:tcBorders>
            <w:shd w:val="clear" w:color="auto" w:fill="F2F2F2"/>
          </w:tcPr>
          <w:p w:rsidR="004D2588" w:rsidRPr="00D14CD9" w:rsidRDefault="00942A14" w:rsidP="008E4321">
            <w:pPr>
              <w:pStyle w:val="Box"/>
            </w:pPr>
            <w:r w:rsidRPr="00D14CD9">
              <w:t>Low birth</w:t>
            </w:r>
            <w:r w:rsidR="00A427A4" w:rsidRPr="00D14CD9">
              <w:t>weight babies have a greater risk of dying in their first year, and can have more health problems in later life.</w:t>
            </w:r>
          </w:p>
        </w:tc>
        <w:tc>
          <w:tcPr>
            <w:tcW w:w="992" w:type="dxa"/>
            <w:tcBorders>
              <w:top w:val="nil"/>
              <w:left w:val="nil"/>
              <w:bottom w:val="nil"/>
              <w:right w:val="nil"/>
            </w:tcBorders>
            <w:shd w:val="clear" w:color="auto" w:fill="418B50"/>
          </w:tcPr>
          <w:p w:rsidR="004F3501" w:rsidRPr="00D14CD9" w:rsidRDefault="004D2588" w:rsidP="008E4321">
            <w:pPr>
              <w:pStyle w:val="Box"/>
              <w:spacing w:before="0"/>
              <w:jc w:val="center"/>
              <w:rPr>
                <w:sz w:val="48"/>
                <w:szCs w:val="48"/>
              </w:rPr>
            </w:pPr>
            <w:r w:rsidRPr="00D14CD9">
              <w:rPr>
                <w:sz w:val="48"/>
                <w:szCs w:val="48"/>
              </w:rPr>
              <w:br/>
            </w:r>
            <w:r w:rsidRPr="00D14CD9">
              <w:rPr>
                <w:sz w:val="48"/>
                <w:szCs w:val="48"/>
              </w:rPr>
              <w:softHyphen/>
            </w:r>
            <w:r w:rsidRPr="00D14CD9">
              <w:rPr>
                <w:sz w:val="48"/>
                <w:szCs w:val="48"/>
              </w:rPr>
              <w:softHyphen/>
            </w:r>
          </w:p>
          <w:p w:rsidR="004D2588" w:rsidRPr="00D14CD9" w:rsidRDefault="00142ACE" w:rsidP="0014070A">
            <w:pPr>
              <w:pStyle w:val="Box"/>
              <w:spacing w:before="40"/>
              <w:jc w:val="center"/>
              <w:rPr>
                <w:sz w:val="48"/>
                <w:szCs w:val="48"/>
              </w:rPr>
            </w:pPr>
            <w:r w:rsidRPr="00D14CD9">
              <w:rPr>
                <w:rFonts w:ascii="Wingdings 2" w:hAnsi="Wingdings 2" w:cs="Arial"/>
                <w:b/>
                <w:sz w:val="48"/>
                <w:szCs w:val="48"/>
              </w:rPr>
              <w:t></w:t>
            </w:r>
          </w:p>
        </w:tc>
        <w:tc>
          <w:tcPr>
            <w:tcW w:w="3973" w:type="dxa"/>
            <w:tcBorders>
              <w:top w:val="nil"/>
              <w:left w:val="nil"/>
              <w:bottom w:val="nil"/>
              <w:right w:val="nil"/>
            </w:tcBorders>
            <w:shd w:val="clear" w:color="auto" w:fill="F2F2F2"/>
          </w:tcPr>
          <w:p w:rsidR="004D2588" w:rsidRDefault="00A427A4" w:rsidP="00AB6124">
            <w:pPr>
              <w:pStyle w:val="Box"/>
            </w:pPr>
            <w:r w:rsidRPr="00D14CD9">
              <w:t xml:space="preserve">For available jurisdictions (NSW, Victoria, Queensland, WA, SA and the NT), the proportion of Aboriginal and Torres </w:t>
            </w:r>
            <w:r w:rsidR="002102BD" w:rsidRPr="00D14CD9">
              <w:t xml:space="preserve">Strait </w:t>
            </w:r>
            <w:r w:rsidRPr="00D14CD9">
              <w:t>Islander mothers who had low birthweight babies decreased from 1</w:t>
            </w:r>
            <w:r w:rsidR="00AB6124" w:rsidRPr="00D14CD9">
              <w:t>2</w:t>
            </w:r>
            <w:r w:rsidR="009E01B1">
              <w:t> </w:t>
            </w:r>
            <w:r w:rsidRPr="00D14CD9">
              <w:t>per cent in</w:t>
            </w:r>
            <w:r w:rsidR="00D14CD9" w:rsidRPr="00D14CD9">
              <w:t xml:space="preserve"> 2000 to 11</w:t>
            </w:r>
            <w:r w:rsidR="009E01B1">
              <w:t> </w:t>
            </w:r>
            <w:r w:rsidR="00D14CD9" w:rsidRPr="00D14CD9">
              <w:t>per cent in 2013</w:t>
            </w:r>
            <w:r w:rsidRPr="00D14CD9">
              <w:t>.</w:t>
            </w:r>
          </w:p>
          <w:p w:rsidR="00CA07F3" w:rsidRPr="00D14CD9" w:rsidRDefault="00CA07F3" w:rsidP="009E01B1">
            <w:pPr>
              <w:pStyle w:val="Box"/>
            </w:pPr>
            <w:r>
              <w:t xml:space="preserve">For all jurisdictions combined </w:t>
            </w:r>
            <w:r w:rsidR="00F66E0B">
              <w:t>i</w:t>
            </w:r>
            <w:r w:rsidRPr="00D14CD9">
              <w:t>n 2013, 11</w:t>
            </w:r>
            <w:r>
              <w:t> </w:t>
            </w:r>
            <w:r w:rsidRPr="00D14CD9">
              <w:t>per cent of Aboriginal and Torres Strait Islander mothers had low birthweight babies, compared with 5</w:t>
            </w:r>
            <w:r w:rsidR="009E01B1">
              <w:t> </w:t>
            </w:r>
            <w:r w:rsidRPr="00D14CD9">
              <w:t>per cent of non</w:t>
            </w:r>
            <w:r w:rsidRPr="00D14CD9">
              <w:noBreakHyphen/>
              <w:t xml:space="preserve">Indigenous mothers. </w:t>
            </w:r>
          </w:p>
        </w:tc>
      </w:tr>
      <w:tr w:rsidR="00037871" w:rsidRPr="00D14CD9" w:rsidTr="00671987">
        <w:trPr>
          <w:cantSplit/>
        </w:trPr>
        <w:tc>
          <w:tcPr>
            <w:tcW w:w="8793" w:type="dxa"/>
            <w:gridSpan w:val="3"/>
            <w:tcBorders>
              <w:top w:val="nil"/>
              <w:left w:val="nil"/>
              <w:bottom w:val="nil"/>
              <w:right w:val="nil"/>
            </w:tcBorders>
            <w:shd w:val="clear" w:color="auto" w:fill="F2F2F2"/>
          </w:tcPr>
          <w:p w:rsidR="004D2588" w:rsidRPr="00D14CD9" w:rsidRDefault="004D2588" w:rsidP="008E4321">
            <w:pPr>
              <w:pStyle w:val="BoxHeading2"/>
            </w:pPr>
            <w:r w:rsidRPr="00D14CD9">
              <w:t>Things that work</w:t>
            </w:r>
          </w:p>
          <w:p w:rsidR="004D2588" w:rsidRPr="00D14CD9" w:rsidRDefault="00A427A4" w:rsidP="009E01B1">
            <w:pPr>
              <w:pStyle w:val="Box"/>
            </w:pPr>
            <w:r w:rsidRPr="00D14CD9">
              <w:t xml:space="preserve">The national </w:t>
            </w:r>
            <w:r w:rsidRPr="00D14CD9">
              <w:rPr>
                <w:b/>
              </w:rPr>
              <w:t>Healthy for Life</w:t>
            </w:r>
            <w:r w:rsidRPr="00D14CD9">
              <w:t xml:space="preserve"> program focuses on continuous quality improvement in maternal health, child health and chronic disease, with measured increases in birthweight for participating Aboriginal Community Controlled Health Services</w:t>
            </w:r>
            <w:r w:rsidR="00AB6124" w:rsidRPr="00D14CD9">
              <w:t xml:space="preserve">. An evaluation found </w:t>
            </w:r>
            <w:r w:rsidR="00942A14" w:rsidRPr="00D14CD9">
              <w:t xml:space="preserve">that, </w:t>
            </w:r>
            <w:r w:rsidR="00AB6124" w:rsidRPr="00D14CD9">
              <w:t>over the year to June 2008</w:t>
            </w:r>
            <w:r w:rsidR="00942A14" w:rsidRPr="00D14CD9">
              <w:t>,</w:t>
            </w:r>
            <w:r w:rsidR="00AB6124" w:rsidRPr="00D14CD9">
              <w:t xml:space="preserve"> there was a decrease in the proportion of low birthweight babies</w:t>
            </w:r>
            <w:r w:rsidR="00942A14" w:rsidRPr="00D14CD9">
              <w:t xml:space="preserve"> and</w:t>
            </w:r>
            <w:r w:rsidR="00AB6124" w:rsidRPr="00D14CD9">
              <w:t xml:space="preserve"> an increase in the proportion of high birthweight babies. </w:t>
            </w:r>
            <w:r w:rsidR="00D14CD9">
              <w:t>The last data collection for this program</w:t>
            </w:r>
            <w:r w:rsidR="00AB6124" w:rsidRPr="00D14CD9">
              <w:t xml:space="preserve"> found an increase in the proportion of normal birthweight babies from 82 per cent in 2007</w:t>
            </w:r>
            <w:r w:rsidR="00FB3DF6">
              <w:noBreakHyphen/>
            </w:r>
            <w:r w:rsidR="00AB6124" w:rsidRPr="00D14CD9">
              <w:t>08 to 84</w:t>
            </w:r>
            <w:r w:rsidR="009E01B1">
              <w:t> </w:t>
            </w:r>
            <w:r w:rsidR="00AB6124" w:rsidRPr="00D14CD9">
              <w:t>per cent in 2010</w:t>
            </w:r>
            <w:r w:rsidR="00FB3DF6">
              <w:noBreakHyphen/>
            </w:r>
            <w:r w:rsidR="00AB6124" w:rsidRPr="00D14CD9">
              <w:t>11</w:t>
            </w:r>
            <w:r w:rsidRPr="00D14CD9">
              <w:t xml:space="preserve"> (</w:t>
            </w:r>
            <w:r w:rsidR="004E3AC1">
              <w:t xml:space="preserve">see </w:t>
            </w:r>
            <w:r w:rsidRPr="00D14CD9">
              <w:t>box 6.4.3</w:t>
            </w:r>
            <w:r w:rsidR="004E3AC1">
              <w:t xml:space="preserve"> in the main report for further detail</w:t>
            </w:r>
            <w:r w:rsidRPr="00D14CD9">
              <w: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4D2588" w:rsidRPr="00037871" w:rsidRDefault="004D2588"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4D2588" w:rsidRPr="00037871" w:rsidRDefault="004D2588" w:rsidP="008E4321">
            <w:pPr>
              <w:pStyle w:val="BoxSpaceBelow"/>
              <w:rPr>
                <w:color w:val="00B050"/>
              </w:rPr>
            </w:pPr>
          </w:p>
        </w:tc>
      </w:tr>
    </w:tbl>
    <w:p w:rsidR="004D2588" w:rsidRPr="00037871" w:rsidRDefault="004D2588" w:rsidP="004D258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4D2588" w:rsidRPr="00B544F1" w:rsidRDefault="004D2588" w:rsidP="001D480C">
            <w:pPr>
              <w:pStyle w:val="BoxTitle"/>
              <w:spacing w:after="120"/>
            </w:pPr>
            <w:r w:rsidRPr="004D61CE">
              <w:rPr>
                <w:color w:val="000000" w:themeColor="text1"/>
              </w:rPr>
              <w:t>6.5</w:t>
            </w:r>
            <w:r w:rsidRPr="004D61CE">
              <w:rPr>
                <w:color w:val="000000" w:themeColor="text1"/>
              </w:rPr>
              <w:tab/>
              <w:t>Early childhood hospitalisations</w:t>
            </w:r>
          </w:p>
        </w:tc>
      </w:tr>
      <w:tr w:rsidR="00037871" w:rsidRPr="00037871" w:rsidTr="00671987">
        <w:trPr>
          <w:cantSplit/>
        </w:trPr>
        <w:tc>
          <w:tcPr>
            <w:tcW w:w="3828" w:type="dxa"/>
            <w:tcBorders>
              <w:top w:val="nil"/>
              <w:left w:val="nil"/>
              <w:bottom w:val="nil"/>
              <w:right w:val="nil"/>
            </w:tcBorders>
            <w:shd w:val="clear" w:color="auto" w:fill="F2F2F2"/>
          </w:tcPr>
          <w:p w:rsidR="004D2588" w:rsidRPr="00743220" w:rsidRDefault="00A427A4" w:rsidP="008E4321">
            <w:pPr>
              <w:pStyle w:val="Box"/>
            </w:pPr>
            <w:r w:rsidRPr="00743220">
              <w:t>Hospitalisation data provide a broad indicator of the scale of significant health issues. However, a high rate of hospitalisation may also indicate lower access and use of primary health care, as many hospital admissions could be prevented if more effective non</w:t>
            </w:r>
            <w:r w:rsidRPr="00743220">
              <w:noBreakHyphen/>
              <w:t>hospital care were available and used.</w:t>
            </w:r>
          </w:p>
        </w:tc>
        <w:tc>
          <w:tcPr>
            <w:tcW w:w="992" w:type="dxa"/>
            <w:tcBorders>
              <w:top w:val="nil"/>
              <w:left w:val="nil"/>
              <w:bottom w:val="nil"/>
              <w:right w:val="nil"/>
            </w:tcBorders>
            <w:shd w:val="clear" w:color="auto" w:fill="8E8FA6"/>
          </w:tcPr>
          <w:p w:rsidR="004D2588" w:rsidRPr="00743220" w:rsidRDefault="004D2588" w:rsidP="008E4321">
            <w:pPr>
              <w:pStyle w:val="BoxHeading1"/>
            </w:pPr>
          </w:p>
          <w:p w:rsidR="004D2588" w:rsidRPr="00743220" w:rsidRDefault="004D2588" w:rsidP="008E4321">
            <w:pPr>
              <w:pStyle w:val="Box"/>
            </w:pPr>
          </w:p>
          <w:p w:rsidR="004D2588" w:rsidRPr="00743220" w:rsidRDefault="004D2588" w:rsidP="008E4321">
            <w:pPr>
              <w:pStyle w:val="Box"/>
              <w:jc w:val="center"/>
              <w:rPr>
                <w:b/>
                <w:sz w:val="48"/>
                <w:szCs w:val="48"/>
              </w:rPr>
            </w:pPr>
            <w:r w:rsidRPr="00743220">
              <w:rPr>
                <w:b/>
                <w:sz w:val="48"/>
                <w:szCs w:val="48"/>
              </w:rPr>
              <w:t>?</w:t>
            </w:r>
          </w:p>
        </w:tc>
        <w:tc>
          <w:tcPr>
            <w:tcW w:w="3973" w:type="dxa"/>
            <w:tcBorders>
              <w:top w:val="nil"/>
              <w:left w:val="nil"/>
              <w:bottom w:val="nil"/>
              <w:right w:val="nil"/>
            </w:tcBorders>
            <w:shd w:val="clear" w:color="auto" w:fill="F2F2F2"/>
          </w:tcPr>
          <w:p w:rsidR="004D2588" w:rsidRPr="00743220" w:rsidRDefault="00743220" w:rsidP="00743220">
            <w:pPr>
              <w:pStyle w:val="Box"/>
            </w:pPr>
            <w:r w:rsidRPr="00743220">
              <w:t>From 2004</w:t>
            </w:r>
            <w:r w:rsidRPr="00743220">
              <w:noBreakHyphen/>
              <w:t>05 to 2014</w:t>
            </w:r>
            <w:r w:rsidR="00A427A4" w:rsidRPr="00743220">
              <w:noBreakHyphen/>
              <w:t>1</w:t>
            </w:r>
            <w:r w:rsidRPr="00743220">
              <w:t>5</w:t>
            </w:r>
            <w:r w:rsidR="00A427A4" w:rsidRPr="00743220">
              <w:t xml:space="preserve"> (for NSW, Victoria, Queensland, WA, SA and the NT combined), the hospitalisation rate for Aboriginal and Torres Strait Islander </w:t>
            </w:r>
            <w:r w:rsidR="00AB6124" w:rsidRPr="00743220">
              <w:br/>
              <w:t>0–4 </w:t>
            </w:r>
            <w:r w:rsidR="00A427A4" w:rsidRPr="00743220">
              <w:t>year olds increased from</w:t>
            </w:r>
            <w:r w:rsidR="00942A14" w:rsidRPr="00743220">
              <w:t xml:space="preserve"> around</w:t>
            </w:r>
            <w:r w:rsidR="00A427A4" w:rsidRPr="00743220">
              <w:t xml:space="preserve"> 23 7</w:t>
            </w:r>
            <w:r w:rsidR="00942A14" w:rsidRPr="00743220">
              <w:t>00</w:t>
            </w:r>
            <w:r w:rsidR="00FB3DF6">
              <w:t xml:space="preserve"> </w:t>
            </w:r>
            <w:r w:rsidRPr="00743220">
              <w:t>to 31 7</w:t>
            </w:r>
            <w:r w:rsidR="00A427A4" w:rsidRPr="00743220">
              <w:t>0</w:t>
            </w:r>
            <w:r w:rsidR="00942A14" w:rsidRPr="00743220">
              <w:t>0</w:t>
            </w:r>
            <w:r w:rsidR="00F66E0B">
              <w:t> per </w:t>
            </w:r>
            <w:r w:rsidR="00A427A4" w:rsidRPr="00743220">
              <w:t>100 000</w:t>
            </w:r>
            <w:r w:rsidR="002102BD" w:rsidRPr="00743220">
              <w:t xml:space="preserve"> </w:t>
            </w:r>
            <w:r w:rsidR="00942A14" w:rsidRPr="00743220">
              <w:t>population</w:t>
            </w:r>
            <w:r w:rsidR="00A427A4" w:rsidRPr="00743220">
              <w:t xml:space="preserve">. Rates for other children </w:t>
            </w:r>
            <w:r w:rsidRPr="00743220">
              <w:t>fluctuated over the period with no clear trend</w:t>
            </w:r>
            <w:r>
              <w:t>, leading to a widening of the gap</w:t>
            </w:r>
            <w:r w:rsidR="00A427A4" w:rsidRPr="00743220">
              <w:t>.</w:t>
            </w:r>
          </w:p>
        </w:tc>
      </w:tr>
      <w:tr w:rsidR="00037871" w:rsidRPr="00037871" w:rsidTr="00671987">
        <w:trPr>
          <w:cantSplit/>
        </w:trPr>
        <w:tc>
          <w:tcPr>
            <w:tcW w:w="8793" w:type="dxa"/>
            <w:gridSpan w:val="3"/>
            <w:tcBorders>
              <w:top w:val="nil"/>
              <w:left w:val="nil"/>
              <w:bottom w:val="nil"/>
              <w:right w:val="nil"/>
            </w:tcBorders>
            <w:shd w:val="clear" w:color="auto" w:fill="F2F2F2"/>
          </w:tcPr>
          <w:p w:rsidR="00A427A4" w:rsidRPr="00743220" w:rsidRDefault="00A427A4" w:rsidP="0014070A">
            <w:pPr>
              <w:pStyle w:val="Box"/>
              <w:rPr>
                <w:i/>
              </w:rPr>
            </w:pPr>
            <w:r w:rsidRPr="00743220">
              <w:rPr>
                <w:i/>
              </w:rPr>
              <w:t>Results for this indicator are difficult to interpret</w:t>
            </w:r>
            <w:r w:rsidR="00942A14" w:rsidRPr="00743220">
              <w:rPr>
                <w:i/>
              </w:rPr>
              <w:t>,</w:t>
            </w:r>
            <w:r w:rsidRPr="00743220">
              <w:rPr>
                <w:i/>
              </w:rPr>
              <w:t xml:space="preserve"> as an increase in hospitalisations may indicate improved access to services rather than an increase in prevalence of underlying conditions. It is important to consider the leading causes, duration and frequency of children’s hospitalisations.</w:t>
            </w:r>
          </w:p>
        </w:tc>
      </w:tr>
      <w:tr w:rsidR="00037871" w:rsidRPr="00037871" w:rsidTr="00671987">
        <w:trPr>
          <w:cantSplit/>
        </w:trPr>
        <w:tc>
          <w:tcPr>
            <w:tcW w:w="8793" w:type="dxa"/>
            <w:gridSpan w:val="3"/>
            <w:tcBorders>
              <w:top w:val="nil"/>
              <w:left w:val="nil"/>
              <w:bottom w:val="nil"/>
              <w:right w:val="nil"/>
            </w:tcBorders>
            <w:shd w:val="clear" w:color="auto" w:fill="F2F2F2"/>
          </w:tcPr>
          <w:p w:rsidR="004D2588" w:rsidRPr="00743220" w:rsidRDefault="004D2588" w:rsidP="00743220">
            <w:pPr>
              <w:pStyle w:val="BoxHeading1"/>
              <w:rPr>
                <w:rStyle w:val="NoteLabel"/>
              </w:rPr>
            </w:pPr>
            <w:r w:rsidRPr="00743220">
              <w:t xml:space="preserve">Hospitalisation </w:t>
            </w:r>
            <w:r w:rsidR="000B18DD" w:rsidRPr="00743220">
              <w:t>rates for</w:t>
            </w:r>
            <w:r w:rsidRPr="00743220">
              <w:t xml:space="preserve"> children aged 0–4 years, NSW, V</w:t>
            </w:r>
            <w:r w:rsidR="007616A8" w:rsidRPr="00743220">
              <w:t>ictoria</w:t>
            </w:r>
            <w:r w:rsidRPr="00743220">
              <w:t>, Q</w:t>
            </w:r>
            <w:r w:rsidR="007616A8" w:rsidRPr="00743220">
              <w:t>ueensland,</w:t>
            </w:r>
            <w:r w:rsidRPr="00743220">
              <w:t xml:space="preserve"> WA, SA and public hosp</w:t>
            </w:r>
            <w:r w:rsidR="00743220" w:rsidRPr="00743220">
              <w:t>itals in the NT, 2004</w:t>
            </w:r>
            <w:r w:rsidR="00FB3DF6">
              <w:noBreakHyphen/>
            </w:r>
            <w:r w:rsidR="00743220" w:rsidRPr="00743220">
              <w:t>05 to 2014</w:t>
            </w:r>
            <w:r w:rsidR="00FB3DF6">
              <w:noBreakHyphen/>
            </w:r>
            <w:r w:rsidRPr="00743220">
              <w:t>1</w:t>
            </w:r>
            <w:r w:rsidR="00743220" w:rsidRPr="00743220">
              <w:t>5</w:t>
            </w:r>
            <w:r w:rsidRPr="00743220">
              <w:rPr>
                <w:rStyle w:val="NoteLabel"/>
                <w:b/>
              </w:rPr>
              <w:t>a</w:t>
            </w:r>
          </w:p>
        </w:tc>
      </w:tr>
      <w:tr w:rsidR="00037871" w:rsidRPr="00037871" w:rsidTr="00671987">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4D2588" w:rsidRPr="00743220" w:rsidRDefault="00B539DA" w:rsidP="008E4321">
            <w:r>
              <w:rPr>
                <w:noProof/>
              </w:rPr>
              <w:drawing>
                <wp:inline distT="0" distB="0" distL="0" distR="0">
                  <wp:extent cx="5288280" cy="2536190"/>
                  <wp:effectExtent l="0" t="0" r="7620" b="0"/>
                  <wp:docPr id="17" name="Picture 17" descr="Figure: Hospitalisation rates for children aged 0­-4 years, NSW, Victoria, Queensland, WA, SA and public hospitals in the NT, 2004-05 to 2014-15, by Indigenous statu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2536190"/>
                          </a:xfrm>
                          <a:prstGeom prst="rect">
                            <a:avLst/>
                          </a:prstGeom>
                          <a:noFill/>
                          <a:ln>
                            <a:noFill/>
                          </a:ln>
                        </pic:spPr>
                      </pic:pic>
                    </a:graphicData>
                  </a:graphic>
                </wp:inline>
              </w:drawing>
            </w:r>
          </w:p>
        </w:tc>
      </w:tr>
      <w:tr w:rsidR="00037871" w:rsidRPr="00037871" w:rsidTr="00671987">
        <w:trPr>
          <w:cantSplit/>
        </w:trPr>
        <w:tc>
          <w:tcPr>
            <w:tcW w:w="8793" w:type="dxa"/>
            <w:gridSpan w:val="3"/>
            <w:tcBorders>
              <w:top w:val="nil"/>
              <w:left w:val="nil"/>
              <w:bottom w:val="nil"/>
              <w:right w:val="nil"/>
            </w:tcBorders>
            <w:shd w:val="clear" w:color="auto" w:fill="F2F2F2"/>
          </w:tcPr>
          <w:p w:rsidR="004D2588" w:rsidRPr="00743220" w:rsidRDefault="007616A8" w:rsidP="007616A8">
            <w:pPr>
              <w:pStyle w:val="Note"/>
            </w:pPr>
            <w:r w:rsidRPr="00743220">
              <w:rPr>
                <w:rStyle w:val="NoteLabel"/>
              </w:rPr>
              <w:t xml:space="preserve">a </w:t>
            </w:r>
            <w:r w:rsidR="00A427A4" w:rsidRPr="00743220">
              <w:t>‘Other</w:t>
            </w:r>
            <w:r w:rsidRPr="00743220">
              <w:t>’</w:t>
            </w:r>
            <w:r w:rsidR="00A427A4" w:rsidRPr="00743220">
              <w:t xml:space="preserve"> includes non</w:t>
            </w:r>
            <w:r w:rsidR="00FB3DF6">
              <w:noBreakHyphen/>
            </w:r>
            <w:r w:rsidR="00A427A4" w:rsidRPr="00743220">
              <w:t>Indigenous children and children for whom Indigenous status was not stated.</w:t>
            </w:r>
          </w:p>
        </w:tc>
      </w:tr>
      <w:tr w:rsidR="00037871" w:rsidRPr="00037871" w:rsidTr="00671987">
        <w:trPr>
          <w:cantSplit/>
        </w:trPr>
        <w:tc>
          <w:tcPr>
            <w:tcW w:w="8793" w:type="dxa"/>
            <w:gridSpan w:val="3"/>
            <w:tcBorders>
              <w:top w:val="nil"/>
              <w:left w:val="nil"/>
              <w:bottom w:val="nil"/>
              <w:right w:val="nil"/>
            </w:tcBorders>
            <w:shd w:val="clear" w:color="auto" w:fill="F2F2F2"/>
          </w:tcPr>
          <w:p w:rsidR="004D2588" w:rsidRPr="00743220" w:rsidRDefault="004D2588" w:rsidP="00A427A4">
            <w:pPr>
              <w:pStyle w:val="Source"/>
              <w:rPr>
                <w:szCs w:val="18"/>
              </w:rPr>
            </w:pPr>
            <w:r w:rsidRPr="00743220">
              <w:rPr>
                <w:i/>
                <w:szCs w:val="18"/>
              </w:rPr>
              <w:t>Source</w:t>
            </w:r>
            <w:r w:rsidRPr="00743220">
              <w:rPr>
                <w:szCs w:val="18"/>
              </w:rPr>
              <w:t xml:space="preserve">: </w:t>
            </w:r>
            <w:r w:rsidR="00A427A4" w:rsidRPr="00743220">
              <w:t>Figure</w:t>
            </w:r>
            <w:r w:rsidR="00FB3DF6">
              <w:t> </w:t>
            </w:r>
            <w:r w:rsidR="00A427A4" w:rsidRPr="00743220">
              <w:t>6.5.1 in the main report.</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4D2588" w:rsidRPr="00037871" w:rsidRDefault="004D2588"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4D2588" w:rsidRPr="00037871" w:rsidRDefault="004D2588" w:rsidP="008E4321">
            <w:pPr>
              <w:pStyle w:val="BoxSpaceBelow"/>
              <w:rPr>
                <w:color w:val="00B050"/>
              </w:rPr>
            </w:pPr>
          </w:p>
        </w:tc>
      </w:tr>
    </w:tbl>
    <w:p w:rsidR="00976114" w:rsidRPr="00320D2D" w:rsidRDefault="00976114" w:rsidP="00120072">
      <w:pPr>
        <w:pStyle w:val="BodyText"/>
      </w:pPr>
    </w:p>
    <w:p w:rsidR="004D2588" w:rsidRPr="00320D2D" w:rsidRDefault="004D2588" w:rsidP="00120072">
      <w:pPr>
        <w:pStyle w:val="BodyText"/>
      </w:pPr>
    </w:p>
    <w:p w:rsidR="004D2588" w:rsidRPr="00320D2D" w:rsidRDefault="004D2588" w:rsidP="00120072">
      <w:pPr>
        <w:pStyle w:val="BodyText"/>
      </w:pPr>
    </w:p>
    <w:p w:rsidR="004D2588" w:rsidRPr="00320D2D" w:rsidRDefault="004D2588" w:rsidP="00120072">
      <w:pPr>
        <w:pStyle w:val="BodyText"/>
      </w:pPr>
    </w:p>
    <w:p w:rsidR="004D2588" w:rsidRPr="00037871" w:rsidRDefault="004D2588" w:rsidP="004D258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671987">
        <w:tc>
          <w:tcPr>
            <w:tcW w:w="8793" w:type="dxa"/>
            <w:gridSpan w:val="3"/>
            <w:tcBorders>
              <w:top w:val="single" w:sz="6" w:space="0" w:color="78A22F"/>
              <w:left w:val="nil"/>
              <w:bottom w:val="nil"/>
              <w:right w:val="nil"/>
            </w:tcBorders>
            <w:shd w:val="clear" w:color="auto" w:fill="F2F2F2"/>
          </w:tcPr>
          <w:p w:rsidR="004D2588" w:rsidRPr="004D61CE" w:rsidRDefault="004D2588" w:rsidP="001D480C">
            <w:pPr>
              <w:pStyle w:val="BoxTitle"/>
              <w:spacing w:after="120"/>
              <w:rPr>
                <w:color w:val="000000" w:themeColor="text1"/>
              </w:rPr>
            </w:pPr>
            <w:r w:rsidRPr="004D61CE">
              <w:rPr>
                <w:color w:val="000000" w:themeColor="text1"/>
              </w:rPr>
              <w:t>6.6</w:t>
            </w:r>
            <w:r w:rsidRPr="004D61CE">
              <w:rPr>
                <w:color w:val="000000" w:themeColor="text1"/>
              </w:rPr>
              <w:tab/>
              <w:t>Injury and preventable disease</w:t>
            </w:r>
          </w:p>
        </w:tc>
      </w:tr>
      <w:tr w:rsidR="00037871" w:rsidRPr="00037871" w:rsidTr="00671987">
        <w:trPr>
          <w:cantSplit/>
        </w:trPr>
        <w:tc>
          <w:tcPr>
            <w:tcW w:w="3828" w:type="dxa"/>
            <w:tcBorders>
              <w:top w:val="nil"/>
              <w:left w:val="nil"/>
              <w:bottom w:val="nil"/>
              <w:right w:val="nil"/>
            </w:tcBorders>
            <w:shd w:val="clear" w:color="auto" w:fill="F2F2F2"/>
          </w:tcPr>
          <w:p w:rsidR="004D2588" w:rsidRPr="00406AC7" w:rsidRDefault="00A427A4" w:rsidP="008E4321">
            <w:pPr>
              <w:pStyle w:val="Box"/>
            </w:pPr>
            <w:r w:rsidRPr="00406AC7">
              <w:t>Many hospital admissions can be prevented if effective non</w:t>
            </w:r>
            <w:r w:rsidR="00FB3DF6">
              <w:noBreakHyphen/>
            </w:r>
            <w:r w:rsidRPr="00406AC7">
              <w:t>hospital care is available and used.</w:t>
            </w:r>
          </w:p>
        </w:tc>
        <w:tc>
          <w:tcPr>
            <w:tcW w:w="992" w:type="dxa"/>
            <w:tcBorders>
              <w:top w:val="nil"/>
              <w:left w:val="nil"/>
              <w:bottom w:val="nil"/>
              <w:right w:val="nil"/>
            </w:tcBorders>
            <w:shd w:val="clear" w:color="auto" w:fill="8E8FA6"/>
          </w:tcPr>
          <w:p w:rsidR="004D2588" w:rsidRPr="00406AC7" w:rsidRDefault="004D2588" w:rsidP="008E4321">
            <w:pPr>
              <w:pStyle w:val="BoxHeading1"/>
            </w:pPr>
          </w:p>
          <w:p w:rsidR="004D2588" w:rsidRPr="00406AC7" w:rsidRDefault="004D2588" w:rsidP="008E4321">
            <w:pPr>
              <w:pStyle w:val="Box"/>
            </w:pPr>
          </w:p>
          <w:p w:rsidR="00AC2FA9" w:rsidRPr="00406AC7" w:rsidRDefault="00AC2FA9" w:rsidP="008E4321">
            <w:pPr>
              <w:pStyle w:val="Box"/>
              <w:jc w:val="center"/>
              <w:rPr>
                <w:b/>
                <w:sz w:val="48"/>
                <w:szCs w:val="48"/>
              </w:rPr>
            </w:pPr>
          </w:p>
          <w:p w:rsidR="00AC2FA9" w:rsidRPr="00406AC7" w:rsidRDefault="00AC2FA9" w:rsidP="008E4321">
            <w:pPr>
              <w:pStyle w:val="Box"/>
              <w:jc w:val="center"/>
              <w:rPr>
                <w:b/>
                <w:sz w:val="48"/>
                <w:szCs w:val="48"/>
              </w:rPr>
            </w:pPr>
          </w:p>
          <w:p w:rsidR="004D2588" w:rsidRPr="00406AC7" w:rsidRDefault="004D2588" w:rsidP="008E4321">
            <w:pPr>
              <w:pStyle w:val="Box"/>
              <w:jc w:val="center"/>
              <w:rPr>
                <w:b/>
                <w:sz w:val="48"/>
                <w:szCs w:val="48"/>
              </w:rPr>
            </w:pPr>
            <w:r w:rsidRPr="00406AC7">
              <w:rPr>
                <w:b/>
                <w:sz w:val="48"/>
                <w:szCs w:val="48"/>
              </w:rPr>
              <w:t>?</w:t>
            </w:r>
          </w:p>
        </w:tc>
        <w:tc>
          <w:tcPr>
            <w:tcW w:w="3973" w:type="dxa"/>
            <w:tcBorders>
              <w:top w:val="nil"/>
              <w:left w:val="nil"/>
              <w:bottom w:val="nil"/>
              <w:right w:val="nil"/>
            </w:tcBorders>
            <w:shd w:val="clear" w:color="auto" w:fill="F2F2F2"/>
          </w:tcPr>
          <w:p w:rsidR="00A427A4" w:rsidRPr="00406AC7" w:rsidRDefault="00A427A4" w:rsidP="00A427A4">
            <w:pPr>
              <w:pStyle w:val="Box"/>
              <w:tabs>
                <w:tab w:val="left" w:pos="990"/>
              </w:tabs>
              <w:rPr>
                <w:szCs w:val="24"/>
              </w:rPr>
            </w:pPr>
            <w:r w:rsidRPr="00406AC7">
              <w:t>Between 2004</w:t>
            </w:r>
            <w:r w:rsidR="00FB3DF6">
              <w:noBreakHyphen/>
            </w:r>
            <w:r w:rsidRPr="00406AC7">
              <w:t>05 and 201</w:t>
            </w:r>
            <w:r w:rsidR="00834478" w:rsidRPr="00406AC7">
              <w:t>4</w:t>
            </w:r>
            <w:r w:rsidR="00FB3DF6">
              <w:noBreakHyphen/>
            </w:r>
            <w:r w:rsidRPr="00406AC7">
              <w:t>1</w:t>
            </w:r>
            <w:r w:rsidR="00834478" w:rsidRPr="00406AC7">
              <w:t>5</w:t>
            </w:r>
            <w:r w:rsidR="004503A2" w:rsidRPr="00406AC7">
              <w:t xml:space="preserve"> (</w:t>
            </w:r>
            <w:r w:rsidRPr="00406AC7">
              <w:t>for NSW, Victoria, Queensland, WA, SA and the NT</w:t>
            </w:r>
            <w:r w:rsidR="00F66E0B">
              <w:t xml:space="preserve"> combined)</w:t>
            </w:r>
            <w:r w:rsidRPr="00406AC7">
              <w:t xml:space="preserve"> potentially preventable hospitalisation rates increased </w:t>
            </w:r>
            <w:r w:rsidR="00406AC7" w:rsidRPr="00406AC7">
              <w:t>13</w:t>
            </w:r>
            <w:r w:rsidR="009E01B1">
              <w:t> </w:t>
            </w:r>
            <w:r w:rsidR="00406AC7" w:rsidRPr="00406AC7">
              <w:t xml:space="preserve">per cent </w:t>
            </w:r>
            <w:r w:rsidRPr="00406AC7">
              <w:t>for Aboriginal and</w:t>
            </w:r>
            <w:r w:rsidR="004503A2" w:rsidRPr="00406AC7">
              <w:t xml:space="preserve"> Torres Strait Islander 0–4 year olds</w:t>
            </w:r>
            <w:r w:rsidRPr="00406AC7">
              <w:t xml:space="preserve"> and decreased </w:t>
            </w:r>
            <w:r w:rsidR="00406AC7" w:rsidRPr="00406AC7">
              <w:t xml:space="preserve">6 per cent </w:t>
            </w:r>
            <w:r w:rsidRPr="00406AC7">
              <w:t>for other children, leading to a</w:t>
            </w:r>
            <w:r w:rsidR="002102BD" w:rsidRPr="00406AC7">
              <w:t xml:space="preserve"> widening of</w:t>
            </w:r>
            <w:r w:rsidRPr="00406AC7">
              <w:t xml:space="preserve"> the gap.</w:t>
            </w:r>
            <w:r w:rsidRPr="00406AC7" w:rsidDel="00D70E4D">
              <w:t xml:space="preserve"> </w:t>
            </w:r>
          </w:p>
          <w:p w:rsidR="004D2588" w:rsidRPr="00406AC7" w:rsidRDefault="004503A2" w:rsidP="00406AC7">
            <w:pPr>
              <w:pStyle w:val="Box"/>
            </w:pPr>
            <w:r w:rsidRPr="00406AC7">
              <w:t>From 2003–2007 to 20</w:t>
            </w:r>
            <w:r w:rsidR="00406AC7" w:rsidRPr="00406AC7">
              <w:t>10</w:t>
            </w:r>
            <w:r w:rsidRPr="00406AC7">
              <w:t>–201</w:t>
            </w:r>
            <w:r w:rsidR="00406AC7" w:rsidRPr="00406AC7">
              <w:t>4</w:t>
            </w:r>
            <w:r w:rsidRPr="00406AC7">
              <w:t xml:space="preserve"> (</w:t>
            </w:r>
            <w:r w:rsidR="00F66E0B">
              <w:t>for</w:t>
            </w:r>
            <w:r w:rsidR="00A427A4" w:rsidRPr="00406AC7">
              <w:t xml:space="preserve"> NSW, Queensland, WA, SA and the NT combined</w:t>
            </w:r>
            <w:r w:rsidRPr="00406AC7">
              <w:t>)</w:t>
            </w:r>
            <w:r w:rsidR="00A427A4" w:rsidRPr="00406AC7">
              <w:t xml:space="preserve">, the potentially preventable death rate decreased for both Aboriginal and Torres Strait </w:t>
            </w:r>
            <w:r w:rsidR="00406AC7" w:rsidRPr="00406AC7">
              <w:t>Islander children (from 42 to 32</w:t>
            </w:r>
            <w:r w:rsidR="00A427A4" w:rsidRPr="00406AC7">
              <w:t> deaths per 100 000 population) and non</w:t>
            </w:r>
            <w:r w:rsidR="00FB3DF6">
              <w:noBreakHyphen/>
            </w:r>
            <w:r w:rsidR="00A427A4" w:rsidRPr="00406AC7">
              <w:t>In</w:t>
            </w:r>
            <w:r w:rsidR="00406AC7" w:rsidRPr="00406AC7">
              <w:t>digenous children (from 16 to 10</w:t>
            </w:r>
            <w:r w:rsidR="00A427A4" w:rsidRPr="00406AC7">
              <w:t xml:space="preserve"> deaths per 100 000 population), with little change to the gap.</w:t>
            </w:r>
          </w:p>
        </w:tc>
      </w:tr>
      <w:tr w:rsidR="00037871" w:rsidRPr="00037871" w:rsidTr="00671987">
        <w:trPr>
          <w:cantSplit/>
        </w:trPr>
        <w:tc>
          <w:tcPr>
            <w:tcW w:w="8793" w:type="dxa"/>
            <w:gridSpan w:val="3"/>
            <w:tcBorders>
              <w:top w:val="nil"/>
              <w:left w:val="nil"/>
              <w:bottom w:val="nil"/>
              <w:right w:val="nil"/>
            </w:tcBorders>
            <w:shd w:val="clear" w:color="auto" w:fill="F2F2F2"/>
          </w:tcPr>
          <w:p w:rsidR="004D2588" w:rsidRPr="00406AC7" w:rsidRDefault="00A427A4" w:rsidP="0014070A">
            <w:pPr>
              <w:pStyle w:val="Box"/>
              <w:rPr>
                <w:i/>
              </w:rPr>
            </w:pPr>
            <w:r w:rsidRPr="00406AC7">
              <w:rPr>
                <w:i/>
              </w:rPr>
              <w:t>The two main measures for this indicator have moved in opposite directions over time — an increase in the hospitalisation rate and a decrease in the death rate.</w:t>
            </w:r>
          </w:p>
        </w:tc>
      </w:tr>
      <w:tr w:rsidR="00037871" w:rsidRPr="00037871" w:rsidTr="00671987">
        <w:trPr>
          <w:cantSplit/>
        </w:trPr>
        <w:tc>
          <w:tcPr>
            <w:tcW w:w="8793" w:type="dxa"/>
            <w:gridSpan w:val="3"/>
            <w:tcBorders>
              <w:top w:val="nil"/>
              <w:left w:val="nil"/>
              <w:bottom w:val="single" w:sz="6" w:space="0" w:color="78A22F"/>
              <w:right w:val="nil"/>
            </w:tcBorders>
            <w:shd w:val="clear" w:color="auto" w:fill="F2F2F2"/>
          </w:tcPr>
          <w:p w:rsidR="004D2588" w:rsidRPr="00037871" w:rsidRDefault="004D2588" w:rsidP="008E4321">
            <w:pPr>
              <w:pStyle w:val="Box"/>
              <w:spacing w:before="0" w:line="120" w:lineRule="exact"/>
              <w:rPr>
                <w:color w:val="00B050"/>
              </w:rPr>
            </w:pPr>
          </w:p>
        </w:tc>
      </w:tr>
      <w:tr w:rsidR="00037871" w:rsidRPr="00037871" w:rsidTr="00671987">
        <w:tc>
          <w:tcPr>
            <w:tcW w:w="8793" w:type="dxa"/>
            <w:gridSpan w:val="3"/>
            <w:tcBorders>
              <w:top w:val="single" w:sz="6" w:space="0" w:color="78A22F"/>
              <w:left w:val="nil"/>
              <w:bottom w:val="nil"/>
              <w:right w:val="nil"/>
            </w:tcBorders>
          </w:tcPr>
          <w:p w:rsidR="004D2588" w:rsidRPr="00037871" w:rsidRDefault="004D2588" w:rsidP="008E4321">
            <w:pPr>
              <w:pStyle w:val="BoxSpaceBelow"/>
              <w:rPr>
                <w:color w:val="00B050"/>
              </w:rPr>
            </w:pPr>
          </w:p>
        </w:tc>
      </w:tr>
    </w:tbl>
    <w:p w:rsidR="00976114" w:rsidRPr="00320D2D" w:rsidRDefault="00976114" w:rsidP="00120072">
      <w:pPr>
        <w:pStyle w:val="BodyText"/>
      </w:pPr>
    </w:p>
    <w:p w:rsidR="004D2588" w:rsidRPr="00037871" w:rsidRDefault="004D2588" w:rsidP="004D258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4D2588" w:rsidRPr="00B544F1" w:rsidRDefault="004D2588" w:rsidP="001D480C">
            <w:pPr>
              <w:pStyle w:val="BoxTitle"/>
              <w:spacing w:after="120"/>
            </w:pPr>
            <w:r w:rsidRPr="004D61CE">
              <w:rPr>
                <w:color w:val="000000" w:themeColor="text1"/>
              </w:rPr>
              <w:t>6.7</w:t>
            </w:r>
            <w:r w:rsidRPr="004D61CE">
              <w:rPr>
                <w:color w:val="000000" w:themeColor="text1"/>
              </w:rPr>
              <w:tab/>
              <w:t>Ear health</w:t>
            </w:r>
          </w:p>
        </w:tc>
      </w:tr>
      <w:tr w:rsidR="00037871" w:rsidRPr="00037871" w:rsidTr="00BD31CC">
        <w:trPr>
          <w:cantSplit/>
        </w:trPr>
        <w:tc>
          <w:tcPr>
            <w:tcW w:w="3828" w:type="dxa"/>
            <w:tcBorders>
              <w:top w:val="nil"/>
              <w:left w:val="nil"/>
              <w:bottom w:val="nil"/>
              <w:right w:val="nil"/>
            </w:tcBorders>
            <w:shd w:val="clear" w:color="auto" w:fill="F2F2F2"/>
          </w:tcPr>
          <w:p w:rsidR="004D2588" w:rsidRPr="002477BB" w:rsidRDefault="00A427A4" w:rsidP="008E4321">
            <w:pPr>
              <w:pStyle w:val="Box"/>
            </w:pPr>
            <w:r w:rsidRPr="002477BB">
              <w:t>Ear infections can become a chronic disease leading to hearing impediments, and can affect children’s capacity to learn and socialise.</w:t>
            </w:r>
          </w:p>
        </w:tc>
        <w:tc>
          <w:tcPr>
            <w:tcW w:w="992" w:type="dxa"/>
            <w:tcBorders>
              <w:top w:val="nil"/>
              <w:left w:val="nil"/>
              <w:bottom w:val="nil"/>
              <w:right w:val="nil"/>
            </w:tcBorders>
            <w:shd w:val="clear" w:color="auto" w:fill="418B50"/>
          </w:tcPr>
          <w:p w:rsidR="004D2588" w:rsidRPr="002477BB" w:rsidRDefault="004D2588" w:rsidP="008E4321">
            <w:pPr>
              <w:pStyle w:val="BoxHeading1"/>
              <w:jc w:val="center"/>
              <w:rPr>
                <w:rFonts w:cs="Arial"/>
                <w:b w:val="0"/>
                <w:sz w:val="48"/>
                <w:szCs w:val="48"/>
              </w:rPr>
            </w:pPr>
          </w:p>
          <w:p w:rsidR="004D2588" w:rsidRPr="0034662D" w:rsidRDefault="00A427A4" w:rsidP="004D2588">
            <w:pPr>
              <w:pStyle w:val="BoxHeading1"/>
              <w:spacing w:before="360" w:line="240" w:lineRule="auto"/>
              <w:jc w:val="center"/>
            </w:pPr>
            <w:r w:rsidRPr="002477BB">
              <w:rPr>
                <w:rFonts w:cs="Arial"/>
                <w:b w:val="0"/>
                <w:sz w:val="48"/>
                <w:szCs w:val="48"/>
              </w:rPr>
              <w:br/>
            </w:r>
            <w:r w:rsidR="00142ACE" w:rsidRPr="0034662D">
              <w:rPr>
                <w:rFonts w:ascii="Wingdings 2" w:hAnsi="Wingdings 2" w:cs="Arial"/>
                <w:sz w:val="48"/>
                <w:szCs w:val="48"/>
              </w:rPr>
              <w:t></w:t>
            </w:r>
          </w:p>
        </w:tc>
        <w:tc>
          <w:tcPr>
            <w:tcW w:w="3973" w:type="dxa"/>
            <w:tcBorders>
              <w:top w:val="nil"/>
              <w:left w:val="nil"/>
              <w:bottom w:val="nil"/>
              <w:right w:val="nil"/>
            </w:tcBorders>
            <w:shd w:val="clear" w:color="auto" w:fill="F2F2F2"/>
          </w:tcPr>
          <w:p w:rsidR="00A427A4" w:rsidRPr="002477BB" w:rsidRDefault="00A427A4" w:rsidP="00A427A4">
            <w:pPr>
              <w:pStyle w:val="Box"/>
            </w:pPr>
            <w:r w:rsidRPr="002477BB">
              <w:t>The proportion of Aboriginal and Torres Strait Islander 0–14 year olds with a hearing condition decreas</w:t>
            </w:r>
            <w:r w:rsidR="00A935D0" w:rsidRPr="002477BB">
              <w:t>ed from 11 per cent in 2001 to 8</w:t>
            </w:r>
            <w:r w:rsidRPr="002477BB">
              <w:t xml:space="preserve"> per cent in 201</w:t>
            </w:r>
            <w:r w:rsidR="00A935D0" w:rsidRPr="002477BB">
              <w:t>4</w:t>
            </w:r>
            <w:r w:rsidR="00A935D0" w:rsidRPr="002477BB">
              <w:noBreakHyphen/>
              <w:t>15</w:t>
            </w:r>
            <w:r w:rsidRPr="002477BB">
              <w:t xml:space="preserve">. However, this rate is still </w:t>
            </w:r>
            <w:r w:rsidR="00A935D0" w:rsidRPr="002477BB">
              <w:t>three times</w:t>
            </w:r>
            <w:r w:rsidRPr="002477BB">
              <w:t xml:space="preserve"> the rate for non</w:t>
            </w:r>
            <w:r w:rsidRPr="002477BB">
              <w:noBreakHyphen/>
              <w:t>Indigenous children.</w:t>
            </w:r>
          </w:p>
          <w:p w:rsidR="004D2588" w:rsidRPr="002477BB" w:rsidRDefault="00A935D0" w:rsidP="009E01B1">
            <w:pPr>
              <w:pStyle w:val="Box"/>
            </w:pPr>
            <w:r w:rsidRPr="002477BB">
              <w:t>In 2014</w:t>
            </w:r>
            <w:r w:rsidR="00FB3DF6">
              <w:noBreakHyphen/>
            </w:r>
            <w:r w:rsidRPr="002477BB">
              <w:t>15, the hospitalisation rate</w:t>
            </w:r>
            <w:r w:rsidR="00A427A4" w:rsidRPr="002477BB">
              <w:t xml:space="preserve"> for Aboriginal and Torres Strait Islander </w:t>
            </w:r>
            <w:r w:rsidR="007A391C">
              <w:br/>
            </w:r>
            <w:r w:rsidR="002477BB" w:rsidRPr="002477BB">
              <w:t>0–14 year olds</w:t>
            </w:r>
            <w:r w:rsidR="00A427A4" w:rsidRPr="002477BB">
              <w:t xml:space="preserve"> for ear and hearing problems</w:t>
            </w:r>
            <w:r w:rsidRPr="002477BB">
              <w:t xml:space="preserve"> was 8 per 1000 population, similar to the rate for other children (7</w:t>
            </w:r>
            <w:r w:rsidR="009E01B1">
              <w:t> </w:t>
            </w:r>
            <w:r w:rsidRPr="002477BB">
              <w:t>per 1000 population</w:t>
            </w:r>
            <w:r w:rsidR="002477BB" w:rsidRPr="002477BB">
              <w:t>), but with significant variation by age</w:t>
            </w:r>
            <w:r w:rsidRPr="002477BB">
              <w:t>.</w:t>
            </w:r>
            <w:r w:rsidR="002477BB" w:rsidRPr="002477BB">
              <w:t xml:space="preserve"> </w:t>
            </w:r>
          </w:p>
        </w:tc>
      </w:tr>
      <w:tr w:rsidR="00037871" w:rsidRPr="00037871" w:rsidTr="00BD31CC">
        <w:trPr>
          <w:cantSplit/>
        </w:trPr>
        <w:tc>
          <w:tcPr>
            <w:tcW w:w="8793" w:type="dxa"/>
            <w:gridSpan w:val="3"/>
            <w:tcBorders>
              <w:top w:val="nil"/>
              <w:left w:val="nil"/>
              <w:bottom w:val="nil"/>
              <w:right w:val="nil"/>
            </w:tcBorders>
            <w:shd w:val="clear" w:color="auto" w:fill="F2F2F2"/>
          </w:tcPr>
          <w:p w:rsidR="004D2588" w:rsidRPr="002477BB" w:rsidRDefault="004D2588" w:rsidP="002477BB">
            <w:pPr>
              <w:pStyle w:val="BoxHeading1"/>
              <w:rPr>
                <w:rStyle w:val="NoteLabel"/>
              </w:rPr>
            </w:pPr>
            <w:r w:rsidRPr="002477BB">
              <w:t xml:space="preserve">Prevalence of hearing conditions in </w:t>
            </w:r>
            <w:r w:rsidR="000B18DD" w:rsidRPr="002477BB">
              <w:t xml:space="preserve">children aged </w:t>
            </w:r>
            <w:r w:rsidR="00A427A4" w:rsidRPr="002477BB">
              <w:t>0–14 year</w:t>
            </w:r>
            <w:r w:rsidR="000B18DD" w:rsidRPr="002477BB">
              <w:t>s</w:t>
            </w:r>
            <w:r w:rsidR="00752B7C" w:rsidRPr="002477BB">
              <w:t xml:space="preserve">, </w:t>
            </w:r>
            <w:r w:rsidR="002477BB" w:rsidRPr="002477BB">
              <w:t xml:space="preserve">by age, </w:t>
            </w:r>
            <w:r w:rsidR="00752B7C" w:rsidRPr="002477BB">
              <w:t>2001 to 201</w:t>
            </w:r>
            <w:r w:rsidR="002477BB" w:rsidRPr="002477BB">
              <w:t>4</w:t>
            </w:r>
            <w:r w:rsidR="00FB3DF6">
              <w:noBreakHyphen/>
            </w:r>
            <w:r w:rsidR="002477BB" w:rsidRPr="002477BB">
              <w:t>15</w:t>
            </w:r>
            <w:r w:rsidRPr="002477BB">
              <w:rPr>
                <w:rStyle w:val="NoteLabel"/>
                <w:b/>
              </w:rPr>
              <w:t>a</w:t>
            </w:r>
          </w:p>
        </w:tc>
      </w:tr>
      <w:tr w:rsidR="00037871" w:rsidRPr="00037871" w:rsidTr="00BD31CC">
        <w:tblPrEx>
          <w:tblCellMar>
            <w:left w:w="108" w:type="dxa"/>
            <w:right w:w="108" w:type="dxa"/>
          </w:tblCellMar>
        </w:tblPrEx>
        <w:trPr>
          <w:cantSplit/>
        </w:trPr>
        <w:tc>
          <w:tcPr>
            <w:tcW w:w="8793" w:type="dxa"/>
            <w:gridSpan w:val="3"/>
            <w:tcBorders>
              <w:top w:val="nil"/>
              <w:left w:val="nil"/>
              <w:bottom w:val="nil"/>
              <w:right w:val="nil"/>
            </w:tcBorders>
            <w:shd w:val="clear" w:color="auto" w:fill="F2F2F2"/>
          </w:tcPr>
          <w:p w:rsidR="00F876D3" w:rsidRPr="002477BB" w:rsidRDefault="002477BB" w:rsidP="00DE236E">
            <w:pPr>
              <w:jc w:val="center"/>
            </w:pPr>
            <w:r w:rsidRPr="002477BB">
              <w:rPr>
                <w:noProof/>
              </w:rPr>
              <w:drawing>
                <wp:inline distT="0" distB="0" distL="0" distR="0" wp14:anchorId="6DE34B20" wp14:editId="43C5F3C0">
                  <wp:extent cx="5401310" cy="2881630"/>
                  <wp:effectExtent l="0" t="0" r="8890" b="0"/>
                  <wp:docPr id="26" name="Picture 26" descr="Figure: Prevelance of hearing conditions in children aged 0‑14 years, by age, 2001 to 2014-15, by Indigenous statu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tc>
      </w:tr>
      <w:tr w:rsidR="00037871" w:rsidRPr="00037871" w:rsidTr="00BD31CC">
        <w:trPr>
          <w:cantSplit/>
        </w:trPr>
        <w:tc>
          <w:tcPr>
            <w:tcW w:w="8793" w:type="dxa"/>
            <w:gridSpan w:val="3"/>
            <w:tcBorders>
              <w:top w:val="nil"/>
              <w:left w:val="nil"/>
              <w:bottom w:val="nil"/>
              <w:right w:val="nil"/>
            </w:tcBorders>
            <w:shd w:val="clear" w:color="auto" w:fill="F2F2F2"/>
          </w:tcPr>
          <w:p w:rsidR="004D2588" w:rsidRPr="002477BB" w:rsidRDefault="004D2588" w:rsidP="002477BB">
            <w:pPr>
              <w:pStyle w:val="Note"/>
            </w:pPr>
            <w:r w:rsidRPr="002477BB">
              <w:rPr>
                <w:rStyle w:val="NoteLabel"/>
              </w:rPr>
              <w:t>a</w:t>
            </w:r>
            <w:r w:rsidRPr="002477BB">
              <w:rPr>
                <w:rFonts w:ascii="Arial Bold" w:hAnsi="Arial Bold"/>
                <w:b/>
                <w:vertAlign w:val="superscript"/>
              </w:rPr>
              <w:t xml:space="preserve"> </w:t>
            </w:r>
            <w:r w:rsidR="0034662D" w:rsidRPr="00D1080E">
              <w:t>Relative standard errors and 95 per cent confidence intervals should be considered when interpreting these data,</w:t>
            </w:r>
            <w:r w:rsidR="0034662D">
              <w:t xml:space="preserve"> and are available</w:t>
            </w:r>
            <w:r w:rsidR="002477BB">
              <w:t xml:space="preserve"> in table</w:t>
            </w:r>
            <w:r w:rsidR="00FB3DF6">
              <w:t> </w:t>
            </w:r>
            <w:r w:rsidR="002477BB">
              <w:t>6A.7.1</w:t>
            </w:r>
            <w:r w:rsidR="00A427A4" w:rsidRPr="002477BB">
              <w:t>.</w:t>
            </w:r>
            <w:r w:rsidR="00E95F70" w:rsidRPr="002477BB">
              <w:t xml:space="preserve"> </w:t>
            </w:r>
          </w:p>
        </w:tc>
      </w:tr>
      <w:tr w:rsidR="00037871" w:rsidRPr="00037871" w:rsidTr="00BD31CC">
        <w:trPr>
          <w:cantSplit/>
        </w:trPr>
        <w:tc>
          <w:tcPr>
            <w:tcW w:w="8793" w:type="dxa"/>
            <w:gridSpan w:val="3"/>
            <w:tcBorders>
              <w:top w:val="nil"/>
              <w:left w:val="nil"/>
              <w:bottom w:val="nil"/>
              <w:right w:val="nil"/>
            </w:tcBorders>
            <w:shd w:val="clear" w:color="auto" w:fill="F2F2F2"/>
          </w:tcPr>
          <w:p w:rsidR="00142B01" w:rsidRPr="002477BB" w:rsidRDefault="004D2588" w:rsidP="00A47FB6">
            <w:pPr>
              <w:pStyle w:val="BoxSource"/>
            </w:pPr>
            <w:r w:rsidRPr="002477BB">
              <w:rPr>
                <w:i/>
              </w:rPr>
              <w:t>Source</w:t>
            </w:r>
            <w:r w:rsidRPr="002477BB">
              <w:t xml:space="preserve">: </w:t>
            </w:r>
            <w:r w:rsidR="00F876D3" w:rsidRPr="002477BB">
              <w:t>Figure</w:t>
            </w:r>
            <w:r w:rsidR="00FB3DF6">
              <w:t> </w:t>
            </w:r>
            <w:r w:rsidR="00F876D3" w:rsidRPr="002477BB">
              <w:t>6.7.1 in the main report.</w:t>
            </w:r>
          </w:p>
        </w:tc>
      </w:tr>
      <w:tr w:rsidR="00037871" w:rsidRPr="00037871" w:rsidTr="00BD31CC">
        <w:trPr>
          <w:cantSplit/>
        </w:trPr>
        <w:tc>
          <w:tcPr>
            <w:tcW w:w="8793" w:type="dxa"/>
            <w:gridSpan w:val="3"/>
            <w:tcBorders>
              <w:top w:val="nil"/>
              <w:left w:val="nil"/>
              <w:bottom w:val="nil"/>
              <w:right w:val="nil"/>
            </w:tcBorders>
            <w:shd w:val="clear" w:color="auto" w:fill="F2F2F2"/>
          </w:tcPr>
          <w:p w:rsidR="00F876D3" w:rsidRPr="0037114D" w:rsidRDefault="00F876D3" w:rsidP="00F876D3">
            <w:pPr>
              <w:pStyle w:val="BoxHeading2"/>
            </w:pPr>
            <w:r w:rsidRPr="0037114D">
              <w:t>Things that work</w:t>
            </w:r>
          </w:p>
          <w:p w:rsidR="00F876D3" w:rsidRPr="00037871" w:rsidRDefault="00A427A4" w:rsidP="00F876D3">
            <w:pPr>
              <w:pStyle w:val="Box"/>
              <w:rPr>
                <w:color w:val="00B050"/>
              </w:rPr>
            </w:pPr>
            <w:r w:rsidRPr="0037114D">
              <w:t xml:space="preserve">The national </w:t>
            </w:r>
            <w:r w:rsidRPr="0037114D">
              <w:rPr>
                <w:b/>
              </w:rPr>
              <w:t>Care for Kids’ Ears</w:t>
            </w:r>
            <w:r w:rsidRPr="0037114D">
              <w:t xml:space="preserve"> initiative aims to increase awareness of ear disease and hearing loss in Aboriginal and Torres Strait Islander communities. An evaluation over the two years to June 2013 found the campaign had a positive impact on awareness of ear health. Those exposed to the campaign were more likely than those who weren’t to identify at least one prevention action unprompted and were more likely to have their children’s ears checked in </w:t>
            </w:r>
            <w:r w:rsidR="00DE236E" w:rsidRPr="0037114D">
              <w:t xml:space="preserve">the </w:t>
            </w:r>
            <w:r w:rsidRPr="0037114D">
              <w:t>last 12 months when they did not have any signs or symptoms (</w:t>
            </w:r>
            <w:r w:rsidR="00CA07F3">
              <w:t xml:space="preserve">see </w:t>
            </w:r>
            <w:r w:rsidRPr="0037114D">
              <w:t>box 6.7.3</w:t>
            </w:r>
            <w:r w:rsidR="00CA07F3">
              <w:t xml:space="preserve"> in the main report for further detail</w:t>
            </w:r>
            <w:r w:rsidRPr="0037114D">
              <w: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4D2588" w:rsidRPr="00037871" w:rsidRDefault="004D2588"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4D2588" w:rsidRPr="00037871" w:rsidRDefault="004D2588" w:rsidP="008E4321">
            <w:pPr>
              <w:pStyle w:val="BoxSpaceBelow"/>
              <w:rPr>
                <w:color w:val="00B050"/>
              </w:rPr>
            </w:pPr>
          </w:p>
        </w:tc>
      </w:tr>
    </w:tbl>
    <w:p w:rsidR="00EF2BCD" w:rsidRPr="00037871" w:rsidRDefault="00EF2BCD" w:rsidP="00EF2BC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EF2BCD" w:rsidRPr="00B544F1" w:rsidRDefault="00EF2BCD" w:rsidP="001D480C">
            <w:pPr>
              <w:pStyle w:val="BoxTitle"/>
              <w:spacing w:after="120"/>
            </w:pPr>
            <w:r w:rsidRPr="004D61CE">
              <w:rPr>
                <w:color w:val="000000" w:themeColor="text1"/>
              </w:rPr>
              <w:t>6.8</w:t>
            </w:r>
            <w:r w:rsidRPr="004D61CE">
              <w:rPr>
                <w:color w:val="000000" w:themeColor="text1"/>
              </w:rPr>
              <w:tab/>
              <w:t>Basic skills for life and learning</w:t>
            </w:r>
          </w:p>
        </w:tc>
      </w:tr>
      <w:tr w:rsidR="00037871" w:rsidRPr="00037871" w:rsidTr="00BD31CC">
        <w:trPr>
          <w:cantSplit/>
        </w:trPr>
        <w:tc>
          <w:tcPr>
            <w:tcW w:w="3828" w:type="dxa"/>
            <w:tcBorders>
              <w:top w:val="nil"/>
              <w:left w:val="nil"/>
              <w:bottom w:val="nil"/>
              <w:right w:val="nil"/>
            </w:tcBorders>
            <w:shd w:val="clear" w:color="auto" w:fill="F2F2F2"/>
          </w:tcPr>
          <w:p w:rsidR="00EF2BCD" w:rsidRPr="00622C23" w:rsidRDefault="00A427A4" w:rsidP="008E4321">
            <w:pPr>
              <w:pStyle w:val="Box"/>
            </w:pPr>
            <w:r w:rsidRPr="00622C23">
              <w:t>Young children who are well nurtured do better in school and develop the skills needed to be productive and responsible adults.</w:t>
            </w:r>
          </w:p>
        </w:tc>
        <w:tc>
          <w:tcPr>
            <w:tcW w:w="992" w:type="dxa"/>
            <w:tcBorders>
              <w:top w:val="nil"/>
              <w:left w:val="nil"/>
              <w:bottom w:val="nil"/>
              <w:right w:val="nil"/>
            </w:tcBorders>
            <w:shd w:val="clear" w:color="auto" w:fill="418B50"/>
          </w:tcPr>
          <w:p w:rsidR="00EF2BCD" w:rsidRPr="00622C23" w:rsidRDefault="00EF2BCD" w:rsidP="008E4321">
            <w:pPr>
              <w:pStyle w:val="BoxHeading1"/>
            </w:pPr>
          </w:p>
          <w:p w:rsidR="00EF2BCD" w:rsidRPr="00622C23" w:rsidRDefault="00EF2BCD" w:rsidP="00142ACE">
            <w:pPr>
              <w:pStyle w:val="Box"/>
              <w:spacing w:before="360"/>
              <w:jc w:val="center"/>
              <w:rPr>
                <w:sz w:val="48"/>
                <w:szCs w:val="48"/>
              </w:rPr>
            </w:pPr>
            <w:r w:rsidRPr="00622C23">
              <w:rPr>
                <w:sz w:val="48"/>
                <w:szCs w:val="48"/>
              </w:rPr>
              <w:softHyphen/>
            </w:r>
            <w:r w:rsidR="00142ACE" w:rsidRPr="00622C23">
              <w:rPr>
                <w:rFonts w:ascii="Wingdings 2" w:hAnsi="Wingdings 2" w:cs="Arial"/>
                <w:b/>
                <w:sz w:val="48"/>
                <w:szCs w:val="48"/>
              </w:rPr>
              <w:t></w:t>
            </w:r>
          </w:p>
        </w:tc>
        <w:tc>
          <w:tcPr>
            <w:tcW w:w="3973" w:type="dxa"/>
            <w:tcBorders>
              <w:top w:val="nil"/>
              <w:left w:val="nil"/>
              <w:bottom w:val="nil"/>
              <w:right w:val="nil"/>
            </w:tcBorders>
            <w:shd w:val="clear" w:color="auto" w:fill="F2F2F2"/>
          </w:tcPr>
          <w:p w:rsidR="00EF2BCD" w:rsidRPr="00622C23" w:rsidRDefault="00293CCF" w:rsidP="00293CCF">
            <w:pPr>
              <w:pStyle w:val="Box"/>
            </w:pPr>
            <w:r w:rsidRPr="00622C23">
              <w:t>From 2009 to 2015</w:t>
            </w:r>
            <w:r w:rsidR="008528B1" w:rsidRPr="00622C23">
              <w:t xml:space="preserve">, the proportions of Aboriginal and Torres Strait Islander children classified as developmentally ‘on track’ increased across all domains of the Australian Early Development </w:t>
            </w:r>
            <w:r w:rsidR="00CA07F3">
              <w:t>Census</w:t>
            </w:r>
            <w:r w:rsidR="008528B1" w:rsidRPr="00622C23">
              <w:t xml:space="preserve"> (from 48–61 t</w:t>
            </w:r>
            <w:r w:rsidRPr="00622C23">
              <w:t>o 59–63</w:t>
            </w:r>
            <w:r w:rsidR="008528B1" w:rsidRPr="00622C23">
              <w:t xml:space="preserve"> per cent). </w:t>
            </w:r>
            <w:r w:rsidR="004E1C84" w:rsidRPr="00622C23">
              <w:t>T</w:t>
            </w:r>
            <w:r w:rsidR="008528B1" w:rsidRPr="00622C23">
              <w:t>hese proportions remain lower than those for non</w:t>
            </w:r>
            <w:r w:rsidR="008528B1" w:rsidRPr="00622C23">
              <w:noBreakHyphen/>
              <w:t>Indigenous children</w:t>
            </w:r>
            <w:r w:rsidRPr="00622C23">
              <w:t xml:space="preserve"> (between </w:t>
            </w:r>
            <w:r w:rsidRPr="00622C23">
              <w:br/>
              <w:t>76–86</w:t>
            </w:r>
            <w:r w:rsidR="00DE236E" w:rsidRPr="00622C23">
              <w:t xml:space="preserve"> per cent)</w:t>
            </w:r>
            <w:r w:rsidR="004E1C84" w:rsidRPr="00622C23">
              <w:t xml:space="preserve"> but the gap has narrowed across all domains since 2009 (</w:t>
            </w:r>
            <w:r w:rsidRPr="00622C23">
              <w:t>up to 7</w:t>
            </w:r>
            <w:r w:rsidR="004E1C84" w:rsidRPr="00622C23">
              <w:t xml:space="preserve"> percentage points)</w:t>
            </w:r>
            <w:r w:rsidR="008528B1" w:rsidRPr="00622C23">
              <w:t>.</w:t>
            </w:r>
          </w:p>
        </w:tc>
      </w:tr>
      <w:tr w:rsidR="00037871" w:rsidRPr="00622C23" w:rsidTr="00BD31CC">
        <w:trPr>
          <w:cantSplit/>
        </w:trPr>
        <w:tc>
          <w:tcPr>
            <w:tcW w:w="8793" w:type="dxa"/>
            <w:gridSpan w:val="3"/>
            <w:tcBorders>
              <w:top w:val="nil"/>
              <w:left w:val="nil"/>
              <w:bottom w:val="nil"/>
              <w:right w:val="nil"/>
            </w:tcBorders>
            <w:shd w:val="clear" w:color="auto" w:fill="F2F2F2"/>
          </w:tcPr>
          <w:p w:rsidR="00EF2BCD" w:rsidRPr="00622C23" w:rsidRDefault="00EF2BCD" w:rsidP="008E4321">
            <w:pPr>
              <w:pStyle w:val="BoxHeading2"/>
            </w:pPr>
            <w:r w:rsidRPr="00622C23">
              <w:t>Things that work</w:t>
            </w:r>
          </w:p>
          <w:p w:rsidR="00EF2BCD" w:rsidRPr="00622C23" w:rsidRDefault="008528B1" w:rsidP="00CA07F3">
            <w:pPr>
              <w:pStyle w:val="Box"/>
            </w:pPr>
            <w:r w:rsidRPr="00622C23">
              <w:t xml:space="preserve">The national </w:t>
            </w:r>
            <w:r w:rsidRPr="00622C23">
              <w:rPr>
                <w:b/>
              </w:rPr>
              <w:t>Home Interaction Program for Parents and Youngsters</w:t>
            </w:r>
            <w:r w:rsidRPr="00622C23">
              <w:t xml:space="preserve"> (HIPPY) provides home tutors to work with parents from disadvantaged backgrounds for two years, to support children to transition to school. A 2011 evaluation found that the program had early positive outcomes for parents and children. Outcomes for parents included</w:t>
            </w:r>
            <w:r w:rsidR="00CA07F3">
              <w:t>:</w:t>
            </w:r>
            <w:r w:rsidRPr="00622C23">
              <w:t xml:space="preserve"> increased confidence to teach </w:t>
            </w:r>
            <w:r w:rsidR="00DE236E" w:rsidRPr="00622C23">
              <w:t xml:space="preserve">the </w:t>
            </w:r>
            <w:r w:rsidRPr="00622C23">
              <w:t>child and talk to teachers</w:t>
            </w:r>
            <w:r w:rsidR="00CA07F3">
              <w:t>;</w:t>
            </w:r>
            <w:r w:rsidRPr="00622C23">
              <w:t xml:space="preserve"> improved parenting skills</w:t>
            </w:r>
            <w:r w:rsidR="00CA07F3">
              <w:t>;</w:t>
            </w:r>
            <w:r w:rsidRPr="00622C23">
              <w:t xml:space="preserve"> better relationships with children</w:t>
            </w:r>
            <w:r w:rsidR="00CA07F3">
              <w:t>;</w:t>
            </w:r>
            <w:r w:rsidRPr="00622C23">
              <w:t xml:space="preserve"> connectedness with other parents; knowledge of school’s requirements; awareness of the child’s skills and abilities</w:t>
            </w:r>
            <w:r w:rsidR="00CA07F3">
              <w:t>;</w:t>
            </w:r>
            <w:r w:rsidRPr="00622C23">
              <w:t xml:space="preserve"> and pride in </w:t>
            </w:r>
            <w:r w:rsidR="002102BD" w:rsidRPr="00622C23">
              <w:t xml:space="preserve">the </w:t>
            </w:r>
            <w:r w:rsidRPr="00622C23">
              <w:t>child’s achievements. Early positive outcomes for children included improved familiarity and confidence with school work (</w:t>
            </w:r>
            <w:r w:rsidR="00CA07F3">
              <w:t xml:space="preserve">see </w:t>
            </w:r>
            <w:r w:rsidRPr="00622C23">
              <w:t>box</w:t>
            </w:r>
            <w:r w:rsidR="00FB3DF6">
              <w:t> </w:t>
            </w:r>
            <w:r w:rsidRPr="00622C23">
              <w:t>6.8.3</w:t>
            </w:r>
            <w:r w:rsidR="00CA07F3">
              <w:t xml:space="preserve"> in the main report for further detail</w:t>
            </w:r>
            <w:r w:rsidRPr="00622C23">
              <w: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EF2BCD" w:rsidRPr="00037871" w:rsidRDefault="00EF2BCD"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EF2BCD" w:rsidRPr="00037871" w:rsidRDefault="00EF2BCD" w:rsidP="008E4321">
            <w:pPr>
              <w:pStyle w:val="BoxSpaceBelow"/>
              <w:rPr>
                <w:color w:val="00B050"/>
              </w:rPr>
            </w:pPr>
          </w:p>
        </w:tc>
      </w:tr>
    </w:tbl>
    <w:p w:rsidR="000017FD" w:rsidRPr="00320D2D" w:rsidRDefault="000017FD" w:rsidP="000017FD">
      <w:pPr>
        <w:pStyle w:val="BodyText"/>
      </w:pPr>
      <w:r w:rsidRPr="00037871">
        <w:rPr>
          <w:color w:val="00B050"/>
        </w:rPr>
        <w:br w:type="page"/>
      </w:r>
    </w:p>
    <w:p w:rsidR="00976114" w:rsidRPr="004D61CE" w:rsidRDefault="00EF2BCD" w:rsidP="00EF2BCD">
      <w:pPr>
        <w:pStyle w:val="Heading2"/>
        <w:rPr>
          <w:color w:val="000000" w:themeColor="text1"/>
        </w:rPr>
      </w:pPr>
      <w:r w:rsidRPr="004D61CE">
        <w:rPr>
          <w:color w:val="000000" w:themeColor="text1"/>
        </w:rPr>
        <w:t>7</w:t>
      </w:r>
      <w:r w:rsidRPr="004D61CE">
        <w:rPr>
          <w:color w:val="000000" w:themeColor="text1"/>
        </w:rPr>
        <w:tab/>
        <w:t>Education and training</w:t>
      </w:r>
    </w:p>
    <w:p w:rsidR="008528B1" w:rsidRPr="004D61CE" w:rsidRDefault="008528B1" w:rsidP="008528B1">
      <w:pPr>
        <w:pStyle w:val="BodyText"/>
        <w:rPr>
          <w:color w:val="000000" w:themeColor="text1"/>
        </w:rPr>
      </w:pPr>
      <w:r w:rsidRPr="004D61CE">
        <w:rPr>
          <w:color w:val="000000" w:themeColor="text1"/>
        </w:rPr>
        <w:t>Education and training is a life</w:t>
      </w:r>
      <w:r w:rsidR="00FB3DF6">
        <w:rPr>
          <w:color w:val="000000" w:themeColor="text1"/>
        </w:rPr>
        <w:noBreakHyphen/>
      </w:r>
      <w:r w:rsidRPr="004D61CE">
        <w:rPr>
          <w:color w:val="000000" w:themeColor="text1"/>
        </w:rPr>
        <w:t>long activity, from learning and development in the home through to more formal settings of school education, vocational education and training and higher education. Education and training can help strengthen communities and regions both economically and socially, and there are strong links between higher levels of education and improved health outcomes.</w:t>
      </w:r>
    </w:p>
    <w:p w:rsidR="00EF2BCD" w:rsidRPr="00037871" w:rsidRDefault="00EF2BCD" w:rsidP="00EF2BC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EF2BCD" w:rsidRPr="007240DD" w:rsidRDefault="00EF2BCD" w:rsidP="004D61CE">
            <w:pPr>
              <w:pStyle w:val="BoxTitle"/>
              <w:spacing w:after="120"/>
            </w:pPr>
            <w:r w:rsidRPr="004D61CE">
              <w:rPr>
                <w:color w:val="000000" w:themeColor="text1"/>
              </w:rPr>
              <w:t>7.</w:t>
            </w:r>
            <w:r w:rsidR="004D61CE" w:rsidRPr="004D61CE">
              <w:rPr>
                <w:color w:val="000000" w:themeColor="text1"/>
              </w:rPr>
              <w:t>1</w:t>
            </w:r>
            <w:r w:rsidRPr="004D61CE">
              <w:rPr>
                <w:color w:val="000000" w:themeColor="text1"/>
              </w:rPr>
              <w:tab/>
              <w:t>Teacher quality</w:t>
            </w:r>
          </w:p>
        </w:tc>
      </w:tr>
      <w:tr w:rsidR="00037871" w:rsidRPr="00037871" w:rsidTr="00BD31CC">
        <w:trPr>
          <w:cantSplit/>
        </w:trPr>
        <w:tc>
          <w:tcPr>
            <w:tcW w:w="3828" w:type="dxa"/>
            <w:tcBorders>
              <w:top w:val="nil"/>
              <w:left w:val="nil"/>
              <w:bottom w:val="nil"/>
              <w:right w:val="nil"/>
            </w:tcBorders>
            <w:shd w:val="clear" w:color="auto" w:fill="F2F2F2"/>
          </w:tcPr>
          <w:p w:rsidR="008528B1" w:rsidRPr="00F072ED" w:rsidRDefault="008528B1" w:rsidP="008528B1">
            <w:pPr>
              <w:pStyle w:val="Box"/>
            </w:pPr>
            <w:r w:rsidRPr="00F072ED">
              <w:t xml:space="preserve">Teacher quality is considered the most important ‘in school’ influence on student educational outcomes. </w:t>
            </w:r>
          </w:p>
          <w:p w:rsidR="00EF2BCD" w:rsidRPr="00F072ED" w:rsidRDefault="008528B1" w:rsidP="008E4321">
            <w:pPr>
              <w:pStyle w:val="Box"/>
            </w:pPr>
            <w:r w:rsidRPr="00F072ED">
              <w:t xml:space="preserve">Increasing the number of Aboriginal and Torres Strait Islander teachers could help foster student engagement and improve educational outcomes for Aboriginal and Torres Strait Islander students. </w:t>
            </w:r>
          </w:p>
        </w:tc>
        <w:tc>
          <w:tcPr>
            <w:tcW w:w="992" w:type="dxa"/>
            <w:tcBorders>
              <w:top w:val="nil"/>
              <w:left w:val="nil"/>
              <w:bottom w:val="nil"/>
              <w:right w:val="nil"/>
            </w:tcBorders>
            <w:shd w:val="clear" w:color="auto" w:fill="7E9CA0"/>
          </w:tcPr>
          <w:p w:rsidR="00EF2BCD" w:rsidRPr="00F072ED" w:rsidRDefault="00EF2BCD" w:rsidP="008E4321">
            <w:pPr>
              <w:pStyle w:val="BoxHeading1"/>
            </w:pPr>
          </w:p>
          <w:p w:rsidR="00EF2BCD" w:rsidRPr="00F072ED" w:rsidRDefault="00EF2BCD" w:rsidP="008528B1">
            <w:pPr>
              <w:pStyle w:val="Box"/>
              <w:spacing w:before="240"/>
              <w:jc w:val="center"/>
              <w:rPr>
                <w:b/>
                <w:sz w:val="30"/>
                <w:szCs w:val="30"/>
              </w:rPr>
            </w:pPr>
            <w:r w:rsidRPr="00F072ED">
              <w:rPr>
                <w:b/>
                <w:sz w:val="30"/>
                <w:szCs w:val="30"/>
              </w:rPr>
              <w:t>Data gap</w:t>
            </w:r>
          </w:p>
        </w:tc>
        <w:tc>
          <w:tcPr>
            <w:tcW w:w="3973" w:type="dxa"/>
            <w:tcBorders>
              <w:top w:val="nil"/>
              <w:left w:val="nil"/>
              <w:bottom w:val="nil"/>
              <w:right w:val="nil"/>
            </w:tcBorders>
            <w:shd w:val="clear" w:color="auto" w:fill="F2F2F2"/>
          </w:tcPr>
          <w:p w:rsidR="008528B1" w:rsidRPr="00F072ED" w:rsidRDefault="008528B1" w:rsidP="008528B1">
            <w:pPr>
              <w:pStyle w:val="Box"/>
            </w:pPr>
            <w:r w:rsidRPr="00F072ED">
              <w:t>T</w:t>
            </w:r>
            <w:r w:rsidR="007A391C">
              <w:t>here is currently no nationally</w:t>
            </w:r>
            <w:r w:rsidR="00FB3DF6">
              <w:noBreakHyphen/>
            </w:r>
            <w:r w:rsidRPr="00F072ED">
              <w:t>agreed measure of teacher quality.</w:t>
            </w:r>
          </w:p>
          <w:p w:rsidR="00EF2BCD" w:rsidRPr="00F072ED" w:rsidRDefault="008528B1" w:rsidP="00DD75ED">
            <w:pPr>
              <w:pStyle w:val="Box"/>
            </w:pPr>
            <w:r w:rsidRPr="00F072ED">
              <w:t>In 2013, Aboriginal and Torres Strait Islander Australians made up a much lower proportion of teachers than students (</w:t>
            </w:r>
            <w:r w:rsidR="00DD75ED" w:rsidRPr="00F072ED">
              <w:t xml:space="preserve">around </w:t>
            </w:r>
            <w:r w:rsidRPr="00F072ED">
              <w:t>1</w:t>
            </w:r>
            <w:r w:rsidR="00215DAA">
              <w:t>–2</w:t>
            </w:r>
            <w:r w:rsidRPr="00F072ED">
              <w:t xml:space="preserve"> per cent of teachers</w:t>
            </w:r>
            <w:r w:rsidR="00DD75ED" w:rsidRPr="00F072ED">
              <w:t xml:space="preserve"> and 5 per cent of students for both primary and secondary schools)</w:t>
            </w:r>
            <w:r w:rsidRPr="00F072ED">
              <w:t>.</w:t>
            </w:r>
          </w:p>
        </w:tc>
      </w:tr>
      <w:tr w:rsidR="00037871" w:rsidRPr="00037871" w:rsidTr="00BD31CC">
        <w:trPr>
          <w:cantSplit/>
        </w:trPr>
        <w:tc>
          <w:tcPr>
            <w:tcW w:w="8793" w:type="dxa"/>
            <w:gridSpan w:val="3"/>
            <w:tcBorders>
              <w:top w:val="nil"/>
              <w:left w:val="nil"/>
              <w:bottom w:val="nil"/>
              <w:right w:val="nil"/>
            </w:tcBorders>
            <w:shd w:val="clear" w:color="auto" w:fill="F2F2F2"/>
          </w:tcPr>
          <w:p w:rsidR="008528B1" w:rsidRPr="00F072ED" w:rsidRDefault="008528B1" w:rsidP="00BB504E">
            <w:pPr>
              <w:pStyle w:val="Box"/>
              <w:rPr>
                <w:i/>
              </w:rPr>
            </w:pPr>
            <w:r w:rsidRPr="006C1699">
              <w:rPr>
                <w:i/>
              </w:rPr>
              <w:t>There is currently no nationally</w:t>
            </w:r>
            <w:r w:rsidR="00FB3DF6">
              <w:rPr>
                <w:i/>
              </w:rPr>
              <w:noBreakHyphen/>
            </w:r>
            <w:r w:rsidRPr="006C1699">
              <w:rPr>
                <w:i/>
              </w:rPr>
              <w:t xml:space="preserve">agreed measure of teacher quality. </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EF2BCD" w:rsidRPr="00037871" w:rsidRDefault="00EF2BCD"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EF2BCD" w:rsidRPr="00037871" w:rsidRDefault="00EF2BCD" w:rsidP="008E4321">
            <w:pPr>
              <w:pStyle w:val="BoxSpaceBelow"/>
              <w:rPr>
                <w:color w:val="00B050"/>
              </w:rPr>
            </w:pPr>
          </w:p>
        </w:tc>
      </w:tr>
    </w:tbl>
    <w:p w:rsidR="00EF2BCD" w:rsidRPr="00037871" w:rsidRDefault="00EF2BCD" w:rsidP="00EF2BC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EF2BCD" w:rsidRPr="007240DD" w:rsidRDefault="00EF2BCD" w:rsidP="004D61CE">
            <w:pPr>
              <w:pStyle w:val="BoxTitle"/>
              <w:spacing w:after="120"/>
            </w:pPr>
            <w:r w:rsidRPr="004D61CE">
              <w:rPr>
                <w:color w:val="000000" w:themeColor="text1"/>
              </w:rPr>
              <w:t>7.</w:t>
            </w:r>
            <w:r w:rsidR="004D61CE" w:rsidRPr="004D61CE">
              <w:rPr>
                <w:color w:val="000000" w:themeColor="text1"/>
              </w:rPr>
              <w:t>2</w:t>
            </w:r>
            <w:r w:rsidRPr="004D61CE">
              <w:rPr>
                <w:color w:val="000000" w:themeColor="text1"/>
              </w:rPr>
              <w:tab/>
              <w:t>School engagement</w:t>
            </w:r>
          </w:p>
        </w:tc>
      </w:tr>
      <w:tr w:rsidR="00037871" w:rsidRPr="00037871" w:rsidTr="00BD31CC">
        <w:trPr>
          <w:cantSplit/>
        </w:trPr>
        <w:tc>
          <w:tcPr>
            <w:tcW w:w="3828" w:type="dxa"/>
            <w:tcBorders>
              <w:top w:val="nil"/>
              <w:left w:val="nil"/>
              <w:bottom w:val="nil"/>
              <w:right w:val="nil"/>
            </w:tcBorders>
            <w:shd w:val="clear" w:color="auto" w:fill="F2F2F2"/>
          </w:tcPr>
          <w:p w:rsidR="00EF2BCD" w:rsidRPr="005000A8" w:rsidRDefault="0089750B" w:rsidP="008E4321">
            <w:pPr>
              <w:pStyle w:val="Box"/>
            </w:pPr>
            <w:r w:rsidRPr="005000A8">
              <w:t>Attendance alone is not enough to ensure improved educational outcomes.</w:t>
            </w:r>
          </w:p>
        </w:tc>
        <w:tc>
          <w:tcPr>
            <w:tcW w:w="992" w:type="dxa"/>
            <w:tcBorders>
              <w:top w:val="nil"/>
              <w:left w:val="nil"/>
              <w:bottom w:val="nil"/>
              <w:right w:val="nil"/>
            </w:tcBorders>
            <w:shd w:val="clear" w:color="auto" w:fill="7E9CA0"/>
          </w:tcPr>
          <w:p w:rsidR="00EF2BCD" w:rsidRPr="005000A8" w:rsidRDefault="00EF2BCD" w:rsidP="008E4321">
            <w:pPr>
              <w:pStyle w:val="Box"/>
              <w:jc w:val="center"/>
              <w:rPr>
                <w:b/>
                <w:sz w:val="30"/>
                <w:szCs w:val="30"/>
              </w:rPr>
            </w:pPr>
            <w:r w:rsidRPr="005000A8">
              <w:rPr>
                <w:b/>
                <w:sz w:val="30"/>
                <w:szCs w:val="30"/>
              </w:rPr>
              <w:t>Data gap</w:t>
            </w:r>
          </w:p>
        </w:tc>
        <w:tc>
          <w:tcPr>
            <w:tcW w:w="3973" w:type="dxa"/>
            <w:tcBorders>
              <w:top w:val="nil"/>
              <w:left w:val="nil"/>
              <w:bottom w:val="nil"/>
              <w:right w:val="nil"/>
            </w:tcBorders>
            <w:shd w:val="clear" w:color="auto" w:fill="F2F2F2"/>
          </w:tcPr>
          <w:p w:rsidR="00EF2BCD" w:rsidRPr="005000A8" w:rsidRDefault="0089750B" w:rsidP="00BB504E">
            <w:pPr>
              <w:pStyle w:val="Box"/>
            </w:pPr>
            <w:r w:rsidRPr="005000A8">
              <w:t>Research suggests that school engagement is made up of three main elements: attendance, interest and motivation/effort.</w:t>
            </w:r>
            <w:r w:rsidR="00B66EB8" w:rsidRPr="005000A8">
              <w:t xml:space="preserve"> </w:t>
            </w:r>
            <w:r w:rsidR="00BB504E" w:rsidRPr="005000A8">
              <w:t>D</w:t>
            </w:r>
            <w:r w:rsidR="00B66EB8" w:rsidRPr="005000A8">
              <w:t>ata on attendance is reported in section</w:t>
            </w:r>
            <w:r w:rsidR="00FB3DF6">
              <w:t> </w:t>
            </w:r>
            <w:r w:rsidR="00B66EB8" w:rsidRPr="005000A8">
              <w:t>4.5 in this report.</w:t>
            </w:r>
          </w:p>
        </w:tc>
      </w:tr>
      <w:tr w:rsidR="00037871" w:rsidRPr="00037871" w:rsidTr="00BD31CC">
        <w:trPr>
          <w:cantSplit/>
        </w:trPr>
        <w:tc>
          <w:tcPr>
            <w:tcW w:w="8793" w:type="dxa"/>
            <w:gridSpan w:val="3"/>
            <w:tcBorders>
              <w:top w:val="nil"/>
              <w:left w:val="nil"/>
              <w:bottom w:val="nil"/>
              <w:right w:val="nil"/>
            </w:tcBorders>
            <w:shd w:val="clear" w:color="auto" w:fill="F2F2F2"/>
          </w:tcPr>
          <w:p w:rsidR="0089750B" w:rsidRPr="005000A8" w:rsidRDefault="0089750B" w:rsidP="00BB504E">
            <w:pPr>
              <w:pStyle w:val="Box"/>
              <w:rPr>
                <w:i/>
              </w:rPr>
            </w:pPr>
            <w:r w:rsidRPr="005000A8">
              <w:rPr>
                <w:i/>
              </w:rPr>
              <w:t xml:space="preserve">There is </w:t>
            </w:r>
            <w:r w:rsidR="00B66EB8" w:rsidRPr="005000A8">
              <w:rPr>
                <w:i/>
              </w:rPr>
              <w:t xml:space="preserve">currently </w:t>
            </w:r>
            <w:r w:rsidRPr="005000A8">
              <w:rPr>
                <w:i/>
              </w:rPr>
              <w:t>no nationally</w:t>
            </w:r>
            <w:r w:rsidR="00FB3DF6">
              <w:rPr>
                <w:i/>
              </w:rPr>
              <w:noBreakHyphen/>
            </w:r>
            <w:r w:rsidRPr="005000A8">
              <w:rPr>
                <w:i/>
              </w:rPr>
              <w:t>agreed definition of school engagement</w:t>
            </w:r>
            <w:r w:rsidR="005B25B5" w:rsidRPr="005000A8">
              <w:rPr>
                <w:i/>
              </w:rPr>
              <w:t xml:space="preserve"> and hence no agreed measure</w:t>
            </w:r>
            <w:r w:rsidRPr="005000A8">
              <w:rPr>
                <w:i/>
              </w:rPr>
              <w:t xml:space="preserve">. </w:t>
            </w:r>
          </w:p>
        </w:tc>
      </w:tr>
      <w:tr w:rsidR="00037871" w:rsidRPr="00037871" w:rsidTr="00BD31CC">
        <w:trPr>
          <w:cantSplit/>
        </w:trPr>
        <w:tc>
          <w:tcPr>
            <w:tcW w:w="8793" w:type="dxa"/>
            <w:gridSpan w:val="3"/>
            <w:tcBorders>
              <w:top w:val="nil"/>
              <w:left w:val="nil"/>
              <w:bottom w:val="nil"/>
              <w:right w:val="nil"/>
            </w:tcBorders>
            <w:shd w:val="clear" w:color="auto" w:fill="F2F2F2"/>
          </w:tcPr>
          <w:p w:rsidR="00EF2BCD" w:rsidRPr="00D1080E" w:rsidRDefault="00EF2BCD" w:rsidP="00EF2BCD">
            <w:pPr>
              <w:pStyle w:val="BoxHeading2"/>
            </w:pPr>
            <w:r w:rsidRPr="00D1080E">
              <w:t>Things that work</w:t>
            </w:r>
          </w:p>
          <w:p w:rsidR="00EF2BCD" w:rsidRPr="00D1080E" w:rsidRDefault="0089750B" w:rsidP="00DD75ED">
            <w:pPr>
              <w:pStyle w:val="Box"/>
            </w:pPr>
            <w:r w:rsidRPr="00D1080E">
              <w:t xml:space="preserve">The national </w:t>
            </w:r>
            <w:r w:rsidRPr="00D1080E">
              <w:rPr>
                <w:b/>
              </w:rPr>
              <w:t>Sporting Chance Program</w:t>
            </w:r>
            <w:r w:rsidRPr="00D1080E">
              <w:t xml:space="preserve"> aims to improve educational outcomes for Aboriginal and Torres Strait Islander students through school</w:t>
            </w:r>
            <w:r w:rsidR="00FB3DF6">
              <w:noBreakHyphen/>
            </w:r>
            <w:r w:rsidRPr="00D1080E">
              <w:t xml:space="preserve">based Sports Academies </w:t>
            </w:r>
            <w:r w:rsidR="00D1080E">
              <w:t>(</w:t>
            </w:r>
            <w:r w:rsidRPr="00D1080E">
              <w:t>secondary schools</w:t>
            </w:r>
            <w:r w:rsidR="00D1080E">
              <w:t>)</w:t>
            </w:r>
            <w:r w:rsidRPr="00D1080E">
              <w:t xml:space="preserve"> and Education Engagement Strategies </w:t>
            </w:r>
            <w:r w:rsidR="00D1080E">
              <w:t>(</w:t>
            </w:r>
            <w:r w:rsidRPr="00D1080E">
              <w:t>primary and secondary school</w:t>
            </w:r>
            <w:r w:rsidR="00D1080E">
              <w:t>s)</w:t>
            </w:r>
            <w:r w:rsidRPr="00D1080E">
              <w:t>. A 2010 evaluation found that staff considered</w:t>
            </w:r>
            <w:r w:rsidR="00DD75ED" w:rsidRPr="00D1080E">
              <w:t xml:space="preserve"> the p</w:t>
            </w:r>
            <w:r w:rsidRPr="00D1080E">
              <w:t xml:space="preserve">rogram was having a moderate (positive) impact on school engagement (although the degree and nature of improvement </w:t>
            </w:r>
            <w:r w:rsidR="00D1080E">
              <w:t>varied between schools)</w:t>
            </w:r>
            <w:r w:rsidRPr="00D1080E">
              <w:t>.</w:t>
            </w:r>
          </w:p>
          <w:p w:rsidR="00BB504E" w:rsidRDefault="00F072ED" w:rsidP="00BB504E">
            <w:pPr>
              <w:pStyle w:val="Box"/>
            </w:pPr>
            <w:r w:rsidRPr="00D1080E">
              <w:t xml:space="preserve">The promising </w:t>
            </w:r>
            <w:r w:rsidRPr="00D1080E">
              <w:rPr>
                <w:b/>
              </w:rPr>
              <w:t>Students Hairdressing Integrating Education (SHINE) program</w:t>
            </w:r>
            <w:r w:rsidRPr="00D1080E">
              <w:t xml:space="preserve"> (Geraldton, WA) targets year 9 Aboriginal female students who have low attendance and are at risk of not completing school. The program is a workplace simulation coordinated by a t</w:t>
            </w:r>
            <w:r w:rsidR="00D1080E" w:rsidRPr="00D1080E">
              <w:t>eacher with relevant qualifications, and is completed in addition to normal school requirements. The program has reported improved attendance and behaviour at school and has won a number of awards</w:t>
            </w:r>
            <w:r w:rsidR="00BB504E">
              <w:t>.</w:t>
            </w:r>
          </w:p>
          <w:p w:rsidR="00BB504E" w:rsidRPr="006C1699" w:rsidRDefault="00BB504E" w:rsidP="00BB504E">
            <w:pPr>
              <w:pStyle w:val="Box"/>
            </w:pPr>
            <w:r>
              <w:t>See box</w:t>
            </w:r>
            <w:r w:rsidR="00FB3DF6">
              <w:t> </w:t>
            </w:r>
            <w:r>
              <w:t>7.2.3 in the main report for further detail on these case studies.</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EF2BCD" w:rsidRPr="00037871" w:rsidRDefault="00EF2BCD"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EF2BCD" w:rsidRPr="00037871" w:rsidRDefault="00EF2BCD" w:rsidP="008E4321">
            <w:pPr>
              <w:pStyle w:val="BoxSpaceBelow"/>
              <w:rPr>
                <w:color w:val="00B050"/>
              </w:rPr>
            </w:pPr>
          </w:p>
        </w:tc>
      </w:tr>
    </w:tbl>
    <w:p w:rsidR="00EF2BCD" w:rsidRPr="00037871" w:rsidRDefault="00EF2BCD" w:rsidP="00EF2BC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EF2BCD" w:rsidRPr="004D61CE" w:rsidRDefault="00EF2BCD" w:rsidP="004D61CE">
            <w:pPr>
              <w:pStyle w:val="BoxTitle"/>
              <w:spacing w:after="120"/>
              <w:rPr>
                <w:color w:val="000000" w:themeColor="text1"/>
              </w:rPr>
            </w:pPr>
            <w:r w:rsidRPr="004D61CE">
              <w:rPr>
                <w:color w:val="000000" w:themeColor="text1"/>
              </w:rPr>
              <w:t>7.</w:t>
            </w:r>
            <w:r w:rsidR="004D61CE" w:rsidRPr="004D61CE">
              <w:rPr>
                <w:color w:val="000000" w:themeColor="text1"/>
              </w:rPr>
              <w:t>3</w:t>
            </w:r>
            <w:r w:rsidRPr="004D61CE">
              <w:rPr>
                <w:color w:val="000000" w:themeColor="text1"/>
              </w:rPr>
              <w:tab/>
              <w:t>Transition from school to work</w:t>
            </w:r>
          </w:p>
        </w:tc>
      </w:tr>
      <w:tr w:rsidR="00037871" w:rsidRPr="00037871" w:rsidTr="00BD31CC">
        <w:trPr>
          <w:cantSplit/>
        </w:trPr>
        <w:tc>
          <w:tcPr>
            <w:tcW w:w="3828" w:type="dxa"/>
            <w:tcBorders>
              <w:top w:val="nil"/>
              <w:left w:val="nil"/>
              <w:bottom w:val="nil"/>
              <w:right w:val="nil"/>
            </w:tcBorders>
            <w:shd w:val="clear" w:color="auto" w:fill="F2F2F2"/>
          </w:tcPr>
          <w:p w:rsidR="002262AA" w:rsidRDefault="0089750B" w:rsidP="008E4321">
            <w:pPr>
              <w:pStyle w:val="Box"/>
            </w:pPr>
            <w:r w:rsidRPr="00D1080E">
              <w:t>Young people who do not successfully make the transition from educat</w:t>
            </w:r>
            <w:r w:rsidR="00983131" w:rsidRPr="00D1080E">
              <w:t>ion to work are at risk of long</w:t>
            </w:r>
            <w:r w:rsidR="00FB3DF6">
              <w:noBreakHyphen/>
            </w:r>
            <w:r w:rsidRPr="00D1080E">
              <w:t>term disadvantage.</w:t>
            </w:r>
          </w:p>
          <w:p w:rsidR="002262AA" w:rsidRPr="00D1080E" w:rsidRDefault="002262AA" w:rsidP="008E4321">
            <w:pPr>
              <w:pStyle w:val="Box"/>
            </w:pPr>
          </w:p>
        </w:tc>
        <w:tc>
          <w:tcPr>
            <w:tcW w:w="992" w:type="dxa"/>
            <w:tcBorders>
              <w:top w:val="nil"/>
              <w:left w:val="nil"/>
              <w:bottom w:val="nil"/>
              <w:right w:val="nil"/>
            </w:tcBorders>
            <w:shd w:val="clear" w:color="auto" w:fill="418B50"/>
          </w:tcPr>
          <w:p w:rsidR="00EF2BCD" w:rsidRPr="00D1080E" w:rsidRDefault="00EF2BCD" w:rsidP="008E4321">
            <w:pPr>
              <w:pStyle w:val="BoxHeading1"/>
              <w:jc w:val="center"/>
              <w:rPr>
                <w:rFonts w:cs="Arial"/>
                <w:b w:val="0"/>
                <w:sz w:val="48"/>
                <w:szCs w:val="48"/>
              </w:rPr>
            </w:pPr>
          </w:p>
          <w:p w:rsidR="00EF2BCD" w:rsidRPr="0034662D" w:rsidRDefault="00142ACE" w:rsidP="00EF2BCD">
            <w:pPr>
              <w:pStyle w:val="BoxHeading1"/>
              <w:spacing w:before="120" w:line="240" w:lineRule="auto"/>
              <w:jc w:val="center"/>
            </w:pPr>
            <w:r w:rsidRPr="0034662D">
              <w:rPr>
                <w:rFonts w:ascii="Wingdings 2" w:hAnsi="Wingdings 2" w:cs="Arial"/>
                <w:sz w:val="48"/>
                <w:szCs w:val="48"/>
              </w:rPr>
              <w:t></w:t>
            </w:r>
          </w:p>
        </w:tc>
        <w:tc>
          <w:tcPr>
            <w:tcW w:w="3973" w:type="dxa"/>
            <w:tcBorders>
              <w:top w:val="nil"/>
              <w:left w:val="nil"/>
              <w:bottom w:val="nil"/>
              <w:right w:val="nil"/>
            </w:tcBorders>
            <w:shd w:val="clear" w:color="auto" w:fill="F2F2F2"/>
          </w:tcPr>
          <w:p w:rsidR="00EF2BCD" w:rsidRPr="00D1080E" w:rsidRDefault="0089750B" w:rsidP="00814EDC">
            <w:pPr>
              <w:pStyle w:val="Box"/>
            </w:pPr>
            <w:r w:rsidRPr="00D1080E">
              <w:t>The proportion of Aboriginal and Torres Strait Islander 17</w:t>
            </w:r>
            <w:r w:rsidR="00096D98" w:rsidRPr="00D1080E">
              <w:t>–</w:t>
            </w:r>
            <w:r w:rsidRPr="00D1080E">
              <w:t xml:space="preserve">24 year olds participating in </w:t>
            </w:r>
            <w:r w:rsidR="00096D98" w:rsidRPr="00D1080E">
              <w:t>post</w:t>
            </w:r>
            <w:r w:rsidR="00FB3DF6">
              <w:noBreakHyphen/>
            </w:r>
            <w:r w:rsidR="00096D98" w:rsidRPr="00D1080E">
              <w:t xml:space="preserve">school </w:t>
            </w:r>
            <w:r w:rsidRPr="00D1080E">
              <w:t>education, training or employment increased from 32</w:t>
            </w:r>
            <w:r w:rsidR="00814EDC">
              <w:t> </w:t>
            </w:r>
            <w:r w:rsidRPr="00D1080E">
              <w:t>per cent in 2</w:t>
            </w:r>
            <w:r w:rsidR="002262AA">
              <w:t xml:space="preserve">002 to </w:t>
            </w:r>
            <w:r w:rsidR="002262AA" w:rsidRPr="0057529E">
              <w:t>42</w:t>
            </w:r>
            <w:r w:rsidR="00814EDC">
              <w:t> </w:t>
            </w:r>
            <w:r w:rsidRPr="0057529E">
              <w:t>per cent</w:t>
            </w:r>
            <w:r w:rsidRPr="00D1080E">
              <w:t xml:space="preserve"> in 201</w:t>
            </w:r>
            <w:r w:rsidR="00D1080E" w:rsidRPr="00D1080E">
              <w:t>4</w:t>
            </w:r>
            <w:r w:rsidR="00FB3DF6">
              <w:noBreakHyphen/>
            </w:r>
            <w:r w:rsidRPr="00D1080E">
              <w:t>1</w:t>
            </w:r>
            <w:r w:rsidR="00D1080E" w:rsidRPr="00D1080E">
              <w:t>5</w:t>
            </w:r>
            <w:r w:rsidRPr="00D1080E">
              <w:t>. The non</w:t>
            </w:r>
            <w:r w:rsidR="00FB3DF6">
              <w:noBreakHyphen/>
            </w:r>
            <w:r w:rsidRPr="00D1080E">
              <w:t xml:space="preserve">Indigenous rate was stable </w:t>
            </w:r>
            <w:r w:rsidR="00C545AB" w:rsidRPr="00D1080E">
              <w:t>(</w:t>
            </w:r>
            <w:r w:rsidR="00D1080E">
              <w:t xml:space="preserve">around </w:t>
            </w:r>
            <w:r w:rsidRPr="00047B12">
              <w:t>7</w:t>
            </w:r>
            <w:r w:rsidR="00E16762" w:rsidRPr="00047B12">
              <w:t>4</w:t>
            </w:r>
            <w:r w:rsidRPr="00047B12">
              <w:t> per cent</w:t>
            </w:r>
            <w:r w:rsidR="00C545AB" w:rsidRPr="00D1080E">
              <w:t>)</w:t>
            </w:r>
            <w:r w:rsidRPr="00D1080E">
              <w:t>, leading to a narrowing of the gap.</w:t>
            </w:r>
          </w:p>
        </w:tc>
      </w:tr>
      <w:tr w:rsidR="00037871" w:rsidRPr="00037871" w:rsidTr="00BD31CC">
        <w:trPr>
          <w:cantSplit/>
        </w:trPr>
        <w:tc>
          <w:tcPr>
            <w:tcW w:w="8793" w:type="dxa"/>
            <w:gridSpan w:val="3"/>
            <w:tcBorders>
              <w:top w:val="nil"/>
              <w:left w:val="nil"/>
              <w:bottom w:val="nil"/>
              <w:right w:val="nil"/>
            </w:tcBorders>
            <w:shd w:val="clear" w:color="auto" w:fill="F2F2F2"/>
          </w:tcPr>
          <w:p w:rsidR="00EF2BCD" w:rsidRPr="00D1080E" w:rsidRDefault="0089750B" w:rsidP="00D1080E">
            <w:pPr>
              <w:pStyle w:val="BoxHeading1"/>
              <w:rPr>
                <w:rStyle w:val="NoteLabel"/>
                <w:position w:val="0"/>
                <w:sz w:val="20"/>
              </w:rPr>
            </w:pPr>
            <w:r w:rsidRPr="00D1080E">
              <w:t>Proportion of pe</w:t>
            </w:r>
            <w:r w:rsidR="000B18DD" w:rsidRPr="00D1080E">
              <w:t>ople</w:t>
            </w:r>
            <w:r w:rsidRPr="00D1080E">
              <w:t xml:space="preserve"> aged 17–24 year</w:t>
            </w:r>
            <w:r w:rsidR="00096D98" w:rsidRPr="00D1080E">
              <w:t>s who are fully engaged in post</w:t>
            </w:r>
            <w:r w:rsidR="00FB3DF6">
              <w:noBreakHyphen/>
            </w:r>
            <w:r w:rsidRPr="00D1080E">
              <w:t>school education, trai</w:t>
            </w:r>
            <w:r w:rsidR="00D1080E" w:rsidRPr="00D1080E">
              <w:t>ning or employment, 2002 to 2014</w:t>
            </w:r>
            <w:r w:rsidR="00FB3DF6">
              <w:noBreakHyphen/>
            </w:r>
            <w:r w:rsidR="00D1080E" w:rsidRPr="00D1080E">
              <w:t>15</w:t>
            </w:r>
            <w:r w:rsidR="00D1080E" w:rsidRPr="00D1080E">
              <w:rPr>
                <w:rStyle w:val="NoteLabel"/>
                <w:b/>
              </w:rPr>
              <w:t>a</w:t>
            </w:r>
          </w:p>
        </w:tc>
      </w:tr>
      <w:tr w:rsidR="00037871" w:rsidRPr="00037871" w:rsidTr="00BD31CC">
        <w:trPr>
          <w:cantSplit/>
        </w:trPr>
        <w:tc>
          <w:tcPr>
            <w:tcW w:w="8793" w:type="dxa"/>
            <w:gridSpan w:val="3"/>
            <w:tcBorders>
              <w:top w:val="nil"/>
              <w:left w:val="nil"/>
              <w:bottom w:val="nil"/>
              <w:right w:val="nil"/>
            </w:tcBorders>
            <w:shd w:val="clear" w:color="auto" w:fill="F2F2F2"/>
          </w:tcPr>
          <w:p w:rsidR="00EF2BCD" w:rsidRPr="00D1080E" w:rsidRDefault="00234BDB" w:rsidP="00234BDB">
            <w:pPr>
              <w:jc w:val="center"/>
            </w:pPr>
            <w:r>
              <w:rPr>
                <w:noProof/>
              </w:rPr>
              <w:drawing>
                <wp:inline distT="0" distB="0" distL="0" distR="0" wp14:anchorId="39B1BC9B" wp14:editId="729D5342">
                  <wp:extent cx="5422605" cy="2604976"/>
                  <wp:effectExtent l="0" t="0" r="6985" b="5080"/>
                  <wp:docPr id="2" name="Chart 2" descr="Figure: Proportion of people aged 17‑24 years who are fully engaged in post-school education, training or employment, 2002 to 2014-15, by Indigenous statu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37871" w:rsidRPr="00037871" w:rsidTr="00BD31CC">
        <w:trPr>
          <w:cantSplit/>
        </w:trPr>
        <w:tc>
          <w:tcPr>
            <w:tcW w:w="8793" w:type="dxa"/>
            <w:gridSpan w:val="3"/>
            <w:tcBorders>
              <w:top w:val="nil"/>
              <w:left w:val="nil"/>
              <w:bottom w:val="nil"/>
              <w:right w:val="nil"/>
            </w:tcBorders>
            <w:shd w:val="clear" w:color="auto" w:fill="F2F2F2"/>
          </w:tcPr>
          <w:p w:rsidR="00EF2BCD" w:rsidRPr="00D1080E" w:rsidRDefault="00EF2BCD" w:rsidP="00D1080E">
            <w:pPr>
              <w:pStyle w:val="Note"/>
            </w:pPr>
            <w:r w:rsidRPr="00D1080E">
              <w:rPr>
                <w:rStyle w:val="NoteLabel"/>
              </w:rPr>
              <w:t>a</w:t>
            </w:r>
            <w:r w:rsidRPr="00D1080E">
              <w:rPr>
                <w:rFonts w:ascii="Arial Bold" w:hAnsi="Arial Bold"/>
                <w:b/>
                <w:vertAlign w:val="superscript"/>
              </w:rPr>
              <w:t xml:space="preserve"> </w:t>
            </w:r>
            <w:r w:rsidR="0089750B" w:rsidRPr="00D1080E">
              <w:t>Relative standard errors and 95 per cent confidence intervals should be considered when interpreting these data,</w:t>
            </w:r>
            <w:r w:rsidR="00D1080E" w:rsidRPr="00D1080E">
              <w:t xml:space="preserve"> and are available in table 7A.3</w:t>
            </w:r>
            <w:r w:rsidR="0089750B" w:rsidRPr="00D1080E">
              <w:t>.2.</w:t>
            </w:r>
            <w:r w:rsidR="00E95F70" w:rsidRPr="00D1080E">
              <w:t xml:space="preserve"> </w:t>
            </w:r>
          </w:p>
        </w:tc>
      </w:tr>
      <w:tr w:rsidR="00037871" w:rsidRPr="00037871" w:rsidTr="00BD31CC">
        <w:trPr>
          <w:cantSplit/>
        </w:trPr>
        <w:tc>
          <w:tcPr>
            <w:tcW w:w="8793" w:type="dxa"/>
            <w:gridSpan w:val="3"/>
            <w:tcBorders>
              <w:top w:val="nil"/>
              <w:left w:val="nil"/>
              <w:bottom w:val="nil"/>
              <w:right w:val="nil"/>
            </w:tcBorders>
            <w:shd w:val="clear" w:color="auto" w:fill="F2F2F2"/>
          </w:tcPr>
          <w:p w:rsidR="00EF2BCD" w:rsidRPr="00D1080E" w:rsidRDefault="00EF2BCD" w:rsidP="008E4321">
            <w:pPr>
              <w:pStyle w:val="BoxSource"/>
            </w:pPr>
            <w:r w:rsidRPr="00D1080E">
              <w:rPr>
                <w:i/>
              </w:rPr>
              <w:t>Source</w:t>
            </w:r>
            <w:r w:rsidRPr="00D1080E">
              <w:t xml:space="preserve">: </w:t>
            </w:r>
            <w:r w:rsidR="00D1080E" w:rsidRPr="00D1080E">
              <w:t>Figure</w:t>
            </w:r>
            <w:r w:rsidR="00FB3DF6">
              <w:t> </w:t>
            </w:r>
            <w:r w:rsidR="00D1080E" w:rsidRPr="00D1080E">
              <w:t>7.3</w:t>
            </w:r>
            <w:r w:rsidR="00673E0C" w:rsidRPr="00D1080E">
              <w:t>.2 in the main report.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EF2BCD" w:rsidRPr="00037871" w:rsidRDefault="00EF2BCD"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EF2BCD" w:rsidRPr="00037871" w:rsidRDefault="00EF2BCD" w:rsidP="008E4321">
            <w:pPr>
              <w:pStyle w:val="BoxSpaceBelow"/>
              <w:rPr>
                <w:color w:val="00B050"/>
              </w:rPr>
            </w:pPr>
          </w:p>
        </w:tc>
      </w:tr>
    </w:tbl>
    <w:p w:rsidR="000017FD" w:rsidRPr="00320D2D" w:rsidRDefault="000017FD" w:rsidP="000017FD">
      <w:pPr>
        <w:pStyle w:val="BodyText"/>
      </w:pPr>
      <w:r w:rsidRPr="00037871">
        <w:rPr>
          <w:color w:val="00B050"/>
        </w:rPr>
        <w:br w:type="page"/>
      </w:r>
    </w:p>
    <w:p w:rsidR="00EF2BCD" w:rsidRPr="004D61CE" w:rsidRDefault="00673E0C" w:rsidP="00673E0C">
      <w:pPr>
        <w:pStyle w:val="Heading2"/>
        <w:rPr>
          <w:color w:val="000000" w:themeColor="text1"/>
        </w:rPr>
      </w:pPr>
      <w:r w:rsidRPr="004D61CE">
        <w:rPr>
          <w:color w:val="000000" w:themeColor="text1"/>
        </w:rPr>
        <w:t>8</w:t>
      </w:r>
      <w:r w:rsidRPr="004D61CE">
        <w:rPr>
          <w:color w:val="000000" w:themeColor="text1"/>
        </w:rPr>
        <w:tab/>
        <w:t xml:space="preserve">Healthy lives </w:t>
      </w:r>
    </w:p>
    <w:p w:rsidR="0089750B" w:rsidRPr="004D61CE" w:rsidRDefault="0089750B" w:rsidP="0089750B">
      <w:pPr>
        <w:pStyle w:val="BodyText"/>
        <w:rPr>
          <w:color w:val="000000" w:themeColor="text1"/>
        </w:rPr>
      </w:pPr>
      <w:r w:rsidRPr="004D61CE">
        <w:rPr>
          <w:color w:val="000000" w:themeColor="text1"/>
        </w:rPr>
        <w:t>Health outcomes directly affect the quality of people’s lives, including their ability to socialise with family and friends, to participate in the community and to work and earn an income. Physical health outcomes are affected by the living environment, access to and use of health services, and lifestyle choices. Health risk behaviours, such as smoking and poor diet, are strongly associated with many aspects of socioeconomic disadvantage. Mental health issues are affected by a complex range of medical issues, historical factors, the stressors associated with entrenched disadvantage and drug and substance misuse.</w:t>
      </w:r>
    </w:p>
    <w:p w:rsidR="00673E0C" w:rsidRPr="00037871" w:rsidRDefault="00673E0C" w:rsidP="00673E0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4D61CE" w:rsidTr="00BD31CC">
        <w:tc>
          <w:tcPr>
            <w:tcW w:w="8793" w:type="dxa"/>
            <w:gridSpan w:val="3"/>
            <w:tcBorders>
              <w:top w:val="single" w:sz="6" w:space="0" w:color="78A22F"/>
              <w:left w:val="nil"/>
              <w:bottom w:val="nil"/>
              <w:right w:val="nil"/>
            </w:tcBorders>
            <w:shd w:val="clear" w:color="auto" w:fill="F2F2F2"/>
          </w:tcPr>
          <w:p w:rsidR="00673E0C" w:rsidRPr="004D61CE" w:rsidRDefault="00673E0C" w:rsidP="001D480C">
            <w:pPr>
              <w:pStyle w:val="BoxTitle"/>
              <w:spacing w:after="120"/>
              <w:rPr>
                <w:color w:val="000000" w:themeColor="text1"/>
              </w:rPr>
            </w:pPr>
            <w:r w:rsidRPr="004D61CE">
              <w:rPr>
                <w:color w:val="000000" w:themeColor="text1"/>
              </w:rPr>
              <w:t>8.1</w:t>
            </w:r>
            <w:r w:rsidRPr="004D61CE">
              <w:rPr>
                <w:color w:val="000000" w:themeColor="text1"/>
              </w:rPr>
              <w:tab/>
              <w:t>Access to primary health care</w:t>
            </w:r>
          </w:p>
        </w:tc>
      </w:tr>
      <w:tr w:rsidR="00037871" w:rsidRPr="00037871" w:rsidTr="00BD31CC">
        <w:trPr>
          <w:cantSplit/>
        </w:trPr>
        <w:tc>
          <w:tcPr>
            <w:tcW w:w="3828" w:type="dxa"/>
            <w:tcBorders>
              <w:top w:val="nil"/>
              <w:left w:val="nil"/>
              <w:bottom w:val="nil"/>
              <w:right w:val="nil"/>
            </w:tcBorders>
            <w:shd w:val="clear" w:color="auto" w:fill="F2F2F2"/>
          </w:tcPr>
          <w:p w:rsidR="0089750B" w:rsidRPr="00ED1112" w:rsidRDefault="0089750B" w:rsidP="0089750B">
            <w:pPr>
              <w:pStyle w:val="Box"/>
            </w:pPr>
            <w:r w:rsidRPr="00ED1112">
              <w:t xml:space="preserve">Primary health care services allow for the early detection and treatment of illness, active management of chronic conditions and use of prevention programs. </w:t>
            </w:r>
          </w:p>
          <w:p w:rsidR="00673E0C" w:rsidRPr="00ED1112" w:rsidRDefault="0089750B" w:rsidP="00DD75ED">
            <w:pPr>
              <w:pStyle w:val="Box"/>
            </w:pPr>
            <w:r w:rsidRPr="00ED1112">
              <w:t xml:space="preserve">Access to services is a complex concept, involving sufficient supply of services and the ability and willingness to use </w:t>
            </w:r>
            <w:r w:rsidR="00DD75ED" w:rsidRPr="00ED1112">
              <w:t>them</w:t>
            </w:r>
            <w:r w:rsidRPr="00ED1112">
              <w:t xml:space="preserve"> (which may be influenced by affordability, location and perceptions of the services).</w:t>
            </w:r>
          </w:p>
        </w:tc>
        <w:tc>
          <w:tcPr>
            <w:tcW w:w="992" w:type="dxa"/>
            <w:tcBorders>
              <w:top w:val="nil"/>
              <w:left w:val="nil"/>
              <w:bottom w:val="nil"/>
              <w:right w:val="nil"/>
            </w:tcBorders>
            <w:shd w:val="clear" w:color="auto" w:fill="8E8FA6"/>
          </w:tcPr>
          <w:p w:rsidR="00673E0C" w:rsidRPr="00ED1112" w:rsidRDefault="00673E0C" w:rsidP="008E4321">
            <w:pPr>
              <w:pStyle w:val="BoxHeading1"/>
            </w:pPr>
          </w:p>
          <w:p w:rsidR="00673E0C" w:rsidRPr="00ED1112" w:rsidRDefault="00673E0C" w:rsidP="008E4321">
            <w:pPr>
              <w:pStyle w:val="Box"/>
            </w:pPr>
          </w:p>
          <w:p w:rsidR="00673E0C" w:rsidRPr="00ED1112" w:rsidRDefault="00673E0C" w:rsidP="008E4321">
            <w:pPr>
              <w:pStyle w:val="Box"/>
            </w:pPr>
          </w:p>
          <w:p w:rsidR="00673E0C" w:rsidRPr="00ED1112" w:rsidRDefault="00673E0C" w:rsidP="008E4321">
            <w:pPr>
              <w:pStyle w:val="Box"/>
            </w:pPr>
            <w:r w:rsidRPr="00ED1112">
              <w:br/>
            </w:r>
          </w:p>
          <w:p w:rsidR="00673E0C" w:rsidRPr="00ED1112" w:rsidRDefault="00673E0C" w:rsidP="008E4321">
            <w:pPr>
              <w:pStyle w:val="Box"/>
              <w:jc w:val="center"/>
              <w:rPr>
                <w:b/>
                <w:sz w:val="48"/>
                <w:szCs w:val="48"/>
              </w:rPr>
            </w:pPr>
            <w:r w:rsidRPr="00ED1112">
              <w:rPr>
                <w:b/>
                <w:sz w:val="48"/>
                <w:szCs w:val="48"/>
              </w:rPr>
              <w:t>?</w:t>
            </w:r>
          </w:p>
        </w:tc>
        <w:tc>
          <w:tcPr>
            <w:tcW w:w="3973" w:type="dxa"/>
            <w:tcBorders>
              <w:top w:val="nil"/>
              <w:left w:val="nil"/>
              <w:bottom w:val="nil"/>
              <w:right w:val="nil"/>
            </w:tcBorders>
            <w:shd w:val="clear" w:color="auto" w:fill="F2F2F2"/>
          </w:tcPr>
          <w:p w:rsidR="0089750B" w:rsidRPr="00ED1112" w:rsidRDefault="0089750B" w:rsidP="0089750B">
            <w:pPr>
              <w:pStyle w:val="Box"/>
            </w:pPr>
            <w:r w:rsidRPr="00ED1112">
              <w:t>The proxy measures of access to primary health care in this report give mixed results. For example:</w:t>
            </w:r>
          </w:p>
          <w:p w:rsidR="0089750B" w:rsidRPr="00ED1112" w:rsidRDefault="0089750B" w:rsidP="0089750B">
            <w:pPr>
              <w:pStyle w:val="BoxListBullet"/>
              <w:spacing w:before="120" w:line="280" w:lineRule="atLeast"/>
            </w:pPr>
            <w:r w:rsidRPr="00ED1112">
              <w:t>the proportion of Aboriginal and Torres Strait Islander Australians</w:t>
            </w:r>
            <w:r w:rsidR="007A391C">
              <w:t xml:space="preserve"> 15</w:t>
            </w:r>
            <w:r w:rsidR="00814EDC">
              <w:t> </w:t>
            </w:r>
            <w:r w:rsidR="007A391C">
              <w:t>years and older</w:t>
            </w:r>
            <w:r w:rsidRPr="00ED1112">
              <w:t xml:space="preserve"> reporting their health as excellent or very good decrease</w:t>
            </w:r>
            <w:r w:rsidR="008128BF" w:rsidRPr="00ED1112">
              <w:t>d from 44 per cent in 2008 to 40 per cent in 2014</w:t>
            </w:r>
            <w:r w:rsidR="00FB3DF6">
              <w:noBreakHyphen/>
            </w:r>
            <w:r w:rsidR="008128BF" w:rsidRPr="00ED1112">
              <w:t>15</w:t>
            </w:r>
          </w:p>
          <w:p w:rsidR="00673E0C" w:rsidRPr="00ED1112" w:rsidRDefault="0089750B" w:rsidP="00814EDC">
            <w:pPr>
              <w:pStyle w:val="BoxListBullet"/>
            </w:pPr>
            <w:r w:rsidRPr="00ED1112">
              <w:t>the proportion of Aboriginal and Torres Strait Islander adults reporting not seeing a GP/specialist in the previous 12 months</w:t>
            </w:r>
            <w:r w:rsidR="008128BF" w:rsidRPr="00ED1112">
              <w:t xml:space="preserve"> </w:t>
            </w:r>
            <w:r w:rsidRPr="00ED1112">
              <w:t>fell from 19</w:t>
            </w:r>
            <w:r w:rsidR="00814EDC">
              <w:t> </w:t>
            </w:r>
            <w:r w:rsidRPr="00ED1112">
              <w:t>per cent in 2001 to 14</w:t>
            </w:r>
            <w:r w:rsidR="00814EDC">
              <w:t> </w:t>
            </w:r>
            <w:r w:rsidRPr="00ED1112">
              <w:t>per cent in 2012</w:t>
            </w:r>
            <w:r w:rsidRPr="00ED1112">
              <w:noBreakHyphen/>
              <w:t xml:space="preserve">13. </w:t>
            </w:r>
            <w:r w:rsidR="0034662D">
              <w:t>(Changes should be interpreted with care as they may reflect changes to access and/or need.)</w:t>
            </w:r>
          </w:p>
        </w:tc>
      </w:tr>
      <w:tr w:rsidR="00037871" w:rsidRPr="00037871" w:rsidTr="00BD31CC">
        <w:trPr>
          <w:cantSplit/>
        </w:trPr>
        <w:tc>
          <w:tcPr>
            <w:tcW w:w="8793" w:type="dxa"/>
            <w:gridSpan w:val="3"/>
            <w:tcBorders>
              <w:top w:val="nil"/>
              <w:left w:val="nil"/>
              <w:bottom w:val="nil"/>
              <w:right w:val="nil"/>
            </w:tcBorders>
            <w:shd w:val="clear" w:color="auto" w:fill="F2F2F2"/>
          </w:tcPr>
          <w:p w:rsidR="00673E0C" w:rsidRPr="00ED1112" w:rsidRDefault="0089750B" w:rsidP="0014070A">
            <w:pPr>
              <w:pStyle w:val="Box"/>
              <w:rPr>
                <w:i/>
              </w:rPr>
            </w:pPr>
            <w:r w:rsidRPr="00ED1112">
              <w:rPr>
                <w:i/>
              </w:rPr>
              <w:t>There is no single measure of access to primary health care and the proxy measures reported have shown different trends over time.</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673E0C" w:rsidRPr="00037871" w:rsidRDefault="00673E0C"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673E0C" w:rsidRPr="00037871" w:rsidRDefault="00673E0C" w:rsidP="008E4321">
            <w:pPr>
              <w:pStyle w:val="BoxSpaceBelow"/>
              <w:rPr>
                <w:color w:val="00B050"/>
              </w:rPr>
            </w:pPr>
          </w:p>
        </w:tc>
      </w:tr>
    </w:tbl>
    <w:p w:rsidR="00673E0C" w:rsidRPr="00037871" w:rsidRDefault="00673E0C" w:rsidP="00673E0C">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673E0C" w:rsidRPr="003F36AE" w:rsidRDefault="00673E0C" w:rsidP="005F164A">
            <w:pPr>
              <w:pStyle w:val="BoxTitle"/>
              <w:spacing w:after="120"/>
            </w:pPr>
            <w:r w:rsidRPr="004D61CE">
              <w:rPr>
                <w:color w:val="000000" w:themeColor="text1"/>
              </w:rPr>
              <w:t>8.2</w:t>
            </w:r>
            <w:r w:rsidRPr="004D61CE">
              <w:rPr>
                <w:color w:val="000000" w:themeColor="text1"/>
              </w:rPr>
              <w:tab/>
              <w:t>Potentially preventable hospitalisations</w:t>
            </w:r>
            <w:r w:rsidR="00ED1112">
              <w:rPr>
                <w:color w:val="000000" w:themeColor="text1"/>
              </w:rPr>
              <w:t xml:space="preserve"> </w:t>
            </w:r>
          </w:p>
        </w:tc>
      </w:tr>
      <w:tr w:rsidR="00037871" w:rsidRPr="00037871" w:rsidTr="00BD31CC">
        <w:trPr>
          <w:cantSplit/>
        </w:trPr>
        <w:tc>
          <w:tcPr>
            <w:tcW w:w="3828" w:type="dxa"/>
            <w:tcBorders>
              <w:top w:val="nil"/>
              <w:left w:val="nil"/>
              <w:bottom w:val="nil"/>
              <w:right w:val="nil"/>
            </w:tcBorders>
            <w:shd w:val="clear" w:color="auto" w:fill="F2F2F2"/>
          </w:tcPr>
          <w:p w:rsidR="00673E0C" w:rsidRPr="005F164A" w:rsidRDefault="0089750B" w:rsidP="008E4321">
            <w:pPr>
              <w:pStyle w:val="Box"/>
            </w:pPr>
            <w:r w:rsidRPr="005F164A">
              <w:t>Potentially preventable hospitalisations are an indirect measure of adequate primary health care. In many cases, hospital admissions can be prevented if more effective non</w:t>
            </w:r>
            <w:r w:rsidR="00FB3DF6">
              <w:noBreakHyphen/>
            </w:r>
            <w:r w:rsidRPr="005F164A">
              <w:t>hospital care is available, either at an earlier stage in disease progression or as an alternative to hospital care.</w:t>
            </w:r>
          </w:p>
        </w:tc>
        <w:tc>
          <w:tcPr>
            <w:tcW w:w="992" w:type="dxa"/>
            <w:tcBorders>
              <w:top w:val="nil"/>
              <w:left w:val="nil"/>
              <w:bottom w:val="nil"/>
              <w:right w:val="nil"/>
            </w:tcBorders>
            <w:shd w:val="clear" w:color="auto" w:fill="8E8FA6"/>
          </w:tcPr>
          <w:p w:rsidR="00673E0C" w:rsidRPr="005F164A" w:rsidRDefault="00673E0C" w:rsidP="008E4321">
            <w:pPr>
              <w:pStyle w:val="BoxHeading1"/>
            </w:pPr>
          </w:p>
          <w:p w:rsidR="00673E0C" w:rsidRPr="005F164A" w:rsidRDefault="00673E0C" w:rsidP="008E4321">
            <w:pPr>
              <w:pStyle w:val="Box"/>
            </w:pPr>
          </w:p>
          <w:p w:rsidR="00673E0C" w:rsidRPr="005F164A" w:rsidRDefault="00673E0C" w:rsidP="008E4321">
            <w:pPr>
              <w:pStyle w:val="Box"/>
            </w:pPr>
          </w:p>
          <w:p w:rsidR="00673E0C" w:rsidRPr="005F164A" w:rsidRDefault="00673E0C" w:rsidP="008E4321">
            <w:pPr>
              <w:pStyle w:val="Box"/>
            </w:pPr>
          </w:p>
          <w:p w:rsidR="00673E0C" w:rsidRPr="005F164A" w:rsidRDefault="00AC2FA9" w:rsidP="008E4321">
            <w:pPr>
              <w:pStyle w:val="Box"/>
              <w:jc w:val="center"/>
              <w:rPr>
                <w:b/>
                <w:sz w:val="48"/>
                <w:szCs w:val="48"/>
              </w:rPr>
            </w:pPr>
            <w:r w:rsidRPr="005F164A">
              <w:rPr>
                <w:b/>
                <w:sz w:val="48"/>
                <w:szCs w:val="48"/>
              </w:rPr>
              <w:t>?</w:t>
            </w:r>
          </w:p>
        </w:tc>
        <w:tc>
          <w:tcPr>
            <w:tcW w:w="3973" w:type="dxa"/>
            <w:tcBorders>
              <w:top w:val="nil"/>
              <w:left w:val="nil"/>
              <w:bottom w:val="nil"/>
              <w:right w:val="nil"/>
            </w:tcBorders>
            <w:shd w:val="clear" w:color="auto" w:fill="F2F2F2"/>
          </w:tcPr>
          <w:p w:rsidR="0089750B" w:rsidRPr="005F164A" w:rsidRDefault="0089750B" w:rsidP="0089750B">
            <w:pPr>
              <w:pStyle w:val="Box"/>
            </w:pPr>
            <w:r w:rsidRPr="005F164A">
              <w:t>In 201</w:t>
            </w:r>
            <w:r w:rsidR="00ED1112" w:rsidRPr="005F164A">
              <w:t>4</w:t>
            </w:r>
            <w:r w:rsidR="00FB3DF6">
              <w:noBreakHyphen/>
            </w:r>
            <w:r w:rsidR="00ED1112" w:rsidRPr="005F164A">
              <w:t>15</w:t>
            </w:r>
            <w:r w:rsidRPr="005F164A">
              <w:t>, after adjusting for differences in population age structures, hospitalisation rates for potentially preventable conditions</w:t>
            </w:r>
            <w:r w:rsidR="00FB3DF6">
              <w:t xml:space="preserve"> </w:t>
            </w:r>
            <w:r w:rsidRPr="005F164A">
              <w:t>were higher for Aboriginal and Torres Strai</w:t>
            </w:r>
            <w:r w:rsidR="007A391C">
              <w:t>t Islander Australians than for</w:t>
            </w:r>
            <w:r w:rsidRPr="005F164A">
              <w:t xml:space="preserve"> non</w:t>
            </w:r>
            <w:r w:rsidR="00FB3DF6">
              <w:noBreakHyphen/>
            </w:r>
            <w:r w:rsidRPr="005F164A">
              <w:t>Indigenous Australians:</w:t>
            </w:r>
          </w:p>
          <w:p w:rsidR="0089750B" w:rsidRPr="005F164A" w:rsidRDefault="0089750B" w:rsidP="0089750B">
            <w:pPr>
              <w:pStyle w:val="BoxListBullet"/>
              <w:spacing w:before="120" w:line="280" w:lineRule="atLeast"/>
            </w:pPr>
            <w:r w:rsidRPr="005F164A">
              <w:t>for ch</w:t>
            </w:r>
            <w:r w:rsidR="00ED1112" w:rsidRPr="005F164A">
              <w:t>ronic conditions, more than three</w:t>
            </w:r>
            <w:r w:rsidRPr="005F164A">
              <w:t xml:space="preserve"> times the rate</w:t>
            </w:r>
          </w:p>
          <w:p w:rsidR="0089750B" w:rsidRPr="005F164A" w:rsidRDefault="0089750B" w:rsidP="0089750B">
            <w:pPr>
              <w:pStyle w:val="BoxListBullet"/>
              <w:spacing w:before="120" w:line="280" w:lineRule="atLeast"/>
            </w:pPr>
            <w:r w:rsidRPr="005F164A">
              <w:t>for acute conditions, more than twice the rate</w:t>
            </w:r>
          </w:p>
          <w:p w:rsidR="00673E0C" w:rsidRPr="005F164A" w:rsidRDefault="0089750B" w:rsidP="00ED1112">
            <w:pPr>
              <w:pStyle w:val="BoxListBullet"/>
            </w:pPr>
            <w:r w:rsidRPr="005F164A">
              <w:t xml:space="preserve">for vaccine preventable conditions </w:t>
            </w:r>
            <w:r w:rsidR="00ED1112" w:rsidRPr="005F164A">
              <w:t>almost six</w:t>
            </w:r>
            <w:r w:rsidRPr="005F164A">
              <w:t xml:space="preserve"> times the rate.</w:t>
            </w:r>
          </w:p>
        </w:tc>
      </w:tr>
      <w:tr w:rsidR="00037871" w:rsidRPr="00037871" w:rsidTr="00BD31CC">
        <w:trPr>
          <w:cantSplit/>
        </w:trPr>
        <w:tc>
          <w:tcPr>
            <w:tcW w:w="8793" w:type="dxa"/>
            <w:gridSpan w:val="3"/>
            <w:tcBorders>
              <w:top w:val="nil"/>
              <w:left w:val="nil"/>
              <w:bottom w:val="nil"/>
              <w:right w:val="nil"/>
            </w:tcBorders>
            <w:shd w:val="clear" w:color="auto" w:fill="F2F2F2"/>
          </w:tcPr>
          <w:p w:rsidR="00673E0C" w:rsidRPr="005F164A" w:rsidRDefault="005F164A" w:rsidP="005F164A">
            <w:pPr>
              <w:pStyle w:val="Box"/>
              <w:rPr>
                <w:i/>
              </w:rPr>
            </w:pPr>
            <w:r w:rsidRPr="005F164A">
              <w:rPr>
                <w:i/>
              </w:rPr>
              <w:t xml:space="preserve">Results for this indicator have fluctuated over time with no clear trend. </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673E0C" w:rsidRPr="00037871" w:rsidRDefault="00673E0C"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673E0C" w:rsidRPr="00037871" w:rsidRDefault="00673E0C" w:rsidP="008E4321">
            <w:pPr>
              <w:pStyle w:val="BoxSpaceBelow"/>
              <w:rPr>
                <w:color w:val="00B050"/>
              </w:rPr>
            </w:pPr>
          </w:p>
        </w:tc>
      </w:tr>
    </w:tbl>
    <w:p w:rsidR="00673E0C" w:rsidRPr="00320D2D" w:rsidRDefault="00673E0C" w:rsidP="00673E0C">
      <w:pPr>
        <w:pStyle w:val="BodyText"/>
      </w:pPr>
    </w:p>
    <w:p w:rsidR="00EF2BCD" w:rsidRPr="00320D2D" w:rsidRDefault="00EF2BCD" w:rsidP="00EF2BCD">
      <w:pPr>
        <w:pStyle w:val="BodyText"/>
      </w:pPr>
    </w:p>
    <w:p w:rsidR="00AC2FA9" w:rsidRPr="00037871" w:rsidRDefault="00AC2FA9" w:rsidP="00AC2FA9">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AC2FA9" w:rsidRPr="003F36AE" w:rsidRDefault="00AC2FA9" w:rsidP="001D480C">
            <w:pPr>
              <w:pStyle w:val="BoxTitle"/>
              <w:spacing w:after="120"/>
            </w:pPr>
            <w:r w:rsidRPr="004D61CE">
              <w:rPr>
                <w:color w:val="000000" w:themeColor="text1"/>
              </w:rPr>
              <w:t>8.3</w:t>
            </w:r>
            <w:r w:rsidRPr="004D61CE">
              <w:rPr>
                <w:color w:val="000000" w:themeColor="text1"/>
              </w:rPr>
              <w:tab/>
              <w:t>Potentially avoidable deaths</w:t>
            </w:r>
          </w:p>
        </w:tc>
      </w:tr>
      <w:tr w:rsidR="00037871" w:rsidRPr="00037871" w:rsidTr="00BD31CC">
        <w:trPr>
          <w:cantSplit/>
        </w:trPr>
        <w:tc>
          <w:tcPr>
            <w:tcW w:w="3828" w:type="dxa"/>
            <w:tcBorders>
              <w:top w:val="nil"/>
              <w:left w:val="nil"/>
              <w:bottom w:val="nil"/>
              <w:right w:val="nil"/>
            </w:tcBorders>
            <w:shd w:val="clear" w:color="auto" w:fill="F2F2F2"/>
          </w:tcPr>
          <w:p w:rsidR="00AC2FA9" w:rsidRPr="00B92E1D" w:rsidRDefault="0089750B" w:rsidP="00CC794C">
            <w:pPr>
              <w:pStyle w:val="Box"/>
            </w:pPr>
            <w:r w:rsidRPr="00B92E1D">
              <w:t>Reducing potentially avoidable deaths is a key contributor to</w:t>
            </w:r>
            <w:r w:rsidR="0057529E">
              <w:t xml:space="preserve"> </w:t>
            </w:r>
            <w:r w:rsidR="0057529E" w:rsidRPr="00047B12">
              <w:t>increasing</w:t>
            </w:r>
            <w:r w:rsidRPr="00B92E1D">
              <w:t xml:space="preserve"> life expectancy. Potentially avoidable deaths can be reduced through changes to lifestyle health behaviours and access to effective primary prevention, early intervention and appropriate medical treatment.</w:t>
            </w:r>
          </w:p>
        </w:tc>
        <w:tc>
          <w:tcPr>
            <w:tcW w:w="992" w:type="dxa"/>
            <w:tcBorders>
              <w:top w:val="nil"/>
              <w:left w:val="nil"/>
              <w:bottom w:val="nil"/>
              <w:right w:val="nil"/>
            </w:tcBorders>
            <w:shd w:val="clear" w:color="auto" w:fill="418B50"/>
          </w:tcPr>
          <w:p w:rsidR="00AC2FA9" w:rsidRPr="00B92E1D" w:rsidRDefault="00AC2FA9" w:rsidP="008E4321">
            <w:pPr>
              <w:pStyle w:val="BoxHeading1"/>
              <w:jc w:val="center"/>
              <w:rPr>
                <w:rFonts w:cs="Arial"/>
                <w:b w:val="0"/>
                <w:sz w:val="48"/>
                <w:szCs w:val="48"/>
              </w:rPr>
            </w:pPr>
          </w:p>
          <w:p w:rsidR="00AC2FA9" w:rsidRPr="00B92E1D" w:rsidRDefault="00AC2FA9" w:rsidP="008E4321">
            <w:pPr>
              <w:pStyle w:val="BoxHeading1"/>
              <w:spacing w:before="120" w:line="240" w:lineRule="auto"/>
              <w:jc w:val="center"/>
              <w:rPr>
                <w:rFonts w:cs="Arial"/>
                <w:b w:val="0"/>
                <w:sz w:val="48"/>
                <w:szCs w:val="48"/>
              </w:rPr>
            </w:pPr>
          </w:p>
          <w:p w:rsidR="00AC2FA9" w:rsidRPr="0034662D" w:rsidRDefault="00142ACE" w:rsidP="00AC2FA9">
            <w:pPr>
              <w:pStyle w:val="BoxHeading1"/>
              <w:spacing w:before="240" w:line="240" w:lineRule="auto"/>
              <w:jc w:val="center"/>
            </w:pPr>
            <w:r w:rsidRPr="0034662D">
              <w:rPr>
                <w:rFonts w:ascii="Wingdings 2" w:hAnsi="Wingdings 2" w:cs="Arial"/>
                <w:sz w:val="48"/>
                <w:szCs w:val="48"/>
              </w:rPr>
              <w:t></w:t>
            </w:r>
          </w:p>
        </w:tc>
        <w:tc>
          <w:tcPr>
            <w:tcW w:w="3973" w:type="dxa"/>
            <w:tcBorders>
              <w:top w:val="nil"/>
              <w:left w:val="nil"/>
              <w:bottom w:val="nil"/>
              <w:right w:val="nil"/>
            </w:tcBorders>
            <w:shd w:val="clear" w:color="auto" w:fill="F2F2F2"/>
          </w:tcPr>
          <w:p w:rsidR="00AC2FA9" w:rsidRDefault="0089750B" w:rsidP="00B92E1D">
            <w:pPr>
              <w:pStyle w:val="Box"/>
            </w:pPr>
            <w:r w:rsidRPr="00B92E1D">
              <w:t>Between 1998 and 201</w:t>
            </w:r>
            <w:r w:rsidR="00B92E1D" w:rsidRPr="00B92E1D">
              <w:t>4</w:t>
            </w:r>
            <w:r w:rsidRPr="00B92E1D">
              <w:t xml:space="preserve">, for available jurisdictions and after adjusting for differences in population age structures, mortality rates from potentially avoidable deaths declined at a greater rate for Aboriginal and Torres Strait Islander </w:t>
            </w:r>
            <w:r w:rsidR="008612AA" w:rsidRPr="00B92E1D">
              <w:br/>
            </w:r>
            <w:r w:rsidRPr="00B92E1D">
              <w:t>0–74 year olds than for non</w:t>
            </w:r>
            <w:r w:rsidRPr="00B92E1D">
              <w:noBreakHyphen/>
              <w:t>Indigenous 0–74</w:t>
            </w:r>
            <w:r w:rsidR="00814EDC">
              <w:t> </w:t>
            </w:r>
            <w:r w:rsidRPr="00B92E1D">
              <w:t>year olds, and the gap narrowed</w:t>
            </w:r>
            <w:r w:rsidR="00B92E1D" w:rsidRPr="00B92E1D">
              <w:t xml:space="preserve"> from 319 to 243</w:t>
            </w:r>
            <w:r w:rsidR="008612AA" w:rsidRPr="00B92E1D">
              <w:t xml:space="preserve"> deaths per 100 </w:t>
            </w:r>
            <w:r w:rsidRPr="00B92E1D">
              <w:t>000</w:t>
            </w:r>
            <w:r w:rsidR="00B63DC9" w:rsidRPr="00B92E1D">
              <w:t> </w:t>
            </w:r>
            <w:r w:rsidRPr="00B92E1D">
              <w:t>population.</w:t>
            </w:r>
          </w:p>
          <w:p w:rsidR="00BB504E" w:rsidRPr="00B92E1D" w:rsidRDefault="00BB504E" w:rsidP="00814EDC">
            <w:pPr>
              <w:pStyle w:val="Box"/>
            </w:pPr>
            <w:r w:rsidRPr="00B92E1D">
              <w:t xml:space="preserve">For the period 2010–2014, </w:t>
            </w:r>
            <w:r w:rsidR="0082585B">
              <w:t>around</w:t>
            </w:r>
            <w:r>
              <w:t xml:space="preserve"> 60 per cent of</w:t>
            </w:r>
            <w:r w:rsidRPr="00B92E1D">
              <w:t xml:space="preserve"> Aboriginal and Torres Strait Islander deaths were potentially avoidable</w:t>
            </w:r>
            <w:r w:rsidR="00572651">
              <w:t xml:space="preserve"> (6182 deaths, of which</w:t>
            </w:r>
            <w:r>
              <w:t xml:space="preserve"> 22</w:t>
            </w:r>
            <w:r w:rsidR="00814EDC">
              <w:t> </w:t>
            </w:r>
            <w:r>
              <w:t>per cent were from heart disease)</w:t>
            </w:r>
            <w:r w:rsidRPr="00B92E1D">
              <w:t>, compared with half o</w:t>
            </w:r>
            <w:r>
              <w:t xml:space="preserve">f </w:t>
            </w:r>
            <w:r w:rsidRPr="00B92E1D">
              <w:t>non</w:t>
            </w:r>
            <w:r w:rsidRPr="00B92E1D">
              <w:noBreakHyphen/>
              <w:t>Indigenous deaths (8</w:t>
            </w:r>
            <w:r>
              <w:t xml:space="preserve">6 232 </w:t>
            </w:r>
            <w:r w:rsidRPr="00B92E1D">
              <w:t>deaths).</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B92E1D" w:rsidRDefault="0089750B" w:rsidP="0089750B">
            <w:pPr>
              <w:pStyle w:val="BoxHeading1"/>
              <w:rPr>
                <w:rStyle w:val="NoteLabel"/>
                <w:b/>
                <w:position w:val="0"/>
                <w:sz w:val="22"/>
              </w:rPr>
            </w:pPr>
            <w:r w:rsidRPr="00B92E1D">
              <w:t>Age standardised mortality rates for potentially avoidable deaths for people aged less than 75 years, NSW, Queensland,</w:t>
            </w:r>
            <w:r w:rsidR="00B92E1D" w:rsidRPr="00B92E1D">
              <w:t xml:space="preserve"> WA, SA and the NT, 1998 to 2014</w:t>
            </w:r>
            <w:r w:rsidRPr="00B92E1D">
              <w:rPr>
                <w:rStyle w:val="NoteLabel"/>
                <w:b/>
              </w:rPr>
              <w:t>a</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B92E1D" w:rsidRDefault="00B92E1D" w:rsidP="008612AA">
            <w:r w:rsidRPr="00B92E1D">
              <w:rPr>
                <w:noProof/>
              </w:rPr>
              <w:drawing>
                <wp:inline distT="0" distB="0" distL="0" distR="0" wp14:anchorId="782BE76A" wp14:editId="4759BB5A">
                  <wp:extent cx="5400000" cy="2880000"/>
                  <wp:effectExtent l="0" t="0" r="0" b="0"/>
                  <wp:docPr id="42" name="Chart 42" descr="Figure: Age standardised mortality rates for potentially avoidable deaths for people aged less then 75 years, NSW, Queensland, WA, SA and the NT, 1998 to 2014, by Indigenous statu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B92E1D" w:rsidRDefault="00AC2FA9" w:rsidP="008E4321">
            <w:pPr>
              <w:pStyle w:val="Note"/>
            </w:pPr>
            <w:r w:rsidRPr="00B92E1D">
              <w:rPr>
                <w:rStyle w:val="NoteLabel"/>
              </w:rPr>
              <w:t>a</w:t>
            </w:r>
            <w:r w:rsidRPr="00B92E1D">
              <w:rPr>
                <w:rFonts w:ascii="Arial Bold" w:hAnsi="Arial Bold"/>
                <w:b/>
                <w:vertAlign w:val="superscript"/>
              </w:rPr>
              <w:t xml:space="preserve"> </w:t>
            </w:r>
            <w:r w:rsidR="0089750B" w:rsidRPr="00B92E1D">
              <w:t>Data are reported for NSW, Queensland, WA, SA and the NT only. These five jurisdictions are considered to have adequate levels of Indigenous identification in mortality data. They do not represent an Australian total.</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B92E1D" w:rsidRDefault="00AC2FA9" w:rsidP="008E4321">
            <w:pPr>
              <w:pStyle w:val="BoxSource"/>
            </w:pPr>
            <w:r w:rsidRPr="00B92E1D">
              <w:rPr>
                <w:i/>
              </w:rPr>
              <w:t>Source</w:t>
            </w:r>
            <w:r w:rsidRPr="00B92E1D">
              <w:t>: Figure</w:t>
            </w:r>
            <w:r w:rsidR="00FB3DF6">
              <w:t> </w:t>
            </w:r>
            <w:r w:rsidRPr="00B92E1D">
              <w:t>8.3.1 in the main report.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AC2FA9" w:rsidRPr="00037871" w:rsidRDefault="00AC2FA9"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AC2FA9" w:rsidRPr="00037871" w:rsidRDefault="00AC2FA9" w:rsidP="008E4321">
            <w:pPr>
              <w:pStyle w:val="BoxSpaceBelow"/>
              <w:rPr>
                <w:color w:val="00B050"/>
              </w:rPr>
            </w:pPr>
          </w:p>
        </w:tc>
      </w:tr>
    </w:tbl>
    <w:p w:rsidR="00AC2FA9" w:rsidRPr="00037871" w:rsidRDefault="00AC2FA9" w:rsidP="00AC2FA9">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037871" w:rsidTr="00BD31CC">
        <w:tc>
          <w:tcPr>
            <w:tcW w:w="8793" w:type="dxa"/>
            <w:gridSpan w:val="3"/>
            <w:tcBorders>
              <w:top w:val="single" w:sz="6" w:space="0" w:color="78A22F"/>
              <w:left w:val="nil"/>
              <w:bottom w:val="nil"/>
              <w:right w:val="nil"/>
            </w:tcBorders>
            <w:shd w:val="clear" w:color="auto" w:fill="F2F2F2"/>
          </w:tcPr>
          <w:p w:rsidR="00AC2FA9" w:rsidRPr="00AD0D0E" w:rsidRDefault="00AC2FA9" w:rsidP="001D480C">
            <w:pPr>
              <w:pStyle w:val="BoxTitle"/>
              <w:spacing w:after="120"/>
              <w:rPr>
                <w:color w:val="000000" w:themeColor="text1"/>
              </w:rPr>
            </w:pPr>
            <w:r w:rsidRPr="00AD0D0E">
              <w:rPr>
                <w:color w:val="000000" w:themeColor="text1"/>
              </w:rPr>
              <w:t>8.4</w:t>
            </w:r>
            <w:r w:rsidRPr="00AD0D0E">
              <w:rPr>
                <w:color w:val="000000" w:themeColor="text1"/>
              </w:rPr>
              <w:tab/>
              <w:t>Tobacco consumption and harm</w:t>
            </w:r>
          </w:p>
        </w:tc>
      </w:tr>
      <w:tr w:rsidR="00037871" w:rsidRPr="00037871" w:rsidTr="00BD31CC">
        <w:trPr>
          <w:cantSplit/>
        </w:trPr>
        <w:tc>
          <w:tcPr>
            <w:tcW w:w="3828" w:type="dxa"/>
            <w:tcBorders>
              <w:top w:val="nil"/>
              <w:left w:val="nil"/>
              <w:bottom w:val="nil"/>
              <w:right w:val="nil"/>
            </w:tcBorders>
            <w:shd w:val="clear" w:color="auto" w:fill="F2F2F2"/>
          </w:tcPr>
          <w:p w:rsidR="00AC2FA9" w:rsidRPr="005357E3" w:rsidRDefault="0089750B" w:rsidP="008E4321">
            <w:pPr>
              <w:pStyle w:val="Box"/>
            </w:pPr>
            <w:r w:rsidRPr="005357E3">
              <w:t>Among Aboriginal and Torres Strait Islander Australians, tobacco use is the leading risk factor contributing to disease and death. It is often associated with other lifestyle health risk factors, such as excessive alcohol consumption and poor diet.</w:t>
            </w:r>
          </w:p>
        </w:tc>
        <w:tc>
          <w:tcPr>
            <w:tcW w:w="992" w:type="dxa"/>
            <w:tcBorders>
              <w:top w:val="nil"/>
              <w:left w:val="nil"/>
              <w:bottom w:val="nil"/>
              <w:right w:val="nil"/>
            </w:tcBorders>
            <w:shd w:val="clear" w:color="auto" w:fill="418B50"/>
          </w:tcPr>
          <w:p w:rsidR="00AC2FA9" w:rsidRPr="0034662D" w:rsidRDefault="00AC2FA9" w:rsidP="00142ACE">
            <w:pPr>
              <w:pStyle w:val="BoxHeading1"/>
              <w:spacing w:before="240" w:line="240" w:lineRule="auto"/>
              <w:jc w:val="center"/>
            </w:pPr>
            <w:r w:rsidRPr="005357E3">
              <w:rPr>
                <w:rFonts w:cs="Arial"/>
                <w:b w:val="0"/>
                <w:sz w:val="48"/>
                <w:szCs w:val="48"/>
              </w:rPr>
              <w:br/>
            </w:r>
            <w:r w:rsidR="00142ACE" w:rsidRPr="0034662D">
              <w:rPr>
                <w:rFonts w:ascii="Wingdings 2" w:hAnsi="Wingdings 2" w:cs="Arial"/>
                <w:sz w:val="48"/>
                <w:szCs w:val="48"/>
              </w:rPr>
              <w:t></w:t>
            </w:r>
          </w:p>
        </w:tc>
        <w:tc>
          <w:tcPr>
            <w:tcW w:w="3973" w:type="dxa"/>
            <w:tcBorders>
              <w:top w:val="nil"/>
              <w:left w:val="nil"/>
              <w:bottom w:val="nil"/>
              <w:right w:val="nil"/>
            </w:tcBorders>
            <w:shd w:val="clear" w:color="auto" w:fill="F2F2F2"/>
          </w:tcPr>
          <w:p w:rsidR="005357E3" w:rsidRDefault="005357E3" w:rsidP="005357E3">
            <w:pPr>
              <w:pStyle w:val="Box"/>
            </w:pPr>
            <w:r w:rsidRPr="005357E3">
              <w:t>Between 2001 and 2014</w:t>
            </w:r>
            <w:r w:rsidR="00FB3DF6">
              <w:noBreakHyphen/>
            </w:r>
            <w:r w:rsidRPr="005357E3">
              <w:t>15</w:t>
            </w:r>
            <w:r w:rsidR="0089750B" w:rsidRPr="005357E3">
              <w:t>, the proportion of Aboriginal and Torres Strait Islander adults who were current daily smokers decreased from 51</w:t>
            </w:r>
            <w:r w:rsidR="00814EDC">
              <w:t> </w:t>
            </w:r>
            <w:r w:rsidRPr="005357E3">
              <w:t>per cent to 41</w:t>
            </w:r>
            <w:r w:rsidR="0089750B" w:rsidRPr="005357E3">
              <w:t xml:space="preserve"> per cent. </w:t>
            </w:r>
          </w:p>
          <w:p w:rsidR="00AC2FA9" w:rsidRPr="005357E3" w:rsidRDefault="005357E3" w:rsidP="005357E3">
            <w:pPr>
              <w:pStyle w:val="Box"/>
            </w:pPr>
            <w:r>
              <w:t>After adjusting for differences in population age structures, the d</w:t>
            </w:r>
            <w:r w:rsidR="0089750B" w:rsidRPr="005357E3">
              <w:t>ecline</w:t>
            </w:r>
            <w:r>
              <w:t xml:space="preserve"> was similar</w:t>
            </w:r>
            <w:r w:rsidR="0089750B" w:rsidRPr="005357E3">
              <w:t xml:space="preserve"> for non</w:t>
            </w:r>
            <w:r w:rsidR="00FB3DF6">
              <w:noBreakHyphen/>
            </w:r>
            <w:r w:rsidR="0089750B" w:rsidRPr="005357E3">
              <w:t>Indigenous adults</w:t>
            </w:r>
            <w:r w:rsidRPr="005357E3">
              <w:t xml:space="preserve"> over this period</w:t>
            </w:r>
            <w:r w:rsidR="0089750B" w:rsidRPr="005357E3">
              <w:t>, with the gap relatively stable around 26 percentage points.</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5357E3" w:rsidRDefault="000B18DD" w:rsidP="005357E3">
            <w:pPr>
              <w:pStyle w:val="BoxHeading1"/>
              <w:rPr>
                <w:rStyle w:val="NoteLabel"/>
                <w:b/>
                <w:i/>
              </w:rPr>
            </w:pPr>
            <w:r w:rsidRPr="005357E3">
              <w:t>Age standardised rates of current daily smokers</w:t>
            </w:r>
            <w:r w:rsidR="00C545AB" w:rsidRPr="005357E3">
              <w:t xml:space="preserve"> aged 18 years and</w:t>
            </w:r>
            <w:r w:rsidR="005357E3" w:rsidRPr="005357E3">
              <w:t xml:space="preserve"> over, 2001 to 2014</w:t>
            </w:r>
            <w:r w:rsidR="00FB3DF6">
              <w:noBreakHyphen/>
            </w:r>
            <w:r w:rsidR="005357E3" w:rsidRPr="005357E3">
              <w:t>15</w:t>
            </w:r>
            <w:r w:rsidR="0089750B" w:rsidRPr="005357E3">
              <w:rPr>
                <w:rStyle w:val="NoteLabel"/>
                <w:b/>
              </w:rPr>
              <w:t>a</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5357E3" w:rsidRDefault="00B539DA" w:rsidP="008612AA">
            <w:r>
              <w:rPr>
                <w:noProof/>
              </w:rPr>
              <w:drawing>
                <wp:inline distT="0" distB="0" distL="0" distR="0">
                  <wp:extent cx="5460365" cy="2752090"/>
                  <wp:effectExtent l="0" t="0" r="6985" b="0"/>
                  <wp:docPr id="18" name="Picture 18" descr="Figure: Age standardised rates of current daily smokers aged 18 years and over, 2001 to 2014-15, by Indigenous statu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0365" cy="2752090"/>
                          </a:xfrm>
                          <a:prstGeom prst="rect">
                            <a:avLst/>
                          </a:prstGeom>
                          <a:noFill/>
                          <a:ln>
                            <a:noFill/>
                          </a:ln>
                        </pic:spPr>
                      </pic:pic>
                    </a:graphicData>
                  </a:graphic>
                </wp:inline>
              </w:drawing>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5357E3" w:rsidRDefault="00AC2FA9" w:rsidP="005357E3">
            <w:pPr>
              <w:pStyle w:val="Note"/>
            </w:pPr>
            <w:r w:rsidRPr="005357E3">
              <w:rPr>
                <w:rStyle w:val="NoteLabel"/>
              </w:rPr>
              <w:t>a</w:t>
            </w:r>
            <w:r w:rsidRPr="005357E3">
              <w:rPr>
                <w:rFonts w:ascii="Arial Bold" w:hAnsi="Arial Bold"/>
                <w:b/>
                <w:vertAlign w:val="superscript"/>
              </w:rPr>
              <w:t xml:space="preserve"> </w:t>
            </w:r>
            <w:r w:rsidR="0089750B" w:rsidRPr="005357E3">
              <w:t>Error bars represent 95 per cent confidence intervals around each estimate.</w:t>
            </w:r>
            <w:r w:rsidR="008612AA" w:rsidRPr="005357E3">
              <w:t xml:space="preserve"> </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5357E3" w:rsidRDefault="00AC2FA9" w:rsidP="008E4321">
            <w:pPr>
              <w:pStyle w:val="BoxSource"/>
            </w:pPr>
            <w:r w:rsidRPr="005357E3">
              <w:rPr>
                <w:i/>
              </w:rPr>
              <w:t>Source</w:t>
            </w:r>
            <w:r w:rsidRPr="005357E3">
              <w:t>: Figure</w:t>
            </w:r>
            <w:r w:rsidR="00FB3DF6">
              <w:t> </w:t>
            </w:r>
            <w:r w:rsidRPr="005357E3">
              <w:t>8.4.1 in the main report.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AC2FA9" w:rsidRPr="00037871" w:rsidRDefault="00AC2FA9"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AC2FA9" w:rsidRPr="00037871" w:rsidRDefault="00AC2FA9" w:rsidP="008E4321">
            <w:pPr>
              <w:pStyle w:val="BoxSpaceBelow"/>
              <w:rPr>
                <w:color w:val="00B050"/>
              </w:rPr>
            </w:pPr>
          </w:p>
        </w:tc>
      </w:tr>
    </w:tbl>
    <w:p w:rsidR="00AC2FA9" w:rsidRPr="00037871" w:rsidRDefault="00AC2FA9" w:rsidP="00AC2FA9">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AD0D0E" w:rsidTr="00BD31CC">
        <w:tc>
          <w:tcPr>
            <w:tcW w:w="8793" w:type="dxa"/>
            <w:gridSpan w:val="3"/>
            <w:tcBorders>
              <w:top w:val="single" w:sz="6" w:space="0" w:color="78A22F"/>
              <w:left w:val="nil"/>
              <w:bottom w:val="nil"/>
              <w:right w:val="nil"/>
            </w:tcBorders>
            <w:shd w:val="clear" w:color="auto" w:fill="F2F2F2"/>
          </w:tcPr>
          <w:p w:rsidR="00AC2FA9" w:rsidRPr="00AD0D0E" w:rsidRDefault="00AC2FA9" w:rsidP="001D480C">
            <w:pPr>
              <w:pStyle w:val="BoxTitle"/>
              <w:spacing w:after="120"/>
              <w:rPr>
                <w:color w:val="000000" w:themeColor="text1"/>
              </w:rPr>
            </w:pPr>
            <w:r w:rsidRPr="00AD0D0E">
              <w:rPr>
                <w:color w:val="000000" w:themeColor="text1"/>
              </w:rPr>
              <w:t>8.5</w:t>
            </w:r>
            <w:r w:rsidRPr="00AD0D0E">
              <w:rPr>
                <w:color w:val="000000" w:themeColor="text1"/>
              </w:rPr>
              <w:tab/>
              <w:t>Obesity and nutrition</w:t>
            </w:r>
          </w:p>
        </w:tc>
      </w:tr>
      <w:tr w:rsidR="00037871" w:rsidRPr="00037871" w:rsidTr="00BD31CC">
        <w:trPr>
          <w:cantSplit/>
        </w:trPr>
        <w:tc>
          <w:tcPr>
            <w:tcW w:w="3828" w:type="dxa"/>
            <w:tcBorders>
              <w:top w:val="nil"/>
              <w:left w:val="nil"/>
              <w:bottom w:val="nil"/>
              <w:right w:val="nil"/>
            </w:tcBorders>
            <w:shd w:val="clear" w:color="auto" w:fill="F2F2F2"/>
          </w:tcPr>
          <w:p w:rsidR="00AC2FA9" w:rsidRPr="00635E1F" w:rsidRDefault="0089750B" w:rsidP="008E4321">
            <w:pPr>
              <w:pStyle w:val="Box"/>
            </w:pPr>
            <w:r w:rsidRPr="00635E1F">
              <w:t>High body mass and physical inactivity are significant risk factors for poor health outcomes, including cardiovascular disease, Type 2 diabetes, and some musculoskeletal conditions and cancers.</w:t>
            </w:r>
          </w:p>
        </w:tc>
        <w:tc>
          <w:tcPr>
            <w:tcW w:w="992" w:type="dxa"/>
            <w:tcBorders>
              <w:top w:val="nil"/>
              <w:left w:val="nil"/>
              <w:bottom w:val="nil"/>
              <w:right w:val="nil"/>
            </w:tcBorders>
            <w:shd w:val="clear" w:color="auto" w:fill="8E8FA6"/>
          </w:tcPr>
          <w:p w:rsidR="00AC2FA9" w:rsidRPr="00635E1F" w:rsidRDefault="00AC2FA9" w:rsidP="008E4321">
            <w:pPr>
              <w:pStyle w:val="BoxHeading1"/>
            </w:pPr>
          </w:p>
          <w:p w:rsidR="00AC2FA9" w:rsidRPr="00635E1F" w:rsidRDefault="00AC2FA9" w:rsidP="0089750B">
            <w:pPr>
              <w:pStyle w:val="Box"/>
              <w:spacing w:before="160"/>
              <w:jc w:val="center"/>
              <w:rPr>
                <w:b/>
                <w:sz w:val="48"/>
                <w:szCs w:val="48"/>
              </w:rPr>
            </w:pPr>
            <w:r w:rsidRPr="00635E1F">
              <w:rPr>
                <w:b/>
                <w:sz w:val="48"/>
                <w:szCs w:val="48"/>
              </w:rPr>
              <w:t>?</w:t>
            </w:r>
          </w:p>
        </w:tc>
        <w:tc>
          <w:tcPr>
            <w:tcW w:w="3973" w:type="dxa"/>
            <w:tcBorders>
              <w:top w:val="nil"/>
              <w:left w:val="nil"/>
              <w:bottom w:val="nil"/>
              <w:right w:val="nil"/>
            </w:tcBorders>
            <w:shd w:val="clear" w:color="auto" w:fill="F2F2F2"/>
          </w:tcPr>
          <w:p w:rsidR="00AC2FA9" w:rsidRPr="00635E1F" w:rsidRDefault="0089750B" w:rsidP="001509DC">
            <w:pPr>
              <w:pStyle w:val="Box"/>
            </w:pPr>
            <w:r w:rsidRPr="00635E1F">
              <w:t>In 2012</w:t>
            </w:r>
            <w:r w:rsidR="00FB3DF6">
              <w:noBreakHyphen/>
            </w:r>
            <w:r w:rsidRPr="00635E1F">
              <w:t xml:space="preserve">13, </w:t>
            </w:r>
            <w:r w:rsidR="001509DC" w:rsidRPr="00635E1F">
              <w:t>69</w:t>
            </w:r>
            <w:r w:rsidR="00814EDC">
              <w:t> </w:t>
            </w:r>
            <w:r w:rsidRPr="00635E1F">
              <w:t>per cent of Aboriginal and Torres Strait Islander adults were overweight or obese</w:t>
            </w:r>
            <w:r w:rsidR="001509DC" w:rsidRPr="00635E1F">
              <w:t>. After adjusting for population age structure</w:t>
            </w:r>
            <w:r w:rsidR="00A27498" w:rsidRPr="00635E1F">
              <w:t>s</w:t>
            </w:r>
            <w:r w:rsidR="0082585B">
              <w:t xml:space="preserve"> this was 1.2 </w:t>
            </w:r>
            <w:r w:rsidR="001509DC" w:rsidRPr="00635E1F">
              <w:t xml:space="preserve">times the proportion for </w:t>
            </w:r>
            <w:r w:rsidR="00CD17FE" w:rsidRPr="00635E1F">
              <w:t>non</w:t>
            </w:r>
            <w:r w:rsidR="00CD17FE" w:rsidRPr="00635E1F">
              <w:noBreakHyphen/>
            </w:r>
            <w:r w:rsidRPr="00635E1F">
              <w:t>Indigenous adults</w:t>
            </w:r>
            <w:r w:rsidR="00E95F70" w:rsidRPr="00635E1F">
              <w:t xml:space="preserve"> in 2011</w:t>
            </w:r>
            <w:r w:rsidR="00FB3DF6">
              <w:noBreakHyphen/>
            </w:r>
            <w:r w:rsidR="00E95F70" w:rsidRPr="00635E1F">
              <w:t>12</w:t>
            </w:r>
            <w:r w:rsidRPr="00635E1F">
              <w:t>.</w:t>
            </w:r>
          </w:p>
          <w:p w:rsidR="00635E1F" w:rsidRPr="00635E1F" w:rsidRDefault="00BB504E" w:rsidP="00814EDC">
            <w:pPr>
              <w:pStyle w:val="Box"/>
            </w:pPr>
            <w:r>
              <w:t>Supplementary data on children’s fruit and vegetable intake in 2014</w:t>
            </w:r>
            <w:r w:rsidR="00FB3DF6">
              <w:noBreakHyphen/>
            </w:r>
            <w:r>
              <w:t xml:space="preserve">15 show that </w:t>
            </w:r>
            <w:r w:rsidR="00635E1F" w:rsidRPr="00635E1F">
              <w:t>70 per cent of Aboriginal and Torres Strait Islander children reported adequate daily intake of fruit</w:t>
            </w:r>
            <w:r>
              <w:t xml:space="preserve"> (</w:t>
            </w:r>
            <w:r w:rsidR="00635E1F" w:rsidRPr="00635E1F">
              <w:t>74</w:t>
            </w:r>
            <w:r w:rsidR="00814EDC">
              <w:t> </w:t>
            </w:r>
            <w:r w:rsidR="00635E1F" w:rsidRPr="00635E1F">
              <w:t>per cent</w:t>
            </w:r>
            <w:r w:rsidR="0082585B">
              <w:t xml:space="preserve"> for non</w:t>
            </w:r>
            <w:r w:rsidR="0082585B">
              <w:noBreakHyphen/>
            </w:r>
            <w:r w:rsidR="00635E1F">
              <w:t>Indigenous children</w:t>
            </w:r>
            <w:r>
              <w:t>), and l</w:t>
            </w:r>
            <w:r w:rsidR="0082585B">
              <w:t>ess than 10 per </w:t>
            </w:r>
            <w:r w:rsidR="00635E1F">
              <w:t xml:space="preserve">cent of all children reported </w:t>
            </w:r>
            <w:r w:rsidR="00635E1F" w:rsidRPr="00635E1F">
              <w:t>adequate daily vegetable intake.</w:t>
            </w:r>
          </w:p>
        </w:tc>
      </w:tr>
      <w:tr w:rsidR="00037871" w:rsidRPr="00037871" w:rsidTr="00BD31CC">
        <w:trPr>
          <w:cantSplit/>
        </w:trPr>
        <w:tc>
          <w:tcPr>
            <w:tcW w:w="8793" w:type="dxa"/>
            <w:gridSpan w:val="3"/>
            <w:tcBorders>
              <w:top w:val="nil"/>
              <w:left w:val="nil"/>
              <w:bottom w:val="nil"/>
              <w:right w:val="nil"/>
            </w:tcBorders>
            <w:shd w:val="clear" w:color="auto" w:fill="F2F2F2"/>
          </w:tcPr>
          <w:p w:rsidR="00AC2FA9" w:rsidRPr="00635E1F" w:rsidRDefault="0057529E" w:rsidP="0014070A">
            <w:pPr>
              <w:pStyle w:val="Box"/>
              <w:rPr>
                <w:i/>
              </w:rPr>
            </w:pPr>
            <w:r w:rsidRPr="00047B12">
              <w:rPr>
                <w:i/>
              </w:rPr>
              <w:t>There is no trend data for body mass index (BMI) as the measured BMI data in 2012</w:t>
            </w:r>
            <w:r w:rsidR="00FB3DF6">
              <w:rPr>
                <w:i/>
              </w:rPr>
              <w:noBreakHyphen/>
            </w:r>
            <w:r w:rsidRPr="00047B12">
              <w:rPr>
                <w:i/>
              </w:rPr>
              <w:t>13 is not comparable with BMI data from previous surveys which was based on self</w:t>
            </w:r>
            <w:r w:rsidR="00FB3DF6">
              <w:rPr>
                <w:i/>
              </w:rPr>
              <w:noBreakHyphen/>
            </w:r>
            <w:r w:rsidRPr="00047B12">
              <w:rPr>
                <w:i/>
              </w:rPr>
              <w:t>reported height and weight.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AC2FA9" w:rsidRPr="00037871" w:rsidRDefault="00AC2FA9"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AC2FA9" w:rsidRPr="00037871" w:rsidRDefault="00AC2FA9" w:rsidP="008E4321">
            <w:pPr>
              <w:pStyle w:val="BoxSpaceBelow"/>
              <w:rPr>
                <w:color w:val="00B050"/>
              </w:rPr>
            </w:pPr>
          </w:p>
        </w:tc>
      </w:tr>
    </w:tbl>
    <w:p w:rsidR="00AC2FA9" w:rsidRPr="00037871" w:rsidRDefault="00AC2FA9" w:rsidP="00AC2FA9">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AD0D0E" w:rsidTr="00BD31CC">
        <w:tc>
          <w:tcPr>
            <w:tcW w:w="8793" w:type="dxa"/>
            <w:gridSpan w:val="3"/>
            <w:tcBorders>
              <w:top w:val="single" w:sz="6" w:space="0" w:color="78A22F"/>
              <w:left w:val="nil"/>
              <w:bottom w:val="nil"/>
              <w:right w:val="nil"/>
            </w:tcBorders>
            <w:shd w:val="clear" w:color="auto" w:fill="F2F2F2"/>
          </w:tcPr>
          <w:p w:rsidR="00AC2FA9" w:rsidRPr="00AD0D0E" w:rsidRDefault="00AC2FA9" w:rsidP="001D480C">
            <w:pPr>
              <w:pStyle w:val="BoxTitle"/>
              <w:spacing w:after="120"/>
              <w:rPr>
                <w:color w:val="000000" w:themeColor="text1"/>
              </w:rPr>
            </w:pPr>
            <w:r w:rsidRPr="00AD0D0E">
              <w:rPr>
                <w:color w:val="000000" w:themeColor="text1"/>
              </w:rPr>
              <w:t>8.6</w:t>
            </w:r>
            <w:r w:rsidRPr="00AD0D0E">
              <w:rPr>
                <w:color w:val="000000" w:themeColor="text1"/>
              </w:rPr>
              <w:tab/>
              <w:t>Oral health</w:t>
            </w:r>
          </w:p>
        </w:tc>
      </w:tr>
      <w:tr w:rsidR="00037871" w:rsidRPr="00037871" w:rsidTr="00BD31CC">
        <w:trPr>
          <w:cantSplit/>
        </w:trPr>
        <w:tc>
          <w:tcPr>
            <w:tcW w:w="3828" w:type="dxa"/>
            <w:tcBorders>
              <w:top w:val="nil"/>
              <w:left w:val="nil"/>
              <w:bottom w:val="nil"/>
              <w:right w:val="nil"/>
            </w:tcBorders>
            <w:shd w:val="clear" w:color="auto" w:fill="F2F2F2"/>
          </w:tcPr>
          <w:p w:rsidR="00AC2FA9" w:rsidRPr="00635E1F" w:rsidRDefault="0089750B" w:rsidP="008E4321">
            <w:pPr>
              <w:pStyle w:val="Box"/>
            </w:pPr>
            <w:r w:rsidRPr="00635E1F">
              <w:t>Oral health contributes to overall health and wellbeing. Two of the most frequently occurring oral diseases are tooth decay and periodontal disease. Both are preventable and, with early treatment, curable.</w:t>
            </w:r>
          </w:p>
        </w:tc>
        <w:tc>
          <w:tcPr>
            <w:tcW w:w="992" w:type="dxa"/>
            <w:tcBorders>
              <w:top w:val="nil"/>
              <w:left w:val="nil"/>
              <w:bottom w:val="nil"/>
              <w:right w:val="nil"/>
            </w:tcBorders>
            <w:shd w:val="clear" w:color="auto" w:fill="7E9CA0"/>
          </w:tcPr>
          <w:p w:rsidR="00AC2FA9" w:rsidRPr="00635E1F" w:rsidRDefault="00AC2FA9" w:rsidP="008E4321">
            <w:pPr>
              <w:pStyle w:val="BoxHeading1"/>
            </w:pPr>
          </w:p>
          <w:p w:rsidR="00FE1E8D" w:rsidRPr="00635E1F" w:rsidRDefault="00FE1E8D" w:rsidP="008E4321">
            <w:pPr>
              <w:pStyle w:val="Box"/>
              <w:jc w:val="center"/>
              <w:rPr>
                <w:b/>
                <w:sz w:val="30"/>
                <w:szCs w:val="30"/>
              </w:rPr>
            </w:pPr>
          </w:p>
          <w:p w:rsidR="00AC2FA9" w:rsidRPr="00635E1F" w:rsidRDefault="00AC2FA9" w:rsidP="008E4321">
            <w:pPr>
              <w:pStyle w:val="Box"/>
              <w:jc w:val="center"/>
              <w:rPr>
                <w:b/>
                <w:sz w:val="30"/>
                <w:szCs w:val="30"/>
              </w:rPr>
            </w:pPr>
            <w:r w:rsidRPr="00635E1F">
              <w:rPr>
                <w:b/>
                <w:sz w:val="30"/>
                <w:szCs w:val="30"/>
              </w:rPr>
              <w:t>Data gap</w:t>
            </w:r>
          </w:p>
        </w:tc>
        <w:tc>
          <w:tcPr>
            <w:tcW w:w="3973" w:type="dxa"/>
            <w:tcBorders>
              <w:top w:val="nil"/>
              <w:left w:val="nil"/>
              <w:bottom w:val="nil"/>
              <w:right w:val="nil"/>
            </w:tcBorders>
            <w:shd w:val="clear" w:color="auto" w:fill="F2F2F2"/>
          </w:tcPr>
          <w:p w:rsidR="00635E1F" w:rsidRPr="00635E1F" w:rsidRDefault="00635E1F" w:rsidP="0089750B">
            <w:pPr>
              <w:pStyle w:val="Box"/>
            </w:pPr>
            <w:r w:rsidRPr="00635E1F">
              <w:t xml:space="preserve">Accurate data on </w:t>
            </w:r>
            <w:r w:rsidR="0082585B">
              <w:t>dental health</w:t>
            </w:r>
            <w:r w:rsidRPr="00635E1F">
              <w:t xml:space="preserve"> are relatively old. Supplementary data for Aboriginal and Torres Strait Islander children show </w:t>
            </w:r>
            <w:r>
              <w:t xml:space="preserve">that </w:t>
            </w:r>
            <w:r w:rsidRPr="00635E1F">
              <w:t>in 2014</w:t>
            </w:r>
            <w:r w:rsidR="00FB3DF6">
              <w:noBreakHyphen/>
            </w:r>
            <w:r w:rsidRPr="00635E1F">
              <w:t>15:</w:t>
            </w:r>
          </w:p>
          <w:p w:rsidR="00635E1F" w:rsidRPr="00635E1F" w:rsidRDefault="00635E1F" w:rsidP="00635E1F">
            <w:pPr>
              <w:pStyle w:val="BoxListBullet"/>
            </w:pPr>
            <w:r w:rsidRPr="00635E1F">
              <w:t>28 per cent reported they had teeth or gum problems</w:t>
            </w:r>
          </w:p>
          <w:p w:rsidR="00AC2FA9" w:rsidRPr="00635E1F" w:rsidRDefault="0082585B" w:rsidP="00635E1F">
            <w:pPr>
              <w:pStyle w:val="BoxListBullet"/>
            </w:pPr>
            <w:r>
              <w:t>o</w:t>
            </w:r>
            <w:r w:rsidR="00814EDC">
              <w:t>f those with problems, 72 </w:t>
            </w:r>
            <w:r w:rsidR="00635E1F" w:rsidRPr="00635E1F">
              <w:t>per cent reported having a dental check up in the last 12 months, with cost the main reason for those that didn’t</w:t>
            </w:r>
            <w:r w:rsidR="0089750B" w:rsidRPr="00635E1F">
              <w:t>.</w:t>
            </w:r>
          </w:p>
        </w:tc>
      </w:tr>
      <w:tr w:rsidR="00037871" w:rsidRPr="00635E1F" w:rsidTr="00BD31CC">
        <w:trPr>
          <w:cantSplit/>
        </w:trPr>
        <w:tc>
          <w:tcPr>
            <w:tcW w:w="8793" w:type="dxa"/>
            <w:gridSpan w:val="3"/>
            <w:tcBorders>
              <w:top w:val="nil"/>
              <w:left w:val="nil"/>
              <w:bottom w:val="nil"/>
              <w:right w:val="nil"/>
            </w:tcBorders>
            <w:shd w:val="clear" w:color="auto" w:fill="F2F2F2"/>
          </w:tcPr>
          <w:p w:rsidR="0089750B" w:rsidRPr="00635E1F" w:rsidRDefault="0089750B" w:rsidP="0014070A">
            <w:pPr>
              <w:pStyle w:val="Box"/>
              <w:rPr>
                <w:i/>
              </w:rPr>
            </w:pPr>
            <w:r w:rsidRPr="00635E1F">
              <w:rPr>
                <w:i/>
              </w:rPr>
              <w:t>Nationally comparable time series data on tooth decay are not available.</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AC2FA9" w:rsidRPr="00037871" w:rsidRDefault="00AC2FA9"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AC2FA9" w:rsidRPr="00037871" w:rsidRDefault="00AC2FA9" w:rsidP="008E4321">
            <w:pPr>
              <w:pStyle w:val="BoxSpaceBelow"/>
              <w:rPr>
                <w:color w:val="00B050"/>
              </w:rPr>
            </w:pPr>
          </w:p>
        </w:tc>
      </w:tr>
    </w:tbl>
    <w:p w:rsidR="00FE1E8D" w:rsidRPr="004411EA" w:rsidRDefault="00FE1E8D" w:rsidP="00FE1E8D">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4411EA" w:rsidTr="00BD31CC">
        <w:tc>
          <w:tcPr>
            <w:tcW w:w="8793" w:type="dxa"/>
            <w:gridSpan w:val="3"/>
            <w:tcBorders>
              <w:top w:val="single" w:sz="6" w:space="0" w:color="78A22F"/>
              <w:left w:val="nil"/>
              <w:bottom w:val="nil"/>
              <w:right w:val="nil"/>
            </w:tcBorders>
            <w:shd w:val="clear" w:color="auto" w:fill="F2F2F2"/>
          </w:tcPr>
          <w:p w:rsidR="00FE1E8D" w:rsidRPr="004411EA" w:rsidRDefault="00FE1E8D" w:rsidP="001D480C">
            <w:pPr>
              <w:pStyle w:val="BoxTitle"/>
              <w:spacing w:after="120"/>
            </w:pPr>
            <w:r w:rsidRPr="004411EA">
              <w:t>8.7</w:t>
            </w:r>
            <w:r w:rsidRPr="004411EA">
              <w:tab/>
              <w:t>Mental health</w:t>
            </w:r>
          </w:p>
        </w:tc>
      </w:tr>
      <w:tr w:rsidR="00037871" w:rsidRPr="004411EA" w:rsidTr="00BD31CC">
        <w:trPr>
          <w:cantSplit/>
        </w:trPr>
        <w:tc>
          <w:tcPr>
            <w:tcW w:w="3828" w:type="dxa"/>
            <w:tcBorders>
              <w:top w:val="nil"/>
              <w:left w:val="nil"/>
              <w:bottom w:val="nil"/>
              <w:right w:val="nil"/>
            </w:tcBorders>
            <w:shd w:val="clear" w:color="auto" w:fill="F2F2F2"/>
          </w:tcPr>
          <w:p w:rsidR="00FE1E8D" w:rsidRPr="004411EA" w:rsidRDefault="0089750B" w:rsidP="008E4321">
            <w:pPr>
              <w:pStyle w:val="Box"/>
            </w:pPr>
            <w:r w:rsidRPr="004411EA">
              <w:t>Mental health is essential to the overall health and wellbeing of individuals</w:t>
            </w:r>
            <w:r w:rsidR="00C80EFB" w:rsidRPr="004411EA">
              <w:t>,</w:t>
            </w:r>
            <w:r w:rsidRPr="004411EA">
              <w:t xml:space="preserve"> and includes both mental illness and overall mental wellbeing. Mental wellbeing can be affected by a broad range of factors, including domestic violence, substance misuse, physical health problems, incarceration, family breakdown and social disadvantage.</w:t>
            </w:r>
          </w:p>
        </w:tc>
        <w:tc>
          <w:tcPr>
            <w:tcW w:w="992" w:type="dxa"/>
            <w:tcBorders>
              <w:top w:val="nil"/>
              <w:left w:val="nil"/>
              <w:bottom w:val="nil"/>
              <w:right w:val="nil"/>
            </w:tcBorders>
            <w:shd w:val="clear" w:color="auto" w:fill="AB0F14"/>
          </w:tcPr>
          <w:p w:rsidR="00FE1E8D" w:rsidRPr="004411EA" w:rsidRDefault="00FE1E8D" w:rsidP="008E4321">
            <w:pPr>
              <w:pStyle w:val="BoxHeading1"/>
            </w:pPr>
          </w:p>
          <w:p w:rsidR="00FE1E8D" w:rsidRPr="004411EA" w:rsidRDefault="00FE1E8D" w:rsidP="008E4321">
            <w:pPr>
              <w:pStyle w:val="Box"/>
            </w:pPr>
          </w:p>
          <w:p w:rsidR="00FE1E8D" w:rsidRPr="004411EA" w:rsidRDefault="00FE1E8D" w:rsidP="008E4321">
            <w:pPr>
              <w:pStyle w:val="Box"/>
              <w:spacing w:before="0"/>
              <w:jc w:val="center"/>
              <w:rPr>
                <w:sz w:val="48"/>
                <w:szCs w:val="48"/>
              </w:rPr>
            </w:pPr>
            <w:r w:rsidRPr="004411EA">
              <w:rPr>
                <w:sz w:val="48"/>
                <w:szCs w:val="48"/>
              </w:rPr>
              <w:softHyphen/>
            </w:r>
            <w:r w:rsidRPr="004411EA">
              <w:rPr>
                <w:sz w:val="48"/>
                <w:szCs w:val="48"/>
              </w:rPr>
              <w:softHyphen/>
            </w:r>
          </w:p>
          <w:p w:rsidR="00FE1E8D" w:rsidRPr="0034662D" w:rsidRDefault="00142ACE" w:rsidP="008E4321">
            <w:pPr>
              <w:pStyle w:val="Box"/>
              <w:spacing w:before="0"/>
              <w:jc w:val="center"/>
              <w:rPr>
                <w:b/>
                <w:sz w:val="48"/>
                <w:szCs w:val="48"/>
              </w:rPr>
            </w:pPr>
            <w:r w:rsidRPr="0034662D">
              <w:rPr>
                <w:rFonts w:ascii="Wingdings 2" w:hAnsi="Wingdings 2"/>
                <w:b/>
                <w:sz w:val="48"/>
                <w:szCs w:val="48"/>
              </w:rPr>
              <w:t></w:t>
            </w:r>
          </w:p>
        </w:tc>
        <w:tc>
          <w:tcPr>
            <w:tcW w:w="3973" w:type="dxa"/>
            <w:tcBorders>
              <w:top w:val="nil"/>
              <w:left w:val="nil"/>
              <w:bottom w:val="nil"/>
              <w:right w:val="nil"/>
            </w:tcBorders>
            <w:shd w:val="clear" w:color="auto" w:fill="F2F2F2"/>
          </w:tcPr>
          <w:p w:rsidR="0089750B" w:rsidRPr="004411EA" w:rsidRDefault="00BB504E" w:rsidP="0089750B">
            <w:pPr>
              <w:pStyle w:val="Box"/>
            </w:pPr>
            <w:r>
              <w:t xml:space="preserve">The proportion of </w:t>
            </w:r>
            <w:r w:rsidR="0089750B" w:rsidRPr="004411EA">
              <w:t xml:space="preserve">Aboriginal and Torres Strait Islander adults </w:t>
            </w:r>
            <w:r w:rsidR="0034662D">
              <w:t xml:space="preserve">who </w:t>
            </w:r>
            <w:r w:rsidR="0089750B" w:rsidRPr="004411EA">
              <w:t>reported high/very high l</w:t>
            </w:r>
            <w:r>
              <w:t xml:space="preserve">evels of psychological distress </w:t>
            </w:r>
            <w:r w:rsidR="0089750B" w:rsidRPr="004411EA">
              <w:t>increase</w:t>
            </w:r>
            <w:r>
              <w:t>d</w:t>
            </w:r>
            <w:r w:rsidR="0089750B" w:rsidRPr="004411EA">
              <w:t xml:space="preserve"> </w:t>
            </w:r>
            <w:r w:rsidR="00B87E93">
              <w:t>from 27</w:t>
            </w:r>
            <w:r w:rsidR="00814EDC">
              <w:t> </w:t>
            </w:r>
            <w:r w:rsidR="00B87E93">
              <w:t>per cent in</w:t>
            </w:r>
            <w:r w:rsidR="0089750B" w:rsidRPr="004411EA">
              <w:t xml:space="preserve"> 2004</w:t>
            </w:r>
            <w:r w:rsidR="00FB3DF6">
              <w:noBreakHyphen/>
            </w:r>
            <w:r w:rsidR="0089750B" w:rsidRPr="004411EA">
              <w:t>05</w:t>
            </w:r>
            <w:r>
              <w:t xml:space="preserve"> to 33 per cent in 2014</w:t>
            </w:r>
            <w:r w:rsidR="00FB3DF6">
              <w:noBreakHyphen/>
            </w:r>
            <w:r>
              <w:t>15</w:t>
            </w:r>
            <w:r w:rsidR="0089750B" w:rsidRPr="004411EA">
              <w:t>.</w:t>
            </w:r>
          </w:p>
          <w:p w:rsidR="00FE1E8D" w:rsidRPr="004411EA" w:rsidRDefault="0089750B" w:rsidP="008B4277">
            <w:pPr>
              <w:pStyle w:val="Box"/>
            </w:pPr>
            <w:r w:rsidRPr="004411EA">
              <w:t xml:space="preserve">After adjusting for population age structures, the proportion of Aboriginal and Torres Strait Islander adults experiencing high/very high psychological distress </w:t>
            </w:r>
            <w:r w:rsidR="00E95F70" w:rsidRPr="004411EA">
              <w:t>in 201</w:t>
            </w:r>
            <w:r w:rsidR="008B4277" w:rsidRPr="004411EA">
              <w:t>4</w:t>
            </w:r>
            <w:r w:rsidR="00FB3DF6">
              <w:noBreakHyphen/>
            </w:r>
            <w:r w:rsidR="00E95F70" w:rsidRPr="004411EA">
              <w:t>1</w:t>
            </w:r>
            <w:r w:rsidR="008B4277" w:rsidRPr="004411EA">
              <w:t>5</w:t>
            </w:r>
            <w:r w:rsidR="00E95F70" w:rsidRPr="004411EA">
              <w:t xml:space="preserve"> </w:t>
            </w:r>
            <w:r w:rsidRPr="004411EA">
              <w:t>was almost three times the proportion for non</w:t>
            </w:r>
            <w:r w:rsidRPr="004411EA">
              <w:noBreakHyphen/>
            </w:r>
            <w:r w:rsidR="00B30E3C" w:rsidRPr="004411EA">
              <w:t>Indigenous adults</w:t>
            </w:r>
            <w:r w:rsidRPr="004411EA">
              <w:t>.</w:t>
            </w:r>
          </w:p>
        </w:tc>
      </w:tr>
      <w:tr w:rsidR="00037871" w:rsidRPr="004411EA" w:rsidTr="00BD31CC">
        <w:trPr>
          <w:cantSplit/>
        </w:trPr>
        <w:tc>
          <w:tcPr>
            <w:tcW w:w="8793" w:type="dxa"/>
            <w:gridSpan w:val="3"/>
            <w:tcBorders>
              <w:top w:val="nil"/>
              <w:left w:val="nil"/>
              <w:bottom w:val="single" w:sz="6" w:space="0" w:color="78A22F"/>
              <w:right w:val="nil"/>
            </w:tcBorders>
            <w:shd w:val="clear" w:color="auto" w:fill="F2F2F2"/>
          </w:tcPr>
          <w:p w:rsidR="00FE1E8D" w:rsidRPr="004411EA" w:rsidRDefault="00FE1E8D" w:rsidP="008E4321">
            <w:pPr>
              <w:pStyle w:val="Box"/>
              <w:spacing w:before="0" w:line="120" w:lineRule="exact"/>
            </w:pPr>
          </w:p>
        </w:tc>
      </w:tr>
      <w:tr w:rsidR="00037871" w:rsidRPr="004411EA" w:rsidTr="00BD31CC">
        <w:tc>
          <w:tcPr>
            <w:tcW w:w="8793" w:type="dxa"/>
            <w:gridSpan w:val="3"/>
            <w:tcBorders>
              <w:top w:val="single" w:sz="6" w:space="0" w:color="78A22F"/>
              <w:left w:val="nil"/>
              <w:bottom w:val="nil"/>
              <w:right w:val="nil"/>
            </w:tcBorders>
          </w:tcPr>
          <w:p w:rsidR="00FE1E8D" w:rsidRPr="004411EA" w:rsidRDefault="00FE1E8D" w:rsidP="008E4321">
            <w:pPr>
              <w:pStyle w:val="BoxSpaceBelow"/>
            </w:pPr>
          </w:p>
        </w:tc>
      </w:tr>
    </w:tbl>
    <w:p w:rsidR="00FE1E8D" w:rsidRPr="00037871" w:rsidRDefault="00FE1E8D" w:rsidP="00FE1E8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AD0D0E" w:rsidTr="00BD31CC">
        <w:tc>
          <w:tcPr>
            <w:tcW w:w="8793" w:type="dxa"/>
            <w:gridSpan w:val="3"/>
            <w:tcBorders>
              <w:top w:val="single" w:sz="6" w:space="0" w:color="78A22F"/>
              <w:left w:val="nil"/>
              <w:bottom w:val="nil"/>
              <w:right w:val="nil"/>
            </w:tcBorders>
            <w:shd w:val="clear" w:color="auto" w:fill="F2F2F2"/>
          </w:tcPr>
          <w:p w:rsidR="00FE1E8D" w:rsidRPr="00AD0D0E" w:rsidRDefault="00FE1E8D" w:rsidP="001D480C">
            <w:pPr>
              <w:pStyle w:val="BoxTitle"/>
              <w:spacing w:after="120"/>
              <w:rPr>
                <w:color w:val="000000" w:themeColor="text1"/>
              </w:rPr>
            </w:pPr>
            <w:r w:rsidRPr="00AD0D0E">
              <w:rPr>
                <w:color w:val="000000" w:themeColor="text1"/>
              </w:rPr>
              <w:t>8.8</w:t>
            </w:r>
            <w:r w:rsidRPr="00AD0D0E">
              <w:rPr>
                <w:color w:val="000000" w:themeColor="text1"/>
              </w:rPr>
              <w:tab/>
              <w:t>Suicide and self</w:t>
            </w:r>
            <w:r w:rsidR="00FB3DF6">
              <w:rPr>
                <w:color w:val="000000" w:themeColor="text1"/>
              </w:rPr>
              <w:noBreakHyphen/>
            </w:r>
            <w:r w:rsidRPr="00AD0D0E">
              <w:rPr>
                <w:color w:val="000000" w:themeColor="text1"/>
              </w:rPr>
              <w:t>harm</w:t>
            </w:r>
          </w:p>
        </w:tc>
      </w:tr>
      <w:tr w:rsidR="00037871" w:rsidRPr="00037871" w:rsidTr="00BD31CC">
        <w:trPr>
          <w:cantSplit/>
        </w:trPr>
        <w:tc>
          <w:tcPr>
            <w:tcW w:w="3828" w:type="dxa"/>
            <w:tcBorders>
              <w:top w:val="nil"/>
              <w:left w:val="nil"/>
              <w:bottom w:val="nil"/>
              <w:right w:val="nil"/>
            </w:tcBorders>
            <w:shd w:val="clear" w:color="auto" w:fill="F2F2F2"/>
          </w:tcPr>
          <w:p w:rsidR="00FE1E8D" w:rsidRPr="00B87E93" w:rsidRDefault="0089750B" w:rsidP="0082585B">
            <w:pPr>
              <w:pStyle w:val="Box"/>
            </w:pPr>
            <w:r w:rsidRPr="00B87E93">
              <w:t>Suicide by Aboriginal and Torres Strait Islander Australians is influenced by complex factors relating to social disadvantage and a history of trauma and grief resulting from past dislocation and mistreatment.</w:t>
            </w:r>
          </w:p>
        </w:tc>
        <w:tc>
          <w:tcPr>
            <w:tcW w:w="992" w:type="dxa"/>
            <w:tcBorders>
              <w:top w:val="nil"/>
              <w:left w:val="nil"/>
              <w:bottom w:val="nil"/>
              <w:right w:val="nil"/>
            </w:tcBorders>
            <w:shd w:val="clear" w:color="auto" w:fill="AB0F14"/>
          </w:tcPr>
          <w:p w:rsidR="00FE1E8D" w:rsidRPr="00B87E93" w:rsidRDefault="00FE1E8D" w:rsidP="008E4321">
            <w:pPr>
              <w:pStyle w:val="BoxHeading1"/>
            </w:pPr>
          </w:p>
          <w:p w:rsidR="00FE1E8D" w:rsidRPr="00B87E93" w:rsidRDefault="00FE1E8D" w:rsidP="008E4321">
            <w:pPr>
              <w:pStyle w:val="Box"/>
            </w:pPr>
          </w:p>
          <w:p w:rsidR="000017FD" w:rsidRPr="00B87E93" w:rsidRDefault="00FE1E8D" w:rsidP="008E4321">
            <w:pPr>
              <w:pStyle w:val="Box"/>
              <w:spacing w:before="0"/>
              <w:jc w:val="center"/>
              <w:rPr>
                <w:sz w:val="48"/>
                <w:szCs w:val="48"/>
              </w:rPr>
            </w:pPr>
            <w:r w:rsidRPr="00B87E93">
              <w:rPr>
                <w:sz w:val="48"/>
                <w:szCs w:val="48"/>
              </w:rPr>
              <w:softHyphen/>
            </w:r>
            <w:r w:rsidRPr="00B87E93">
              <w:rPr>
                <w:sz w:val="48"/>
                <w:szCs w:val="48"/>
              </w:rPr>
              <w:softHyphen/>
            </w:r>
          </w:p>
          <w:p w:rsidR="00FE1E8D" w:rsidRPr="0034662D" w:rsidRDefault="00142ACE" w:rsidP="008E4321">
            <w:pPr>
              <w:pStyle w:val="Box"/>
              <w:spacing w:before="0"/>
              <w:jc w:val="center"/>
              <w:rPr>
                <w:b/>
                <w:sz w:val="48"/>
                <w:szCs w:val="48"/>
              </w:rPr>
            </w:pPr>
            <w:r w:rsidRPr="0034662D">
              <w:rPr>
                <w:rFonts w:ascii="Wingdings 2" w:hAnsi="Wingdings 2"/>
                <w:b/>
                <w:sz w:val="48"/>
                <w:szCs w:val="48"/>
              </w:rPr>
              <w:t></w:t>
            </w:r>
          </w:p>
        </w:tc>
        <w:tc>
          <w:tcPr>
            <w:tcW w:w="3973" w:type="dxa"/>
            <w:tcBorders>
              <w:top w:val="nil"/>
              <w:left w:val="nil"/>
              <w:bottom w:val="nil"/>
              <w:right w:val="nil"/>
            </w:tcBorders>
            <w:shd w:val="clear" w:color="auto" w:fill="F2F2F2"/>
          </w:tcPr>
          <w:p w:rsidR="0089750B" w:rsidRPr="00B87E93" w:rsidRDefault="0089750B" w:rsidP="0089750B">
            <w:pPr>
              <w:pStyle w:val="Box"/>
            </w:pPr>
            <w:r w:rsidRPr="00B87E93">
              <w:t>After adjusting for population age structures:</w:t>
            </w:r>
          </w:p>
          <w:p w:rsidR="00FE1E8D" w:rsidRDefault="0089750B" w:rsidP="00B87E93">
            <w:pPr>
              <w:pStyle w:val="BoxListBullet"/>
            </w:pPr>
            <w:r w:rsidRPr="00B87E93">
              <w:t>the hospitalisation rate for intentional self</w:t>
            </w:r>
            <w:r w:rsidR="00FB3DF6">
              <w:noBreakHyphen/>
            </w:r>
            <w:r w:rsidRPr="00B87E93">
              <w:t xml:space="preserve">harm for Aboriginal and Torres Strait Islander Australians increased by </w:t>
            </w:r>
            <w:r w:rsidR="00B87E93" w:rsidRPr="00B87E93">
              <w:t>56</w:t>
            </w:r>
            <w:r w:rsidR="00A512B5">
              <w:t> per cent from 2004</w:t>
            </w:r>
            <w:r w:rsidR="00FB3DF6">
              <w:noBreakHyphen/>
            </w:r>
            <w:r w:rsidR="00A512B5">
              <w:t>05 to 2014</w:t>
            </w:r>
            <w:r w:rsidR="00A512B5">
              <w:noBreakHyphen/>
              <w:t>15</w:t>
            </w:r>
            <w:r w:rsidRPr="00B87E93">
              <w:t>, while the rate for other Australians remained relatively stable</w:t>
            </w:r>
          </w:p>
          <w:p w:rsidR="00BB504E" w:rsidRPr="00B87E93" w:rsidRDefault="00BB504E" w:rsidP="00B87E93">
            <w:pPr>
              <w:pStyle w:val="BoxListBullet"/>
            </w:pPr>
            <w:r w:rsidRPr="00B87E93">
              <w:t>the suicide death rate for Aboriginal and Torres Strait Islander Australians in 2010–2014 was twice the rate for non</w:t>
            </w:r>
            <w:r w:rsidRPr="00B87E93">
              <w:noBreakHyphen/>
              <w:t>Indigenous Australians</w:t>
            </w:r>
            <w:r w:rsidR="00E0129B">
              <w:t>.</w:t>
            </w:r>
          </w:p>
        </w:tc>
      </w:tr>
      <w:tr w:rsidR="00037871" w:rsidRPr="00037871" w:rsidTr="00BD31CC">
        <w:trPr>
          <w:cantSplit/>
        </w:trPr>
        <w:tc>
          <w:tcPr>
            <w:tcW w:w="8793" w:type="dxa"/>
            <w:gridSpan w:val="3"/>
            <w:tcBorders>
              <w:top w:val="nil"/>
              <w:left w:val="nil"/>
              <w:bottom w:val="nil"/>
              <w:right w:val="nil"/>
            </w:tcBorders>
            <w:shd w:val="clear" w:color="auto" w:fill="F2F2F2"/>
          </w:tcPr>
          <w:p w:rsidR="00FE1E8D" w:rsidRPr="00B87E93" w:rsidRDefault="00EA4AFB" w:rsidP="00EA4AFB">
            <w:pPr>
              <w:pStyle w:val="BoxHeading1"/>
              <w:rPr>
                <w:rStyle w:val="NoteLabel"/>
                <w:b/>
                <w:position w:val="0"/>
                <w:sz w:val="22"/>
                <w:bdr w:val="single" w:sz="4" w:space="0" w:color="auto"/>
              </w:rPr>
            </w:pPr>
            <w:r w:rsidRPr="00B87E93">
              <w:t>Age standardised h</w:t>
            </w:r>
            <w:r w:rsidR="0089750B" w:rsidRPr="00B87E93">
              <w:t>ospitalisation rates for intentional self</w:t>
            </w:r>
            <w:r w:rsidR="00FB3DF6">
              <w:noBreakHyphen/>
            </w:r>
            <w:r w:rsidR="0089750B" w:rsidRPr="00B87E93">
              <w:t>harm, NSW, Victoria, Queensland, WA</w:t>
            </w:r>
            <w:r w:rsidR="00B87E93" w:rsidRPr="00B87E93">
              <w:t>, SA and the NT, 2004</w:t>
            </w:r>
            <w:r w:rsidR="00FB3DF6">
              <w:noBreakHyphen/>
            </w:r>
            <w:r w:rsidR="00B87E93" w:rsidRPr="00B87E93">
              <w:t>05 to 2014</w:t>
            </w:r>
            <w:r w:rsidR="00FB3DF6">
              <w:noBreakHyphen/>
            </w:r>
            <w:r w:rsidR="00B87E93" w:rsidRPr="00B87E93">
              <w:t>15</w:t>
            </w:r>
            <w:r w:rsidR="0089750B" w:rsidRPr="00B87E93">
              <w:rPr>
                <w:rStyle w:val="NoteLabel"/>
                <w:b/>
              </w:rPr>
              <w:t>a</w:t>
            </w:r>
          </w:p>
        </w:tc>
      </w:tr>
      <w:tr w:rsidR="00037871" w:rsidRPr="00037871" w:rsidTr="00BD31CC">
        <w:trPr>
          <w:cantSplit/>
        </w:trPr>
        <w:tc>
          <w:tcPr>
            <w:tcW w:w="8793" w:type="dxa"/>
            <w:gridSpan w:val="3"/>
            <w:tcBorders>
              <w:top w:val="nil"/>
              <w:left w:val="nil"/>
              <w:bottom w:val="nil"/>
              <w:right w:val="nil"/>
            </w:tcBorders>
            <w:shd w:val="clear" w:color="auto" w:fill="F2F2F2"/>
          </w:tcPr>
          <w:p w:rsidR="00FE1E8D" w:rsidRPr="00B87E93" w:rsidRDefault="00B87E93" w:rsidP="00EA4AFB">
            <w:r w:rsidRPr="00B87E93">
              <w:rPr>
                <w:noProof/>
              </w:rPr>
              <w:drawing>
                <wp:inline distT="0" distB="0" distL="0" distR="0" wp14:anchorId="7A1B70A8" wp14:editId="09BDE34E">
                  <wp:extent cx="5403273" cy="2695699"/>
                  <wp:effectExtent l="0" t="0" r="6985" b="9525"/>
                  <wp:docPr id="5" name="Picture 5" descr="Figure: Age standardised hospitalisation rates for intentional self-harm, NSW, Victoria, Queensland, WA, SA and the NT, 2004-05 to 2014-15, by Indigenous statu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1310" cy="2694720"/>
                          </a:xfrm>
                          <a:prstGeom prst="rect">
                            <a:avLst/>
                          </a:prstGeom>
                          <a:noFill/>
                          <a:ln>
                            <a:noFill/>
                          </a:ln>
                        </pic:spPr>
                      </pic:pic>
                    </a:graphicData>
                  </a:graphic>
                </wp:inline>
              </w:drawing>
            </w:r>
          </w:p>
        </w:tc>
      </w:tr>
      <w:tr w:rsidR="00037871" w:rsidRPr="00037871" w:rsidTr="00BD31CC">
        <w:trPr>
          <w:cantSplit/>
        </w:trPr>
        <w:tc>
          <w:tcPr>
            <w:tcW w:w="8793" w:type="dxa"/>
            <w:gridSpan w:val="3"/>
            <w:tcBorders>
              <w:top w:val="nil"/>
              <w:left w:val="nil"/>
              <w:bottom w:val="nil"/>
              <w:right w:val="nil"/>
            </w:tcBorders>
            <w:shd w:val="clear" w:color="auto" w:fill="F2F2F2"/>
          </w:tcPr>
          <w:p w:rsidR="0082585B" w:rsidRDefault="0082585B" w:rsidP="0082585B">
            <w:pPr>
              <w:pStyle w:val="Note"/>
            </w:pPr>
            <w:r w:rsidRPr="0082585B">
              <w:rPr>
                <w:rStyle w:val="NoteLabel"/>
              </w:rPr>
              <w:t>a</w:t>
            </w:r>
            <w:r>
              <w:t xml:space="preserve"> ‘Other’ includes hospitalisations where Indigenous status was recorded as non</w:t>
            </w:r>
            <w:r w:rsidR="00FB3DF6">
              <w:noBreakHyphen/>
            </w:r>
            <w:r>
              <w:t>Indigenous or not stated.</w:t>
            </w:r>
          </w:p>
          <w:p w:rsidR="00FE1E8D" w:rsidRPr="00B87E93" w:rsidRDefault="0089750B" w:rsidP="0089750B">
            <w:pPr>
              <w:pStyle w:val="Source"/>
              <w:rPr>
                <w:szCs w:val="18"/>
              </w:rPr>
            </w:pPr>
            <w:r w:rsidRPr="00B87E93">
              <w:rPr>
                <w:i/>
              </w:rPr>
              <w:t>Source</w:t>
            </w:r>
            <w:r w:rsidRPr="00B87E93">
              <w:t>: Figure</w:t>
            </w:r>
            <w:r w:rsidR="00FB3DF6">
              <w:t> </w:t>
            </w:r>
            <w:r w:rsidRPr="00B87E93">
              <w:t>8.8.2 in the main report.</w:t>
            </w:r>
          </w:p>
        </w:tc>
      </w:tr>
      <w:tr w:rsidR="00B87E93" w:rsidRPr="00B87E93" w:rsidTr="00BD31CC">
        <w:trPr>
          <w:cantSplit/>
        </w:trPr>
        <w:tc>
          <w:tcPr>
            <w:tcW w:w="8793" w:type="dxa"/>
            <w:gridSpan w:val="3"/>
            <w:tcBorders>
              <w:top w:val="nil"/>
              <w:left w:val="nil"/>
              <w:bottom w:val="nil"/>
              <w:right w:val="nil"/>
            </w:tcBorders>
            <w:shd w:val="clear" w:color="auto" w:fill="F2F2F2"/>
          </w:tcPr>
          <w:p w:rsidR="00FE1E8D" w:rsidRPr="00B87E93" w:rsidRDefault="00FE1E8D" w:rsidP="00FE1E8D">
            <w:pPr>
              <w:pStyle w:val="BoxHeading2"/>
            </w:pPr>
            <w:r w:rsidRPr="00B87E93">
              <w:t>Things that work</w:t>
            </w:r>
          </w:p>
          <w:p w:rsidR="00FE1E8D" w:rsidRPr="00B87E93" w:rsidRDefault="0089750B" w:rsidP="00B87E93">
            <w:pPr>
              <w:pStyle w:val="Box"/>
            </w:pPr>
            <w:r w:rsidRPr="00B87E93">
              <w:t xml:space="preserve">The </w:t>
            </w:r>
            <w:r w:rsidRPr="00B87E93">
              <w:rPr>
                <w:b/>
              </w:rPr>
              <w:t>Yiriman</w:t>
            </w:r>
            <w:r w:rsidRPr="00B87E93">
              <w:t xml:space="preserve"> </w:t>
            </w:r>
            <w:r w:rsidRPr="00B87E93">
              <w:rPr>
                <w:b/>
              </w:rPr>
              <w:t>Project</w:t>
            </w:r>
            <w:r w:rsidRPr="00B87E93">
              <w:t xml:space="preserve"> (WA) takes young people, accompanied by elders, on trips back to country, to immerse them in the stories, song and knowledge that are their cultural heritage. This builds young people’s confidence and improves their self</w:t>
            </w:r>
            <w:r w:rsidR="00FB3DF6">
              <w:noBreakHyphen/>
            </w:r>
            <w:r w:rsidRPr="00B87E93">
              <w:t>worth, and is considered to have helped curb suicide, self</w:t>
            </w:r>
            <w:r w:rsidR="00FB3DF6">
              <w:noBreakHyphen/>
            </w:r>
            <w:r w:rsidRPr="00B87E93">
              <w:t>harm and substance abuse in the participating communities. A 2010</w:t>
            </w:r>
            <w:r w:rsidR="007D716F" w:rsidRPr="00B87E93">
              <w:t> </w:t>
            </w:r>
            <w:r w:rsidRPr="00B87E93">
              <w:t>qualitative study of the program found that it contributed to healing of young people as they walk on country, provided an opportunity to develop and assert culture, language and bush skills, and created meaningful employment th</w:t>
            </w:r>
            <w:r w:rsidR="00B87E93">
              <w:t>at valued and maintained culture</w:t>
            </w:r>
            <w:r w:rsidRPr="00B87E93">
              <w:t xml:space="preserve"> (</w:t>
            </w:r>
            <w:r w:rsidR="00E0129B">
              <w:t xml:space="preserve">see </w:t>
            </w:r>
            <w:r w:rsidRPr="00B87E93">
              <w:t>box</w:t>
            </w:r>
            <w:r w:rsidR="00FB3DF6">
              <w:t> </w:t>
            </w:r>
            <w:r w:rsidRPr="00B87E93">
              <w:t>8.8.3</w:t>
            </w:r>
            <w:r w:rsidR="00E0129B">
              <w:t xml:space="preserve"> in the main report for further detail</w:t>
            </w:r>
            <w:r w:rsidRPr="00B87E93">
              <w: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FE1E8D" w:rsidRPr="00037871" w:rsidRDefault="00FE1E8D" w:rsidP="008E4321">
            <w:pPr>
              <w:pStyle w:val="Box"/>
              <w:spacing w:before="0" w:line="120" w:lineRule="exact"/>
              <w:rPr>
                <w:color w:val="00B050"/>
              </w:rPr>
            </w:pPr>
          </w:p>
        </w:tc>
      </w:tr>
      <w:tr w:rsidR="00037871" w:rsidRPr="00037871" w:rsidTr="00BD31CC">
        <w:tc>
          <w:tcPr>
            <w:tcW w:w="8793" w:type="dxa"/>
            <w:gridSpan w:val="3"/>
            <w:tcBorders>
              <w:top w:val="single" w:sz="6" w:space="0" w:color="78A22F"/>
              <w:left w:val="nil"/>
              <w:bottom w:val="nil"/>
              <w:right w:val="nil"/>
            </w:tcBorders>
          </w:tcPr>
          <w:p w:rsidR="00FE1E8D" w:rsidRPr="00037871" w:rsidRDefault="00FE1E8D" w:rsidP="008E4321">
            <w:pPr>
              <w:pStyle w:val="BoxSpaceBelow"/>
              <w:rPr>
                <w:color w:val="00B050"/>
              </w:rPr>
            </w:pPr>
          </w:p>
        </w:tc>
      </w:tr>
    </w:tbl>
    <w:p w:rsidR="00976114" w:rsidRPr="00AD0D0E" w:rsidRDefault="00FE1E8D" w:rsidP="00FE1E8D">
      <w:pPr>
        <w:pStyle w:val="Heading2"/>
        <w:rPr>
          <w:color w:val="000000" w:themeColor="text1"/>
        </w:rPr>
      </w:pPr>
      <w:r w:rsidRPr="00AD0D0E">
        <w:rPr>
          <w:color w:val="000000" w:themeColor="text1"/>
        </w:rPr>
        <w:t>9</w:t>
      </w:r>
      <w:r w:rsidRPr="00AD0D0E">
        <w:rPr>
          <w:color w:val="000000" w:themeColor="text1"/>
        </w:rPr>
        <w:tab/>
        <w:t>Economic participation</w:t>
      </w:r>
    </w:p>
    <w:p w:rsidR="00FE1E8D" w:rsidRPr="00AD0D0E" w:rsidRDefault="0089750B" w:rsidP="0020338A">
      <w:pPr>
        <w:pStyle w:val="BodyText"/>
        <w:spacing w:before="200"/>
        <w:rPr>
          <w:color w:val="000000" w:themeColor="text1"/>
        </w:rPr>
      </w:pPr>
      <w:r w:rsidRPr="00AD0D0E">
        <w:rPr>
          <w:color w:val="000000" w:themeColor="text1"/>
        </w:rPr>
        <w:t>Participation in the economy can significantly influence living standards. Having a job can lead to improved incomes for families and communities, and also enhance self</w:t>
      </w:r>
      <w:r w:rsidRPr="00AD0D0E">
        <w:rPr>
          <w:color w:val="000000" w:themeColor="text1"/>
        </w:rPr>
        <w:noBreakHyphen/>
        <w:t>esteem and reduce social alienatio</w:t>
      </w:r>
      <w:r w:rsidR="002102BD" w:rsidRPr="00AD0D0E">
        <w:rPr>
          <w:color w:val="000000" w:themeColor="text1"/>
        </w:rPr>
        <w:t>n. Long</w:t>
      </w:r>
      <w:r w:rsidR="00FB3DF6">
        <w:rPr>
          <w:color w:val="000000" w:themeColor="text1"/>
        </w:rPr>
        <w:noBreakHyphen/>
      </w:r>
      <w:r w:rsidRPr="00AD0D0E">
        <w:rPr>
          <w:color w:val="000000" w:themeColor="text1"/>
        </w:rPr>
        <w:t>term reliance on income support is correlated with the disadvantages that accompany low socioeconomic status.</w:t>
      </w:r>
      <w:r w:rsidR="00FD5540" w:rsidRPr="00AD0D0E">
        <w:rPr>
          <w:color w:val="000000" w:themeColor="text1"/>
        </w:rPr>
        <w:t xml:space="preserve"> </w:t>
      </w:r>
    </w:p>
    <w:p w:rsidR="00FE1E8D" w:rsidRPr="00AD0D0E" w:rsidRDefault="00FE1E8D" w:rsidP="0020338A">
      <w:pPr>
        <w:pStyle w:val="BoxSpaceAbove"/>
        <w:spacing w:before="160"/>
        <w:rPr>
          <w:color w:val="000000" w:themeColor="text1"/>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AD0D0E" w:rsidTr="00BD31CC">
        <w:tc>
          <w:tcPr>
            <w:tcW w:w="8793" w:type="dxa"/>
            <w:gridSpan w:val="3"/>
            <w:tcBorders>
              <w:top w:val="single" w:sz="6" w:space="0" w:color="78A22F"/>
              <w:left w:val="nil"/>
              <w:bottom w:val="nil"/>
              <w:right w:val="nil"/>
            </w:tcBorders>
            <w:shd w:val="clear" w:color="auto" w:fill="F2F2F2"/>
          </w:tcPr>
          <w:p w:rsidR="00FE1E8D" w:rsidRPr="00AD0D0E" w:rsidRDefault="00FE1E8D" w:rsidP="001D480C">
            <w:pPr>
              <w:pStyle w:val="BoxTitle"/>
              <w:spacing w:after="120"/>
              <w:rPr>
                <w:color w:val="000000" w:themeColor="text1"/>
              </w:rPr>
            </w:pPr>
            <w:r w:rsidRPr="00AD0D0E">
              <w:rPr>
                <w:color w:val="000000" w:themeColor="text1"/>
              </w:rPr>
              <w:t>9.1</w:t>
            </w:r>
            <w:r w:rsidRPr="00AD0D0E">
              <w:rPr>
                <w:color w:val="000000" w:themeColor="text1"/>
              </w:rPr>
              <w:tab/>
              <w:t>Employment by full time/part time status, sector and occupation</w:t>
            </w:r>
          </w:p>
        </w:tc>
      </w:tr>
      <w:tr w:rsidR="00037871" w:rsidRPr="00037871" w:rsidTr="00BD31CC">
        <w:trPr>
          <w:cantSplit/>
        </w:trPr>
        <w:tc>
          <w:tcPr>
            <w:tcW w:w="3828" w:type="dxa"/>
            <w:tcBorders>
              <w:top w:val="nil"/>
              <w:left w:val="nil"/>
              <w:bottom w:val="nil"/>
              <w:right w:val="nil"/>
            </w:tcBorders>
            <w:shd w:val="clear" w:color="auto" w:fill="F2F2F2"/>
          </w:tcPr>
          <w:p w:rsidR="00FE1E8D" w:rsidRPr="002A336B" w:rsidRDefault="0089750B" w:rsidP="0089750B">
            <w:pPr>
              <w:pStyle w:val="Box"/>
            </w:pPr>
            <w:r w:rsidRPr="002A336B">
              <w:t>The type of employment undertaken can affect rates of pay, job satisfaction, security and opportunities for advancement.</w:t>
            </w:r>
          </w:p>
        </w:tc>
        <w:tc>
          <w:tcPr>
            <w:tcW w:w="992" w:type="dxa"/>
            <w:tcBorders>
              <w:top w:val="nil"/>
              <w:left w:val="nil"/>
              <w:bottom w:val="nil"/>
              <w:right w:val="nil"/>
            </w:tcBorders>
            <w:shd w:val="clear" w:color="auto" w:fill="418B50"/>
          </w:tcPr>
          <w:p w:rsidR="0089750B" w:rsidRPr="002A336B" w:rsidRDefault="00FE1E8D" w:rsidP="008E4321">
            <w:pPr>
              <w:pStyle w:val="BoxHeading1"/>
              <w:spacing w:before="240" w:line="240" w:lineRule="auto"/>
              <w:jc w:val="center"/>
              <w:rPr>
                <w:rFonts w:cs="Arial"/>
                <w:b w:val="0"/>
                <w:sz w:val="48"/>
                <w:szCs w:val="48"/>
              </w:rPr>
            </w:pPr>
            <w:r w:rsidRPr="002A336B">
              <w:rPr>
                <w:rFonts w:cs="Arial"/>
                <w:b w:val="0"/>
                <w:sz w:val="48"/>
                <w:szCs w:val="48"/>
              </w:rPr>
              <w:br/>
            </w:r>
          </w:p>
          <w:p w:rsidR="00FE1E8D" w:rsidRPr="0034662D" w:rsidRDefault="00142ACE" w:rsidP="008E4321">
            <w:pPr>
              <w:pStyle w:val="BoxHeading1"/>
              <w:spacing w:before="240" w:line="240" w:lineRule="auto"/>
              <w:jc w:val="center"/>
            </w:pPr>
            <w:r w:rsidRPr="0034662D">
              <w:rPr>
                <w:rFonts w:ascii="Wingdings 2" w:hAnsi="Wingdings 2" w:cs="Arial"/>
                <w:sz w:val="48"/>
                <w:szCs w:val="48"/>
              </w:rPr>
              <w:t></w:t>
            </w:r>
          </w:p>
        </w:tc>
        <w:tc>
          <w:tcPr>
            <w:tcW w:w="3973" w:type="dxa"/>
            <w:tcBorders>
              <w:top w:val="nil"/>
              <w:left w:val="nil"/>
              <w:bottom w:val="nil"/>
              <w:right w:val="nil"/>
            </w:tcBorders>
            <w:shd w:val="clear" w:color="auto" w:fill="F2F2F2"/>
          </w:tcPr>
          <w:p w:rsidR="0089750B" w:rsidRPr="002A336B" w:rsidRDefault="0089750B" w:rsidP="0089750B">
            <w:pPr>
              <w:pStyle w:val="Box"/>
            </w:pPr>
            <w:r w:rsidRPr="002A336B">
              <w:t xml:space="preserve">For employed Aboriginal and Torres Strait Islander </w:t>
            </w:r>
            <w:r w:rsidR="00F70E53" w:rsidRPr="002A336B">
              <w:t>Australians</w:t>
            </w:r>
            <w:r w:rsidRPr="002A336B">
              <w:t xml:space="preserve">: </w:t>
            </w:r>
          </w:p>
          <w:p w:rsidR="0089750B" w:rsidRPr="002A336B" w:rsidRDefault="0089750B" w:rsidP="0089750B">
            <w:pPr>
              <w:pStyle w:val="BoxListBullet"/>
              <w:spacing w:before="120" w:line="280" w:lineRule="atLeast"/>
            </w:pPr>
            <w:r w:rsidRPr="002A336B">
              <w:t>the proportion</w:t>
            </w:r>
            <w:r w:rsidR="00F70E53" w:rsidRPr="002A336B">
              <w:t xml:space="preserve"> aged 18–64 years</w:t>
            </w:r>
            <w:r w:rsidRPr="002A336B">
              <w:t xml:space="preserve"> in full time employment increase</w:t>
            </w:r>
            <w:r w:rsidR="002A336B" w:rsidRPr="002A336B">
              <w:t>d from 54 per cent in 2002 to 63 per cent in 2014</w:t>
            </w:r>
            <w:r w:rsidRPr="002A336B">
              <w:noBreakHyphen/>
              <w:t>1</w:t>
            </w:r>
            <w:r w:rsidR="002A336B" w:rsidRPr="002A336B">
              <w:t>5</w:t>
            </w:r>
            <w:r w:rsidR="0082585B">
              <w:t xml:space="preserve"> (70</w:t>
            </w:r>
            <w:r w:rsidR="00814EDC">
              <w:t> </w:t>
            </w:r>
            <w:r w:rsidR="002A336B">
              <w:t>per</w:t>
            </w:r>
            <w:r w:rsidR="0082585B">
              <w:t xml:space="preserve"> cent for </w:t>
            </w:r>
            <w:r w:rsidRPr="002A336B">
              <w:t>non</w:t>
            </w:r>
            <w:r w:rsidR="00FB3DF6">
              <w:noBreakHyphen/>
            </w:r>
            <w:r w:rsidR="0082585B">
              <w:t>Indigenous </w:t>
            </w:r>
            <w:r w:rsidRPr="002A336B">
              <w:t>Australians in 201</w:t>
            </w:r>
            <w:r w:rsidR="002A336B">
              <w:t>4</w:t>
            </w:r>
            <w:r w:rsidR="002A336B">
              <w:noBreakHyphen/>
            </w:r>
            <w:r w:rsidR="002A336B" w:rsidRPr="002A336B">
              <w:t>15</w:t>
            </w:r>
            <w:r w:rsidRPr="002A336B">
              <w:t xml:space="preserve">) </w:t>
            </w:r>
          </w:p>
          <w:p w:rsidR="00FE1E8D" w:rsidRPr="002A336B" w:rsidRDefault="0089750B" w:rsidP="00814EDC">
            <w:pPr>
              <w:pStyle w:val="BoxListBullet"/>
            </w:pPr>
            <w:r w:rsidRPr="002A336B">
              <w:t>the proportion</w:t>
            </w:r>
            <w:r w:rsidR="00F70E53" w:rsidRPr="002A336B">
              <w:t xml:space="preserve"> aged 15–64 years</w:t>
            </w:r>
            <w:r w:rsidRPr="002A336B">
              <w:t xml:space="preserve"> in professional or managerial positions increased from 16 per cent in 2001 to 20</w:t>
            </w:r>
            <w:r w:rsidR="00814EDC">
              <w:t> </w:t>
            </w:r>
            <w:r w:rsidRPr="002A336B">
              <w:t>per cent in 2011</w:t>
            </w:r>
            <w:r w:rsidR="002A336B">
              <w:t xml:space="preserve"> (35</w:t>
            </w:r>
            <w:r w:rsidR="00814EDC">
              <w:t> </w:t>
            </w:r>
            <w:r w:rsidR="002A336B">
              <w:t>per cent for</w:t>
            </w:r>
            <w:r w:rsidRPr="002A336B">
              <w:t xml:space="preserve"> non</w:t>
            </w:r>
            <w:r w:rsidRPr="002A336B">
              <w:noBreakHyphen/>
              <w:t xml:space="preserve">Indigenous Australians </w:t>
            </w:r>
            <w:r w:rsidR="002A336B">
              <w:t>in 2011)</w:t>
            </w:r>
            <w:r w:rsidRPr="002A336B">
              <w:t>.</w:t>
            </w:r>
          </w:p>
        </w:tc>
      </w:tr>
      <w:tr w:rsidR="00037871" w:rsidRPr="00037871" w:rsidTr="00BD31CC">
        <w:trPr>
          <w:cantSplit/>
        </w:trPr>
        <w:tc>
          <w:tcPr>
            <w:tcW w:w="8793" w:type="dxa"/>
            <w:gridSpan w:val="3"/>
            <w:tcBorders>
              <w:top w:val="nil"/>
              <w:left w:val="nil"/>
              <w:bottom w:val="nil"/>
              <w:right w:val="nil"/>
            </w:tcBorders>
            <w:shd w:val="clear" w:color="auto" w:fill="F2F2F2"/>
          </w:tcPr>
          <w:p w:rsidR="00FE1E8D" w:rsidRPr="002A336B" w:rsidRDefault="0089750B" w:rsidP="002A336B">
            <w:pPr>
              <w:pStyle w:val="BoxHeading1"/>
              <w:rPr>
                <w:rStyle w:val="NoteLabel"/>
                <w:b/>
                <w:position w:val="0"/>
                <w:sz w:val="22"/>
              </w:rPr>
            </w:pPr>
            <w:r w:rsidRPr="002A336B">
              <w:t>Proportion of employed people aged 18–64 years in full time employment, 2002</w:t>
            </w:r>
            <w:r w:rsidR="00EA4AFB" w:rsidRPr="002A336B">
              <w:t xml:space="preserve"> to </w:t>
            </w:r>
            <w:r w:rsidRPr="002A336B">
              <w:t>201</w:t>
            </w:r>
            <w:r w:rsidR="002A336B" w:rsidRPr="002A336B">
              <w:t>4</w:t>
            </w:r>
            <w:r w:rsidR="00FB3DF6">
              <w:noBreakHyphen/>
            </w:r>
            <w:r w:rsidR="002A336B" w:rsidRPr="002A336B">
              <w:t>15</w:t>
            </w:r>
            <w:r w:rsidR="00FD5540" w:rsidRPr="002A336B">
              <w:rPr>
                <w:rStyle w:val="NoteLabel"/>
                <w:b/>
              </w:rPr>
              <w:t>a,b,</w:t>
            </w:r>
            <w:r w:rsidRPr="002A336B">
              <w:rPr>
                <w:rStyle w:val="NoteLabel"/>
                <w:b/>
              </w:rPr>
              <w:t>c</w:t>
            </w:r>
          </w:p>
        </w:tc>
      </w:tr>
      <w:tr w:rsidR="00037871" w:rsidRPr="00037871" w:rsidTr="00BD31CC">
        <w:trPr>
          <w:cantSplit/>
        </w:trPr>
        <w:tc>
          <w:tcPr>
            <w:tcW w:w="8793" w:type="dxa"/>
            <w:gridSpan w:val="3"/>
            <w:tcBorders>
              <w:top w:val="nil"/>
              <w:left w:val="nil"/>
              <w:bottom w:val="nil"/>
              <w:right w:val="nil"/>
            </w:tcBorders>
            <w:shd w:val="clear" w:color="auto" w:fill="F2F2F2"/>
          </w:tcPr>
          <w:p w:rsidR="00FE1E8D" w:rsidRPr="002A336B" w:rsidRDefault="002A336B" w:rsidP="00BA27A9">
            <w:pPr>
              <w:jc w:val="center"/>
            </w:pPr>
            <w:r w:rsidRPr="002A336B">
              <w:rPr>
                <w:noProof/>
              </w:rPr>
              <w:drawing>
                <wp:inline distT="0" distB="0" distL="0" distR="0" wp14:anchorId="4D29C873" wp14:editId="56FBB633">
                  <wp:extent cx="5400000" cy="2880000"/>
                  <wp:effectExtent l="0" t="0" r="0" b="0"/>
                  <wp:docPr id="43" name="Chart 43" descr="Figure: Proportion of employed people aged 18‑64 years in full time employment, 2002 to 2014-15, by Indigenous statu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037871" w:rsidRPr="00037871" w:rsidTr="00BD31CC">
        <w:trPr>
          <w:cantSplit/>
        </w:trPr>
        <w:tc>
          <w:tcPr>
            <w:tcW w:w="8793" w:type="dxa"/>
            <w:gridSpan w:val="3"/>
            <w:tcBorders>
              <w:top w:val="nil"/>
              <w:left w:val="nil"/>
              <w:bottom w:val="nil"/>
              <w:right w:val="nil"/>
            </w:tcBorders>
            <w:shd w:val="clear" w:color="auto" w:fill="F2F2F2"/>
          </w:tcPr>
          <w:p w:rsidR="00FE1E8D" w:rsidRPr="002A336B" w:rsidRDefault="00FE1E8D" w:rsidP="003B1511">
            <w:pPr>
              <w:pStyle w:val="Note"/>
            </w:pPr>
            <w:r w:rsidRPr="002A336B">
              <w:rPr>
                <w:rStyle w:val="NoteLabel"/>
              </w:rPr>
              <w:t>a</w:t>
            </w:r>
            <w:r w:rsidRPr="002A336B">
              <w:rPr>
                <w:rFonts w:ascii="Arial Bold" w:hAnsi="Arial Bold"/>
                <w:b/>
                <w:vertAlign w:val="superscript"/>
              </w:rPr>
              <w:t xml:space="preserve"> </w:t>
            </w:r>
            <w:r w:rsidR="0089750B" w:rsidRPr="002A336B">
              <w:t>Includes CDEP employment</w:t>
            </w:r>
            <w:r w:rsidR="0034662D">
              <w:t xml:space="preserve"> up to and including 2011–</w:t>
            </w:r>
            <w:r w:rsidR="002A336B" w:rsidRPr="002A336B">
              <w:t>13</w:t>
            </w:r>
            <w:r w:rsidR="0089750B" w:rsidRPr="002A336B">
              <w:t xml:space="preserve">. </w:t>
            </w:r>
            <w:r w:rsidR="0089750B" w:rsidRPr="002A336B">
              <w:rPr>
                <w:rStyle w:val="NoteLabel"/>
              </w:rPr>
              <w:t xml:space="preserve">b </w:t>
            </w:r>
            <w:r w:rsidR="0089750B" w:rsidRPr="002A336B">
              <w:t>There is no non</w:t>
            </w:r>
            <w:r w:rsidR="0089750B" w:rsidRPr="002A336B">
              <w:noBreakHyphen/>
              <w:t xml:space="preserve">Indigenous comparator available for 2002. </w:t>
            </w:r>
            <w:r w:rsidR="0089750B" w:rsidRPr="002A336B">
              <w:rPr>
                <w:rStyle w:val="NoteLabel"/>
              </w:rPr>
              <w:t xml:space="preserve">c </w:t>
            </w:r>
            <w:r w:rsidR="0089750B" w:rsidRPr="002A336B">
              <w:t>Error bars represent 95 per cent confidence intervals around each estimate.</w:t>
            </w:r>
            <w:r w:rsidR="00E95F70" w:rsidRPr="002A336B">
              <w:t xml:space="preserve"> </w:t>
            </w:r>
          </w:p>
        </w:tc>
      </w:tr>
      <w:tr w:rsidR="00037871" w:rsidRPr="00037871" w:rsidTr="00BD31CC">
        <w:trPr>
          <w:cantSplit/>
        </w:trPr>
        <w:tc>
          <w:tcPr>
            <w:tcW w:w="8793" w:type="dxa"/>
            <w:gridSpan w:val="3"/>
            <w:tcBorders>
              <w:top w:val="nil"/>
              <w:left w:val="nil"/>
              <w:bottom w:val="nil"/>
              <w:right w:val="nil"/>
            </w:tcBorders>
            <w:shd w:val="clear" w:color="auto" w:fill="F2F2F2"/>
          </w:tcPr>
          <w:p w:rsidR="00FE1E8D" w:rsidRPr="002A336B" w:rsidRDefault="00FE1E8D" w:rsidP="0020338A">
            <w:pPr>
              <w:pStyle w:val="BoxSource"/>
              <w:spacing w:before="80"/>
            </w:pPr>
            <w:r w:rsidRPr="002A336B">
              <w:rPr>
                <w:i/>
              </w:rPr>
              <w:t>Source</w:t>
            </w:r>
            <w:r w:rsidRPr="002A336B">
              <w:t>: Figure</w:t>
            </w:r>
            <w:r w:rsidR="00FB3DF6">
              <w:t> </w:t>
            </w:r>
            <w:r w:rsidRPr="002A336B">
              <w:t>9.1.1 in the main report.</w:t>
            </w:r>
          </w:p>
        </w:tc>
      </w:tr>
      <w:tr w:rsidR="00026106" w:rsidRPr="00037871" w:rsidTr="00026106">
        <w:trPr>
          <w:cantSplit/>
        </w:trPr>
        <w:tc>
          <w:tcPr>
            <w:tcW w:w="8793" w:type="dxa"/>
            <w:gridSpan w:val="3"/>
            <w:tcBorders>
              <w:top w:val="nil"/>
              <w:left w:val="nil"/>
              <w:bottom w:val="nil"/>
              <w:right w:val="nil"/>
            </w:tcBorders>
            <w:shd w:val="clear" w:color="auto" w:fill="F2F2F2"/>
          </w:tcPr>
          <w:p w:rsidR="00026106" w:rsidRPr="00026106" w:rsidRDefault="00026106" w:rsidP="00026106">
            <w:pPr>
              <w:pStyle w:val="BoxSource"/>
              <w:spacing w:before="80"/>
              <w:jc w:val="right"/>
            </w:pPr>
            <w:r>
              <w:t>(continued next page)</w:t>
            </w:r>
          </w:p>
        </w:tc>
      </w:tr>
      <w:tr w:rsidR="00026106" w:rsidRPr="00026106" w:rsidTr="00026106">
        <w:trPr>
          <w:cantSplit/>
        </w:trPr>
        <w:tc>
          <w:tcPr>
            <w:tcW w:w="8793" w:type="dxa"/>
            <w:gridSpan w:val="3"/>
            <w:tcBorders>
              <w:top w:val="nil"/>
              <w:left w:val="nil"/>
              <w:bottom w:val="single" w:sz="4" w:space="0" w:color="78A22F" w:themeColor="accent1"/>
              <w:right w:val="nil"/>
            </w:tcBorders>
            <w:shd w:val="clear" w:color="auto" w:fill="F2F2F2"/>
          </w:tcPr>
          <w:p w:rsidR="00026106" w:rsidRPr="00026106" w:rsidRDefault="00026106" w:rsidP="00026106">
            <w:pPr>
              <w:pStyle w:val="BoxSource"/>
              <w:spacing w:before="0" w:line="240" w:lineRule="auto"/>
              <w:rPr>
                <w:i/>
                <w:sz w:val="10"/>
                <w:szCs w:val="10"/>
              </w:rPr>
            </w:pPr>
          </w:p>
        </w:tc>
      </w:tr>
      <w:tr w:rsidR="002A336B" w:rsidRPr="00037871" w:rsidTr="00026106">
        <w:trPr>
          <w:cantSplit/>
        </w:trPr>
        <w:tc>
          <w:tcPr>
            <w:tcW w:w="8793" w:type="dxa"/>
            <w:gridSpan w:val="3"/>
            <w:tcBorders>
              <w:top w:val="single" w:sz="4" w:space="0" w:color="78A22F" w:themeColor="accent1"/>
              <w:left w:val="nil"/>
              <w:bottom w:val="nil"/>
              <w:right w:val="nil"/>
            </w:tcBorders>
            <w:shd w:val="clear" w:color="auto" w:fill="F2F2F2"/>
          </w:tcPr>
          <w:p w:rsidR="00026106" w:rsidRPr="00026106" w:rsidRDefault="00026106" w:rsidP="002A336B">
            <w:pPr>
              <w:pStyle w:val="BoxHeading2"/>
              <w:rPr>
                <w:i w:val="0"/>
              </w:rPr>
            </w:pPr>
            <w:r w:rsidRPr="00026106">
              <w:rPr>
                <w:b/>
                <w:i w:val="0"/>
                <w:sz w:val="24"/>
                <w:szCs w:val="24"/>
              </w:rPr>
              <w:t>9.1</w:t>
            </w:r>
            <w:r>
              <w:rPr>
                <w:i w:val="0"/>
              </w:rPr>
              <w:t xml:space="preserve">                   </w:t>
            </w:r>
            <w:r w:rsidRPr="00026106">
              <w:rPr>
                <w:b/>
                <w:i w:val="0"/>
                <w:sz w:val="18"/>
                <w:szCs w:val="18"/>
              </w:rPr>
              <w:t>(continued)</w:t>
            </w:r>
          </w:p>
          <w:p w:rsidR="002A336B" w:rsidRPr="002A336B" w:rsidRDefault="002A336B" w:rsidP="002A336B">
            <w:pPr>
              <w:pStyle w:val="BoxHeading2"/>
            </w:pPr>
            <w:r w:rsidRPr="002A336B">
              <w:t>Things that work</w:t>
            </w:r>
          </w:p>
          <w:p w:rsidR="002A336B" w:rsidRPr="002A336B" w:rsidRDefault="002A336B" w:rsidP="0003290F">
            <w:pPr>
              <w:pStyle w:val="Box"/>
              <w:rPr>
                <w:i/>
              </w:rPr>
            </w:pPr>
            <w:r w:rsidRPr="002A336B">
              <w:t xml:space="preserve">The </w:t>
            </w:r>
            <w:r w:rsidRPr="002A336B">
              <w:rPr>
                <w:b/>
              </w:rPr>
              <w:t>Mossman Gorge Centre</w:t>
            </w:r>
            <w:r w:rsidRPr="002A336B">
              <w:t xml:space="preserve"> (Qld) is a promising program that offers residential training facilities to increase Aboriginal and Torres Strait Islander employment. After one year of operation, 90 per cent of staff were Aboriginal and Torres Strait Islander Australians. A residential training facility for up to 20 students was built adjacent to the </w:t>
            </w:r>
            <w:r>
              <w:t>Centre. In 2014</w:t>
            </w:r>
            <w:r w:rsidR="00FB3DF6">
              <w:noBreakHyphen/>
            </w:r>
            <w:r w:rsidRPr="002A336B">
              <w:t>1</w:t>
            </w:r>
            <w:r>
              <w:t>5</w:t>
            </w:r>
            <w:r w:rsidRPr="002A336B">
              <w:t xml:space="preserve">, </w:t>
            </w:r>
            <w:r w:rsidR="00D7120B">
              <w:t>17 </w:t>
            </w:r>
            <w:r w:rsidRPr="002A336B">
              <w:t xml:space="preserve">students </w:t>
            </w:r>
            <w:r>
              <w:t xml:space="preserve">graduated with a certificate II/III hospitality or tourism qualification and </w:t>
            </w:r>
            <w:r w:rsidR="00D7120B">
              <w:t xml:space="preserve">were </w:t>
            </w:r>
            <w:r>
              <w:t>employed</w:t>
            </w:r>
            <w:r w:rsidRPr="002A336B">
              <w:t xml:space="preserve"> at the Centre and elsewhere (</w:t>
            </w:r>
            <w:r w:rsidR="00E0129B">
              <w:t xml:space="preserve">see </w:t>
            </w:r>
            <w:r w:rsidRPr="002A336B">
              <w:t>box</w:t>
            </w:r>
            <w:r w:rsidR="00FB3DF6">
              <w:t> </w:t>
            </w:r>
            <w:r w:rsidRPr="002A336B">
              <w:t>9.1.3</w:t>
            </w:r>
            <w:r w:rsidR="00E0129B">
              <w:t xml:space="preserve"> in the main report for further detail</w:t>
            </w:r>
            <w:r w:rsidRPr="002A336B">
              <w:t>).</w:t>
            </w:r>
          </w:p>
        </w:tc>
      </w:tr>
      <w:tr w:rsidR="00037871" w:rsidRPr="00037871" w:rsidTr="00BD31CC">
        <w:trPr>
          <w:cantSplit/>
        </w:trPr>
        <w:tc>
          <w:tcPr>
            <w:tcW w:w="8793" w:type="dxa"/>
            <w:gridSpan w:val="3"/>
            <w:tcBorders>
              <w:top w:val="nil"/>
              <w:left w:val="nil"/>
              <w:bottom w:val="single" w:sz="6" w:space="0" w:color="78A22F"/>
              <w:right w:val="nil"/>
            </w:tcBorders>
            <w:shd w:val="clear" w:color="auto" w:fill="F2F2F2"/>
          </w:tcPr>
          <w:p w:rsidR="00FE1E8D" w:rsidRPr="00037871" w:rsidRDefault="00FE1E8D" w:rsidP="008E4321">
            <w:pPr>
              <w:pStyle w:val="Box"/>
              <w:spacing w:before="0" w:line="120" w:lineRule="exact"/>
              <w:rPr>
                <w:color w:val="00B050"/>
              </w:rPr>
            </w:pPr>
          </w:p>
        </w:tc>
      </w:tr>
    </w:tbl>
    <w:p w:rsidR="00FE1E8D" w:rsidRPr="00037871" w:rsidRDefault="00FE1E8D" w:rsidP="00FE1E8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BE50E9" w:rsidTr="00CD0615">
        <w:tc>
          <w:tcPr>
            <w:tcW w:w="8793" w:type="dxa"/>
            <w:gridSpan w:val="3"/>
            <w:tcBorders>
              <w:top w:val="single" w:sz="6" w:space="0" w:color="78A22F"/>
              <w:left w:val="nil"/>
              <w:bottom w:val="nil"/>
              <w:right w:val="nil"/>
            </w:tcBorders>
            <w:shd w:val="clear" w:color="auto" w:fill="F2F2F2"/>
          </w:tcPr>
          <w:p w:rsidR="00FE1E8D" w:rsidRPr="00BE50E9" w:rsidRDefault="00FE1E8D" w:rsidP="001D480C">
            <w:pPr>
              <w:pStyle w:val="BoxTitle"/>
              <w:spacing w:after="120"/>
              <w:rPr>
                <w:color w:val="000000" w:themeColor="text1"/>
              </w:rPr>
            </w:pPr>
            <w:r w:rsidRPr="00BE50E9">
              <w:rPr>
                <w:color w:val="000000" w:themeColor="text1"/>
              </w:rPr>
              <w:t>9.2</w:t>
            </w:r>
            <w:r w:rsidRPr="00BE50E9">
              <w:rPr>
                <w:color w:val="000000" w:themeColor="text1"/>
              </w:rPr>
              <w:tab/>
              <w:t>Indigenous owned or controlled land and business</w:t>
            </w:r>
          </w:p>
        </w:tc>
      </w:tr>
      <w:tr w:rsidR="00037871" w:rsidRPr="00037871" w:rsidTr="00CD0615">
        <w:trPr>
          <w:cantSplit/>
        </w:trPr>
        <w:tc>
          <w:tcPr>
            <w:tcW w:w="3828" w:type="dxa"/>
            <w:tcBorders>
              <w:top w:val="nil"/>
              <w:left w:val="nil"/>
              <w:bottom w:val="nil"/>
              <w:right w:val="nil"/>
            </w:tcBorders>
            <w:shd w:val="clear" w:color="auto" w:fill="F2F2F2"/>
          </w:tcPr>
          <w:p w:rsidR="00FE1E8D" w:rsidRDefault="00013D89" w:rsidP="008E4321">
            <w:pPr>
              <w:pStyle w:val="Box"/>
            </w:pPr>
            <w:r w:rsidRPr="00655B32">
              <w:t>Ownership and control of land and business can provide a range of social and economic benefits, including increased income and employment.</w:t>
            </w:r>
          </w:p>
          <w:p w:rsidR="00D80695" w:rsidRPr="00655B32" w:rsidRDefault="00D80695" w:rsidP="008E4321">
            <w:pPr>
              <w:pStyle w:val="Box"/>
            </w:pPr>
          </w:p>
        </w:tc>
        <w:tc>
          <w:tcPr>
            <w:tcW w:w="992" w:type="dxa"/>
            <w:tcBorders>
              <w:top w:val="nil"/>
              <w:left w:val="nil"/>
              <w:bottom w:val="nil"/>
              <w:right w:val="nil"/>
            </w:tcBorders>
            <w:shd w:val="clear" w:color="auto" w:fill="418B50"/>
          </w:tcPr>
          <w:p w:rsidR="00FE1E8D" w:rsidRPr="00D7120B" w:rsidRDefault="00FE1E8D" w:rsidP="00142ACE">
            <w:pPr>
              <w:pStyle w:val="BoxHeading1"/>
              <w:spacing w:before="240" w:line="240" w:lineRule="auto"/>
              <w:jc w:val="center"/>
              <w:rPr>
                <w:rFonts w:cs="Arial"/>
                <w:sz w:val="48"/>
                <w:szCs w:val="48"/>
              </w:rPr>
            </w:pPr>
            <w:r w:rsidRPr="00655B32">
              <w:rPr>
                <w:rFonts w:cs="Arial"/>
                <w:b w:val="0"/>
                <w:sz w:val="48"/>
                <w:szCs w:val="48"/>
              </w:rPr>
              <w:br/>
            </w:r>
            <w:r w:rsidRPr="00655B32">
              <w:rPr>
                <w:rFonts w:cs="Arial"/>
                <w:b w:val="0"/>
                <w:sz w:val="48"/>
                <w:szCs w:val="48"/>
              </w:rPr>
              <w:br/>
            </w:r>
            <w:r w:rsidR="00142ACE" w:rsidRPr="00D7120B">
              <w:rPr>
                <w:rFonts w:ascii="Wingdings 2" w:hAnsi="Wingdings 2" w:cs="Arial"/>
                <w:sz w:val="48"/>
                <w:szCs w:val="48"/>
              </w:rPr>
              <w:t></w:t>
            </w:r>
          </w:p>
        </w:tc>
        <w:tc>
          <w:tcPr>
            <w:tcW w:w="3973" w:type="dxa"/>
            <w:tcBorders>
              <w:top w:val="nil"/>
              <w:left w:val="nil"/>
              <w:bottom w:val="nil"/>
              <w:right w:val="nil"/>
            </w:tcBorders>
            <w:shd w:val="clear" w:color="auto" w:fill="F2F2F2"/>
          </w:tcPr>
          <w:p w:rsidR="00FE1E8D" w:rsidRDefault="008A1173" w:rsidP="00013D89">
            <w:pPr>
              <w:pStyle w:val="Box"/>
            </w:pPr>
            <w:r>
              <w:t>I</w:t>
            </w:r>
            <w:r w:rsidR="00655B32" w:rsidRPr="00655B32">
              <w:t>n 2015</w:t>
            </w:r>
            <w:r w:rsidR="00013D89" w:rsidRPr="00655B32">
              <w:t>, native title ha</w:t>
            </w:r>
            <w:r w:rsidR="00655B32" w:rsidRPr="00655B32">
              <w:t>d been determined to exist in 28</w:t>
            </w:r>
            <w:r w:rsidR="00814EDC">
              <w:t> </w:t>
            </w:r>
            <w:r w:rsidR="00013D89" w:rsidRPr="00655B32">
              <w:t>per cent of Australia (up from 5</w:t>
            </w:r>
            <w:r w:rsidR="00814EDC">
              <w:t> </w:t>
            </w:r>
            <w:r w:rsidR="00013D89" w:rsidRPr="00655B32">
              <w:t>per cent in 2004) and registered Indigenou</w:t>
            </w:r>
            <w:r w:rsidR="00655B32" w:rsidRPr="00655B32">
              <w:t>s Land Use Agreements covered 28</w:t>
            </w:r>
            <w:r w:rsidR="00814EDC">
              <w:t> </w:t>
            </w:r>
            <w:r w:rsidR="00013D89" w:rsidRPr="00655B32">
              <w:t>per cent of Australia.</w:t>
            </w:r>
          </w:p>
          <w:p w:rsidR="00A35C4C" w:rsidRPr="00655B32" w:rsidRDefault="00A35C4C" w:rsidP="00013D89">
            <w:pPr>
              <w:pStyle w:val="Box"/>
            </w:pPr>
            <w:r w:rsidRPr="00655B32">
              <w:t>Indigenous Land Corporation data show that, in February 2016, Aboriginal and Torres Strait Islander Australians collectively owned or controlled 16 per cent of land in Australia, with most of this land (98 per cent) in very remote areas</w:t>
            </w:r>
            <w:r>
              <w:t>.</w:t>
            </w:r>
          </w:p>
          <w:p w:rsidR="00655B32" w:rsidRPr="00655B32" w:rsidRDefault="00655B32" w:rsidP="00814EDC">
            <w:pPr>
              <w:pStyle w:val="Box"/>
            </w:pPr>
            <w:r w:rsidRPr="00655B32">
              <w:t>In 2014</w:t>
            </w:r>
            <w:r w:rsidR="00FB3DF6">
              <w:noBreakHyphen/>
            </w:r>
            <w:r w:rsidRPr="00655B32">
              <w:t>15, 10</w:t>
            </w:r>
            <w:r w:rsidR="00814EDC">
              <w:t> </w:t>
            </w:r>
            <w:r w:rsidRPr="00655B32">
              <w:t xml:space="preserve">per cent of employed Aboriginal and Torres Strait </w:t>
            </w:r>
            <w:r w:rsidR="0082585B">
              <w:t xml:space="preserve">Islander </w:t>
            </w:r>
            <w:r w:rsidRPr="00655B32">
              <w:t>adults were self</w:t>
            </w:r>
            <w:r w:rsidR="00FB3DF6">
              <w:noBreakHyphen/>
            </w:r>
            <w:r w:rsidRPr="00655B32">
              <w:t>employed – an increase from 6</w:t>
            </w:r>
            <w:r w:rsidR="00814EDC">
              <w:t> </w:t>
            </w:r>
            <w:r w:rsidRPr="00655B32">
              <w:t>per cent in 2011–13.</w:t>
            </w:r>
          </w:p>
        </w:tc>
      </w:tr>
      <w:tr w:rsidR="00037871" w:rsidRPr="00037871" w:rsidTr="00CD0615">
        <w:trPr>
          <w:cantSplit/>
        </w:trPr>
        <w:tc>
          <w:tcPr>
            <w:tcW w:w="8793" w:type="dxa"/>
            <w:gridSpan w:val="3"/>
            <w:tcBorders>
              <w:top w:val="nil"/>
              <w:left w:val="nil"/>
              <w:bottom w:val="nil"/>
              <w:right w:val="nil"/>
            </w:tcBorders>
            <w:shd w:val="clear" w:color="auto" w:fill="F2F2F2"/>
          </w:tcPr>
          <w:p w:rsidR="00FE1E8D" w:rsidRPr="00655B32" w:rsidRDefault="00013D89" w:rsidP="0014070A">
            <w:pPr>
              <w:pStyle w:val="Box"/>
              <w:rPr>
                <w:rStyle w:val="NoteLabel"/>
                <w:b w:val="0"/>
                <w:i/>
              </w:rPr>
            </w:pPr>
            <w:r w:rsidRPr="00655B32">
              <w:rPr>
                <w:i/>
              </w:rPr>
              <w:t>The different forms of reported land tenure overlap and cannot be added together.</w:t>
            </w:r>
          </w:p>
        </w:tc>
      </w:tr>
      <w:tr w:rsidR="00037871" w:rsidRPr="00037871" w:rsidTr="00CD0615">
        <w:trPr>
          <w:cantSplit/>
        </w:trPr>
        <w:tc>
          <w:tcPr>
            <w:tcW w:w="8793" w:type="dxa"/>
            <w:gridSpan w:val="3"/>
            <w:tcBorders>
              <w:top w:val="nil"/>
              <w:left w:val="nil"/>
              <w:bottom w:val="nil"/>
              <w:right w:val="nil"/>
            </w:tcBorders>
            <w:shd w:val="clear" w:color="auto" w:fill="F2F2F2"/>
          </w:tcPr>
          <w:p w:rsidR="00FE1E8D" w:rsidRPr="002C5A4B" w:rsidRDefault="00FE1E8D" w:rsidP="00FE1E8D">
            <w:pPr>
              <w:pStyle w:val="BoxHeading2"/>
            </w:pPr>
            <w:r w:rsidRPr="002C5A4B">
              <w:t>Things that work</w:t>
            </w:r>
          </w:p>
          <w:p w:rsidR="00013D89" w:rsidRPr="002C5A4B" w:rsidRDefault="00013D89" w:rsidP="00013D89">
            <w:pPr>
              <w:pStyle w:val="BoxListBullet"/>
              <w:numPr>
                <w:ilvl w:val="0"/>
                <w:numId w:val="0"/>
              </w:numPr>
            </w:pPr>
            <w:r w:rsidRPr="002C5A4B">
              <w:rPr>
                <w:b/>
              </w:rPr>
              <w:t>Indigenous Landholder Services</w:t>
            </w:r>
            <w:r w:rsidRPr="002C5A4B">
              <w:t xml:space="preserve"> (WA) is a promising program that focuses on technical support, governance development and business management mentoring, to increase economic benefits to Aboriginal pastoral and agricultural producers.</w:t>
            </w:r>
            <w:r w:rsidR="00655B32" w:rsidRPr="002C5A4B">
              <w:t xml:space="preserve"> In 2014</w:t>
            </w:r>
            <w:r w:rsidR="00FB3DF6">
              <w:noBreakHyphen/>
            </w:r>
            <w:r w:rsidR="00655B32" w:rsidRPr="002C5A4B">
              <w:t xml:space="preserve">15, </w:t>
            </w:r>
            <w:r w:rsidR="002C5A4B" w:rsidRPr="002C5A4B">
              <w:t xml:space="preserve">the ILS contributed to </w:t>
            </w:r>
            <w:r w:rsidR="00655B32" w:rsidRPr="002C5A4B">
              <w:t>improved land management practices for 44 properties and</w:t>
            </w:r>
            <w:r w:rsidR="00D7120B">
              <w:t xml:space="preserve"> increased annual income for 12 </w:t>
            </w:r>
            <w:r w:rsidR="00655B32" w:rsidRPr="002C5A4B">
              <w:t>properties</w:t>
            </w:r>
            <w:r w:rsidR="00D7120B">
              <w:t xml:space="preserve"> </w:t>
            </w:r>
            <w:r w:rsidRPr="002C5A4B">
              <w:t>(</w:t>
            </w:r>
            <w:r w:rsidR="00A35C4C">
              <w:t xml:space="preserve">see </w:t>
            </w:r>
            <w:r w:rsidRPr="002C5A4B">
              <w:t>box 9.2.3</w:t>
            </w:r>
            <w:r w:rsidR="00A35C4C">
              <w:t xml:space="preserve"> in main report for further detail</w:t>
            </w:r>
            <w:r w:rsidRPr="002C5A4B">
              <w:t>).</w:t>
            </w:r>
          </w:p>
          <w:p w:rsidR="00FE1E8D" w:rsidRDefault="00013D89" w:rsidP="002C5A4B">
            <w:pPr>
              <w:pStyle w:val="Box"/>
            </w:pPr>
            <w:r w:rsidRPr="002C5A4B">
              <w:t>The national</w:t>
            </w:r>
            <w:r w:rsidRPr="002C5A4B">
              <w:rPr>
                <w:b/>
              </w:rPr>
              <w:t xml:space="preserve"> Supply Nation </w:t>
            </w:r>
            <w:r w:rsidRPr="002C5A4B">
              <w:t>program assists Indigenous businesses with Certified Supplier status to enter into commercial relationships with large corporations and agencies</w:t>
            </w:r>
            <w:r w:rsidR="00C545AB" w:rsidRPr="002C5A4B">
              <w:t>. A post</w:t>
            </w:r>
            <w:r w:rsidR="00C545AB" w:rsidRPr="002C5A4B">
              <w:noBreakHyphen/>
            </w:r>
            <w:r w:rsidRPr="002C5A4B">
              <w:t>implementation review of its predecessor program found that the concept was achieving success. Supply Nation curr</w:t>
            </w:r>
            <w:r w:rsidR="00983131" w:rsidRPr="002C5A4B">
              <w:t>ently works</w:t>
            </w:r>
            <w:r w:rsidR="002C5A4B" w:rsidRPr="002C5A4B">
              <w:t xml:space="preserve"> </w:t>
            </w:r>
            <w:r w:rsidR="002C5A4B" w:rsidRPr="00047B12">
              <w:t xml:space="preserve">with </w:t>
            </w:r>
            <w:r w:rsidR="00B3048D" w:rsidRPr="00047B12">
              <w:t>around 1030 registered</w:t>
            </w:r>
            <w:r w:rsidR="00983131" w:rsidRPr="002C5A4B">
              <w:t xml:space="preserve"> I</w:t>
            </w:r>
            <w:r w:rsidRPr="002C5A4B">
              <w:t>ndigenous suppliers (</w:t>
            </w:r>
            <w:r w:rsidR="00A35C4C">
              <w:t xml:space="preserve">see </w:t>
            </w:r>
            <w:r w:rsidRPr="002C5A4B">
              <w:t>box</w:t>
            </w:r>
            <w:r w:rsidR="00FB3DF6">
              <w:t> </w:t>
            </w:r>
            <w:r w:rsidRPr="002C5A4B">
              <w:t>9.2.4</w:t>
            </w:r>
            <w:r w:rsidR="00A35C4C">
              <w:t xml:space="preserve"> in main report for further detail</w:t>
            </w:r>
            <w:r w:rsidRPr="002C5A4B">
              <w:t>).</w:t>
            </w:r>
          </w:p>
          <w:p w:rsidR="008A1173" w:rsidRPr="00037871" w:rsidRDefault="008A1173" w:rsidP="00BA0316">
            <w:pPr>
              <w:pStyle w:val="Box"/>
              <w:rPr>
                <w:color w:val="00B050"/>
              </w:rPr>
            </w:pPr>
            <w:r>
              <w:t xml:space="preserve">The national </w:t>
            </w:r>
            <w:r w:rsidRPr="008A1173">
              <w:rPr>
                <w:b/>
              </w:rPr>
              <w:t>Indigenous Procurement Policy</w:t>
            </w:r>
            <w:r>
              <w:t xml:space="preserve"> commenced on 1</w:t>
            </w:r>
            <w:r w:rsidR="00FB3DF6">
              <w:t> </w:t>
            </w:r>
            <w:r>
              <w:t xml:space="preserve">July 2015, with the aim of </w:t>
            </w:r>
            <w:r w:rsidRPr="008A1173">
              <w:t>stimulating Indigenous entrepreneurship and business development</w:t>
            </w:r>
            <w:r w:rsidR="00A35C4C" w:rsidRPr="00BA0316">
              <w:t xml:space="preserve">. </w:t>
            </w:r>
            <w:r w:rsidR="006D16E3" w:rsidRPr="00BA0316">
              <w:t xml:space="preserve">In the first 11 months, the Government awarded </w:t>
            </w:r>
            <w:r w:rsidR="00BA0316" w:rsidRPr="00047B12">
              <w:t xml:space="preserve">1070 contracts with a total value of </w:t>
            </w:r>
            <w:r w:rsidR="006D16E3" w:rsidRPr="00047B12">
              <w:t>$</w:t>
            </w:r>
            <w:r w:rsidR="00BA0316" w:rsidRPr="00047B12">
              <w:t>229</w:t>
            </w:r>
            <w:r w:rsidR="006D16E3" w:rsidRPr="00047B12">
              <w:t xml:space="preserve"> million to 28</w:t>
            </w:r>
            <w:r w:rsidR="00BA0316" w:rsidRPr="00047B12">
              <w:t>4</w:t>
            </w:r>
            <w:r w:rsidR="006D16E3" w:rsidRPr="00047B12">
              <w:t xml:space="preserve"> </w:t>
            </w:r>
            <w:r w:rsidR="006D16E3" w:rsidRPr="00BA0316">
              <w:t>Indigenous businesses.</w:t>
            </w:r>
            <w:r w:rsidR="00FB3DF6">
              <w:t xml:space="preserve"> </w:t>
            </w:r>
            <w:r w:rsidR="006D16E3" w:rsidRPr="00BA0316">
              <w:t>This compares to $6.2 million in 2012</w:t>
            </w:r>
            <w:r w:rsidR="00FB3DF6">
              <w:noBreakHyphen/>
            </w:r>
            <w:r w:rsidR="006D16E3" w:rsidRPr="00BA0316">
              <w:t>13.</w:t>
            </w:r>
            <w:r w:rsidRPr="00BA0316">
              <w:t xml:space="preserve"> (</w:t>
            </w:r>
            <w:r w:rsidR="00A35C4C" w:rsidRPr="00BA0316">
              <w:t xml:space="preserve">see </w:t>
            </w:r>
            <w:r w:rsidRPr="00BA0316">
              <w:t>box</w:t>
            </w:r>
            <w:r w:rsidR="00FB3DF6">
              <w:t> </w:t>
            </w:r>
            <w:r>
              <w:t>9.2.4</w:t>
            </w:r>
            <w:r w:rsidR="00A35C4C">
              <w:t xml:space="preserve"> in main report for further detail</w:t>
            </w:r>
            <w:r>
              <w: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FE1E8D" w:rsidRPr="00037871" w:rsidRDefault="00FE1E8D" w:rsidP="008E4321">
            <w:pPr>
              <w:pStyle w:val="Box"/>
              <w:spacing w:before="0" w:line="120" w:lineRule="exact"/>
              <w:rPr>
                <w:color w:val="00B050"/>
              </w:rPr>
            </w:pPr>
          </w:p>
        </w:tc>
      </w:tr>
    </w:tbl>
    <w:p w:rsidR="00FE1E8D" w:rsidRPr="00037871" w:rsidRDefault="00FE1E8D" w:rsidP="00FE1E8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BE50E9" w:rsidTr="00CD0615">
        <w:tc>
          <w:tcPr>
            <w:tcW w:w="8793" w:type="dxa"/>
            <w:gridSpan w:val="3"/>
            <w:tcBorders>
              <w:top w:val="single" w:sz="6" w:space="0" w:color="78A22F"/>
              <w:left w:val="nil"/>
              <w:bottom w:val="nil"/>
              <w:right w:val="nil"/>
            </w:tcBorders>
            <w:shd w:val="clear" w:color="auto" w:fill="F2F2F2"/>
          </w:tcPr>
          <w:p w:rsidR="00FE1E8D" w:rsidRPr="00BE50E9" w:rsidRDefault="00FE1E8D" w:rsidP="001D480C">
            <w:pPr>
              <w:pStyle w:val="BoxTitle"/>
              <w:spacing w:after="120"/>
              <w:rPr>
                <w:color w:val="000000" w:themeColor="text1"/>
              </w:rPr>
            </w:pPr>
            <w:r w:rsidRPr="00BE50E9">
              <w:rPr>
                <w:color w:val="000000" w:themeColor="text1"/>
              </w:rPr>
              <w:t>9.3</w:t>
            </w:r>
            <w:r w:rsidRPr="00BE50E9">
              <w:rPr>
                <w:color w:val="000000" w:themeColor="text1"/>
              </w:rPr>
              <w:tab/>
              <w:t>Home ownership</w:t>
            </w:r>
          </w:p>
        </w:tc>
      </w:tr>
      <w:tr w:rsidR="00037871" w:rsidRPr="00037871" w:rsidTr="00CD0615">
        <w:trPr>
          <w:cantSplit/>
        </w:trPr>
        <w:tc>
          <w:tcPr>
            <w:tcW w:w="3828" w:type="dxa"/>
            <w:tcBorders>
              <w:top w:val="nil"/>
              <w:left w:val="nil"/>
              <w:bottom w:val="nil"/>
              <w:right w:val="nil"/>
            </w:tcBorders>
            <w:shd w:val="clear" w:color="auto" w:fill="F2F2F2"/>
          </w:tcPr>
          <w:p w:rsidR="00FE1E8D" w:rsidRPr="001F386B" w:rsidRDefault="00013D89" w:rsidP="008E4321">
            <w:pPr>
              <w:pStyle w:val="Box"/>
            </w:pPr>
            <w:r w:rsidRPr="001F386B">
              <w:t>Home ownership, although not an aspiration of all Aboriginal and Torres Strait Islander Australians, is an important indicator of wealth and saving. Home ownership also provides security of tenure and allows control over living arrangements.</w:t>
            </w:r>
          </w:p>
        </w:tc>
        <w:tc>
          <w:tcPr>
            <w:tcW w:w="992" w:type="dxa"/>
            <w:tcBorders>
              <w:top w:val="nil"/>
              <w:left w:val="nil"/>
              <w:bottom w:val="nil"/>
              <w:right w:val="nil"/>
            </w:tcBorders>
            <w:shd w:val="clear" w:color="auto" w:fill="418B50"/>
          </w:tcPr>
          <w:p w:rsidR="00FE1E8D" w:rsidRPr="00D7120B" w:rsidRDefault="00FE1E8D" w:rsidP="00142ACE">
            <w:pPr>
              <w:pStyle w:val="BoxHeading1"/>
              <w:spacing w:before="480" w:line="240" w:lineRule="auto"/>
              <w:jc w:val="center"/>
              <w:rPr>
                <w:rFonts w:cs="Arial"/>
                <w:sz w:val="48"/>
                <w:szCs w:val="48"/>
              </w:rPr>
            </w:pPr>
            <w:r w:rsidRPr="001F386B">
              <w:rPr>
                <w:rFonts w:cs="Arial"/>
                <w:b w:val="0"/>
                <w:sz w:val="48"/>
                <w:szCs w:val="48"/>
              </w:rPr>
              <w:br/>
            </w:r>
            <w:r w:rsidR="00142ACE" w:rsidRPr="00D7120B">
              <w:rPr>
                <w:rFonts w:ascii="Wingdings 2" w:hAnsi="Wingdings 2" w:cs="Arial"/>
                <w:sz w:val="48"/>
                <w:szCs w:val="48"/>
              </w:rPr>
              <w:t></w:t>
            </w:r>
          </w:p>
        </w:tc>
        <w:tc>
          <w:tcPr>
            <w:tcW w:w="3973" w:type="dxa"/>
            <w:tcBorders>
              <w:top w:val="nil"/>
              <w:left w:val="nil"/>
              <w:bottom w:val="nil"/>
              <w:right w:val="nil"/>
            </w:tcBorders>
            <w:shd w:val="clear" w:color="auto" w:fill="F2F2F2"/>
          </w:tcPr>
          <w:p w:rsidR="00FE1E8D" w:rsidRPr="001F386B" w:rsidRDefault="00013D89" w:rsidP="00215DAA">
            <w:pPr>
              <w:pStyle w:val="Box"/>
            </w:pPr>
            <w:r w:rsidRPr="001F386B">
              <w:t>The proportion of Aboriginal and Torres Strait Islander adults living in a home owned or being purchased by a member of their household increased from 2</w:t>
            </w:r>
            <w:r w:rsidR="00215DAA">
              <w:t>1</w:t>
            </w:r>
            <w:r w:rsidRPr="001F386B">
              <w:t xml:space="preserve"> per cent in 1994 to </w:t>
            </w:r>
            <w:r w:rsidR="001F386B" w:rsidRPr="001F386B">
              <w:t>27 per cent in 2002</w:t>
            </w:r>
            <w:r w:rsidR="00701500">
              <w:t>,</w:t>
            </w:r>
            <w:r w:rsidR="001F386B" w:rsidRPr="001F386B">
              <w:t xml:space="preserve"> and</w:t>
            </w:r>
            <w:r w:rsidR="00701500">
              <w:t xml:space="preserve"> has remained at a similar level since (</w:t>
            </w:r>
            <w:r w:rsidR="001F386B" w:rsidRPr="001F386B">
              <w:t>29</w:t>
            </w:r>
            <w:r w:rsidR="00701500">
              <w:t> </w:t>
            </w:r>
            <w:r w:rsidR="001F386B" w:rsidRPr="001F386B">
              <w:t>per cent in 2014</w:t>
            </w:r>
            <w:r w:rsidR="00FB3DF6">
              <w:noBreakHyphen/>
            </w:r>
            <w:r w:rsidR="001F386B" w:rsidRPr="001F386B">
              <w:t>15</w:t>
            </w:r>
            <w:r w:rsidR="00701500">
              <w:t>)</w:t>
            </w:r>
            <w:r w:rsidRPr="001F386B">
              <w:t xml:space="preserve">. The </w:t>
            </w:r>
            <w:r w:rsidR="00701500">
              <w:t>p</w:t>
            </w:r>
            <w:r w:rsidR="0082585B">
              <w:t>roportion for non</w:t>
            </w:r>
            <w:r w:rsidR="00FB3DF6">
              <w:noBreakHyphen/>
            </w:r>
            <w:r w:rsidRPr="001F386B">
              <w:t xml:space="preserve">Indigenous Australians decreased from 74 to </w:t>
            </w:r>
            <w:r w:rsidR="001F386B" w:rsidRPr="001F386B">
              <w:t>6</w:t>
            </w:r>
            <w:r w:rsidR="00215DAA">
              <w:t>9</w:t>
            </w:r>
            <w:r w:rsidR="0082585B">
              <w:t> per </w:t>
            </w:r>
            <w:r w:rsidRPr="001F386B">
              <w:t xml:space="preserve">cent between 2002 and </w:t>
            </w:r>
            <w:r w:rsidR="001F386B" w:rsidRPr="001F386B">
              <w:t>2014</w:t>
            </w:r>
            <w:r w:rsidR="00FB3DF6">
              <w:noBreakHyphen/>
            </w:r>
            <w:r w:rsidR="001F386B" w:rsidRPr="001F386B">
              <w:t>15</w:t>
            </w:r>
            <w:r w:rsidRPr="001F386B">
              <w:t xml:space="preserve"> (earlier data are not available).</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FE1E8D" w:rsidRPr="00037871" w:rsidRDefault="00FE1E8D"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FE1E8D" w:rsidRPr="00037871" w:rsidRDefault="00FE1E8D" w:rsidP="008E4321">
            <w:pPr>
              <w:pStyle w:val="BoxSpaceBelow"/>
              <w:rPr>
                <w:color w:val="00B050"/>
              </w:rPr>
            </w:pPr>
          </w:p>
        </w:tc>
      </w:tr>
    </w:tbl>
    <w:p w:rsidR="00FE1E8D" w:rsidRPr="00037871" w:rsidRDefault="00FE1E8D" w:rsidP="00FE1E8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BE50E9" w:rsidTr="00CD0615">
        <w:tc>
          <w:tcPr>
            <w:tcW w:w="8793" w:type="dxa"/>
            <w:gridSpan w:val="3"/>
            <w:tcBorders>
              <w:top w:val="single" w:sz="6" w:space="0" w:color="78A22F"/>
              <w:left w:val="nil"/>
              <w:bottom w:val="nil"/>
              <w:right w:val="nil"/>
            </w:tcBorders>
            <w:shd w:val="clear" w:color="auto" w:fill="F2F2F2"/>
          </w:tcPr>
          <w:p w:rsidR="00FE1E8D" w:rsidRPr="00BE50E9" w:rsidRDefault="00FE1E8D" w:rsidP="001D480C">
            <w:pPr>
              <w:pStyle w:val="BoxTitle"/>
              <w:spacing w:after="120"/>
              <w:rPr>
                <w:color w:val="000000" w:themeColor="text1"/>
              </w:rPr>
            </w:pPr>
            <w:r w:rsidRPr="00BE50E9">
              <w:rPr>
                <w:color w:val="000000" w:themeColor="text1"/>
              </w:rPr>
              <w:t>9.4</w:t>
            </w:r>
            <w:r w:rsidRPr="00BE50E9">
              <w:rPr>
                <w:color w:val="000000" w:themeColor="text1"/>
              </w:rPr>
              <w:tab/>
              <w:t>Income support</w:t>
            </w:r>
          </w:p>
        </w:tc>
      </w:tr>
      <w:tr w:rsidR="00037871" w:rsidRPr="00037871" w:rsidTr="00CD0615">
        <w:trPr>
          <w:cantSplit/>
        </w:trPr>
        <w:tc>
          <w:tcPr>
            <w:tcW w:w="3828" w:type="dxa"/>
            <w:tcBorders>
              <w:top w:val="nil"/>
              <w:left w:val="nil"/>
              <w:bottom w:val="nil"/>
              <w:right w:val="nil"/>
            </w:tcBorders>
            <w:shd w:val="clear" w:color="auto" w:fill="F2F2F2"/>
          </w:tcPr>
          <w:p w:rsidR="00013D89" w:rsidRPr="00FB7513" w:rsidRDefault="00013D89" w:rsidP="00013D89">
            <w:pPr>
              <w:pStyle w:val="Box"/>
            </w:pPr>
            <w:r w:rsidRPr="00FB7513">
              <w:t>Aboriginal and Torres Strait Islander Australians are overrepresented in the Australian income support system. Although income support can provide a valuable safety net, recipients usually fall within the lowest income groups, with associated disadvantages.</w:t>
            </w:r>
          </w:p>
          <w:p w:rsidR="00FE1E8D" w:rsidRPr="00FB7513" w:rsidRDefault="00FE1E8D" w:rsidP="008E4321">
            <w:pPr>
              <w:pStyle w:val="Box"/>
            </w:pPr>
          </w:p>
        </w:tc>
        <w:tc>
          <w:tcPr>
            <w:tcW w:w="992" w:type="dxa"/>
            <w:tcBorders>
              <w:top w:val="nil"/>
              <w:left w:val="nil"/>
              <w:bottom w:val="nil"/>
              <w:right w:val="nil"/>
            </w:tcBorders>
            <w:shd w:val="clear" w:color="auto" w:fill="418B50"/>
          </w:tcPr>
          <w:p w:rsidR="00FE1E8D" w:rsidRPr="00D7120B" w:rsidRDefault="00FE1E8D" w:rsidP="00142ACE">
            <w:pPr>
              <w:pStyle w:val="BoxHeading1"/>
              <w:spacing w:before="600" w:line="240" w:lineRule="auto"/>
              <w:jc w:val="center"/>
              <w:rPr>
                <w:rFonts w:cs="Arial"/>
                <w:sz w:val="48"/>
                <w:szCs w:val="48"/>
              </w:rPr>
            </w:pPr>
            <w:r w:rsidRPr="00FB7513">
              <w:rPr>
                <w:rFonts w:cs="Arial"/>
                <w:b w:val="0"/>
                <w:sz w:val="48"/>
                <w:szCs w:val="48"/>
              </w:rPr>
              <w:br/>
            </w:r>
            <w:r w:rsidR="00142ACE" w:rsidRPr="00D7120B">
              <w:rPr>
                <w:rFonts w:ascii="Wingdings 2" w:hAnsi="Wingdings 2" w:cs="Arial"/>
                <w:sz w:val="48"/>
                <w:szCs w:val="48"/>
              </w:rPr>
              <w:t></w:t>
            </w:r>
          </w:p>
        </w:tc>
        <w:tc>
          <w:tcPr>
            <w:tcW w:w="3973" w:type="dxa"/>
            <w:tcBorders>
              <w:top w:val="nil"/>
              <w:left w:val="nil"/>
              <w:bottom w:val="nil"/>
              <w:right w:val="nil"/>
            </w:tcBorders>
            <w:shd w:val="clear" w:color="auto" w:fill="F2F2F2"/>
          </w:tcPr>
          <w:p w:rsidR="00FE1E8D" w:rsidRPr="00FB7513" w:rsidRDefault="00FB7513" w:rsidP="00FB7513">
            <w:pPr>
              <w:pStyle w:val="Box"/>
            </w:pPr>
            <w:r w:rsidRPr="00FB7513">
              <w:t>From 2002 to 2014</w:t>
            </w:r>
            <w:r w:rsidRPr="00FB7513">
              <w:noBreakHyphen/>
              <w:t>15</w:t>
            </w:r>
            <w:r w:rsidR="00013D89" w:rsidRPr="00FB7513">
              <w:t xml:space="preserve">, the proportion of Aboriginal and Torres Strait Islander </w:t>
            </w:r>
            <w:r w:rsidR="00096D98" w:rsidRPr="00FB7513">
              <w:br/>
            </w:r>
            <w:r w:rsidR="00013D89" w:rsidRPr="00FB7513">
              <w:t xml:space="preserve">18–64 year olds whose main source of income was employee income </w:t>
            </w:r>
            <w:r w:rsidRPr="00FB7513">
              <w:t>increased from 32 per cent to 43</w:t>
            </w:r>
            <w:r w:rsidR="00013D89" w:rsidRPr="00FB7513">
              <w:t xml:space="preserve"> per cent, with </w:t>
            </w:r>
            <w:r w:rsidRPr="00FB7513">
              <w:t>a corresponding decrease</w:t>
            </w:r>
            <w:r w:rsidR="00013D89" w:rsidRPr="00FB7513">
              <w:t xml:space="preserve"> in the proportions on CDEP</w:t>
            </w:r>
            <w:r w:rsidR="00096D98" w:rsidRPr="00FB7513">
              <w:t xml:space="preserve">/other cash income (from </w:t>
            </w:r>
            <w:r w:rsidRPr="00FB7513">
              <w:t>15 to 3</w:t>
            </w:r>
            <w:r w:rsidR="00096D98" w:rsidRPr="00FB7513">
              <w:t> per cent</w:t>
            </w:r>
            <w:r w:rsidR="00013D89" w:rsidRPr="00FB7513">
              <w:t>). The proportion of non</w:t>
            </w:r>
            <w:r w:rsidR="00013D89" w:rsidRPr="00FB7513">
              <w:noBreakHyphen/>
              <w:t>Indigenous Australians whose main source of inco</w:t>
            </w:r>
            <w:r w:rsidRPr="00FB7513">
              <w:t>me was employee income fluctuate</w:t>
            </w:r>
            <w:r w:rsidR="00013D89" w:rsidRPr="00FB7513">
              <w:t>d over this period with no clear trend (6</w:t>
            </w:r>
            <w:r w:rsidRPr="00FB7513">
              <w:t>1</w:t>
            </w:r>
            <w:r w:rsidR="00096D98" w:rsidRPr="00FB7513">
              <w:t> per cent in 201</w:t>
            </w:r>
            <w:r w:rsidRPr="00FB7513">
              <w:t>4</w:t>
            </w:r>
            <w:r w:rsidR="00FB3DF6">
              <w:noBreakHyphen/>
            </w:r>
            <w:r w:rsidR="00013D89" w:rsidRPr="00FB7513">
              <w:t>1</w:t>
            </w:r>
            <w:r w:rsidRPr="00FB7513">
              <w:t>5</w:t>
            </w:r>
            <w:r w:rsidR="00013D89" w:rsidRPr="00FB7513">
              <w: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FE1E8D" w:rsidRPr="00037871" w:rsidRDefault="00FE1E8D"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FE1E8D" w:rsidRPr="00037871" w:rsidRDefault="00FE1E8D" w:rsidP="008E4321">
            <w:pPr>
              <w:pStyle w:val="BoxSpaceBelow"/>
              <w:rPr>
                <w:color w:val="00B050"/>
              </w:rPr>
            </w:pPr>
          </w:p>
        </w:tc>
      </w:tr>
    </w:tbl>
    <w:p w:rsidR="000017FD" w:rsidRPr="003D092B" w:rsidRDefault="000017FD" w:rsidP="000017FD">
      <w:pPr>
        <w:pStyle w:val="BodyText"/>
      </w:pPr>
      <w:r w:rsidRPr="00037871">
        <w:rPr>
          <w:color w:val="00B050"/>
        </w:rPr>
        <w:br w:type="page"/>
      </w:r>
    </w:p>
    <w:p w:rsidR="00FE1E8D" w:rsidRPr="00DB1437" w:rsidRDefault="00FE1E8D" w:rsidP="00FE1E8D">
      <w:pPr>
        <w:pStyle w:val="Heading2"/>
        <w:rPr>
          <w:color w:val="000000" w:themeColor="text1"/>
        </w:rPr>
      </w:pPr>
      <w:r w:rsidRPr="00DB1437">
        <w:rPr>
          <w:color w:val="000000" w:themeColor="text1"/>
        </w:rPr>
        <w:t xml:space="preserve">10 </w:t>
      </w:r>
      <w:r w:rsidRPr="00DB1437">
        <w:rPr>
          <w:color w:val="000000" w:themeColor="text1"/>
        </w:rPr>
        <w:tab/>
        <w:t>Home environment</w:t>
      </w:r>
    </w:p>
    <w:p w:rsidR="00013D89" w:rsidRPr="00DB1437" w:rsidRDefault="00013D89" w:rsidP="00013D89">
      <w:pPr>
        <w:pStyle w:val="BodyText"/>
        <w:rPr>
          <w:color w:val="000000" w:themeColor="text1"/>
        </w:rPr>
      </w:pPr>
      <w:r w:rsidRPr="00DB1437">
        <w:rPr>
          <w:color w:val="000000" w:themeColor="text1"/>
        </w:rPr>
        <w:t>Better environmental health is especially beneficial for children’s physical and emotional wellbeing. Safe and healthy living conditions are influenced by the homes in which people live, the water they drink and the safe removal of waste.</w:t>
      </w:r>
    </w:p>
    <w:p w:rsidR="00FE1E8D" w:rsidRPr="00037871" w:rsidRDefault="00FE1E8D" w:rsidP="00FE1E8D">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3B5F03" w:rsidTr="00CD0615">
        <w:tc>
          <w:tcPr>
            <w:tcW w:w="8793" w:type="dxa"/>
            <w:gridSpan w:val="3"/>
            <w:tcBorders>
              <w:top w:val="single" w:sz="6" w:space="0" w:color="78A22F"/>
              <w:left w:val="nil"/>
              <w:bottom w:val="nil"/>
              <w:right w:val="nil"/>
            </w:tcBorders>
            <w:shd w:val="clear" w:color="auto" w:fill="F2F2F2"/>
          </w:tcPr>
          <w:p w:rsidR="00FE1E8D" w:rsidRPr="003B5F03" w:rsidRDefault="00FE1E8D" w:rsidP="001D480C">
            <w:pPr>
              <w:pStyle w:val="BoxTitle"/>
              <w:spacing w:after="120"/>
              <w:rPr>
                <w:color w:val="000000" w:themeColor="text1"/>
              </w:rPr>
            </w:pPr>
            <w:r w:rsidRPr="003B5F03">
              <w:rPr>
                <w:color w:val="000000" w:themeColor="text1"/>
              </w:rPr>
              <w:t>10.1</w:t>
            </w:r>
            <w:r w:rsidRPr="003B5F03">
              <w:rPr>
                <w:color w:val="000000" w:themeColor="text1"/>
              </w:rPr>
              <w:tab/>
              <w:t>Overcrowding in housing</w:t>
            </w:r>
          </w:p>
        </w:tc>
      </w:tr>
      <w:tr w:rsidR="00037871" w:rsidRPr="00037871" w:rsidTr="00CD0615">
        <w:trPr>
          <w:cantSplit/>
        </w:trPr>
        <w:tc>
          <w:tcPr>
            <w:tcW w:w="3828" w:type="dxa"/>
            <w:tcBorders>
              <w:top w:val="nil"/>
              <w:left w:val="nil"/>
              <w:bottom w:val="nil"/>
              <w:right w:val="nil"/>
            </w:tcBorders>
            <w:shd w:val="clear" w:color="auto" w:fill="F2F2F2"/>
          </w:tcPr>
          <w:p w:rsidR="00013D89" w:rsidRPr="006F5754" w:rsidRDefault="00013D89" w:rsidP="00013D89">
            <w:pPr>
              <w:pStyle w:val="Box"/>
            </w:pPr>
            <w:r w:rsidRPr="006F5754">
              <w:t xml:space="preserve">Better, less cramped living conditions are linked to positive effects on health, education and family relationships. </w:t>
            </w:r>
          </w:p>
          <w:p w:rsidR="00FE1E8D" w:rsidRPr="006F5754" w:rsidRDefault="00013D89" w:rsidP="00013D89">
            <w:pPr>
              <w:pStyle w:val="Box"/>
            </w:pPr>
            <w:r w:rsidRPr="006F5754">
              <w:t>Cultural and social factors influence the way housing is used by different peoples. This indicator emphasises the adequacy of housing to the preferred household composition — not household composition</w:t>
            </w:r>
            <w:r w:rsidR="00E93877" w:rsidRPr="006F5754">
              <w:t xml:space="preserve"> on its own</w:t>
            </w:r>
            <w:r w:rsidRPr="006F5754">
              <w:t>.</w:t>
            </w:r>
          </w:p>
        </w:tc>
        <w:tc>
          <w:tcPr>
            <w:tcW w:w="992" w:type="dxa"/>
            <w:tcBorders>
              <w:top w:val="nil"/>
              <w:left w:val="nil"/>
              <w:bottom w:val="nil"/>
              <w:right w:val="nil"/>
            </w:tcBorders>
            <w:shd w:val="clear" w:color="auto" w:fill="418B50"/>
          </w:tcPr>
          <w:p w:rsidR="00FE1E8D" w:rsidRPr="003B1511" w:rsidRDefault="00FE1E8D" w:rsidP="00142ACE">
            <w:pPr>
              <w:pStyle w:val="BoxHeading1"/>
              <w:spacing w:before="240" w:line="240" w:lineRule="auto"/>
              <w:jc w:val="center"/>
            </w:pPr>
            <w:r w:rsidRPr="006F5754">
              <w:rPr>
                <w:rFonts w:cs="Arial"/>
                <w:b w:val="0"/>
                <w:sz w:val="48"/>
                <w:szCs w:val="48"/>
              </w:rPr>
              <w:br/>
            </w:r>
            <w:r w:rsidRPr="006F5754">
              <w:rPr>
                <w:rFonts w:cs="Arial"/>
                <w:b w:val="0"/>
                <w:sz w:val="48"/>
                <w:szCs w:val="48"/>
              </w:rPr>
              <w:br/>
            </w:r>
            <w:r w:rsidR="00142ACE" w:rsidRPr="003B1511">
              <w:rPr>
                <w:rFonts w:ascii="Wingdings 2" w:hAnsi="Wingdings 2" w:cs="Arial"/>
                <w:sz w:val="48"/>
                <w:szCs w:val="48"/>
              </w:rPr>
              <w:t></w:t>
            </w:r>
          </w:p>
        </w:tc>
        <w:tc>
          <w:tcPr>
            <w:tcW w:w="3973" w:type="dxa"/>
            <w:tcBorders>
              <w:top w:val="nil"/>
              <w:left w:val="nil"/>
              <w:bottom w:val="nil"/>
              <w:right w:val="nil"/>
            </w:tcBorders>
            <w:shd w:val="clear" w:color="auto" w:fill="F2F2F2"/>
          </w:tcPr>
          <w:p w:rsidR="00013D89" w:rsidRPr="006F5754" w:rsidRDefault="00013D89" w:rsidP="00013D89">
            <w:pPr>
              <w:pStyle w:val="Box"/>
            </w:pPr>
            <w:r w:rsidRPr="006F5754">
              <w:t>The proportion of Aboriginal and Torres Strait Islander Australians living in overcrowded households decreased f</w:t>
            </w:r>
            <w:r w:rsidR="006F5754" w:rsidRPr="006F5754">
              <w:t>rom 27</w:t>
            </w:r>
            <w:r w:rsidR="00814EDC">
              <w:t> </w:t>
            </w:r>
            <w:r w:rsidR="006F5754" w:rsidRPr="006F5754">
              <w:t>per cent in 2004</w:t>
            </w:r>
            <w:r w:rsidR="006F5754" w:rsidRPr="006F5754">
              <w:noBreakHyphen/>
              <w:t>05 to 21</w:t>
            </w:r>
            <w:r w:rsidR="00814EDC">
              <w:t> </w:t>
            </w:r>
            <w:r w:rsidR="006F5754" w:rsidRPr="006F5754">
              <w:t>per cent in 2014</w:t>
            </w:r>
            <w:r w:rsidR="00FB3DF6">
              <w:noBreakHyphen/>
            </w:r>
            <w:r w:rsidR="006F5754" w:rsidRPr="006F5754">
              <w:t>15</w:t>
            </w:r>
            <w:r w:rsidRPr="006F5754">
              <w:t xml:space="preserve">, including a decrease in overcrowding in </w:t>
            </w:r>
            <w:r w:rsidR="006F5754" w:rsidRPr="006F5754">
              <w:t>very remote areas from 63 to 49</w:t>
            </w:r>
            <w:r w:rsidR="00701500">
              <w:t xml:space="preserve"> per cent</w:t>
            </w:r>
            <w:r w:rsidRPr="006F5754">
              <w:t>.</w:t>
            </w:r>
          </w:p>
          <w:p w:rsidR="00FE1E8D" w:rsidRPr="006F5754" w:rsidRDefault="00013D89" w:rsidP="00814EDC">
            <w:pPr>
              <w:pStyle w:val="Box"/>
            </w:pPr>
            <w:r w:rsidRPr="006F5754">
              <w:t xml:space="preserve">The proportion of Aboriginal and Torres Strait Islander adults reporting overcrowding as a stressor </w:t>
            </w:r>
            <w:r w:rsidR="006F5754" w:rsidRPr="006F5754">
              <w:t>decreased from</w:t>
            </w:r>
            <w:r w:rsidR="0082585B">
              <w:t xml:space="preserve"> 21 per</w:t>
            </w:r>
            <w:r w:rsidR="00814EDC">
              <w:t xml:space="preserve"> </w:t>
            </w:r>
            <w:r w:rsidRPr="006F5754">
              <w:t xml:space="preserve">cent in 2002 to </w:t>
            </w:r>
            <w:r w:rsidR="0082585B">
              <w:t>7 per</w:t>
            </w:r>
            <w:r w:rsidR="00814EDC">
              <w:t xml:space="preserve"> </w:t>
            </w:r>
            <w:r w:rsidR="006F5754" w:rsidRPr="006F5754">
              <w:t>cent in 2014</w:t>
            </w:r>
            <w:r w:rsidR="00FB3DF6">
              <w:noBreakHyphen/>
            </w:r>
            <w:r w:rsidR="006F5754" w:rsidRPr="006F5754">
              <w:t>15</w:t>
            </w:r>
            <w:r w:rsidRPr="006F5754">
              <w:t>.</w:t>
            </w:r>
          </w:p>
        </w:tc>
      </w:tr>
      <w:tr w:rsidR="00037871" w:rsidRPr="00037871" w:rsidTr="00CD0615">
        <w:trPr>
          <w:cantSplit/>
        </w:trPr>
        <w:tc>
          <w:tcPr>
            <w:tcW w:w="8793" w:type="dxa"/>
            <w:gridSpan w:val="3"/>
            <w:tcBorders>
              <w:top w:val="nil"/>
              <w:left w:val="nil"/>
              <w:bottom w:val="nil"/>
              <w:right w:val="nil"/>
            </w:tcBorders>
            <w:shd w:val="clear" w:color="auto" w:fill="F2F2F2"/>
          </w:tcPr>
          <w:p w:rsidR="00FE1E8D" w:rsidRPr="006F5754" w:rsidRDefault="00013D89" w:rsidP="006F5754">
            <w:pPr>
              <w:pStyle w:val="BoxHeading1"/>
              <w:rPr>
                <w:rStyle w:val="NoteLabel"/>
              </w:rPr>
            </w:pPr>
            <w:r w:rsidRPr="006F5754">
              <w:t xml:space="preserve">Proportion of </w:t>
            </w:r>
            <w:r w:rsidR="00E77546" w:rsidRPr="006F5754">
              <w:t>Aboriginal and Torres Strait Islander</w:t>
            </w:r>
            <w:r w:rsidRPr="006F5754">
              <w:t xml:space="preserve"> </w:t>
            </w:r>
            <w:r w:rsidR="00562347" w:rsidRPr="006F5754">
              <w:t>people living</w:t>
            </w:r>
            <w:r w:rsidRPr="006F5754">
              <w:t xml:space="preserve"> in overcrowded households</w:t>
            </w:r>
            <w:r w:rsidR="007F201A" w:rsidRPr="006F5754">
              <w:t>, by remoteness</w:t>
            </w:r>
            <w:r w:rsidR="00562347" w:rsidRPr="006F5754">
              <w:t>, 2004</w:t>
            </w:r>
            <w:r w:rsidR="00FB3DF6">
              <w:noBreakHyphen/>
            </w:r>
            <w:r w:rsidR="00562347" w:rsidRPr="006F5754">
              <w:t>05 to 201</w:t>
            </w:r>
            <w:r w:rsidR="006F5754" w:rsidRPr="006F5754">
              <w:t>4</w:t>
            </w:r>
            <w:r w:rsidR="00FB3DF6">
              <w:noBreakHyphen/>
            </w:r>
            <w:r w:rsidR="00562347" w:rsidRPr="006F5754">
              <w:t>1</w:t>
            </w:r>
            <w:r w:rsidR="006F5754" w:rsidRPr="006F5754">
              <w:t>5</w:t>
            </w:r>
            <w:r w:rsidR="007F201A" w:rsidRPr="006F5754">
              <w:rPr>
                <w:rStyle w:val="NoteLabel"/>
                <w:b/>
              </w:rPr>
              <w:t>a,</w:t>
            </w:r>
            <w:r w:rsidRPr="006F5754">
              <w:rPr>
                <w:rStyle w:val="NoteLabel"/>
                <w:b/>
              </w:rPr>
              <w:t>b</w:t>
            </w:r>
          </w:p>
        </w:tc>
      </w:tr>
      <w:tr w:rsidR="00037871" w:rsidRPr="00037871" w:rsidTr="00CD0615">
        <w:trPr>
          <w:cantSplit/>
        </w:trPr>
        <w:tc>
          <w:tcPr>
            <w:tcW w:w="8793" w:type="dxa"/>
            <w:gridSpan w:val="3"/>
            <w:tcBorders>
              <w:top w:val="nil"/>
              <w:left w:val="nil"/>
              <w:bottom w:val="nil"/>
              <w:right w:val="nil"/>
            </w:tcBorders>
            <w:shd w:val="clear" w:color="auto" w:fill="F2F2F2"/>
          </w:tcPr>
          <w:p w:rsidR="00D82758" w:rsidRPr="006F5754" w:rsidRDefault="007D048B" w:rsidP="007D048B">
            <w:pPr>
              <w:pStyle w:val="Box"/>
              <w:jc w:val="center"/>
            </w:pPr>
            <w:r>
              <w:rPr>
                <w:noProof/>
              </w:rPr>
              <w:drawing>
                <wp:inline distT="0" distB="0" distL="0" distR="0" wp14:anchorId="107B8C4A" wp14:editId="6EC1B677">
                  <wp:extent cx="5391165" cy="2671948"/>
                  <wp:effectExtent l="0" t="0" r="0" b="0"/>
                  <wp:docPr id="6" name="Picture 6" descr="Figure: Proportion of Aboriginal and Torres Strait Islander people living in overcrowded households, by remoteness, 2004-05 to 2014-15&#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2671941"/>
                          </a:xfrm>
                          <a:prstGeom prst="rect">
                            <a:avLst/>
                          </a:prstGeom>
                          <a:noFill/>
                          <a:ln>
                            <a:noFill/>
                          </a:ln>
                        </pic:spPr>
                      </pic:pic>
                    </a:graphicData>
                  </a:graphic>
                </wp:inline>
              </w:drawing>
            </w:r>
          </w:p>
        </w:tc>
      </w:tr>
      <w:tr w:rsidR="00037871" w:rsidRPr="00037871" w:rsidTr="00CD0615">
        <w:trPr>
          <w:cantSplit/>
        </w:trPr>
        <w:tc>
          <w:tcPr>
            <w:tcW w:w="8793" w:type="dxa"/>
            <w:gridSpan w:val="3"/>
            <w:tcBorders>
              <w:top w:val="nil"/>
              <w:left w:val="nil"/>
              <w:bottom w:val="nil"/>
              <w:right w:val="nil"/>
            </w:tcBorders>
            <w:shd w:val="clear" w:color="auto" w:fill="F2F2F2"/>
          </w:tcPr>
          <w:p w:rsidR="00FE1E8D" w:rsidRPr="006F5754" w:rsidRDefault="00FE1E8D" w:rsidP="008E4321">
            <w:pPr>
              <w:pStyle w:val="Note"/>
            </w:pPr>
            <w:r w:rsidRPr="006F5754">
              <w:rPr>
                <w:rStyle w:val="NoteLabel"/>
              </w:rPr>
              <w:t>a</w:t>
            </w:r>
            <w:r w:rsidRPr="006F5754">
              <w:rPr>
                <w:rFonts w:ascii="Arial Bold" w:hAnsi="Arial Bold"/>
                <w:b/>
                <w:vertAlign w:val="superscript"/>
              </w:rPr>
              <w:t xml:space="preserve"> </w:t>
            </w:r>
            <w:r w:rsidR="00013D89" w:rsidRPr="006F5754">
              <w:t xml:space="preserve">Households requiring at least one additional bedroom, based on the Canadian National Occupancy Standard for Housing Appropriateness. </w:t>
            </w:r>
            <w:r w:rsidR="00013D89" w:rsidRPr="006F5754">
              <w:rPr>
                <w:rStyle w:val="NoteLabel"/>
              </w:rPr>
              <w:t xml:space="preserve">b </w:t>
            </w:r>
            <w:r w:rsidR="00013D89" w:rsidRPr="006F5754">
              <w:t>Error bars represent 95 per cent confidence intervals around each estimate.</w:t>
            </w:r>
          </w:p>
        </w:tc>
      </w:tr>
      <w:tr w:rsidR="00037871" w:rsidRPr="00037871" w:rsidTr="00CD0615">
        <w:trPr>
          <w:cantSplit/>
        </w:trPr>
        <w:tc>
          <w:tcPr>
            <w:tcW w:w="8793" w:type="dxa"/>
            <w:gridSpan w:val="3"/>
            <w:tcBorders>
              <w:top w:val="nil"/>
              <w:left w:val="nil"/>
              <w:bottom w:val="nil"/>
              <w:right w:val="nil"/>
            </w:tcBorders>
            <w:shd w:val="clear" w:color="auto" w:fill="F2F2F2"/>
          </w:tcPr>
          <w:p w:rsidR="00FE1E8D" w:rsidRPr="006F5754" w:rsidRDefault="00FE1E8D" w:rsidP="008E4321">
            <w:pPr>
              <w:pStyle w:val="BoxSource"/>
            </w:pPr>
            <w:r w:rsidRPr="006F5754">
              <w:rPr>
                <w:i/>
              </w:rPr>
              <w:t>Source</w:t>
            </w:r>
            <w:r w:rsidRPr="006F5754">
              <w:t>: Figure</w:t>
            </w:r>
            <w:r w:rsidR="00FB3DF6">
              <w:t> </w:t>
            </w:r>
            <w:r w:rsidRPr="006F5754">
              <w:t>10.1.2 in the main report.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FE1E8D" w:rsidRPr="00037871" w:rsidRDefault="00FE1E8D"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FE1E8D" w:rsidRPr="00037871" w:rsidRDefault="00FE1E8D" w:rsidP="008E4321">
            <w:pPr>
              <w:pStyle w:val="BoxSpaceBelow"/>
              <w:rPr>
                <w:color w:val="00B050"/>
              </w:rPr>
            </w:pPr>
          </w:p>
        </w:tc>
      </w:tr>
    </w:tbl>
    <w:p w:rsidR="00FE1E8D" w:rsidRPr="00037871" w:rsidRDefault="00FE1E8D" w:rsidP="00FE1E8D">
      <w:pPr>
        <w:pStyle w:val="BodyText"/>
        <w:rPr>
          <w:color w:val="00B050"/>
        </w:rPr>
      </w:pPr>
    </w:p>
    <w:p w:rsidR="00D82758" w:rsidRPr="00037871" w:rsidRDefault="00D82758" w:rsidP="00D8275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3B5F03" w:rsidTr="00CD0615">
        <w:tc>
          <w:tcPr>
            <w:tcW w:w="8793" w:type="dxa"/>
            <w:gridSpan w:val="3"/>
            <w:tcBorders>
              <w:top w:val="single" w:sz="6" w:space="0" w:color="78A22F"/>
              <w:left w:val="nil"/>
              <w:bottom w:val="nil"/>
              <w:right w:val="nil"/>
            </w:tcBorders>
            <w:shd w:val="clear" w:color="auto" w:fill="F2F2F2"/>
          </w:tcPr>
          <w:p w:rsidR="00D82758" w:rsidRPr="003B5F03" w:rsidRDefault="00D82758" w:rsidP="001D480C">
            <w:pPr>
              <w:pStyle w:val="BoxTitle"/>
              <w:spacing w:after="120"/>
              <w:rPr>
                <w:color w:val="000000" w:themeColor="text1"/>
              </w:rPr>
            </w:pPr>
            <w:r w:rsidRPr="003B5F03">
              <w:rPr>
                <w:color w:val="000000" w:themeColor="text1"/>
              </w:rPr>
              <w:t>10.2</w:t>
            </w:r>
            <w:r w:rsidRPr="003B5F03">
              <w:rPr>
                <w:color w:val="000000" w:themeColor="text1"/>
              </w:rPr>
              <w:tab/>
              <w:t>Rates of disease associated with poor environmental health</w:t>
            </w:r>
          </w:p>
        </w:tc>
      </w:tr>
      <w:tr w:rsidR="00037871" w:rsidRPr="00037871" w:rsidTr="00CD0615">
        <w:trPr>
          <w:cantSplit/>
        </w:trPr>
        <w:tc>
          <w:tcPr>
            <w:tcW w:w="3828" w:type="dxa"/>
            <w:tcBorders>
              <w:top w:val="nil"/>
              <w:left w:val="nil"/>
              <w:bottom w:val="nil"/>
              <w:right w:val="nil"/>
            </w:tcBorders>
            <w:shd w:val="clear" w:color="auto" w:fill="F2F2F2"/>
          </w:tcPr>
          <w:p w:rsidR="00D82758" w:rsidRPr="00E07E8D" w:rsidRDefault="00013D89" w:rsidP="00CF00C8">
            <w:pPr>
              <w:pStyle w:val="Box"/>
            </w:pPr>
            <w:r w:rsidRPr="00E07E8D">
              <w:t xml:space="preserve">Sanitation, water quality, food safety, disease control and housing conditions all contribute to public health. However, many rural and remote </w:t>
            </w:r>
            <w:r w:rsidR="00CF00C8" w:rsidRPr="00E07E8D">
              <w:t>Aboriginal and Torres Strait Islander</w:t>
            </w:r>
            <w:r w:rsidRPr="00E07E8D">
              <w:t xml:space="preserve"> communities struggle to achieve the basic level of environmental health that has been achieved for the rest of the population.</w:t>
            </w:r>
          </w:p>
        </w:tc>
        <w:tc>
          <w:tcPr>
            <w:tcW w:w="992" w:type="dxa"/>
            <w:tcBorders>
              <w:top w:val="nil"/>
              <w:left w:val="nil"/>
              <w:bottom w:val="nil"/>
              <w:right w:val="nil"/>
            </w:tcBorders>
            <w:shd w:val="clear" w:color="auto" w:fill="8E8FA6"/>
          </w:tcPr>
          <w:p w:rsidR="00D82758" w:rsidRPr="00E07E8D" w:rsidRDefault="00D82758" w:rsidP="008E4321">
            <w:pPr>
              <w:pStyle w:val="BoxHeading1"/>
            </w:pPr>
          </w:p>
          <w:p w:rsidR="00D82758" w:rsidRPr="00E07E8D" w:rsidRDefault="00D82758" w:rsidP="008E4321">
            <w:pPr>
              <w:pStyle w:val="Box"/>
            </w:pPr>
          </w:p>
          <w:p w:rsidR="00A908B5" w:rsidRPr="00E07E8D" w:rsidRDefault="00A908B5" w:rsidP="008E4321">
            <w:pPr>
              <w:pStyle w:val="Box"/>
            </w:pPr>
          </w:p>
          <w:p w:rsidR="00D82758" w:rsidRPr="00E07E8D" w:rsidRDefault="00D82758" w:rsidP="008E4321">
            <w:pPr>
              <w:pStyle w:val="Box"/>
            </w:pPr>
          </w:p>
          <w:p w:rsidR="00D82758" w:rsidRPr="00E07E8D" w:rsidRDefault="00D82758" w:rsidP="00A908B5">
            <w:pPr>
              <w:pStyle w:val="Box"/>
              <w:jc w:val="center"/>
              <w:rPr>
                <w:b/>
                <w:sz w:val="48"/>
                <w:szCs w:val="48"/>
              </w:rPr>
            </w:pPr>
            <w:r w:rsidRPr="00E07E8D">
              <w:br/>
            </w:r>
            <w:r w:rsidRPr="00E07E8D">
              <w:rPr>
                <w:b/>
                <w:sz w:val="48"/>
                <w:szCs w:val="48"/>
              </w:rPr>
              <w:t>?</w:t>
            </w:r>
          </w:p>
        </w:tc>
        <w:tc>
          <w:tcPr>
            <w:tcW w:w="3973" w:type="dxa"/>
            <w:tcBorders>
              <w:top w:val="nil"/>
              <w:left w:val="nil"/>
              <w:bottom w:val="nil"/>
              <w:right w:val="nil"/>
            </w:tcBorders>
            <w:shd w:val="clear" w:color="auto" w:fill="F2F2F2"/>
          </w:tcPr>
          <w:p w:rsidR="00013D89" w:rsidRPr="00E07E8D" w:rsidRDefault="00013D89" w:rsidP="00C545AB">
            <w:pPr>
              <w:pStyle w:val="Box"/>
            </w:pPr>
            <w:r w:rsidRPr="00E07E8D">
              <w:t>For NSW, Victoria, Queensland, WA, SA and the NT combined, from 2004</w:t>
            </w:r>
            <w:r w:rsidRPr="00E07E8D">
              <w:noBreakHyphen/>
              <w:t>05</w:t>
            </w:r>
            <w:r w:rsidR="00562347" w:rsidRPr="00E07E8D">
              <w:t xml:space="preserve"> (2008</w:t>
            </w:r>
            <w:r w:rsidR="00FB3DF6">
              <w:noBreakHyphen/>
            </w:r>
            <w:r w:rsidR="00562347" w:rsidRPr="00E07E8D">
              <w:t>09 for intestinal infectious diseases)</w:t>
            </w:r>
            <w:r w:rsidR="00E07E8D" w:rsidRPr="00E07E8D">
              <w:t xml:space="preserve"> to 2014</w:t>
            </w:r>
            <w:r w:rsidR="00FB3DF6">
              <w:noBreakHyphen/>
            </w:r>
            <w:r w:rsidRPr="00E07E8D">
              <w:t>1</w:t>
            </w:r>
            <w:r w:rsidR="00E07E8D" w:rsidRPr="00E07E8D">
              <w:t>5</w:t>
            </w:r>
            <w:r w:rsidRPr="00E07E8D">
              <w:t xml:space="preserve">, </w:t>
            </w:r>
            <w:r w:rsidR="00E07E8D" w:rsidRPr="00E07E8D">
              <w:t xml:space="preserve">hospitalisations for </w:t>
            </w:r>
            <w:r w:rsidRPr="00E07E8D">
              <w:t xml:space="preserve">Aboriginal and Torres Strait Islander Australians </w:t>
            </w:r>
            <w:r w:rsidR="00E07E8D" w:rsidRPr="00E07E8D">
              <w:t>increased for most</w:t>
            </w:r>
            <w:r w:rsidRPr="00E07E8D">
              <w:t xml:space="preserve"> selected diseases. </w:t>
            </w:r>
          </w:p>
          <w:p w:rsidR="00D82758" w:rsidRPr="00E07E8D" w:rsidRDefault="00013D89" w:rsidP="00814EDC">
            <w:pPr>
              <w:pStyle w:val="Box"/>
            </w:pPr>
            <w:r w:rsidRPr="00E07E8D">
              <w:t xml:space="preserve">For NSW, Queensland, WA, SA and the NT combined, from 2003–2007 to </w:t>
            </w:r>
            <w:r w:rsidR="00C545AB" w:rsidRPr="00E07E8D">
              <w:br/>
            </w:r>
            <w:r w:rsidR="00E07E8D" w:rsidRPr="00E07E8D">
              <w:t>2010</w:t>
            </w:r>
            <w:r w:rsidRPr="00E07E8D">
              <w:t>–201</w:t>
            </w:r>
            <w:r w:rsidR="00E07E8D" w:rsidRPr="00E07E8D">
              <w:t>4</w:t>
            </w:r>
            <w:r w:rsidRPr="00E07E8D">
              <w:t xml:space="preserve">, the death rate for Aboriginal and Torres Strait Islander Australians from diseases associated with poor environmental health decreased </w:t>
            </w:r>
            <w:r w:rsidR="00E07E8D" w:rsidRPr="00E07E8D">
              <w:t>by 19</w:t>
            </w:r>
            <w:r w:rsidR="00C545AB" w:rsidRPr="00E07E8D">
              <w:t> </w:t>
            </w:r>
            <w:r w:rsidRPr="00E07E8D">
              <w:t>per cent, but was still 1.7</w:t>
            </w:r>
            <w:r w:rsidR="00814EDC">
              <w:t> </w:t>
            </w:r>
            <w:r w:rsidRPr="00E07E8D">
              <w:t>times the non</w:t>
            </w:r>
            <w:r w:rsidRPr="00E07E8D">
              <w:noBreakHyphen/>
              <w:t>Indigenous rate in 20</w:t>
            </w:r>
            <w:r w:rsidR="00E07E8D" w:rsidRPr="00E07E8D">
              <w:t>10–2014</w:t>
            </w:r>
            <w:r w:rsidRPr="00E07E8D">
              <w:t>.</w:t>
            </w:r>
          </w:p>
        </w:tc>
      </w:tr>
      <w:tr w:rsidR="00037871" w:rsidRPr="00E07E8D" w:rsidTr="00CD0615">
        <w:trPr>
          <w:cantSplit/>
        </w:trPr>
        <w:tc>
          <w:tcPr>
            <w:tcW w:w="8793" w:type="dxa"/>
            <w:gridSpan w:val="3"/>
            <w:tcBorders>
              <w:top w:val="nil"/>
              <w:left w:val="nil"/>
              <w:bottom w:val="nil"/>
              <w:right w:val="nil"/>
            </w:tcBorders>
            <w:shd w:val="clear" w:color="auto" w:fill="F2F2F2"/>
          </w:tcPr>
          <w:p w:rsidR="00D82758" w:rsidRPr="00E07E8D" w:rsidRDefault="00013D89" w:rsidP="0014070A">
            <w:pPr>
              <w:pStyle w:val="Box"/>
              <w:rPr>
                <w:i/>
              </w:rPr>
            </w:pPr>
            <w:r w:rsidRPr="00E07E8D">
              <w:rPr>
                <w:i/>
              </w:rPr>
              <w:t>The two main measures for this indicator have moved in opposite directions over time — an increase in the hospitalisation rate but a decrease in the death rate.</w:t>
            </w:r>
          </w:p>
        </w:tc>
      </w:tr>
      <w:tr w:rsidR="00037871" w:rsidRPr="00E07E8D" w:rsidTr="00CD0615">
        <w:trPr>
          <w:cantSplit/>
        </w:trPr>
        <w:tc>
          <w:tcPr>
            <w:tcW w:w="8793" w:type="dxa"/>
            <w:gridSpan w:val="3"/>
            <w:tcBorders>
              <w:top w:val="nil"/>
              <w:left w:val="nil"/>
              <w:bottom w:val="nil"/>
              <w:right w:val="nil"/>
            </w:tcBorders>
            <w:shd w:val="clear" w:color="auto" w:fill="F2F2F2"/>
          </w:tcPr>
          <w:p w:rsidR="00D82758" w:rsidRPr="00E07E8D" w:rsidRDefault="00D82758" w:rsidP="00D82758">
            <w:pPr>
              <w:pStyle w:val="BoxHeading2"/>
            </w:pPr>
            <w:r w:rsidRPr="00E07E8D">
              <w:t>Things that work</w:t>
            </w:r>
          </w:p>
          <w:p w:rsidR="00D82758" w:rsidRPr="00E07E8D" w:rsidRDefault="00013D89" w:rsidP="00701500">
            <w:pPr>
              <w:pStyle w:val="Box"/>
            </w:pPr>
            <w:r w:rsidRPr="00E07E8D">
              <w:t xml:space="preserve">The </w:t>
            </w:r>
            <w:r w:rsidRPr="00E07E8D">
              <w:rPr>
                <w:b/>
              </w:rPr>
              <w:t>East Arnhem Scabies Control Program</w:t>
            </w:r>
            <w:r w:rsidRPr="00E07E8D">
              <w:t xml:space="preserve"> (NT) was established in early 2011. An evaluation in 2011–2013 found </w:t>
            </w:r>
            <w:r w:rsidR="007F201A" w:rsidRPr="00E07E8D">
              <w:t xml:space="preserve">positive </w:t>
            </w:r>
            <w:r w:rsidRPr="00E07E8D">
              <w:t>results (a 44 per cent decrease in total recurrences), although the small sample size</w:t>
            </w:r>
            <w:r w:rsidR="00701500">
              <w:t xml:space="preserve"> may limit applicability to the broader population</w:t>
            </w:r>
            <w:r w:rsidRPr="00E07E8D">
              <w:t>. Despite this limitation, the Central Australian Rural Practitioners Association Standard treatment manual (2014) has been updated to feature the program’s model of care</w:t>
            </w:r>
            <w:r w:rsidR="006431FE" w:rsidRPr="00E07E8D">
              <w:t xml:space="preserve"> (</w:t>
            </w:r>
            <w:r w:rsidR="00701500">
              <w:t xml:space="preserve">see </w:t>
            </w:r>
            <w:r w:rsidR="006431FE" w:rsidRPr="00E07E8D">
              <w:t>box</w:t>
            </w:r>
            <w:r w:rsidR="00FB3DF6">
              <w:t> </w:t>
            </w:r>
            <w:r w:rsidR="006431FE" w:rsidRPr="00E07E8D">
              <w:t>10.2.3</w:t>
            </w:r>
            <w:r w:rsidR="00701500">
              <w:t xml:space="preserve"> in the main report for further detail</w:t>
            </w:r>
            <w:r w:rsidR="006431FE" w:rsidRPr="00E07E8D">
              <w:t>)</w:t>
            </w:r>
            <w:r w:rsidRPr="00E07E8D">
              <w: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D82758" w:rsidRPr="00037871" w:rsidRDefault="00D82758"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D82758" w:rsidRPr="00037871" w:rsidRDefault="00D82758" w:rsidP="008E4321">
            <w:pPr>
              <w:pStyle w:val="BoxSpaceBelow"/>
              <w:rPr>
                <w:color w:val="00B050"/>
              </w:rPr>
            </w:pPr>
          </w:p>
        </w:tc>
      </w:tr>
    </w:tbl>
    <w:p w:rsidR="00D82758" w:rsidRPr="00037871" w:rsidRDefault="00D82758" w:rsidP="00D8275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3B5F03" w:rsidTr="00CD0615">
        <w:tc>
          <w:tcPr>
            <w:tcW w:w="8793" w:type="dxa"/>
            <w:gridSpan w:val="3"/>
            <w:tcBorders>
              <w:top w:val="single" w:sz="6" w:space="0" w:color="78A22F"/>
              <w:left w:val="nil"/>
              <w:bottom w:val="nil"/>
              <w:right w:val="nil"/>
            </w:tcBorders>
            <w:shd w:val="clear" w:color="auto" w:fill="F2F2F2"/>
          </w:tcPr>
          <w:p w:rsidR="00D82758" w:rsidRPr="003B5F03" w:rsidRDefault="00D82758" w:rsidP="001D480C">
            <w:pPr>
              <w:pStyle w:val="BoxTitle"/>
              <w:spacing w:after="120"/>
              <w:rPr>
                <w:color w:val="000000" w:themeColor="text1"/>
              </w:rPr>
            </w:pPr>
            <w:r w:rsidRPr="003B5F03">
              <w:rPr>
                <w:color w:val="000000" w:themeColor="text1"/>
              </w:rPr>
              <w:t>10.3</w:t>
            </w:r>
            <w:r w:rsidRPr="003B5F03">
              <w:rPr>
                <w:color w:val="000000" w:themeColor="text1"/>
              </w:rPr>
              <w:tab/>
              <w:t>Access to clean water and functional sewerage and electricity services</w:t>
            </w:r>
          </w:p>
        </w:tc>
      </w:tr>
      <w:tr w:rsidR="00037871" w:rsidRPr="00037871" w:rsidTr="00CD0615">
        <w:trPr>
          <w:cantSplit/>
        </w:trPr>
        <w:tc>
          <w:tcPr>
            <w:tcW w:w="3828" w:type="dxa"/>
            <w:tcBorders>
              <w:top w:val="nil"/>
              <w:left w:val="nil"/>
              <w:bottom w:val="nil"/>
              <w:right w:val="nil"/>
            </w:tcBorders>
            <w:shd w:val="clear" w:color="auto" w:fill="F2F2F2"/>
          </w:tcPr>
          <w:p w:rsidR="00D82758" w:rsidRPr="00E07E8D" w:rsidRDefault="00013D89" w:rsidP="008E4321">
            <w:pPr>
              <w:pStyle w:val="Box"/>
            </w:pPr>
            <w:r w:rsidRPr="00E07E8D">
              <w:t>Communities need a clean, adequate and reliable supply of water for drinking, cooking and washing; a functional sewerage system to prevent sew</w:t>
            </w:r>
            <w:r w:rsidR="002102BD" w:rsidRPr="00E07E8D">
              <w:t>er</w:t>
            </w:r>
            <w:r w:rsidRPr="00E07E8D">
              <w:t>age from contaminating drinking water and food; and access to a reliable electricity (or gas) supply for cooking, refrigeration, and running household appliances.</w:t>
            </w:r>
          </w:p>
        </w:tc>
        <w:tc>
          <w:tcPr>
            <w:tcW w:w="992" w:type="dxa"/>
            <w:tcBorders>
              <w:top w:val="nil"/>
              <w:left w:val="nil"/>
              <w:bottom w:val="nil"/>
              <w:right w:val="nil"/>
            </w:tcBorders>
            <w:shd w:val="clear" w:color="auto" w:fill="DA9C13"/>
          </w:tcPr>
          <w:p w:rsidR="00D82758" w:rsidRPr="00E07E8D" w:rsidRDefault="00D82758" w:rsidP="008E4321">
            <w:pPr>
              <w:pStyle w:val="BoxHeading1"/>
            </w:pPr>
          </w:p>
          <w:p w:rsidR="00D82758" w:rsidRPr="00E07E8D" w:rsidRDefault="00D82758" w:rsidP="008E4321">
            <w:pPr>
              <w:pStyle w:val="Box"/>
            </w:pPr>
          </w:p>
          <w:p w:rsidR="00D82758" w:rsidRPr="00E07E8D" w:rsidRDefault="00D82758" w:rsidP="00142ACE">
            <w:pPr>
              <w:pStyle w:val="Box"/>
              <w:spacing w:before="0"/>
              <w:jc w:val="center"/>
              <w:rPr>
                <w:sz w:val="48"/>
                <w:szCs w:val="48"/>
              </w:rPr>
            </w:pPr>
            <w:r w:rsidRPr="00E07E8D">
              <w:rPr>
                <w:sz w:val="48"/>
                <w:szCs w:val="48"/>
              </w:rPr>
              <w:softHyphen/>
            </w:r>
            <w:r w:rsidR="00E07E8D" w:rsidRPr="00E07E8D">
              <w:rPr>
                <w:b/>
                <w:sz w:val="48"/>
                <w:szCs w:val="48"/>
              </w:rPr>
              <w:t>_</w:t>
            </w:r>
          </w:p>
        </w:tc>
        <w:tc>
          <w:tcPr>
            <w:tcW w:w="3973" w:type="dxa"/>
            <w:tcBorders>
              <w:top w:val="nil"/>
              <w:left w:val="nil"/>
              <w:bottom w:val="nil"/>
              <w:right w:val="nil"/>
            </w:tcBorders>
            <w:shd w:val="clear" w:color="auto" w:fill="F2F2F2"/>
          </w:tcPr>
          <w:p w:rsidR="00D82758" w:rsidRPr="00E07E8D" w:rsidRDefault="00E07E8D" w:rsidP="00814EDC">
            <w:pPr>
              <w:pStyle w:val="Box"/>
            </w:pPr>
            <w:r w:rsidRPr="00E07E8D">
              <w:t>T</w:t>
            </w:r>
            <w:r w:rsidR="00013D89" w:rsidRPr="00E07E8D">
              <w:t xml:space="preserve">he proportion of Aboriginal and Torres Strait Islander households living in houses of an acceptable standard (including structural issues and working facilities) </w:t>
            </w:r>
            <w:r w:rsidRPr="00E07E8D">
              <w:t>decreased from 83</w:t>
            </w:r>
            <w:r w:rsidR="00814EDC">
              <w:t> </w:t>
            </w:r>
            <w:r w:rsidRPr="00E07E8D">
              <w:t>per cent in 2008 to 78</w:t>
            </w:r>
            <w:r w:rsidR="00814EDC">
              <w:t> </w:t>
            </w:r>
            <w:r w:rsidRPr="00E07E8D">
              <w:t>per cent in 2012</w:t>
            </w:r>
            <w:r w:rsidR="00FB3DF6">
              <w:noBreakHyphen/>
            </w:r>
            <w:r w:rsidRPr="00E07E8D">
              <w:t>13, before increasing to 82</w:t>
            </w:r>
            <w:r w:rsidR="00814EDC">
              <w:t> </w:t>
            </w:r>
            <w:r w:rsidRPr="00E07E8D">
              <w:t>per cent (similar to 2008).</w:t>
            </w:r>
          </w:p>
        </w:tc>
      </w:tr>
      <w:tr w:rsidR="00037871" w:rsidRPr="00037871" w:rsidTr="00CD0615">
        <w:trPr>
          <w:cantSplit/>
        </w:trPr>
        <w:tc>
          <w:tcPr>
            <w:tcW w:w="8793" w:type="dxa"/>
            <w:gridSpan w:val="3"/>
            <w:tcBorders>
              <w:top w:val="nil"/>
              <w:left w:val="nil"/>
              <w:bottom w:val="nil"/>
              <w:right w:val="nil"/>
            </w:tcBorders>
            <w:shd w:val="clear" w:color="auto" w:fill="F2F2F2"/>
          </w:tcPr>
          <w:p w:rsidR="00013D89" w:rsidRPr="00E07E8D" w:rsidRDefault="00013D89" w:rsidP="00CF00C8">
            <w:pPr>
              <w:pStyle w:val="Box"/>
              <w:rPr>
                <w:i/>
              </w:rPr>
            </w:pPr>
            <w:r w:rsidRPr="00E07E8D">
              <w:rPr>
                <w:i/>
              </w:rPr>
              <w:t>Data on access to water, sewerage and el</w:t>
            </w:r>
            <w:r w:rsidR="00CF00C8" w:rsidRPr="00E07E8D">
              <w:rPr>
                <w:i/>
              </w:rPr>
              <w:t xml:space="preserve">ectricity services in discrete Aboriginal and Torres Strait Islander </w:t>
            </w:r>
            <w:r w:rsidRPr="00E07E8D">
              <w:rPr>
                <w:i/>
              </w:rPr>
              <w:t>communities are relatively old and with limited time series.</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D82758" w:rsidRPr="00037871" w:rsidRDefault="00D82758"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D82758" w:rsidRPr="00037871" w:rsidRDefault="00D82758" w:rsidP="008E4321">
            <w:pPr>
              <w:pStyle w:val="BoxSpaceBelow"/>
              <w:rPr>
                <w:color w:val="00B050"/>
              </w:rPr>
            </w:pPr>
          </w:p>
        </w:tc>
      </w:tr>
    </w:tbl>
    <w:p w:rsidR="000017FD" w:rsidRPr="00320D2D" w:rsidRDefault="000017FD" w:rsidP="000017FD">
      <w:pPr>
        <w:pStyle w:val="BodyText"/>
      </w:pPr>
      <w:r w:rsidRPr="00037871">
        <w:rPr>
          <w:color w:val="00B050"/>
        </w:rPr>
        <w:br w:type="page"/>
      </w:r>
    </w:p>
    <w:p w:rsidR="00FE1E8D" w:rsidRPr="003B5F03" w:rsidRDefault="00D82758" w:rsidP="00D82758">
      <w:pPr>
        <w:pStyle w:val="Heading2"/>
        <w:rPr>
          <w:color w:val="000000" w:themeColor="text1"/>
        </w:rPr>
      </w:pPr>
      <w:r w:rsidRPr="003B5F03">
        <w:rPr>
          <w:color w:val="000000" w:themeColor="text1"/>
        </w:rPr>
        <w:t xml:space="preserve">11 </w:t>
      </w:r>
      <w:r w:rsidRPr="003B5F03">
        <w:rPr>
          <w:color w:val="000000" w:themeColor="text1"/>
        </w:rPr>
        <w:tab/>
        <w:t>Safe and supportive communities</w:t>
      </w:r>
    </w:p>
    <w:p w:rsidR="00013D89" w:rsidRPr="003B5F03" w:rsidRDefault="00013D89" w:rsidP="00013D89">
      <w:pPr>
        <w:pStyle w:val="BodyText"/>
        <w:rPr>
          <w:color w:val="000000" w:themeColor="text1"/>
        </w:rPr>
      </w:pPr>
      <w:r w:rsidRPr="003B5F03">
        <w:rPr>
          <w:color w:val="000000" w:themeColor="text1"/>
        </w:rPr>
        <w:t>Safe and supportive families and communities provide a resilient, caring and protective environment, promoting a range of positive outcomes. However, problems in families and communities can contribute to disrupted relationships, social alienation, alcohol and drug misuse and family violence.</w:t>
      </w:r>
    </w:p>
    <w:p w:rsidR="00D82758" w:rsidRPr="00037871" w:rsidRDefault="00D82758" w:rsidP="00D8275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3B5F03" w:rsidTr="00CD0615">
        <w:tc>
          <w:tcPr>
            <w:tcW w:w="8793" w:type="dxa"/>
            <w:gridSpan w:val="3"/>
            <w:tcBorders>
              <w:top w:val="single" w:sz="6" w:space="0" w:color="78A22F"/>
              <w:left w:val="nil"/>
              <w:bottom w:val="nil"/>
              <w:right w:val="nil"/>
            </w:tcBorders>
            <w:shd w:val="clear" w:color="auto" w:fill="F2F2F2"/>
          </w:tcPr>
          <w:p w:rsidR="00D82758" w:rsidRPr="003B5F03" w:rsidRDefault="00D82758" w:rsidP="001D480C">
            <w:pPr>
              <w:pStyle w:val="BoxTitle"/>
              <w:spacing w:after="120"/>
              <w:rPr>
                <w:color w:val="000000" w:themeColor="text1"/>
              </w:rPr>
            </w:pPr>
            <w:r w:rsidRPr="003B5F03">
              <w:rPr>
                <w:color w:val="000000" w:themeColor="text1"/>
              </w:rPr>
              <w:t>11.1</w:t>
            </w:r>
            <w:r w:rsidRPr="003B5F03">
              <w:rPr>
                <w:color w:val="000000" w:themeColor="text1"/>
              </w:rPr>
              <w:tab/>
              <w:t>Alcohol consumption and harm</w:t>
            </w:r>
          </w:p>
        </w:tc>
      </w:tr>
      <w:tr w:rsidR="00037871" w:rsidRPr="00037871" w:rsidTr="00CD0615">
        <w:trPr>
          <w:cantSplit/>
        </w:trPr>
        <w:tc>
          <w:tcPr>
            <w:tcW w:w="3828" w:type="dxa"/>
            <w:tcBorders>
              <w:top w:val="nil"/>
              <w:left w:val="nil"/>
              <w:bottom w:val="nil"/>
              <w:right w:val="nil"/>
            </w:tcBorders>
            <w:shd w:val="clear" w:color="auto" w:fill="F2F2F2"/>
          </w:tcPr>
          <w:p w:rsidR="00D82758" w:rsidRPr="00647C3E" w:rsidRDefault="00013D89" w:rsidP="006F1C9E">
            <w:pPr>
              <w:pStyle w:val="Box"/>
            </w:pPr>
            <w:r w:rsidRPr="00647C3E">
              <w:t xml:space="preserve">Alcohol is a major risk factor </w:t>
            </w:r>
            <w:r w:rsidR="006F1C9E">
              <w:t xml:space="preserve">to </w:t>
            </w:r>
            <w:r w:rsidRPr="00647C3E">
              <w:t>Aboriginal and Torres Strait Islander wellbeing</w:t>
            </w:r>
            <w:r w:rsidR="006F1C9E">
              <w:t>, affecting Aboriginal and Torres Strait Islander Australians, their families and the broader community</w:t>
            </w:r>
            <w:r w:rsidRPr="00647C3E">
              <w:t>.</w:t>
            </w:r>
          </w:p>
        </w:tc>
        <w:tc>
          <w:tcPr>
            <w:tcW w:w="992" w:type="dxa"/>
            <w:tcBorders>
              <w:top w:val="nil"/>
              <w:left w:val="nil"/>
              <w:bottom w:val="nil"/>
              <w:right w:val="nil"/>
            </w:tcBorders>
            <w:shd w:val="clear" w:color="auto" w:fill="DA9C13"/>
          </w:tcPr>
          <w:p w:rsidR="00D82758" w:rsidRPr="00647C3E" w:rsidRDefault="00D82758" w:rsidP="008E4321">
            <w:pPr>
              <w:pStyle w:val="BoxHeading1"/>
            </w:pPr>
          </w:p>
          <w:p w:rsidR="00D82758" w:rsidRPr="00647C3E" w:rsidRDefault="00D82758" w:rsidP="008E4321">
            <w:pPr>
              <w:pStyle w:val="Box"/>
            </w:pPr>
          </w:p>
          <w:p w:rsidR="00D82758" w:rsidRPr="00647C3E" w:rsidRDefault="00D82758" w:rsidP="008E4321">
            <w:pPr>
              <w:pStyle w:val="Box"/>
              <w:spacing w:before="0"/>
              <w:jc w:val="center"/>
              <w:rPr>
                <w:sz w:val="48"/>
                <w:szCs w:val="48"/>
              </w:rPr>
            </w:pPr>
            <w:r w:rsidRPr="00647C3E">
              <w:rPr>
                <w:sz w:val="48"/>
                <w:szCs w:val="48"/>
              </w:rPr>
              <w:softHyphen/>
            </w:r>
            <w:r w:rsidRPr="00647C3E">
              <w:rPr>
                <w:sz w:val="48"/>
                <w:szCs w:val="48"/>
              </w:rPr>
              <w:softHyphen/>
            </w:r>
          </w:p>
          <w:p w:rsidR="00D82758" w:rsidRPr="00647C3E" w:rsidRDefault="00D82758" w:rsidP="00013D89">
            <w:pPr>
              <w:pStyle w:val="Box"/>
              <w:spacing w:before="200"/>
              <w:jc w:val="center"/>
              <w:rPr>
                <w:sz w:val="48"/>
                <w:szCs w:val="48"/>
              </w:rPr>
            </w:pPr>
            <w:r w:rsidRPr="00647C3E">
              <w:rPr>
                <w:b/>
                <w:sz w:val="48"/>
                <w:szCs w:val="48"/>
              </w:rPr>
              <w:t>_</w:t>
            </w:r>
          </w:p>
        </w:tc>
        <w:tc>
          <w:tcPr>
            <w:tcW w:w="3973" w:type="dxa"/>
            <w:tcBorders>
              <w:top w:val="nil"/>
              <w:left w:val="nil"/>
              <w:bottom w:val="nil"/>
              <w:right w:val="nil"/>
            </w:tcBorders>
            <w:shd w:val="clear" w:color="auto" w:fill="F2F2F2"/>
          </w:tcPr>
          <w:p w:rsidR="00013D89" w:rsidRDefault="00647C3E" w:rsidP="00701500">
            <w:pPr>
              <w:pStyle w:val="Box"/>
            </w:pPr>
            <w:r w:rsidRPr="00647C3E">
              <w:t>In 2014</w:t>
            </w:r>
            <w:r w:rsidR="00FB3DF6">
              <w:noBreakHyphen/>
            </w:r>
            <w:r w:rsidRPr="00647C3E">
              <w:t xml:space="preserve">15, </w:t>
            </w:r>
            <w:r w:rsidR="00011D0F" w:rsidRPr="00647C3E">
              <w:t>15</w:t>
            </w:r>
            <w:r w:rsidR="00011D0F">
              <w:t> </w:t>
            </w:r>
            <w:r w:rsidR="00011D0F" w:rsidRPr="00647C3E">
              <w:t>per</w:t>
            </w:r>
            <w:r w:rsidR="00011D0F">
              <w:t> </w:t>
            </w:r>
            <w:r w:rsidR="00011D0F" w:rsidRPr="00647C3E">
              <w:t xml:space="preserve">cent </w:t>
            </w:r>
            <w:r w:rsidR="0082585B">
              <w:t xml:space="preserve">of </w:t>
            </w:r>
            <w:r w:rsidR="00013D89" w:rsidRPr="00647C3E">
              <w:t xml:space="preserve">Aboriginal and Torres Strait Islander </w:t>
            </w:r>
            <w:r w:rsidRPr="00647C3E">
              <w:t>Australians aged 15 years and over</w:t>
            </w:r>
            <w:r w:rsidR="00701500">
              <w:t xml:space="preserve"> </w:t>
            </w:r>
            <w:r w:rsidR="00013D89" w:rsidRPr="00647C3E">
              <w:t xml:space="preserve">reported exceeding lifetime alcohol risk guidelines (the main measure for this indicator). This was similar to the proportion </w:t>
            </w:r>
            <w:r w:rsidR="00A135D3" w:rsidRPr="00647C3E">
              <w:t xml:space="preserve">in </w:t>
            </w:r>
            <w:r w:rsidR="00013D89" w:rsidRPr="00647C3E">
              <w:t>200</w:t>
            </w:r>
            <w:r w:rsidRPr="00647C3E">
              <w:t>2</w:t>
            </w:r>
            <w:r w:rsidR="007B64D4">
              <w:t xml:space="preserve"> (</w:t>
            </w:r>
            <w:r w:rsidR="007B64D4" w:rsidRPr="00047B12">
              <w:t>though lower than 2008</w:t>
            </w:r>
            <w:r w:rsidR="007B64D4">
              <w:t>)</w:t>
            </w:r>
            <w:r w:rsidR="00701500">
              <w:t>.</w:t>
            </w:r>
          </w:p>
          <w:p w:rsidR="00D82758" w:rsidRPr="00647C3E" w:rsidRDefault="00701500" w:rsidP="00814EDC">
            <w:pPr>
              <w:pStyle w:val="Box"/>
            </w:pPr>
            <w:r>
              <w:t xml:space="preserve">The proportion </w:t>
            </w:r>
            <w:r w:rsidR="00011D0F">
              <w:t>who</w:t>
            </w:r>
            <w:r>
              <w:t xml:space="preserve"> reported </w:t>
            </w:r>
            <w:r w:rsidR="00013D89" w:rsidRPr="00647C3E">
              <w:t>not consu</w:t>
            </w:r>
            <w:r w:rsidR="00011D0F">
              <w:t>ming alcohol in the previous 12 </w:t>
            </w:r>
            <w:r w:rsidR="00013D89" w:rsidRPr="00647C3E">
              <w:t>months</w:t>
            </w:r>
            <w:r>
              <w:t xml:space="preserve"> (40 per cent), was </w:t>
            </w:r>
            <w:r w:rsidR="00647C3E" w:rsidRPr="00647C3E">
              <w:t>similar to the proportion in 2002</w:t>
            </w:r>
            <w:r>
              <w:t xml:space="preserve">. The proportion </w:t>
            </w:r>
            <w:r w:rsidR="00011D0F">
              <w:t>who</w:t>
            </w:r>
            <w:r>
              <w:t xml:space="preserve"> reported </w:t>
            </w:r>
            <w:r w:rsidR="00013D89" w:rsidRPr="00647C3E">
              <w:t xml:space="preserve">exceeding single occasion risk guidelines in </w:t>
            </w:r>
            <w:r w:rsidR="00011D0F">
              <w:t xml:space="preserve">the </w:t>
            </w:r>
            <w:r w:rsidR="00647C3E" w:rsidRPr="00647C3E">
              <w:t>previous two weeks</w:t>
            </w:r>
            <w:r w:rsidR="00011D0F">
              <w:t xml:space="preserve"> (31 </w:t>
            </w:r>
            <w:r>
              <w:t xml:space="preserve">per cent) </w:t>
            </w:r>
            <w:r w:rsidR="00647C3E" w:rsidRPr="00647C3E">
              <w:t>was lower than the proportion in 2002 (35</w:t>
            </w:r>
            <w:r w:rsidR="00814EDC">
              <w:t> </w:t>
            </w:r>
            <w:r w:rsidR="00647C3E" w:rsidRPr="00647C3E">
              <w:t>per cent)</w:t>
            </w:r>
            <w:r w:rsidR="00013D89" w:rsidRPr="00647C3E">
              <w: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D82758" w:rsidRPr="00037871" w:rsidRDefault="00D82758"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D82758" w:rsidRPr="00037871" w:rsidRDefault="00D82758" w:rsidP="008E4321">
            <w:pPr>
              <w:pStyle w:val="BoxSpaceBelow"/>
              <w:rPr>
                <w:color w:val="00B050"/>
              </w:rPr>
            </w:pPr>
          </w:p>
        </w:tc>
      </w:tr>
    </w:tbl>
    <w:p w:rsidR="00D82758" w:rsidRPr="004411EA" w:rsidRDefault="00D82758" w:rsidP="00D82758">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4411EA" w:rsidTr="00CD0615">
        <w:tc>
          <w:tcPr>
            <w:tcW w:w="8793" w:type="dxa"/>
            <w:gridSpan w:val="3"/>
            <w:tcBorders>
              <w:top w:val="single" w:sz="6" w:space="0" w:color="78A22F"/>
              <w:left w:val="nil"/>
              <w:bottom w:val="nil"/>
              <w:right w:val="nil"/>
            </w:tcBorders>
            <w:shd w:val="clear" w:color="auto" w:fill="F2F2F2"/>
          </w:tcPr>
          <w:p w:rsidR="00D82758" w:rsidRPr="004411EA" w:rsidRDefault="00D82758" w:rsidP="001D480C">
            <w:pPr>
              <w:pStyle w:val="BoxTitle"/>
              <w:spacing w:after="120"/>
            </w:pPr>
            <w:r w:rsidRPr="004411EA">
              <w:t>11.2</w:t>
            </w:r>
            <w:r w:rsidRPr="004411EA">
              <w:tab/>
              <w:t>Drug and other substance use and harm</w:t>
            </w:r>
          </w:p>
        </w:tc>
      </w:tr>
      <w:tr w:rsidR="00C05945" w:rsidRPr="004411EA" w:rsidTr="00CD0615">
        <w:trPr>
          <w:cantSplit/>
        </w:trPr>
        <w:tc>
          <w:tcPr>
            <w:tcW w:w="3828" w:type="dxa"/>
            <w:tcBorders>
              <w:top w:val="nil"/>
              <w:left w:val="nil"/>
              <w:bottom w:val="nil"/>
              <w:right w:val="nil"/>
            </w:tcBorders>
            <w:shd w:val="clear" w:color="auto" w:fill="F2F2F2"/>
          </w:tcPr>
          <w:p w:rsidR="00D82758" w:rsidRPr="008462CE" w:rsidRDefault="00013D89" w:rsidP="008E4321">
            <w:pPr>
              <w:pStyle w:val="Box"/>
            </w:pPr>
            <w:r w:rsidRPr="008462CE">
              <w:t>The misuse of legal drugs and substances and use of illegal drugs can have major negative effects on individuals, families and communities. The use of illicit drugs contributes to illness and disease, accidents and injury, violence and crime, family and social disruption, and workplace problems.</w:t>
            </w:r>
          </w:p>
        </w:tc>
        <w:tc>
          <w:tcPr>
            <w:tcW w:w="992" w:type="dxa"/>
            <w:tcBorders>
              <w:top w:val="nil"/>
              <w:left w:val="nil"/>
              <w:bottom w:val="nil"/>
              <w:right w:val="nil"/>
            </w:tcBorders>
            <w:shd w:val="clear" w:color="auto" w:fill="990000"/>
          </w:tcPr>
          <w:p w:rsidR="00524C50" w:rsidRPr="008462CE" w:rsidRDefault="00524C50" w:rsidP="00524C50">
            <w:pPr>
              <w:pStyle w:val="BoxHeading1"/>
            </w:pPr>
          </w:p>
          <w:p w:rsidR="00524C50" w:rsidRPr="008462CE" w:rsidRDefault="00524C50" w:rsidP="00524C50">
            <w:pPr>
              <w:pStyle w:val="Box"/>
            </w:pPr>
          </w:p>
          <w:p w:rsidR="00D82758" w:rsidRPr="008462CE" w:rsidRDefault="00524C50" w:rsidP="00524C50">
            <w:pPr>
              <w:pStyle w:val="Box"/>
              <w:spacing w:before="360"/>
              <w:jc w:val="center"/>
              <w:rPr>
                <w:sz w:val="48"/>
                <w:szCs w:val="48"/>
              </w:rPr>
            </w:pPr>
            <w:r w:rsidRPr="008462CE">
              <w:rPr>
                <w:sz w:val="48"/>
                <w:szCs w:val="48"/>
              </w:rPr>
              <w:softHyphen/>
            </w:r>
            <w:r w:rsidRPr="008462CE">
              <w:rPr>
                <w:rFonts w:ascii="Wingdings 2" w:hAnsi="Wingdings 2"/>
                <w:sz w:val="48"/>
                <w:szCs w:val="48"/>
              </w:rPr>
              <w:t></w:t>
            </w:r>
          </w:p>
        </w:tc>
        <w:tc>
          <w:tcPr>
            <w:tcW w:w="3973" w:type="dxa"/>
            <w:tcBorders>
              <w:top w:val="nil"/>
              <w:left w:val="nil"/>
              <w:bottom w:val="nil"/>
              <w:right w:val="nil"/>
            </w:tcBorders>
            <w:shd w:val="clear" w:color="auto" w:fill="F2F2F2"/>
          </w:tcPr>
          <w:p w:rsidR="00013D89" w:rsidRPr="008462CE" w:rsidRDefault="00011D0F" w:rsidP="00013D89">
            <w:pPr>
              <w:pStyle w:val="Box"/>
            </w:pPr>
            <w:r>
              <w:t>For</w:t>
            </w:r>
            <w:r w:rsidR="00013D89" w:rsidRPr="008462CE">
              <w:t xml:space="preserve"> Aboriginal and Torres Strait Islander adults in 201</w:t>
            </w:r>
            <w:r w:rsidR="004411EA" w:rsidRPr="008462CE">
              <w:t>4</w:t>
            </w:r>
            <w:r w:rsidR="00FB3DF6">
              <w:noBreakHyphen/>
            </w:r>
            <w:r w:rsidR="00013D89" w:rsidRPr="008462CE">
              <w:t>1</w:t>
            </w:r>
            <w:r w:rsidR="004411EA" w:rsidRPr="008462CE">
              <w:t>5</w:t>
            </w:r>
            <w:r w:rsidR="00013D89" w:rsidRPr="008462CE">
              <w:t>:</w:t>
            </w:r>
          </w:p>
          <w:p w:rsidR="00D82758" w:rsidRDefault="00013D89" w:rsidP="00A40893">
            <w:pPr>
              <w:pStyle w:val="BoxListBullet"/>
            </w:pPr>
            <w:r w:rsidRPr="008462CE">
              <w:t>3</w:t>
            </w:r>
            <w:r w:rsidR="00F211BD" w:rsidRPr="008462CE">
              <w:t>1</w:t>
            </w:r>
            <w:r w:rsidRPr="008462CE">
              <w:t> per cent reported use of illicit substances in the previous 12 months</w:t>
            </w:r>
            <w:r w:rsidR="00861C2B">
              <w:t xml:space="preserve"> (main measure for this indicator)</w:t>
            </w:r>
            <w:r w:rsidRPr="008462CE">
              <w:t xml:space="preserve">, </w:t>
            </w:r>
            <w:r w:rsidR="00983131" w:rsidRPr="008462CE">
              <w:t>a</w:t>
            </w:r>
            <w:r w:rsidR="00F211BD" w:rsidRPr="008462CE">
              <w:t>n in</w:t>
            </w:r>
            <w:r w:rsidR="00983131" w:rsidRPr="008462CE">
              <w:t>crease from 2</w:t>
            </w:r>
            <w:r w:rsidR="00A40893" w:rsidRPr="008462CE">
              <w:t>3</w:t>
            </w:r>
            <w:r w:rsidR="00814EDC">
              <w:t> </w:t>
            </w:r>
            <w:r w:rsidR="00983131" w:rsidRPr="008462CE">
              <w:t xml:space="preserve">per cent in </w:t>
            </w:r>
            <w:r w:rsidR="00A40893" w:rsidRPr="008462CE">
              <w:t>2002</w:t>
            </w:r>
          </w:p>
          <w:p w:rsidR="00861C2B" w:rsidRPr="008462CE" w:rsidRDefault="00861C2B" w:rsidP="00814EDC">
            <w:pPr>
              <w:pStyle w:val="BoxListBullet"/>
              <w:spacing w:before="120" w:line="280" w:lineRule="atLeast"/>
            </w:pPr>
            <w:r w:rsidRPr="008462CE">
              <w:t>around two</w:t>
            </w:r>
            <w:r w:rsidR="00FB3DF6">
              <w:noBreakHyphen/>
            </w:r>
            <w:r w:rsidRPr="008462CE">
              <w:t>thirds (69</w:t>
            </w:r>
            <w:r w:rsidR="00814EDC">
              <w:t> </w:t>
            </w:r>
            <w:r w:rsidRPr="008462CE">
              <w:t xml:space="preserve">per cent) of adults reported </w:t>
            </w:r>
            <w:r w:rsidR="00A72C96">
              <w:t xml:space="preserve">not using </w:t>
            </w:r>
            <w:r>
              <w:t>illicit substances</w:t>
            </w:r>
            <w:r w:rsidR="00A72C96">
              <w:t xml:space="preserve"> in previous 12</w:t>
            </w:r>
            <w:r w:rsidR="00814EDC">
              <w:t> </w:t>
            </w:r>
            <w:r w:rsidR="00A72C96">
              <w:t>months</w:t>
            </w:r>
            <w:r>
              <w:t>.</w:t>
            </w:r>
          </w:p>
        </w:tc>
      </w:tr>
      <w:tr w:rsidR="00037871" w:rsidRPr="004411EA" w:rsidTr="00CD0615">
        <w:trPr>
          <w:cantSplit/>
        </w:trPr>
        <w:tc>
          <w:tcPr>
            <w:tcW w:w="8793" w:type="dxa"/>
            <w:gridSpan w:val="3"/>
            <w:tcBorders>
              <w:top w:val="nil"/>
              <w:left w:val="nil"/>
              <w:bottom w:val="nil"/>
              <w:right w:val="nil"/>
            </w:tcBorders>
            <w:shd w:val="clear" w:color="auto" w:fill="F2F2F2"/>
          </w:tcPr>
          <w:p w:rsidR="00D82758" w:rsidRPr="008462CE" w:rsidRDefault="00D82758" w:rsidP="008E4321">
            <w:pPr>
              <w:pStyle w:val="BoxHeading2"/>
            </w:pPr>
            <w:r w:rsidRPr="008462CE">
              <w:t>Things that work</w:t>
            </w:r>
          </w:p>
          <w:p w:rsidR="00D82758" w:rsidRPr="008462CE" w:rsidRDefault="00A40893" w:rsidP="00814EDC">
            <w:pPr>
              <w:pStyle w:val="Box"/>
            </w:pPr>
            <w:r w:rsidRPr="008462CE">
              <w:rPr>
                <w:b/>
              </w:rPr>
              <w:t>L</w:t>
            </w:r>
            <w:r w:rsidR="00013D89" w:rsidRPr="008462CE">
              <w:rPr>
                <w:b/>
              </w:rPr>
              <w:t>ow aromatic fuel</w:t>
            </w:r>
            <w:r w:rsidR="00013D89" w:rsidRPr="008462CE">
              <w:t xml:space="preserve"> was introduced in the NT and WA </w:t>
            </w:r>
            <w:r w:rsidRPr="008462CE">
              <w:t>in 2006 and has since been introduced in</w:t>
            </w:r>
            <w:r w:rsidR="007C34DC" w:rsidRPr="008462CE">
              <w:t xml:space="preserve"> Queensland and SA</w:t>
            </w:r>
            <w:r w:rsidRPr="008462CE">
              <w:t xml:space="preserve"> </w:t>
            </w:r>
            <w:r w:rsidR="00013D89" w:rsidRPr="008462CE">
              <w:t xml:space="preserve">to reduce petrol sniffing. </w:t>
            </w:r>
            <w:r w:rsidR="007C34DC" w:rsidRPr="008462CE">
              <w:t xml:space="preserve">The most </w:t>
            </w:r>
            <w:r w:rsidR="007C34DC" w:rsidRPr="005000A8">
              <w:t xml:space="preserve">recent </w:t>
            </w:r>
            <w:r w:rsidR="006F1C9E" w:rsidRPr="005000A8">
              <w:t xml:space="preserve">(2011–2014) </w:t>
            </w:r>
            <w:r w:rsidR="00013D89" w:rsidRPr="005000A8">
              <w:t>evalu</w:t>
            </w:r>
            <w:r w:rsidR="006F1C9E" w:rsidRPr="005000A8">
              <w:t>ation</w:t>
            </w:r>
            <w:r w:rsidR="00013D89" w:rsidRPr="005000A8">
              <w:t xml:space="preserve"> </w:t>
            </w:r>
            <w:r w:rsidR="00013D89" w:rsidRPr="008462CE">
              <w:t>found that</w:t>
            </w:r>
            <w:r w:rsidR="00077E48">
              <w:t xml:space="preserve"> for the 17 </w:t>
            </w:r>
            <w:r w:rsidR="008E6FE6">
              <w:t xml:space="preserve">(out of 53) </w:t>
            </w:r>
            <w:r w:rsidR="00077E48">
              <w:t>communities with comparable time series data,</w:t>
            </w:r>
            <w:r w:rsidR="00013D89" w:rsidRPr="008462CE">
              <w:t xml:space="preserve"> the prevalence of sniffing had declined</w:t>
            </w:r>
            <w:r w:rsidR="007C34DC" w:rsidRPr="008462CE">
              <w:t xml:space="preserve"> </w:t>
            </w:r>
            <w:r w:rsidR="00077E48">
              <w:t>by 88</w:t>
            </w:r>
            <w:r w:rsidR="00814EDC">
              <w:t> </w:t>
            </w:r>
            <w:r w:rsidR="00077E48">
              <w:t>per cent from</w:t>
            </w:r>
            <w:r w:rsidR="007C34DC" w:rsidRPr="008462CE">
              <w:t xml:space="preserve"> 2005</w:t>
            </w:r>
            <w:r w:rsidR="00FB3DF6">
              <w:t>–</w:t>
            </w:r>
            <w:r w:rsidR="007C34DC" w:rsidRPr="008462CE">
              <w:t>07 to 2013</w:t>
            </w:r>
            <w:r w:rsidR="007C34DC" w:rsidRPr="008462CE">
              <w:noBreakHyphen/>
              <w:t>14</w:t>
            </w:r>
            <w:r w:rsidR="00077E48">
              <w:t xml:space="preserve"> (from 647 to 78 people) </w:t>
            </w:r>
            <w:r w:rsidR="00013D89" w:rsidRPr="008462CE">
              <w:t>(</w:t>
            </w:r>
            <w:r w:rsidR="00861C2B">
              <w:t xml:space="preserve">see </w:t>
            </w:r>
            <w:r w:rsidR="00013D89" w:rsidRPr="008462CE">
              <w:t>box</w:t>
            </w:r>
            <w:r w:rsidR="00FB3DF6">
              <w:t> </w:t>
            </w:r>
            <w:r w:rsidR="00013D89" w:rsidRPr="008462CE">
              <w:t>11.2.3</w:t>
            </w:r>
            <w:r w:rsidR="00861C2B">
              <w:t xml:space="preserve"> in the main report for further detail</w:t>
            </w:r>
            <w:r w:rsidR="00013D89" w:rsidRPr="008462CE">
              <w:t>).</w:t>
            </w:r>
          </w:p>
        </w:tc>
      </w:tr>
      <w:tr w:rsidR="00037871" w:rsidRPr="004411EA" w:rsidTr="00CD0615">
        <w:trPr>
          <w:cantSplit/>
        </w:trPr>
        <w:tc>
          <w:tcPr>
            <w:tcW w:w="8793" w:type="dxa"/>
            <w:gridSpan w:val="3"/>
            <w:tcBorders>
              <w:top w:val="nil"/>
              <w:left w:val="nil"/>
              <w:bottom w:val="single" w:sz="6" w:space="0" w:color="78A22F"/>
              <w:right w:val="nil"/>
            </w:tcBorders>
            <w:shd w:val="clear" w:color="auto" w:fill="F2F2F2"/>
          </w:tcPr>
          <w:p w:rsidR="00D82758" w:rsidRPr="004411EA" w:rsidRDefault="00D82758" w:rsidP="008E4321">
            <w:pPr>
              <w:pStyle w:val="Box"/>
              <w:spacing w:before="0" w:line="120" w:lineRule="exact"/>
            </w:pPr>
          </w:p>
        </w:tc>
      </w:tr>
      <w:tr w:rsidR="00037871" w:rsidRPr="004411EA" w:rsidTr="00CD0615">
        <w:tc>
          <w:tcPr>
            <w:tcW w:w="8793" w:type="dxa"/>
            <w:gridSpan w:val="3"/>
            <w:tcBorders>
              <w:top w:val="single" w:sz="6" w:space="0" w:color="78A22F"/>
              <w:left w:val="nil"/>
              <w:bottom w:val="nil"/>
              <w:right w:val="nil"/>
            </w:tcBorders>
          </w:tcPr>
          <w:p w:rsidR="00D82758" w:rsidRPr="004411EA" w:rsidRDefault="00D82758" w:rsidP="008E4321">
            <w:pPr>
              <w:pStyle w:val="BoxSpaceBelow"/>
            </w:pPr>
          </w:p>
        </w:tc>
      </w:tr>
    </w:tbl>
    <w:p w:rsidR="00D82758" w:rsidRPr="00037871" w:rsidRDefault="00D82758" w:rsidP="00D8275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FB47D2" w:rsidTr="00CD0615">
        <w:tc>
          <w:tcPr>
            <w:tcW w:w="8793" w:type="dxa"/>
            <w:gridSpan w:val="3"/>
            <w:tcBorders>
              <w:top w:val="single" w:sz="6" w:space="0" w:color="78A22F"/>
              <w:left w:val="nil"/>
              <w:bottom w:val="nil"/>
              <w:right w:val="nil"/>
            </w:tcBorders>
            <w:shd w:val="clear" w:color="auto" w:fill="F2F2F2"/>
          </w:tcPr>
          <w:p w:rsidR="00D82758" w:rsidRPr="00FB47D2" w:rsidRDefault="00D82758" w:rsidP="001D480C">
            <w:pPr>
              <w:pStyle w:val="BoxTitle"/>
              <w:spacing w:after="120"/>
              <w:rPr>
                <w:color w:val="000000" w:themeColor="text1"/>
              </w:rPr>
            </w:pPr>
            <w:r w:rsidRPr="00FB47D2">
              <w:rPr>
                <w:color w:val="000000" w:themeColor="text1"/>
              </w:rPr>
              <w:t>11.3</w:t>
            </w:r>
            <w:r w:rsidRPr="00FB47D2">
              <w:rPr>
                <w:color w:val="000000" w:themeColor="text1"/>
              </w:rPr>
              <w:tab/>
              <w:t>Juvenile diversions</w:t>
            </w:r>
          </w:p>
        </w:tc>
      </w:tr>
      <w:tr w:rsidR="00037871" w:rsidRPr="00037871" w:rsidTr="00CD0615">
        <w:trPr>
          <w:cantSplit/>
        </w:trPr>
        <w:tc>
          <w:tcPr>
            <w:tcW w:w="3828" w:type="dxa"/>
            <w:tcBorders>
              <w:top w:val="nil"/>
              <w:left w:val="nil"/>
              <w:bottom w:val="nil"/>
              <w:right w:val="nil"/>
            </w:tcBorders>
            <w:shd w:val="clear" w:color="auto" w:fill="F2F2F2"/>
          </w:tcPr>
          <w:p w:rsidR="00013D89" w:rsidRPr="0006170B" w:rsidRDefault="00013D89" w:rsidP="00013D89">
            <w:pPr>
              <w:pStyle w:val="Box"/>
            </w:pPr>
            <w:r w:rsidRPr="0006170B">
              <w:t>Diversions</w:t>
            </w:r>
            <w:r w:rsidR="0092337A" w:rsidRPr="0006170B">
              <w:t>,</w:t>
            </w:r>
            <w:r w:rsidRPr="0006170B">
              <w:t xml:space="preserve"> such as police cautioning and conferencing</w:t>
            </w:r>
            <w:r w:rsidR="0092337A" w:rsidRPr="0006170B">
              <w:t>,</w:t>
            </w:r>
            <w:r w:rsidRPr="0006170B">
              <w:t xml:space="preserve"> prevent young people from entering or continuing in the formal criminal justice system.</w:t>
            </w:r>
          </w:p>
          <w:p w:rsidR="00D82758" w:rsidRPr="0006170B" w:rsidRDefault="00013D89" w:rsidP="00013D89">
            <w:pPr>
              <w:pStyle w:val="Box"/>
            </w:pPr>
            <w:r w:rsidRPr="0006170B">
              <w:t>Diversions are swift and economically efficient processes, and can reduce sti</w:t>
            </w:r>
            <w:r w:rsidR="0092337A" w:rsidRPr="0006170B">
              <w:t>gmatisation</w:t>
            </w:r>
            <w:r w:rsidRPr="0006170B">
              <w:t xml:space="preserve"> and contact with other offenders.</w:t>
            </w:r>
          </w:p>
        </w:tc>
        <w:tc>
          <w:tcPr>
            <w:tcW w:w="992" w:type="dxa"/>
            <w:tcBorders>
              <w:top w:val="nil"/>
              <w:left w:val="nil"/>
              <w:bottom w:val="nil"/>
              <w:right w:val="nil"/>
            </w:tcBorders>
            <w:shd w:val="clear" w:color="auto" w:fill="7E9CA0"/>
          </w:tcPr>
          <w:p w:rsidR="00D82758" w:rsidRPr="0006170B" w:rsidRDefault="00D82758" w:rsidP="008E4321">
            <w:pPr>
              <w:pStyle w:val="BoxHeading1"/>
            </w:pPr>
          </w:p>
          <w:p w:rsidR="00D82758" w:rsidRPr="0006170B" w:rsidRDefault="00D82758" w:rsidP="008E4321">
            <w:pPr>
              <w:pStyle w:val="Box"/>
              <w:jc w:val="center"/>
              <w:rPr>
                <w:b/>
                <w:sz w:val="30"/>
                <w:szCs w:val="30"/>
              </w:rPr>
            </w:pPr>
          </w:p>
          <w:p w:rsidR="00D82758" w:rsidRPr="0006170B" w:rsidRDefault="00D82758" w:rsidP="00D82758">
            <w:pPr>
              <w:pStyle w:val="Box"/>
              <w:spacing w:before="0"/>
              <w:jc w:val="center"/>
              <w:rPr>
                <w:b/>
                <w:sz w:val="30"/>
                <w:szCs w:val="30"/>
              </w:rPr>
            </w:pPr>
            <w:r w:rsidRPr="0006170B">
              <w:rPr>
                <w:b/>
                <w:sz w:val="30"/>
                <w:szCs w:val="30"/>
              </w:rPr>
              <w:t>Data gap</w:t>
            </w:r>
          </w:p>
        </w:tc>
        <w:tc>
          <w:tcPr>
            <w:tcW w:w="3973" w:type="dxa"/>
            <w:tcBorders>
              <w:top w:val="nil"/>
              <w:left w:val="nil"/>
              <w:bottom w:val="nil"/>
              <w:right w:val="nil"/>
            </w:tcBorders>
            <w:shd w:val="clear" w:color="auto" w:fill="F2F2F2"/>
          </w:tcPr>
          <w:p w:rsidR="00D82758" w:rsidRPr="0006170B" w:rsidRDefault="0006170B" w:rsidP="0006170B">
            <w:pPr>
              <w:pStyle w:val="Box"/>
            </w:pPr>
            <w:r>
              <w:t>Across jurisdictions in 2014</w:t>
            </w:r>
            <w:r w:rsidR="00FB3DF6">
              <w:noBreakHyphen/>
            </w:r>
            <w:r>
              <w:t xml:space="preserve">15, </w:t>
            </w:r>
            <w:r w:rsidR="00013D89" w:rsidRPr="0006170B">
              <w:t>diversion rates for Aboriginal and Torres Strait Islander young people</w:t>
            </w:r>
            <w:r w:rsidR="00511F0E" w:rsidRPr="0006170B">
              <w:t xml:space="preserve"> aged 10–17 years</w:t>
            </w:r>
            <w:r w:rsidR="00013D89" w:rsidRPr="0006170B">
              <w:t xml:space="preserve"> are around </w:t>
            </w:r>
            <w:r w:rsidRPr="0006170B">
              <w:t>two</w:t>
            </w:r>
            <w:r w:rsidR="00FB3DF6">
              <w:noBreakHyphen/>
            </w:r>
            <w:r w:rsidRPr="0006170B">
              <w:t>fifths</w:t>
            </w:r>
            <w:r w:rsidR="00013D89" w:rsidRPr="0006170B">
              <w:t xml:space="preserve"> to two</w:t>
            </w:r>
            <w:r w:rsidR="00013D89" w:rsidRPr="0006170B">
              <w:noBreakHyphen/>
              <w:t>thirds</w:t>
            </w:r>
            <w:r w:rsidRPr="0006170B">
              <w:t xml:space="preserve"> (0.4 to 0.7 times)</w:t>
            </w:r>
            <w:r w:rsidR="00013D89" w:rsidRPr="0006170B">
              <w:t xml:space="preserve"> </w:t>
            </w:r>
            <w:r w:rsidRPr="0006170B">
              <w:t xml:space="preserve">the rates </w:t>
            </w:r>
            <w:r w:rsidR="00013D89" w:rsidRPr="0006170B">
              <w:t>for non</w:t>
            </w:r>
            <w:r w:rsidR="00013D89" w:rsidRPr="0006170B">
              <w:noBreakHyphen/>
              <w:t>Indigenous young people.</w:t>
            </w:r>
          </w:p>
        </w:tc>
      </w:tr>
      <w:tr w:rsidR="00037871" w:rsidRPr="00037871" w:rsidTr="00CD0615">
        <w:trPr>
          <w:cantSplit/>
        </w:trPr>
        <w:tc>
          <w:tcPr>
            <w:tcW w:w="8793" w:type="dxa"/>
            <w:gridSpan w:val="3"/>
            <w:tcBorders>
              <w:top w:val="nil"/>
              <w:left w:val="nil"/>
              <w:bottom w:val="nil"/>
              <w:right w:val="nil"/>
            </w:tcBorders>
            <w:shd w:val="clear" w:color="auto" w:fill="F2F2F2"/>
          </w:tcPr>
          <w:p w:rsidR="00D82758" w:rsidRPr="0006170B" w:rsidRDefault="00013D89" w:rsidP="0014070A">
            <w:pPr>
              <w:pStyle w:val="Box"/>
              <w:rPr>
                <w:i/>
              </w:rPr>
            </w:pPr>
            <w:r w:rsidRPr="0006170B">
              <w:rPr>
                <w:i/>
              </w:rPr>
              <w:t>Nationally comparable data are not currently available.</w:t>
            </w:r>
          </w:p>
        </w:tc>
      </w:tr>
      <w:tr w:rsidR="0039111B" w:rsidRPr="0039111B" w:rsidTr="00CD0615">
        <w:trPr>
          <w:cantSplit/>
        </w:trPr>
        <w:tc>
          <w:tcPr>
            <w:tcW w:w="8793" w:type="dxa"/>
            <w:gridSpan w:val="3"/>
            <w:tcBorders>
              <w:top w:val="nil"/>
              <w:left w:val="nil"/>
              <w:bottom w:val="nil"/>
              <w:right w:val="nil"/>
            </w:tcBorders>
            <w:shd w:val="clear" w:color="auto" w:fill="F2F2F2"/>
          </w:tcPr>
          <w:p w:rsidR="00D82758" w:rsidRPr="0039111B" w:rsidRDefault="00D82758" w:rsidP="00D82758">
            <w:pPr>
              <w:pStyle w:val="BoxHeading2"/>
            </w:pPr>
            <w:r w:rsidRPr="0039111B">
              <w:t>Things that work</w:t>
            </w:r>
          </w:p>
          <w:p w:rsidR="00D82758" w:rsidRPr="0039111B" w:rsidRDefault="0039111B" w:rsidP="006F1C9E">
            <w:pPr>
              <w:pStyle w:val="Box"/>
            </w:pPr>
            <w:r w:rsidRPr="0039111B">
              <w:t xml:space="preserve">The </w:t>
            </w:r>
            <w:r w:rsidRPr="0039111B">
              <w:rPr>
                <w:b/>
              </w:rPr>
              <w:t>Tiwi Islands Youth Development and Diversion Unit</w:t>
            </w:r>
            <w:r w:rsidRPr="0039111B">
              <w:t xml:space="preserve"> (NT) is a 12</w:t>
            </w:r>
            <w:r w:rsidR="00FB3DF6">
              <w:noBreakHyphen/>
            </w:r>
            <w:r w:rsidRPr="0039111B">
              <w:t>week diversion program engaging Tiwi youth (typically first</w:t>
            </w:r>
            <w:r w:rsidR="00FB3DF6">
              <w:noBreakHyphen/>
            </w:r>
            <w:r w:rsidRPr="0039111B">
              <w:t>time offenders) in prevention activities that aim to benefit the offender, victim and community. A 2011 evaluation found the re</w:t>
            </w:r>
            <w:r w:rsidR="00FB3DF6">
              <w:noBreakHyphen/>
            </w:r>
            <w:r w:rsidRPr="0039111B">
              <w:t>offending rate for program participants in the year following the program was below what would be expected for this population without the intervention (</w:t>
            </w:r>
            <w:r w:rsidR="00861C2B">
              <w:t xml:space="preserve">see </w:t>
            </w:r>
            <w:r w:rsidRPr="0039111B">
              <w:t>box</w:t>
            </w:r>
            <w:r w:rsidR="00FB3DF6">
              <w:t> </w:t>
            </w:r>
            <w:r w:rsidRPr="0039111B">
              <w:t>11.3.3</w:t>
            </w:r>
            <w:r w:rsidR="00861C2B">
              <w:t xml:space="preserve"> in the main report for further detail</w:t>
            </w:r>
            <w:r w:rsidRPr="0039111B">
              <w:t xml:space="preserve">). </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D82758" w:rsidRPr="00037871" w:rsidRDefault="00D82758"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D82758" w:rsidRPr="00037871" w:rsidRDefault="00D82758" w:rsidP="008E4321">
            <w:pPr>
              <w:pStyle w:val="BoxSpaceBelow"/>
              <w:rPr>
                <w:color w:val="00B050"/>
              </w:rPr>
            </w:pPr>
          </w:p>
        </w:tc>
      </w:tr>
    </w:tbl>
    <w:p w:rsidR="00D82758" w:rsidRPr="00037871" w:rsidRDefault="00D82758" w:rsidP="00D8275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FB47D2" w:rsidTr="00CD0615">
        <w:tc>
          <w:tcPr>
            <w:tcW w:w="8793" w:type="dxa"/>
            <w:gridSpan w:val="3"/>
            <w:tcBorders>
              <w:top w:val="single" w:sz="6" w:space="0" w:color="78A22F"/>
              <w:left w:val="nil"/>
              <w:bottom w:val="nil"/>
              <w:right w:val="nil"/>
            </w:tcBorders>
            <w:shd w:val="clear" w:color="auto" w:fill="F2F2F2"/>
          </w:tcPr>
          <w:p w:rsidR="00D82758" w:rsidRPr="00FB47D2" w:rsidRDefault="00D82758" w:rsidP="001D480C">
            <w:pPr>
              <w:pStyle w:val="BoxTitle"/>
              <w:spacing w:after="120"/>
              <w:rPr>
                <w:color w:val="000000" w:themeColor="text1"/>
              </w:rPr>
            </w:pPr>
            <w:r w:rsidRPr="00FB47D2">
              <w:rPr>
                <w:color w:val="000000" w:themeColor="text1"/>
              </w:rPr>
              <w:t>11.4</w:t>
            </w:r>
            <w:r w:rsidRPr="00FB47D2">
              <w:rPr>
                <w:color w:val="000000" w:themeColor="text1"/>
              </w:rPr>
              <w:tab/>
              <w:t>Repeat offending</w:t>
            </w:r>
          </w:p>
        </w:tc>
      </w:tr>
      <w:tr w:rsidR="00037871" w:rsidRPr="00037871" w:rsidTr="00CD0615">
        <w:trPr>
          <w:cantSplit/>
        </w:trPr>
        <w:tc>
          <w:tcPr>
            <w:tcW w:w="3828" w:type="dxa"/>
            <w:tcBorders>
              <w:top w:val="nil"/>
              <w:left w:val="nil"/>
              <w:bottom w:val="nil"/>
              <w:right w:val="nil"/>
            </w:tcBorders>
            <w:shd w:val="clear" w:color="auto" w:fill="F2F2F2"/>
          </w:tcPr>
          <w:p w:rsidR="00D82758" w:rsidRPr="007E1CB2" w:rsidRDefault="00013D89" w:rsidP="008E4321">
            <w:pPr>
              <w:pStyle w:val="Box"/>
            </w:pPr>
            <w:r w:rsidRPr="007E1CB2">
              <w:t>Repeat offending and re</w:t>
            </w:r>
            <w:r w:rsidRPr="007E1CB2">
              <w:noBreakHyphen/>
              <w:t>incarceration are signi</w:t>
            </w:r>
            <w:r w:rsidR="0029168C">
              <w:t>ficant contributors to the over</w:t>
            </w:r>
            <w:r w:rsidRPr="007E1CB2">
              <w:t>representation of Aboriginal and Torres Strait Islander Australians in the youth justice and criminal justice systems.</w:t>
            </w:r>
          </w:p>
        </w:tc>
        <w:tc>
          <w:tcPr>
            <w:tcW w:w="992" w:type="dxa"/>
            <w:tcBorders>
              <w:top w:val="nil"/>
              <w:left w:val="nil"/>
              <w:bottom w:val="nil"/>
              <w:right w:val="nil"/>
            </w:tcBorders>
            <w:shd w:val="clear" w:color="auto" w:fill="DA9C13"/>
          </w:tcPr>
          <w:p w:rsidR="00D82758" w:rsidRPr="007E1CB2" w:rsidRDefault="00D82758" w:rsidP="008E4321">
            <w:pPr>
              <w:pStyle w:val="BoxHeading1"/>
            </w:pPr>
          </w:p>
          <w:p w:rsidR="00D82758" w:rsidRPr="007E1CB2" w:rsidRDefault="00D82758" w:rsidP="008E4321">
            <w:pPr>
              <w:pStyle w:val="Box"/>
            </w:pPr>
          </w:p>
          <w:p w:rsidR="00D82758" w:rsidRPr="007E1CB2" w:rsidRDefault="00D82758" w:rsidP="008E4321">
            <w:pPr>
              <w:pStyle w:val="Box"/>
              <w:spacing w:before="0"/>
              <w:jc w:val="center"/>
              <w:rPr>
                <w:sz w:val="48"/>
                <w:szCs w:val="48"/>
              </w:rPr>
            </w:pPr>
            <w:r w:rsidRPr="007E1CB2">
              <w:rPr>
                <w:sz w:val="48"/>
                <w:szCs w:val="48"/>
              </w:rPr>
              <w:softHyphen/>
            </w:r>
            <w:r w:rsidRPr="007E1CB2">
              <w:rPr>
                <w:sz w:val="48"/>
                <w:szCs w:val="48"/>
              </w:rPr>
              <w:softHyphen/>
            </w:r>
          </w:p>
          <w:p w:rsidR="00D82758" w:rsidRPr="007E1CB2" w:rsidRDefault="00D82758" w:rsidP="008E4321">
            <w:pPr>
              <w:pStyle w:val="Box"/>
              <w:spacing w:before="0"/>
              <w:jc w:val="center"/>
              <w:rPr>
                <w:sz w:val="48"/>
                <w:szCs w:val="48"/>
              </w:rPr>
            </w:pPr>
            <w:r w:rsidRPr="007E1CB2">
              <w:rPr>
                <w:b/>
                <w:sz w:val="48"/>
                <w:szCs w:val="48"/>
              </w:rPr>
              <w:t>_</w:t>
            </w:r>
          </w:p>
        </w:tc>
        <w:tc>
          <w:tcPr>
            <w:tcW w:w="3973" w:type="dxa"/>
            <w:tcBorders>
              <w:top w:val="nil"/>
              <w:left w:val="nil"/>
              <w:bottom w:val="nil"/>
              <w:right w:val="nil"/>
            </w:tcBorders>
            <w:shd w:val="clear" w:color="auto" w:fill="F2F2F2"/>
          </w:tcPr>
          <w:p w:rsidR="00013D89" w:rsidRPr="007E1CB2" w:rsidRDefault="00EE4B55" w:rsidP="00013D89">
            <w:pPr>
              <w:pStyle w:val="Box"/>
            </w:pPr>
            <w:r w:rsidRPr="007E1CB2">
              <w:t>On 30 June 2015</w:t>
            </w:r>
            <w:r w:rsidR="00013D89" w:rsidRPr="007E1CB2">
              <w:t>, 77</w:t>
            </w:r>
            <w:r w:rsidR="00814EDC">
              <w:t> </w:t>
            </w:r>
            <w:r w:rsidR="00013D89" w:rsidRPr="007E1CB2">
              <w:t>per cent of Aboriginal and Torres Strait Islander prisoners had a known prio</w:t>
            </w:r>
            <w:r w:rsidRPr="007E1CB2">
              <w:t>r imprisonment, compared with 50</w:t>
            </w:r>
            <w:r w:rsidR="00013D89" w:rsidRPr="007E1CB2">
              <w:t xml:space="preserve"> per cent of non</w:t>
            </w:r>
            <w:r w:rsidR="00013D89" w:rsidRPr="007E1CB2">
              <w:noBreakHyphen/>
              <w:t xml:space="preserve">Indigenous prisoners. These proportions have remained relatively unchanged since 2000. </w:t>
            </w:r>
          </w:p>
          <w:p w:rsidR="00D82758" w:rsidRPr="007E1CB2" w:rsidRDefault="005000A8" w:rsidP="00814EDC">
            <w:pPr>
              <w:pStyle w:val="Box"/>
            </w:pPr>
            <w:r>
              <w:t>In 2014</w:t>
            </w:r>
            <w:r w:rsidR="00013D89" w:rsidRPr="007E1CB2">
              <w:noBreakHyphen/>
              <w:t>1</w:t>
            </w:r>
            <w:r>
              <w:t>5</w:t>
            </w:r>
            <w:r w:rsidR="00013D89" w:rsidRPr="007E1CB2">
              <w:t xml:space="preserve">, </w:t>
            </w:r>
            <w:r>
              <w:t>53</w:t>
            </w:r>
            <w:r w:rsidR="00814EDC">
              <w:t> </w:t>
            </w:r>
            <w:r>
              <w:t xml:space="preserve">per cent of </w:t>
            </w:r>
            <w:r w:rsidR="00013D89" w:rsidRPr="007E1CB2">
              <w:t>Aboriginal and Torres Strait Islander young people returned to youth justice supervision</w:t>
            </w:r>
            <w:r>
              <w:t>, similar to 2013</w:t>
            </w:r>
            <w:r w:rsidR="00FB3DF6">
              <w:noBreakHyphen/>
            </w:r>
            <w:r>
              <w:t>14 and</w:t>
            </w:r>
            <w:r w:rsidR="00013D89" w:rsidRPr="007E1CB2">
              <w:t xml:space="preserve"> 1.</w:t>
            </w:r>
            <w:r w:rsidR="00EE4B55" w:rsidRPr="007E1CB2">
              <w:t>6</w:t>
            </w:r>
            <w:r w:rsidR="00814EDC">
              <w:t> </w:t>
            </w:r>
            <w:r w:rsidR="00013D89" w:rsidRPr="007E1CB2">
              <w:t>times the rate of non</w:t>
            </w:r>
            <w:r w:rsidR="00013D89" w:rsidRPr="007E1CB2">
              <w:noBreakHyphen/>
              <w:t>Indigenous you</w:t>
            </w:r>
            <w:r>
              <w:t>ng people.</w:t>
            </w:r>
          </w:p>
        </w:tc>
      </w:tr>
      <w:tr w:rsidR="00037871" w:rsidRPr="00037871" w:rsidTr="00CD0615">
        <w:trPr>
          <w:cantSplit/>
        </w:trPr>
        <w:tc>
          <w:tcPr>
            <w:tcW w:w="8793" w:type="dxa"/>
            <w:gridSpan w:val="3"/>
            <w:tcBorders>
              <w:top w:val="nil"/>
              <w:left w:val="nil"/>
              <w:bottom w:val="nil"/>
              <w:right w:val="nil"/>
            </w:tcBorders>
            <w:shd w:val="clear" w:color="auto" w:fill="F2F2F2"/>
          </w:tcPr>
          <w:p w:rsidR="00D82758" w:rsidRPr="007E1CB2" w:rsidRDefault="00D82758" w:rsidP="008E4321">
            <w:pPr>
              <w:pStyle w:val="BoxHeading2"/>
            </w:pPr>
            <w:r w:rsidRPr="007E1CB2">
              <w:t>Things that work</w:t>
            </w:r>
          </w:p>
          <w:p w:rsidR="00D82758" w:rsidRPr="007E1CB2" w:rsidRDefault="00013D89" w:rsidP="008E4321">
            <w:pPr>
              <w:pStyle w:val="Box"/>
            </w:pPr>
            <w:r w:rsidRPr="007E1CB2">
              <w:t xml:space="preserve">The </w:t>
            </w:r>
            <w:r w:rsidRPr="007E1CB2">
              <w:rPr>
                <w:b/>
              </w:rPr>
              <w:t>Magistrates Early Referral into Treatment</w:t>
            </w:r>
            <w:r w:rsidRPr="007E1CB2">
              <w:t xml:space="preserve"> drug diversion program (NSW) is a ta</w:t>
            </w:r>
            <w:r w:rsidR="00696244">
              <w:t>ilored, case management program</w:t>
            </w:r>
            <w:r w:rsidRPr="007E1CB2">
              <w:t xml:space="preserve"> that diverts adult defendants in local courts with demonstrable drug pr</w:t>
            </w:r>
            <w:r w:rsidR="00DE4DD0" w:rsidRPr="007E1CB2">
              <w:t>oblems to an intensive three</w:t>
            </w:r>
            <w:r w:rsidRPr="007E1CB2">
              <w:noBreakHyphen/>
              <w:t>month drug treatment program. Aboriginal and Torres Strait Islander defendants make up around 18 per cent of the program. A 2009 evaluation found that, compared with similar defendants who did not participate in the program, completion of the program reduced reoffending by 12 per cent over a two</w:t>
            </w:r>
            <w:r w:rsidRPr="007E1CB2">
              <w:noBreakHyphen/>
              <w:t>year follow up period (</w:t>
            </w:r>
            <w:r w:rsidR="00091A02">
              <w:t xml:space="preserve">see </w:t>
            </w:r>
            <w:r w:rsidRPr="007E1CB2">
              <w:t>box 11.4.3</w:t>
            </w:r>
            <w:r w:rsidR="00091A02">
              <w:t xml:space="preserve"> in the main report for further detail</w:t>
            </w:r>
            <w:r w:rsidRPr="007E1CB2">
              <w: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D82758" w:rsidRPr="00037871" w:rsidRDefault="00D82758"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D82758" w:rsidRPr="00037871" w:rsidRDefault="00D82758" w:rsidP="008E4321">
            <w:pPr>
              <w:pStyle w:val="BoxSpaceBelow"/>
              <w:rPr>
                <w:color w:val="00B050"/>
              </w:rPr>
            </w:pPr>
          </w:p>
        </w:tc>
      </w:tr>
    </w:tbl>
    <w:p w:rsidR="00D82758" w:rsidRPr="00037871" w:rsidRDefault="00D82758" w:rsidP="00D82758">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828"/>
        <w:gridCol w:w="992"/>
        <w:gridCol w:w="3973"/>
      </w:tblGrid>
      <w:tr w:rsidR="00037871" w:rsidRPr="00FB47D2" w:rsidTr="00CD0615">
        <w:tc>
          <w:tcPr>
            <w:tcW w:w="8793" w:type="dxa"/>
            <w:gridSpan w:val="3"/>
            <w:tcBorders>
              <w:top w:val="single" w:sz="6" w:space="0" w:color="78A22F"/>
              <w:left w:val="nil"/>
              <w:bottom w:val="nil"/>
              <w:right w:val="nil"/>
            </w:tcBorders>
            <w:shd w:val="clear" w:color="auto" w:fill="F2F2F2"/>
          </w:tcPr>
          <w:p w:rsidR="00D82758" w:rsidRPr="00FB47D2" w:rsidRDefault="00D82758" w:rsidP="001D480C">
            <w:pPr>
              <w:pStyle w:val="BoxTitle"/>
              <w:spacing w:after="120"/>
              <w:rPr>
                <w:color w:val="000000" w:themeColor="text1"/>
              </w:rPr>
            </w:pPr>
            <w:r w:rsidRPr="00FB47D2">
              <w:rPr>
                <w:color w:val="000000" w:themeColor="text1"/>
              </w:rPr>
              <w:t>11.5</w:t>
            </w:r>
            <w:r w:rsidRPr="00FB47D2">
              <w:rPr>
                <w:color w:val="000000" w:themeColor="text1"/>
              </w:rPr>
              <w:tab/>
              <w:t>Community functioning</w:t>
            </w:r>
          </w:p>
        </w:tc>
      </w:tr>
      <w:tr w:rsidR="00037871" w:rsidRPr="00037871" w:rsidTr="00CD0615">
        <w:trPr>
          <w:cantSplit/>
        </w:trPr>
        <w:tc>
          <w:tcPr>
            <w:tcW w:w="3828" w:type="dxa"/>
            <w:tcBorders>
              <w:top w:val="nil"/>
              <w:left w:val="nil"/>
              <w:bottom w:val="nil"/>
              <w:right w:val="nil"/>
            </w:tcBorders>
            <w:shd w:val="clear" w:color="auto" w:fill="F2F2F2"/>
          </w:tcPr>
          <w:p w:rsidR="00D82758" w:rsidRPr="007E1CB2" w:rsidRDefault="00013D89" w:rsidP="008E4321">
            <w:pPr>
              <w:pStyle w:val="Box"/>
            </w:pPr>
            <w:r w:rsidRPr="007E1CB2">
              <w:t>For many people, individual wellbeing is closely tied to the wellbeing of their community as a whole.</w:t>
            </w:r>
          </w:p>
        </w:tc>
        <w:tc>
          <w:tcPr>
            <w:tcW w:w="992" w:type="dxa"/>
            <w:tcBorders>
              <w:top w:val="nil"/>
              <w:left w:val="nil"/>
              <w:bottom w:val="nil"/>
              <w:right w:val="nil"/>
            </w:tcBorders>
            <w:shd w:val="clear" w:color="auto" w:fill="DA9C13"/>
          </w:tcPr>
          <w:p w:rsidR="00D82758" w:rsidRPr="007E1CB2" w:rsidRDefault="00D82758" w:rsidP="008E4321">
            <w:pPr>
              <w:pStyle w:val="BoxHeading1"/>
            </w:pPr>
          </w:p>
          <w:p w:rsidR="00D82758" w:rsidRPr="007E1CB2" w:rsidRDefault="00D82758" w:rsidP="008E4321">
            <w:pPr>
              <w:pStyle w:val="Box"/>
              <w:jc w:val="center"/>
              <w:rPr>
                <w:b/>
                <w:sz w:val="30"/>
                <w:szCs w:val="30"/>
              </w:rPr>
            </w:pPr>
          </w:p>
          <w:p w:rsidR="00D82758" w:rsidRPr="007E1CB2" w:rsidRDefault="007E1CB2" w:rsidP="008E4321">
            <w:pPr>
              <w:pStyle w:val="Box"/>
              <w:spacing w:before="0"/>
              <w:jc w:val="center"/>
              <w:rPr>
                <w:b/>
                <w:sz w:val="30"/>
                <w:szCs w:val="30"/>
              </w:rPr>
            </w:pPr>
            <w:r w:rsidRPr="007E1CB2">
              <w:rPr>
                <w:b/>
                <w:sz w:val="48"/>
                <w:szCs w:val="48"/>
              </w:rPr>
              <w:t>_</w:t>
            </w:r>
          </w:p>
        </w:tc>
        <w:tc>
          <w:tcPr>
            <w:tcW w:w="3973" w:type="dxa"/>
            <w:tcBorders>
              <w:top w:val="nil"/>
              <w:left w:val="nil"/>
              <w:bottom w:val="nil"/>
              <w:right w:val="nil"/>
            </w:tcBorders>
            <w:shd w:val="clear" w:color="auto" w:fill="F2F2F2"/>
          </w:tcPr>
          <w:p w:rsidR="00D82758" w:rsidRPr="007E1CB2" w:rsidRDefault="007E1CB2" w:rsidP="007E1CB2">
            <w:pPr>
              <w:pStyle w:val="Box"/>
            </w:pPr>
            <w:r w:rsidRPr="007E1CB2">
              <w:t>Whilst there is no overall measure of community functioning, outcomes for 2014</w:t>
            </w:r>
            <w:r w:rsidR="00FB3DF6">
              <w:noBreakHyphen/>
            </w:r>
            <w:r w:rsidRPr="007E1CB2">
              <w:t>15 are not significantly different to those for 2008, for the six themes that make up community functioning: connectedness to country; land and history; culture and identity; resilience; leadership; having a role, structure and routine; feeling safe; and vitality</w:t>
            </w:r>
            <w:r w:rsidR="00013D89" w:rsidRPr="007E1CB2">
              <w:t>.</w:t>
            </w:r>
          </w:p>
        </w:tc>
      </w:tr>
      <w:tr w:rsidR="00A44B54" w:rsidRPr="00A44B54" w:rsidTr="00CD0615">
        <w:trPr>
          <w:cantSplit/>
        </w:trPr>
        <w:tc>
          <w:tcPr>
            <w:tcW w:w="8793" w:type="dxa"/>
            <w:gridSpan w:val="3"/>
            <w:tcBorders>
              <w:top w:val="nil"/>
              <w:left w:val="nil"/>
              <w:bottom w:val="nil"/>
              <w:right w:val="nil"/>
            </w:tcBorders>
            <w:shd w:val="clear" w:color="auto" w:fill="F2F2F2"/>
          </w:tcPr>
          <w:p w:rsidR="00D82758" w:rsidRPr="00A44B54" w:rsidRDefault="00D82758" w:rsidP="008E4321">
            <w:pPr>
              <w:pStyle w:val="BoxHeading2"/>
            </w:pPr>
            <w:r w:rsidRPr="00A44B54">
              <w:t>Things that work</w:t>
            </w:r>
          </w:p>
          <w:p w:rsidR="00D82758" w:rsidRPr="00A44B54" w:rsidRDefault="00013D89" w:rsidP="008E4321">
            <w:pPr>
              <w:pStyle w:val="Box"/>
            </w:pPr>
            <w:r w:rsidRPr="00A44B54">
              <w:t xml:space="preserve">The </w:t>
            </w:r>
            <w:r w:rsidRPr="00A44B54">
              <w:rPr>
                <w:b/>
              </w:rPr>
              <w:t>Family Wellbeing Program</w:t>
            </w:r>
            <w:r w:rsidRPr="00A44B54">
              <w:t xml:space="preserve"> (northern Australia) is a cultural healing program that aims to enhance participants’ capacity to deal with day</w:t>
            </w:r>
            <w:r w:rsidR="00FB3DF6">
              <w:noBreakHyphen/>
            </w:r>
            <w:r w:rsidRPr="00A44B54">
              <w:t>to</w:t>
            </w:r>
            <w:r w:rsidR="00FB3DF6">
              <w:noBreakHyphen/>
            </w:r>
            <w:r w:rsidRPr="00A44B54">
              <w:t>day stresses and to help others. It uses a group format, in which the experiences of the facilitators and participants are the main learning resource. A 2010 review of seven formative evaluations of the program concluded that it increased the capacity of participants to exert greater control over their health and wellbeing (</w:t>
            </w:r>
            <w:r w:rsidR="00091A02">
              <w:t xml:space="preserve">see </w:t>
            </w:r>
            <w:r w:rsidRPr="00A44B54">
              <w:t>box 11.5.3</w:t>
            </w:r>
            <w:r w:rsidR="00091A02">
              <w:t xml:space="preserve"> in main report for further detail</w:t>
            </w:r>
            <w:r w:rsidRPr="00A44B54">
              <w:t>).</w:t>
            </w:r>
          </w:p>
        </w:tc>
      </w:tr>
      <w:tr w:rsidR="00037871" w:rsidRPr="00037871" w:rsidTr="00CD0615">
        <w:trPr>
          <w:cantSplit/>
        </w:trPr>
        <w:tc>
          <w:tcPr>
            <w:tcW w:w="8793" w:type="dxa"/>
            <w:gridSpan w:val="3"/>
            <w:tcBorders>
              <w:top w:val="nil"/>
              <w:left w:val="nil"/>
              <w:bottom w:val="single" w:sz="6" w:space="0" w:color="78A22F"/>
              <w:right w:val="nil"/>
            </w:tcBorders>
            <w:shd w:val="clear" w:color="auto" w:fill="F2F2F2"/>
          </w:tcPr>
          <w:p w:rsidR="00D82758" w:rsidRPr="00037871" w:rsidRDefault="00D82758" w:rsidP="008E4321">
            <w:pPr>
              <w:pStyle w:val="Box"/>
              <w:spacing w:before="0" w:line="120" w:lineRule="exact"/>
              <w:rPr>
                <w:color w:val="00B050"/>
              </w:rPr>
            </w:pPr>
          </w:p>
        </w:tc>
      </w:tr>
      <w:tr w:rsidR="00037871" w:rsidRPr="00037871" w:rsidTr="00CD0615">
        <w:tc>
          <w:tcPr>
            <w:tcW w:w="8793" w:type="dxa"/>
            <w:gridSpan w:val="3"/>
            <w:tcBorders>
              <w:top w:val="single" w:sz="6" w:space="0" w:color="78A22F"/>
              <w:left w:val="nil"/>
              <w:bottom w:val="nil"/>
              <w:right w:val="nil"/>
            </w:tcBorders>
          </w:tcPr>
          <w:p w:rsidR="00D82758" w:rsidRPr="00037871" w:rsidRDefault="00D82758" w:rsidP="008E4321">
            <w:pPr>
              <w:pStyle w:val="BoxSpaceBelow"/>
              <w:rPr>
                <w:color w:val="00B050"/>
              </w:rPr>
            </w:pPr>
          </w:p>
        </w:tc>
      </w:tr>
    </w:tbl>
    <w:p w:rsidR="00CD0615" w:rsidRDefault="00CD0615" w:rsidP="00D82758">
      <w:pPr>
        <w:pStyle w:val="Heading2"/>
        <w:rPr>
          <w:color w:val="000000" w:themeColor="text1"/>
        </w:rPr>
      </w:pPr>
    </w:p>
    <w:p w:rsidR="00CD0615" w:rsidRDefault="00CD0615" w:rsidP="00CD0615">
      <w:pPr>
        <w:rPr>
          <w:rFonts w:ascii="Arial" w:hAnsi="Arial"/>
          <w:sz w:val="32"/>
          <w:szCs w:val="20"/>
        </w:rPr>
      </w:pPr>
      <w:r>
        <w:br w:type="page"/>
      </w:r>
    </w:p>
    <w:p w:rsidR="00D82758" w:rsidRPr="00FB47D2" w:rsidRDefault="00D82758" w:rsidP="00D82758">
      <w:pPr>
        <w:pStyle w:val="Heading2"/>
        <w:rPr>
          <w:color w:val="000000" w:themeColor="text1"/>
        </w:rPr>
      </w:pPr>
      <w:r w:rsidRPr="00FB47D2">
        <w:rPr>
          <w:color w:val="000000" w:themeColor="text1"/>
        </w:rPr>
        <w:t>12</w:t>
      </w:r>
      <w:r w:rsidRPr="00FB47D2">
        <w:rPr>
          <w:color w:val="000000" w:themeColor="text1"/>
        </w:rPr>
        <w:tab/>
        <w:t>Outcomes for Torres Strait Islander people</w:t>
      </w:r>
    </w:p>
    <w:p w:rsidR="00013D89" w:rsidRPr="00FB47D2" w:rsidRDefault="00013D89" w:rsidP="00013D89">
      <w:pPr>
        <w:pStyle w:val="BodyText"/>
        <w:spacing w:before="120"/>
        <w:rPr>
          <w:color w:val="000000" w:themeColor="text1"/>
        </w:rPr>
      </w:pPr>
      <w:r w:rsidRPr="00FB47D2">
        <w:rPr>
          <w:color w:val="000000" w:themeColor="text1"/>
        </w:rPr>
        <w:t xml:space="preserve">Torres Strait Islander </w:t>
      </w:r>
      <w:r w:rsidR="005D5BB8">
        <w:rPr>
          <w:color w:val="000000" w:themeColor="text1"/>
        </w:rPr>
        <w:t>people</w:t>
      </w:r>
      <w:r w:rsidRPr="00FB47D2">
        <w:rPr>
          <w:color w:val="000000" w:themeColor="text1"/>
        </w:rPr>
        <w:t xml:space="preserve"> are a culturally distinct group of Indigenous Australians. The relatively small number of Torres Strait Islander </w:t>
      </w:r>
      <w:r w:rsidR="005D5BB8">
        <w:rPr>
          <w:color w:val="000000" w:themeColor="text1"/>
        </w:rPr>
        <w:t>people</w:t>
      </w:r>
      <w:r w:rsidRPr="00FB47D2">
        <w:rPr>
          <w:color w:val="000000" w:themeColor="text1"/>
        </w:rPr>
        <w:t xml:space="preserve"> limits the ability to report </w:t>
      </w:r>
      <w:r w:rsidR="00CC58DD">
        <w:rPr>
          <w:color w:val="000000" w:themeColor="text1"/>
        </w:rPr>
        <w:t>comprehensively</w:t>
      </w:r>
      <w:r w:rsidRPr="00FB47D2">
        <w:rPr>
          <w:color w:val="000000" w:themeColor="text1"/>
        </w:rPr>
        <w:t xml:space="preserve"> on outcomes, but data are available for some indicators.</w:t>
      </w:r>
    </w:p>
    <w:p w:rsidR="001601B9" w:rsidRPr="00200950" w:rsidRDefault="001601B9">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037871" w:rsidRPr="00037871" w:rsidTr="00CD0615">
        <w:tc>
          <w:tcPr>
            <w:tcW w:w="8793" w:type="dxa"/>
            <w:tcBorders>
              <w:top w:val="single" w:sz="6" w:space="0" w:color="78A22F"/>
              <w:left w:val="nil"/>
              <w:bottom w:val="nil"/>
              <w:right w:val="nil"/>
            </w:tcBorders>
            <w:shd w:val="clear" w:color="auto" w:fill="F2F2F2"/>
          </w:tcPr>
          <w:p w:rsidR="001601B9" w:rsidRPr="00967F72" w:rsidRDefault="001601B9" w:rsidP="001D480C">
            <w:pPr>
              <w:pStyle w:val="BoxTitle"/>
              <w:spacing w:after="120"/>
            </w:pPr>
            <w:r w:rsidRPr="00967F72">
              <w:t>Outcomes for Torres Strait Islander people</w:t>
            </w:r>
          </w:p>
        </w:tc>
      </w:tr>
      <w:tr w:rsidR="00037871" w:rsidRPr="00037871" w:rsidTr="00CD0615">
        <w:trPr>
          <w:cantSplit/>
        </w:trPr>
        <w:tc>
          <w:tcPr>
            <w:tcW w:w="8793" w:type="dxa"/>
            <w:tcBorders>
              <w:top w:val="nil"/>
              <w:left w:val="nil"/>
              <w:bottom w:val="nil"/>
              <w:right w:val="nil"/>
            </w:tcBorders>
            <w:shd w:val="clear" w:color="auto" w:fill="F2F2F2"/>
          </w:tcPr>
          <w:p w:rsidR="00200950" w:rsidRDefault="00200950" w:rsidP="00013D89">
            <w:pPr>
              <w:pStyle w:val="Box"/>
            </w:pPr>
            <w:r w:rsidRPr="00200950">
              <w:t>In 2014</w:t>
            </w:r>
            <w:r>
              <w:noBreakHyphen/>
            </w:r>
            <w:r w:rsidRPr="00200950">
              <w:t>15, for many indicators, national outcomes for Torr</w:t>
            </w:r>
            <w:r w:rsidR="0029168C">
              <w:t xml:space="preserve">es Strait Islander people </w:t>
            </w:r>
            <w:r w:rsidRPr="00200950">
              <w:t>were similar to those for Aboriginal A</w:t>
            </w:r>
            <w:r>
              <w:t>ustralians</w:t>
            </w:r>
            <w:r w:rsidR="00AA3EA5">
              <w:t xml:space="preserve">. </w:t>
            </w:r>
            <w:r w:rsidRPr="00200950">
              <w:t xml:space="preserve">However, the proportion of Torres Strait Islander </w:t>
            </w:r>
            <w:r w:rsidR="0029168C">
              <w:t>people</w:t>
            </w:r>
            <w:r w:rsidRPr="00200950">
              <w:t xml:space="preserve"> aged 20–24 years with year 12 or above (</w:t>
            </w:r>
            <w:r w:rsidR="006F1C9E">
              <w:t>80</w:t>
            </w:r>
            <w:r>
              <w:t> </w:t>
            </w:r>
            <w:r w:rsidRPr="00200950">
              <w:t>per</w:t>
            </w:r>
            <w:r>
              <w:t> </w:t>
            </w:r>
            <w:r w:rsidRPr="00200950">
              <w:t>cent) was significantly higher than f</w:t>
            </w:r>
            <w:r>
              <w:t>or Aboriginal Australians (</w:t>
            </w:r>
            <w:r w:rsidR="006F1C9E">
              <w:t>60</w:t>
            </w:r>
            <w:r>
              <w:t> </w:t>
            </w:r>
            <w:r w:rsidRPr="00200950">
              <w:t>per</w:t>
            </w:r>
            <w:r>
              <w:t> </w:t>
            </w:r>
            <w:r w:rsidRPr="00200950">
              <w:t>cent), and was similar to that for non</w:t>
            </w:r>
            <w:r>
              <w:noBreakHyphen/>
            </w:r>
            <w:r w:rsidRPr="00200950">
              <w:t>Indigenous Australians (</w:t>
            </w:r>
            <w:r w:rsidR="006F1C9E">
              <w:t>88</w:t>
            </w:r>
            <w:r>
              <w:t> </w:t>
            </w:r>
            <w:r w:rsidRPr="00200950">
              <w:t>per</w:t>
            </w:r>
            <w:r>
              <w:t> </w:t>
            </w:r>
            <w:r w:rsidRPr="00200950">
              <w:t>cent</w:t>
            </w:r>
            <w:r>
              <w:t>).</w:t>
            </w:r>
          </w:p>
          <w:p w:rsidR="00CC58DD" w:rsidRPr="00200950" w:rsidRDefault="00CC58DD" w:rsidP="0029168C">
            <w:pPr>
              <w:pStyle w:val="Box"/>
            </w:pPr>
            <w:r>
              <w:t>The 2014</w:t>
            </w:r>
            <w:r w:rsidR="00FB3DF6">
              <w:noBreakHyphen/>
            </w:r>
            <w:r>
              <w:t>15 data are from a sample survey, and as such are subject to sampling error which makes it difficult to detect differences between results for relatively small populations. For this reason, although not as recent, supplementary data from the ABS</w:t>
            </w:r>
            <w:r w:rsidR="00200950">
              <w:t xml:space="preserve"> 2011 Census </w:t>
            </w:r>
            <w:r>
              <w:t>are also reported. In 2011,</w:t>
            </w:r>
            <w:r w:rsidR="00200950">
              <w:t xml:space="preserve"> t</w:t>
            </w:r>
            <w:r w:rsidR="00200950" w:rsidRPr="00200950">
              <w:t xml:space="preserve">he proportion of Torres Strait Islander </w:t>
            </w:r>
            <w:r w:rsidR="0029168C">
              <w:t>people</w:t>
            </w:r>
            <w:r w:rsidR="00200950" w:rsidRPr="00200950">
              <w:t xml:space="preserve"> in the Torres Strait Region with year</w:t>
            </w:r>
            <w:r w:rsidR="00200950">
              <w:t> </w:t>
            </w:r>
            <w:r w:rsidR="00200950" w:rsidRPr="00200950">
              <w:t>12 or above, was similar to that for non</w:t>
            </w:r>
            <w:r w:rsidR="00200950">
              <w:noBreakHyphen/>
            </w:r>
            <w:r w:rsidR="00200950" w:rsidRPr="00200950">
              <w:t>Indigenous Australians nationally (86</w:t>
            </w:r>
            <w:r w:rsidR="00200950">
              <w:t> </w:t>
            </w:r>
            <w:r w:rsidR="00200950" w:rsidRPr="00200950">
              <w:t>per</w:t>
            </w:r>
            <w:r w:rsidR="00200950">
              <w:t> </w:t>
            </w:r>
            <w:r w:rsidR="00200950" w:rsidRPr="00200950">
              <w:t>cent and 87</w:t>
            </w:r>
            <w:r w:rsidR="00200950">
              <w:t> </w:t>
            </w:r>
            <w:r w:rsidR="00200950" w:rsidRPr="00200950">
              <w:t>per</w:t>
            </w:r>
            <w:r w:rsidR="00200950">
              <w:t> </w:t>
            </w:r>
            <w:r w:rsidR="00200950" w:rsidRPr="00200950">
              <w:t>cent respectively) and well above that for Aboriginal Australians across all remoteness areas</w:t>
            </w:r>
            <w:r w:rsidR="00200950">
              <w:t>.</w:t>
            </w:r>
          </w:p>
        </w:tc>
      </w:tr>
      <w:tr w:rsidR="00037871" w:rsidRPr="00037871" w:rsidTr="00CD0615">
        <w:trPr>
          <w:cantSplit/>
        </w:trPr>
        <w:tc>
          <w:tcPr>
            <w:tcW w:w="8793" w:type="dxa"/>
            <w:tcBorders>
              <w:top w:val="nil"/>
              <w:left w:val="nil"/>
              <w:bottom w:val="nil"/>
              <w:right w:val="nil"/>
            </w:tcBorders>
            <w:shd w:val="clear" w:color="auto" w:fill="F2F2F2"/>
          </w:tcPr>
          <w:p w:rsidR="001601B9" w:rsidRPr="00200950" w:rsidRDefault="00200950" w:rsidP="00200950">
            <w:pPr>
              <w:pStyle w:val="BoxHeading1"/>
              <w:rPr>
                <w:rStyle w:val="NoteLabel"/>
              </w:rPr>
            </w:pPr>
            <w:r w:rsidRPr="00200950">
              <w:t>20–24 year olds with year 12 or equivalent or AQF Certificate II or above, 2011</w:t>
            </w:r>
          </w:p>
        </w:tc>
      </w:tr>
      <w:tr w:rsidR="00037871" w:rsidRPr="00037871" w:rsidTr="00CD0615">
        <w:tblPrEx>
          <w:tblCellMar>
            <w:left w:w="108" w:type="dxa"/>
            <w:right w:w="108" w:type="dxa"/>
          </w:tblCellMar>
        </w:tblPrEx>
        <w:trPr>
          <w:cantSplit/>
        </w:trPr>
        <w:tc>
          <w:tcPr>
            <w:tcW w:w="8793" w:type="dxa"/>
            <w:tcBorders>
              <w:top w:val="nil"/>
              <w:left w:val="nil"/>
              <w:bottom w:val="nil"/>
              <w:right w:val="nil"/>
            </w:tcBorders>
            <w:shd w:val="clear" w:color="auto" w:fill="F2F2F2"/>
          </w:tcPr>
          <w:p w:rsidR="001601B9" w:rsidRPr="00AA3EA5" w:rsidRDefault="00FA7C3E" w:rsidP="00200950">
            <w:pPr>
              <w:jc w:val="center"/>
            </w:pPr>
            <w:r>
              <w:rPr>
                <w:noProof/>
              </w:rPr>
              <w:drawing>
                <wp:inline distT="0" distB="0" distL="0" distR="0">
                  <wp:extent cx="5391785" cy="2752090"/>
                  <wp:effectExtent l="0" t="0" r="0" b="0"/>
                  <wp:docPr id="20" name="Picture 20" descr="Figure: 20‑24 year olds with year 12 or equivalent or AQF Certificate II or above, 2011, by remoteness, for Torres Strait Islander people and Aboriginal Australian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785" cy="2752090"/>
                          </a:xfrm>
                          <a:prstGeom prst="rect">
                            <a:avLst/>
                          </a:prstGeom>
                          <a:noFill/>
                          <a:ln>
                            <a:noFill/>
                          </a:ln>
                        </pic:spPr>
                      </pic:pic>
                    </a:graphicData>
                  </a:graphic>
                </wp:inline>
              </w:drawing>
            </w:r>
          </w:p>
        </w:tc>
      </w:tr>
      <w:tr w:rsidR="00AA3EA5" w:rsidRPr="00AA3EA5" w:rsidTr="00CD0615">
        <w:trPr>
          <w:cantSplit/>
        </w:trPr>
        <w:tc>
          <w:tcPr>
            <w:tcW w:w="8793" w:type="dxa"/>
            <w:tcBorders>
              <w:top w:val="nil"/>
              <w:left w:val="nil"/>
              <w:bottom w:val="nil"/>
              <w:right w:val="nil"/>
            </w:tcBorders>
            <w:shd w:val="clear" w:color="auto" w:fill="F2F2F2"/>
          </w:tcPr>
          <w:p w:rsidR="001601B9" w:rsidRPr="00AA3EA5" w:rsidRDefault="001601B9" w:rsidP="0029168C">
            <w:pPr>
              <w:pStyle w:val="BoxSource"/>
            </w:pPr>
            <w:r w:rsidRPr="00AA3EA5">
              <w:rPr>
                <w:i/>
              </w:rPr>
              <w:t>Source</w:t>
            </w:r>
            <w:r w:rsidRPr="00AA3EA5">
              <w:t xml:space="preserve">: </w:t>
            </w:r>
            <w:r w:rsidR="0029168C">
              <w:t>Figure</w:t>
            </w:r>
            <w:r w:rsidR="00FB3DF6">
              <w:t> </w:t>
            </w:r>
            <w:r w:rsidR="0029168C">
              <w:t>12.1 in the main report</w:t>
            </w:r>
            <w:r w:rsidR="00AA3EA5" w:rsidRPr="00AA3EA5">
              <w:t>.</w:t>
            </w:r>
          </w:p>
        </w:tc>
      </w:tr>
      <w:tr w:rsidR="00CC58DD" w:rsidRPr="00AA3EA5" w:rsidTr="00CD0615">
        <w:trPr>
          <w:cantSplit/>
        </w:trPr>
        <w:tc>
          <w:tcPr>
            <w:tcW w:w="8793" w:type="dxa"/>
            <w:tcBorders>
              <w:top w:val="nil"/>
              <w:left w:val="nil"/>
              <w:bottom w:val="nil"/>
              <w:right w:val="nil"/>
            </w:tcBorders>
            <w:shd w:val="clear" w:color="auto" w:fill="F2F2F2"/>
          </w:tcPr>
          <w:p w:rsidR="00CC58DD" w:rsidRPr="00AA3EA5" w:rsidRDefault="0029168C" w:rsidP="00CC58DD">
            <w:pPr>
              <w:pStyle w:val="Box"/>
            </w:pPr>
            <w:r>
              <w:t>As remoteness increased</w:t>
            </w:r>
            <w:r w:rsidR="00CC58DD">
              <w:t>, outcomes for Aboriginal people decrease</w:t>
            </w:r>
            <w:r>
              <w:t>d</w:t>
            </w:r>
            <w:r w:rsidR="00CC58DD">
              <w:t xml:space="preserve"> for many indicators (as reflected acro</w:t>
            </w:r>
            <w:r>
              <w:t>ss this report). However, this wa</w:t>
            </w:r>
            <w:r w:rsidR="00CC58DD">
              <w:t>s not the situation for Torres Strait Islander people, where for employment and post</w:t>
            </w:r>
            <w:r w:rsidR="00FB3DF6">
              <w:noBreakHyphen/>
            </w:r>
            <w:r w:rsidR="00CC58DD">
              <w:t>school education (and particularly f</w:t>
            </w:r>
            <w:r>
              <w:t>or year 12 or above), outcomes we</w:t>
            </w:r>
            <w:r w:rsidR="00CC58DD">
              <w:t>re similar or better in very remote areas compared to non</w:t>
            </w:r>
            <w:r w:rsidR="00FB3DF6">
              <w:noBreakHyphen/>
            </w:r>
            <w:r w:rsidR="00CC58DD">
              <w:t>re</w:t>
            </w:r>
            <w:r w:rsidR="00753095">
              <w:t>mote areas.</w:t>
            </w:r>
          </w:p>
        </w:tc>
      </w:tr>
      <w:tr w:rsidR="00AA3EA5" w:rsidRPr="00AA3EA5" w:rsidTr="00CD0615">
        <w:trPr>
          <w:cantSplit/>
        </w:trPr>
        <w:tc>
          <w:tcPr>
            <w:tcW w:w="8793" w:type="dxa"/>
            <w:tcBorders>
              <w:top w:val="nil"/>
              <w:left w:val="nil"/>
              <w:bottom w:val="single" w:sz="6" w:space="0" w:color="78A22F"/>
              <w:right w:val="nil"/>
            </w:tcBorders>
            <w:shd w:val="clear" w:color="auto" w:fill="F2F2F2"/>
          </w:tcPr>
          <w:p w:rsidR="001601B9" w:rsidRPr="00AA3EA5" w:rsidRDefault="001601B9">
            <w:pPr>
              <w:pStyle w:val="Box"/>
              <w:spacing w:before="0" w:line="120" w:lineRule="exact"/>
            </w:pPr>
          </w:p>
        </w:tc>
      </w:tr>
      <w:tr w:rsidR="00AA3EA5" w:rsidRPr="00AA3EA5" w:rsidTr="00CD0615">
        <w:tc>
          <w:tcPr>
            <w:tcW w:w="8793" w:type="dxa"/>
            <w:tcBorders>
              <w:top w:val="single" w:sz="6" w:space="0" w:color="78A22F"/>
              <w:left w:val="nil"/>
              <w:bottom w:val="nil"/>
              <w:right w:val="nil"/>
            </w:tcBorders>
          </w:tcPr>
          <w:p w:rsidR="001601B9" w:rsidRPr="00AA3EA5" w:rsidRDefault="001601B9" w:rsidP="00826ABC">
            <w:pPr>
              <w:pStyle w:val="BoxSpaceBelow"/>
            </w:pPr>
          </w:p>
        </w:tc>
      </w:tr>
    </w:tbl>
    <w:p w:rsidR="00D82758" w:rsidRPr="00DE1AA1" w:rsidRDefault="00423330" w:rsidP="00423330">
      <w:pPr>
        <w:pStyle w:val="Heading2"/>
        <w:rPr>
          <w:color w:val="000000" w:themeColor="text1"/>
        </w:rPr>
      </w:pPr>
      <w:r w:rsidRPr="00DE1AA1">
        <w:rPr>
          <w:color w:val="000000" w:themeColor="text1"/>
        </w:rPr>
        <w:t>13</w:t>
      </w:r>
      <w:r w:rsidRPr="00DE1AA1">
        <w:rPr>
          <w:color w:val="000000" w:themeColor="text1"/>
        </w:rPr>
        <w:tab/>
      </w:r>
      <w:r w:rsidR="00DE1AA1" w:rsidRPr="00DE1AA1">
        <w:rPr>
          <w:color w:val="000000" w:themeColor="text1"/>
        </w:rPr>
        <w:t>Measuring factors that improve outcomes</w:t>
      </w:r>
    </w:p>
    <w:p w:rsidR="00013D89" w:rsidRPr="00DE1AA1" w:rsidRDefault="004B486E" w:rsidP="00013D89">
      <w:pPr>
        <w:pStyle w:val="BodyText"/>
        <w:rPr>
          <w:color w:val="000000" w:themeColor="text1"/>
        </w:rPr>
      </w:pPr>
      <w:r>
        <w:rPr>
          <w:color w:val="000000" w:themeColor="text1"/>
        </w:rPr>
        <w:t>Chapter</w:t>
      </w:r>
      <w:r w:rsidR="00FB3DF6">
        <w:rPr>
          <w:color w:val="000000" w:themeColor="text1"/>
        </w:rPr>
        <w:t> </w:t>
      </w:r>
      <w:r>
        <w:rPr>
          <w:color w:val="000000" w:themeColor="text1"/>
        </w:rPr>
        <w:t>13 in the</w:t>
      </w:r>
      <w:r w:rsidR="00013D89" w:rsidRPr="00DE1AA1">
        <w:rPr>
          <w:color w:val="000000" w:themeColor="text1"/>
        </w:rPr>
        <w:t xml:space="preserve"> main report presents information on the associations between different </w:t>
      </w:r>
      <w:r w:rsidR="00DE1AA1" w:rsidRPr="00DE1AA1">
        <w:rPr>
          <w:color w:val="000000" w:themeColor="text1"/>
        </w:rPr>
        <w:t xml:space="preserve">factors and </w:t>
      </w:r>
      <w:r w:rsidR="00091A02">
        <w:rPr>
          <w:color w:val="000000" w:themeColor="text1"/>
        </w:rPr>
        <w:t xml:space="preserve">improved </w:t>
      </w:r>
      <w:r w:rsidR="00DE1AA1" w:rsidRPr="00DE1AA1">
        <w:rPr>
          <w:color w:val="000000" w:themeColor="text1"/>
        </w:rPr>
        <w:t>outcomes</w:t>
      </w:r>
      <w:r w:rsidR="00091A02">
        <w:rPr>
          <w:color w:val="000000" w:themeColor="text1"/>
        </w:rPr>
        <w:t xml:space="preserve"> (a change from previous editions of this report that focused on multiple factors affecting disadvantage)</w:t>
      </w:r>
      <w:r w:rsidR="00DE1AA1" w:rsidRPr="00DE1AA1">
        <w:rPr>
          <w:color w:val="000000" w:themeColor="text1"/>
        </w:rPr>
        <w:t>,</w:t>
      </w:r>
      <w:r w:rsidR="00013D89" w:rsidRPr="00DE1AA1" w:rsidDel="00786CFB">
        <w:rPr>
          <w:color w:val="000000" w:themeColor="text1"/>
        </w:rPr>
        <w:t xml:space="preserve"> </w:t>
      </w:r>
      <w:r w:rsidR="00013D89" w:rsidRPr="00DE1AA1">
        <w:rPr>
          <w:color w:val="000000" w:themeColor="text1"/>
        </w:rPr>
        <w:t xml:space="preserve">and an overview of recent research into factors </w:t>
      </w:r>
      <w:r w:rsidR="00DE1AA1" w:rsidRPr="00DE1AA1">
        <w:rPr>
          <w:color w:val="000000" w:themeColor="text1"/>
        </w:rPr>
        <w:t>influencing literacy and numeracy achievement in</w:t>
      </w:r>
      <w:r w:rsidR="00013D89" w:rsidRPr="00DE1AA1">
        <w:rPr>
          <w:color w:val="000000" w:themeColor="text1"/>
        </w:rPr>
        <w:t xml:space="preserve"> Aboriginal and Torres Strait Islander </w:t>
      </w:r>
      <w:r w:rsidR="00DE1AA1" w:rsidRPr="00DE1AA1">
        <w:rPr>
          <w:color w:val="000000" w:themeColor="text1"/>
        </w:rPr>
        <w:t>primary school students</w:t>
      </w:r>
      <w:r w:rsidR="00013D89" w:rsidRPr="00DE1AA1">
        <w:rPr>
          <w:color w:val="000000" w:themeColor="text1"/>
        </w:rPr>
        <w:t>.</w:t>
      </w:r>
    </w:p>
    <w:p w:rsidR="00423330" w:rsidRPr="00037871" w:rsidRDefault="00423330" w:rsidP="00423330">
      <w:pPr>
        <w:pStyle w:val="BoxSpaceAbove"/>
        <w:rPr>
          <w:color w:val="00B050"/>
        </w:rPr>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037871" w:rsidRPr="00037871" w:rsidTr="00CD0615">
        <w:tc>
          <w:tcPr>
            <w:tcW w:w="8793" w:type="dxa"/>
            <w:tcBorders>
              <w:top w:val="single" w:sz="6" w:space="0" w:color="78A22F"/>
              <w:left w:val="nil"/>
              <w:bottom w:val="nil"/>
              <w:right w:val="nil"/>
            </w:tcBorders>
            <w:shd w:val="clear" w:color="auto" w:fill="F2F2F2"/>
          </w:tcPr>
          <w:p w:rsidR="00423330" w:rsidRPr="00FE6F42" w:rsidRDefault="00FE6F42" w:rsidP="00423330">
            <w:pPr>
              <w:pStyle w:val="BoxHeading1"/>
              <w:rPr>
                <w:color w:val="000000" w:themeColor="text1"/>
              </w:rPr>
            </w:pPr>
            <w:r w:rsidRPr="00FE6F42">
              <w:rPr>
                <w:color w:val="000000" w:themeColor="text1"/>
              </w:rPr>
              <w:t>Measuring factors that improve outcomes</w:t>
            </w:r>
          </w:p>
        </w:tc>
      </w:tr>
      <w:tr w:rsidR="00037871" w:rsidRPr="00037871" w:rsidTr="00CD0615">
        <w:trPr>
          <w:cantSplit/>
        </w:trPr>
        <w:tc>
          <w:tcPr>
            <w:tcW w:w="8793" w:type="dxa"/>
            <w:tcBorders>
              <w:top w:val="nil"/>
              <w:left w:val="nil"/>
              <w:bottom w:val="nil"/>
              <w:right w:val="nil"/>
            </w:tcBorders>
            <w:shd w:val="clear" w:color="auto" w:fill="F2F2F2"/>
          </w:tcPr>
          <w:p w:rsidR="00423330" w:rsidRPr="00FE6F42" w:rsidRDefault="00FE6F42" w:rsidP="00423330">
            <w:pPr>
              <w:pStyle w:val="BoxHeading2"/>
              <w:rPr>
                <w:color w:val="000000" w:themeColor="text1"/>
              </w:rPr>
            </w:pPr>
            <w:r w:rsidRPr="00FE6F42">
              <w:rPr>
                <w:color w:val="000000" w:themeColor="text1"/>
              </w:rPr>
              <w:t>Interactions between measures of wellbeing</w:t>
            </w:r>
          </w:p>
        </w:tc>
      </w:tr>
      <w:tr w:rsidR="00037871" w:rsidRPr="00037871" w:rsidTr="00CD0615">
        <w:trPr>
          <w:cantSplit/>
        </w:trPr>
        <w:tc>
          <w:tcPr>
            <w:tcW w:w="8793" w:type="dxa"/>
            <w:tcBorders>
              <w:top w:val="nil"/>
              <w:left w:val="nil"/>
              <w:bottom w:val="nil"/>
              <w:right w:val="nil"/>
            </w:tcBorders>
            <w:shd w:val="clear" w:color="auto" w:fill="F2F2F2"/>
          </w:tcPr>
          <w:p w:rsidR="00013D89" w:rsidRPr="003D42FA" w:rsidRDefault="003D42FA" w:rsidP="00013D89">
            <w:pPr>
              <w:pStyle w:val="Box"/>
            </w:pPr>
            <w:r w:rsidRPr="003D42FA">
              <w:t xml:space="preserve">People with particular characteristics or in particular circumstances may have better outcomes in other areas. By identifying some of these factors Aboriginal and Torres Strait Islander people and governments may </w:t>
            </w:r>
            <w:r w:rsidR="001B1313">
              <w:t xml:space="preserve">be </w:t>
            </w:r>
            <w:r w:rsidRPr="003D42FA">
              <w:t xml:space="preserve">able </w:t>
            </w:r>
            <w:r w:rsidR="001B1313">
              <w:t xml:space="preserve">to more effectively target policies or programs to </w:t>
            </w:r>
            <w:r w:rsidRPr="003D42FA">
              <w:t>improve outcomes.</w:t>
            </w:r>
          </w:p>
          <w:p w:rsidR="00423330" w:rsidRPr="001B1313" w:rsidRDefault="001B1313" w:rsidP="00013D89">
            <w:pPr>
              <w:pStyle w:val="Box"/>
            </w:pPr>
            <w:r w:rsidRPr="001B1313">
              <w:t>Nationally for Aboriginal and Torres Strait Islander Australians in 2014</w:t>
            </w:r>
            <w:r w:rsidR="00FB3DF6">
              <w:noBreakHyphen/>
            </w:r>
            <w:r w:rsidRPr="001B1313">
              <w:t>15:</w:t>
            </w:r>
          </w:p>
          <w:p w:rsidR="001B1313" w:rsidRPr="001B1313" w:rsidRDefault="001B1313" w:rsidP="001B1313">
            <w:pPr>
              <w:pStyle w:val="BoxListBullet"/>
            </w:pPr>
            <w:r w:rsidRPr="001B1313">
              <w:t>there were strong associations between having a non</w:t>
            </w:r>
            <w:r w:rsidR="00FB3DF6">
              <w:noBreakHyphen/>
            </w:r>
            <w:r w:rsidRPr="001B1313">
              <w:t>school qualification and employment, higher incomes, living in uncrowded households and other positive outcomes</w:t>
            </w:r>
          </w:p>
          <w:p w:rsidR="001B1313" w:rsidRPr="001B1313" w:rsidRDefault="001B1313" w:rsidP="001B1313">
            <w:pPr>
              <w:pStyle w:val="BoxListBullet"/>
            </w:pPr>
            <w:r w:rsidRPr="001B1313">
              <w:t>the proportion with a non</w:t>
            </w:r>
            <w:r w:rsidR="00FB3DF6">
              <w:noBreakHyphen/>
            </w:r>
            <w:r w:rsidRPr="001B1313">
              <w:t>school qualification who were employed and had high incomes was similar in remote and non</w:t>
            </w:r>
            <w:r w:rsidR="00FB3DF6">
              <w:noBreakHyphen/>
            </w:r>
            <w:r w:rsidRPr="001B1313">
              <w:t xml:space="preserve">remote areas </w:t>
            </w:r>
          </w:p>
          <w:p w:rsidR="001B1313" w:rsidRPr="00037871" w:rsidRDefault="001B1313" w:rsidP="00D7113D">
            <w:pPr>
              <w:pStyle w:val="BoxListBullet"/>
            </w:pPr>
            <w:r w:rsidRPr="001B1313">
              <w:t>those who were employed were more likely than those who were unemployed to have higher incomes, live in uncrowded households and were less likely to be a daily smoker, though for some factors these results varied by remoteness.</w:t>
            </w:r>
          </w:p>
        </w:tc>
      </w:tr>
      <w:tr w:rsidR="00037871" w:rsidRPr="00037871" w:rsidTr="00CD0615">
        <w:trPr>
          <w:cantSplit/>
        </w:trPr>
        <w:tc>
          <w:tcPr>
            <w:tcW w:w="8793" w:type="dxa"/>
            <w:tcBorders>
              <w:top w:val="nil"/>
              <w:left w:val="nil"/>
              <w:bottom w:val="nil"/>
              <w:right w:val="nil"/>
            </w:tcBorders>
            <w:shd w:val="clear" w:color="auto" w:fill="F2F2F2"/>
          </w:tcPr>
          <w:p w:rsidR="00013D89" w:rsidRPr="00BD66D6" w:rsidRDefault="00BD66D6" w:rsidP="00013D89">
            <w:pPr>
              <w:pStyle w:val="BoxHeading2"/>
            </w:pPr>
            <w:r>
              <w:t>Factors related to primary education achievement</w:t>
            </w:r>
          </w:p>
          <w:p w:rsidR="001B1313" w:rsidRDefault="001B1313" w:rsidP="001B1313">
            <w:pPr>
              <w:pStyle w:val="Box"/>
            </w:pPr>
            <w:r>
              <w:t>Recent research by the Productivity Commiss</w:t>
            </w:r>
            <w:r w:rsidR="009973B1">
              <w:t>ion analysed the factors that contributed to the literacy and numeracy achievement of Aboriginal and Torres Strait Islander primary school students.</w:t>
            </w:r>
          </w:p>
          <w:p w:rsidR="00091A02" w:rsidRPr="006F1C9E" w:rsidRDefault="00BD66D6" w:rsidP="00B962F2">
            <w:pPr>
              <w:pStyle w:val="Box"/>
            </w:pPr>
            <w:r w:rsidRPr="000F7E6B">
              <w:t>For both Aboriginal and Torres Strait Islander students and non</w:t>
            </w:r>
            <w:r w:rsidRPr="000F7E6B">
              <w:noBreakHyphen/>
              <w:t xml:space="preserve">Indigenous students, </w:t>
            </w:r>
            <w:r w:rsidR="00493316">
              <w:t xml:space="preserve">research in the main </w:t>
            </w:r>
            <w:r w:rsidR="00493316" w:rsidRPr="006F1C9E">
              <w:t>report show</w:t>
            </w:r>
            <w:r w:rsidR="001B1313" w:rsidRPr="006F1C9E">
              <w:t>s</w:t>
            </w:r>
            <w:r w:rsidR="00493316" w:rsidRPr="006F1C9E">
              <w:t xml:space="preserve"> that </w:t>
            </w:r>
            <w:r w:rsidRPr="006F1C9E">
              <w:t>most of the variation in achievement is attributable to student</w:t>
            </w:r>
            <w:r w:rsidRPr="006F1C9E">
              <w:noBreakHyphen/>
              <w:t>level characteristics (things that vary between students in a school, like demographic background) rather than school</w:t>
            </w:r>
            <w:r w:rsidRPr="006F1C9E">
              <w:noBreakHyphen/>
              <w:t>level characteristics (things that vary between schools, like staff numbers and school fees paid).</w:t>
            </w:r>
            <w:r w:rsidR="00091A02" w:rsidRPr="006F1C9E">
              <w:t xml:space="preserve"> </w:t>
            </w:r>
            <w:r w:rsidR="009F74DD" w:rsidRPr="006F1C9E">
              <w:t>[Though school</w:t>
            </w:r>
            <w:r w:rsidR="00FB3DF6">
              <w:noBreakHyphen/>
            </w:r>
            <w:r w:rsidR="009F74DD" w:rsidRPr="006F1C9E">
              <w:t xml:space="preserve">level characteristics do seem to matter more for Aboriginal and Torres Strait Islander </w:t>
            </w:r>
            <w:r w:rsidR="00091A02" w:rsidRPr="006F1C9E">
              <w:t>students</w:t>
            </w:r>
            <w:r w:rsidR="009F74DD" w:rsidRPr="006F1C9E">
              <w:t xml:space="preserve"> in very remote areas compared to those in other areas</w:t>
            </w:r>
            <w:r w:rsidR="00091A02" w:rsidRPr="006F1C9E">
              <w:t>.</w:t>
            </w:r>
            <w:r w:rsidR="009F74DD" w:rsidRPr="006F1C9E">
              <w:t>]</w:t>
            </w:r>
          </w:p>
          <w:p w:rsidR="001B1313" w:rsidRDefault="009973B1" w:rsidP="001B1313">
            <w:pPr>
              <w:pStyle w:val="Box"/>
            </w:pPr>
            <w:r>
              <w:t>Whilst socioeconomic status explains more of the variation in achievement than any other factors in the dataset, all the factors combined only explain around one</w:t>
            </w:r>
            <w:r w:rsidR="00FB3DF6">
              <w:noBreakHyphen/>
            </w:r>
            <w:r>
              <w:t>third of the total variation in achievement (ie, there are factors that aren’t accounted for in the data that explain differences in achievement).</w:t>
            </w:r>
          </w:p>
          <w:p w:rsidR="009973B1" w:rsidRPr="00BD66D6" w:rsidRDefault="009973B1" w:rsidP="009973B1">
            <w:pPr>
              <w:pStyle w:val="Box"/>
            </w:pPr>
            <w:r>
              <w:t>These results support the broader literature that children have individual learning styles that aren’t readily categorised in datasets. I</w:t>
            </w:r>
            <w:r w:rsidRPr="009973B1">
              <w:t xml:space="preserve">nsights from the systematic evaluation of high (and low) achieving schools could </w:t>
            </w:r>
            <w:r>
              <w:t>provide a cost</w:t>
            </w:r>
            <w:r w:rsidR="00FB3DF6">
              <w:noBreakHyphen/>
            </w:r>
            <w:r>
              <w:t xml:space="preserve">effective way to </w:t>
            </w:r>
            <w:r w:rsidRPr="009973B1">
              <w:t>shed light</w:t>
            </w:r>
            <w:r>
              <w:t xml:space="preserve"> </w:t>
            </w:r>
            <w:r w:rsidRPr="009973B1">
              <w:t>on what works best to lift achievement of Aboriginal and Torres Strait Islander students.</w:t>
            </w:r>
          </w:p>
        </w:tc>
      </w:tr>
      <w:tr w:rsidR="00037871" w:rsidRPr="00037871" w:rsidTr="00CD0615">
        <w:trPr>
          <w:cantSplit/>
        </w:trPr>
        <w:tc>
          <w:tcPr>
            <w:tcW w:w="8793" w:type="dxa"/>
            <w:tcBorders>
              <w:top w:val="nil"/>
              <w:left w:val="nil"/>
              <w:bottom w:val="single" w:sz="6" w:space="0" w:color="78A22F"/>
              <w:right w:val="nil"/>
            </w:tcBorders>
            <w:shd w:val="clear" w:color="auto" w:fill="F2F2F2"/>
          </w:tcPr>
          <w:p w:rsidR="00423330" w:rsidRPr="00037871" w:rsidRDefault="00423330" w:rsidP="00826ABC">
            <w:pPr>
              <w:pStyle w:val="Box"/>
              <w:spacing w:before="0" w:line="120" w:lineRule="exact"/>
              <w:rPr>
                <w:color w:val="00B050"/>
              </w:rPr>
            </w:pPr>
          </w:p>
        </w:tc>
      </w:tr>
      <w:tr w:rsidR="00037871" w:rsidRPr="00037871" w:rsidTr="00CD0615">
        <w:tc>
          <w:tcPr>
            <w:tcW w:w="8793" w:type="dxa"/>
            <w:tcBorders>
              <w:top w:val="single" w:sz="6" w:space="0" w:color="78A22F"/>
              <w:left w:val="nil"/>
              <w:bottom w:val="nil"/>
              <w:right w:val="nil"/>
            </w:tcBorders>
          </w:tcPr>
          <w:p w:rsidR="00423330" w:rsidRPr="00037871" w:rsidRDefault="00423330" w:rsidP="00826ABC">
            <w:pPr>
              <w:pStyle w:val="BoxSpaceBelow"/>
              <w:rPr>
                <w:color w:val="00B050"/>
              </w:rPr>
            </w:pPr>
          </w:p>
        </w:tc>
      </w:tr>
    </w:tbl>
    <w:p w:rsidR="00826ABC" w:rsidRPr="000D4B13" w:rsidRDefault="00826ABC" w:rsidP="00826ABC">
      <w:pPr>
        <w:pStyle w:val="Heading2"/>
        <w:rPr>
          <w:color w:val="000000" w:themeColor="text1"/>
        </w:rPr>
      </w:pPr>
      <w:r w:rsidRPr="000D4B13">
        <w:rPr>
          <w:color w:val="000000" w:themeColor="text1"/>
        </w:rPr>
        <w:t>Future directions in data</w:t>
      </w:r>
    </w:p>
    <w:p w:rsidR="00D47FF8" w:rsidRPr="000D4B13" w:rsidRDefault="00D47FF8" w:rsidP="00D47FF8">
      <w:pPr>
        <w:pStyle w:val="BodyText"/>
        <w:spacing w:after="120"/>
        <w:rPr>
          <w:color w:val="000000" w:themeColor="text1"/>
        </w:rPr>
      </w:pPr>
      <w:r w:rsidRPr="000D4B13">
        <w:rPr>
          <w:color w:val="000000" w:themeColor="text1"/>
        </w:rPr>
        <w:t>All Australian governments have agreed that improvement of data</w:t>
      </w:r>
      <w:r w:rsidR="00037AB9" w:rsidRPr="000D4B13">
        <w:rPr>
          <w:color w:val="000000" w:themeColor="text1"/>
        </w:rPr>
        <w:t xml:space="preserve"> on Aboriginal and Torres Strait Islander Australians</w:t>
      </w:r>
      <w:r w:rsidRPr="000D4B13">
        <w:rPr>
          <w:color w:val="000000" w:themeColor="text1"/>
        </w:rPr>
        <w:t xml:space="preserve"> is a high priority, and there have been improvements in many data sources since the first OID report in 2003. However, there are still some </w:t>
      </w:r>
      <w:r w:rsidR="00037AB9" w:rsidRPr="000D4B13">
        <w:rPr>
          <w:color w:val="000000" w:themeColor="text1"/>
        </w:rPr>
        <w:t>key</w:t>
      </w:r>
      <w:r w:rsidRPr="000D4B13">
        <w:rPr>
          <w:color w:val="000000" w:themeColor="text1"/>
        </w:rPr>
        <w:t xml:space="preserve"> data gaps. </w:t>
      </w:r>
    </w:p>
    <w:p w:rsidR="00826ABC" w:rsidRPr="00037871" w:rsidRDefault="00826ABC" w:rsidP="00826ABC">
      <w:pPr>
        <w:pStyle w:val="BoxSpaceAbove"/>
        <w:rPr>
          <w:color w:val="00B050"/>
        </w:rPr>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037871" w:rsidRPr="00037871" w:rsidTr="00CD0615">
        <w:tc>
          <w:tcPr>
            <w:tcW w:w="8771" w:type="dxa"/>
            <w:tcBorders>
              <w:top w:val="single" w:sz="6" w:space="0" w:color="78A22F"/>
              <w:left w:val="nil"/>
              <w:bottom w:val="nil"/>
              <w:right w:val="nil"/>
            </w:tcBorders>
            <w:shd w:val="clear" w:color="auto" w:fill="auto"/>
          </w:tcPr>
          <w:p w:rsidR="00826ABC" w:rsidRPr="007268E9" w:rsidRDefault="00826ABC" w:rsidP="00826ABC">
            <w:pPr>
              <w:pStyle w:val="Subtitle"/>
            </w:pPr>
          </w:p>
        </w:tc>
      </w:tr>
      <w:tr w:rsidR="00037871" w:rsidRPr="00037871" w:rsidTr="00CD0615">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71"/>
              <w:gridCol w:w="177"/>
              <w:gridCol w:w="5639"/>
            </w:tblGrid>
            <w:tr w:rsidR="00037871" w:rsidRPr="00037871" w:rsidTr="00227E25">
              <w:tc>
                <w:tcPr>
                  <w:tcW w:w="1574" w:type="pct"/>
                  <w:tcBorders>
                    <w:top w:val="single" w:sz="6" w:space="0" w:color="BFBFBF"/>
                    <w:bottom w:val="single" w:sz="6" w:space="0" w:color="BFBFBF"/>
                  </w:tcBorders>
                  <w:shd w:val="clear" w:color="auto" w:fill="auto"/>
                  <w:tcMar>
                    <w:top w:w="28" w:type="dxa"/>
                  </w:tcMar>
                </w:tcPr>
                <w:p w:rsidR="00227E25" w:rsidRPr="007268E9" w:rsidRDefault="00227E25" w:rsidP="00826ABC">
                  <w:pPr>
                    <w:pStyle w:val="TableColumnHeading"/>
                    <w:jc w:val="left"/>
                    <w:rPr>
                      <w:b/>
                      <w:color w:val="000000" w:themeColor="text1"/>
                    </w:rPr>
                  </w:pPr>
                  <w:r w:rsidRPr="007268E9">
                    <w:rPr>
                      <w:b/>
                      <w:color w:val="000000" w:themeColor="text1"/>
                    </w:rPr>
                    <w:t>Indicator</w:t>
                  </w:r>
                </w:p>
              </w:tc>
              <w:tc>
                <w:tcPr>
                  <w:tcW w:w="104" w:type="pct"/>
                  <w:tcBorders>
                    <w:top w:val="single" w:sz="6" w:space="0" w:color="BFBFBF"/>
                    <w:bottom w:val="single" w:sz="6" w:space="0" w:color="BFBFBF"/>
                  </w:tcBorders>
                  <w:shd w:val="clear" w:color="auto" w:fill="auto"/>
                </w:tcPr>
                <w:p w:rsidR="00227E25" w:rsidRPr="007268E9" w:rsidRDefault="00227E25" w:rsidP="00826ABC">
                  <w:pPr>
                    <w:pStyle w:val="TableColumnHeading"/>
                    <w:jc w:val="left"/>
                    <w:rPr>
                      <w:b/>
                      <w:color w:val="000000" w:themeColor="text1"/>
                    </w:rPr>
                  </w:pPr>
                </w:p>
              </w:tc>
              <w:tc>
                <w:tcPr>
                  <w:tcW w:w="3322" w:type="pct"/>
                  <w:tcBorders>
                    <w:top w:val="single" w:sz="6" w:space="0" w:color="BFBFBF"/>
                    <w:bottom w:val="single" w:sz="6" w:space="0" w:color="BFBFBF"/>
                  </w:tcBorders>
                  <w:shd w:val="clear" w:color="auto" w:fill="auto"/>
                  <w:tcMar>
                    <w:top w:w="28" w:type="dxa"/>
                  </w:tcMar>
                </w:tcPr>
                <w:p w:rsidR="00227E25" w:rsidRPr="007268E9" w:rsidRDefault="00227E25" w:rsidP="00826ABC">
                  <w:pPr>
                    <w:pStyle w:val="TableColumnHeading"/>
                    <w:ind w:right="28"/>
                    <w:jc w:val="left"/>
                    <w:rPr>
                      <w:b/>
                      <w:color w:val="000000" w:themeColor="text1"/>
                    </w:rPr>
                  </w:pPr>
                  <w:r w:rsidRPr="007268E9">
                    <w:rPr>
                      <w:b/>
                      <w:color w:val="000000" w:themeColor="text1"/>
                    </w:rPr>
                    <w:t>Data priority</w:t>
                  </w:r>
                </w:p>
              </w:tc>
            </w:tr>
            <w:tr w:rsidR="00037871" w:rsidRPr="00037871" w:rsidTr="00227E25">
              <w:tc>
                <w:tcPr>
                  <w:tcW w:w="1574" w:type="pct"/>
                  <w:tcBorders>
                    <w:top w:val="single" w:sz="6" w:space="0" w:color="BFBFBF"/>
                  </w:tcBorders>
                </w:tcPr>
                <w:p w:rsidR="00227E25" w:rsidRPr="007268E9" w:rsidRDefault="00227E25" w:rsidP="00227E25">
                  <w:pPr>
                    <w:pStyle w:val="TableUnitsRow"/>
                    <w:jc w:val="left"/>
                    <w:rPr>
                      <w:color w:val="000000" w:themeColor="text1"/>
                      <w:sz w:val="22"/>
                      <w:szCs w:val="22"/>
                    </w:rPr>
                  </w:pPr>
                  <w:r w:rsidRPr="007268E9">
                    <w:rPr>
                      <w:color w:val="000000" w:themeColor="text1"/>
                      <w:sz w:val="22"/>
                      <w:szCs w:val="22"/>
                    </w:rPr>
                    <w:t>Life expectancy and mortality</w:t>
                  </w:r>
                </w:p>
              </w:tc>
              <w:tc>
                <w:tcPr>
                  <w:tcW w:w="104" w:type="pct"/>
                  <w:tcBorders>
                    <w:top w:val="single" w:sz="6" w:space="0" w:color="BFBFBF"/>
                  </w:tcBorders>
                </w:tcPr>
                <w:p w:rsidR="00227E25" w:rsidRPr="007268E9" w:rsidRDefault="00227E25" w:rsidP="00826ABC">
                  <w:pPr>
                    <w:pStyle w:val="TableUnitsRow"/>
                    <w:jc w:val="left"/>
                    <w:rPr>
                      <w:color w:val="000000" w:themeColor="text1"/>
                      <w:sz w:val="22"/>
                      <w:szCs w:val="22"/>
                    </w:rPr>
                  </w:pPr>
                </w:p>
              </w:tc>
              <w:tc>
                <w:tcPr>
                  <w:tcW w:w="3322" w:type="pct"/>
                  <w:tcBorders>
                    <w:top w:val="single" w:sz="6" w:space="0" w:color="BFBFBF"/>
                  </w:tcBorders>
                </w:tcPr>
                <w:p w:rsidR="00227E25" w:rsidRPr="007268E9" w:rsidRDefault="00227E25" w:rsidP="00CF00C8">
                  <w:pPr>
                    <w:pStyle w:val="TableUnitsRow"/>
                    <w:ind w:right="28"/>
                    <w:jc w:val="both"/>
                    <w:rPr>
                      <w:color w:val="000000" w:themeColor="text1"/>
                      <w:sz w:val="22"/>
                      <w:szCs w:val="22"/>
                    </w:rPr>
                  </w:pPr>
                  <w:r w:rsidRPr="007268E9">
                    <w:rPr>
                      <w:color w:val="000000" w:themeColor="text1"/>
                      <w:sz w:val="22"/>
                      <w:szCs w:val="22"/>
                    </w:rPr>
                    <w:t xml:space="preserve">Continue work on improving </w:t>
                  </w:r>
                  <w:r w:rsidR="00CF00C8" w:rsidRPr="007268E9">
                    <w:rPr>
                      <w:color w:val="000000" w:themeColor="text1"/>
                      <w:sz w:val="22"/>
                      <w:szCs w:val="22"/>
                    </w:rPr>
                    <w:t>Aboriginal and Torres Strait Islander</w:t>
                  </w:r>
                  <w:r w:rsidRPr="007268E9">
                    <w:rPr>
                      <w:color w:val="000000" w:themeColor="text1"/>
                      <w:sz w:val="22"/>
                      <w:szCs w:val="22"/>
                    </w:rPr>
                    <w:t xml:space="preserve"> mortality (deaths) data, to inform estimation of life expectancy by jurisdiction/remoteness. (Recognising the data limit</w:t>
                  </w:r>
                  <w:r w:rsidR="00983131" w:rsidRPr="007268E9">
                    <w:rPr>
                      <w:color w:val="000000" w:themeColor="text1"/>
                      <w:sz w:val="22"/>
                      <w:szCs w:val="22"/>
                    </w:rPr>
                    <w:t>ations</w:t>
                  </w:r>
                  <w:r w:rsidRPr="007268E9">
                    <w:rPr>
                      <w:color w:val="000000" w:themeColor="text1"/>
                      <w:sz w:val="22"/>
                      <w:szCs w:val="22"/>
                    </w:rPr>
                    <w:t xml:space="preserve"> in jurisdictions with relatively small </w:t>
                  </w:r>
                  <w:r w:rsidR="00983131" w:rsidRPr="007268E9">
                    <w:rPr>
                      <w:color w:val="000000" w:themeColor="text1"/>
                      <w:sz w:val="22"/>
                      <w:szCs w:val="22"/>
                    </w:rPr>
                    <w:t>Aboriginal and Torres Strait Islander</w:t>
                  </w:r>
                  <w:r w:rsidRPr="007268E9">
                    <w:rPr>
                      <w:color w:val="000000" w:themeColor="text1"/>
                      <w:sz w:val="22"/>
                      <w:szCs w:val="22"/>
                    </w:rPr>
                    <w:t xml:space="preserve"> populations.)</w:t>
                  </w:r>
                </w:p>
              </w:tc>
            </w:tr>
            <w:tr w:rsidR="00037871" w:rsidRPr="00037871" w:rsidTr="006D5AC6">
              <w:tc>
                <w:tcPr>
                  <w:tcW w:w="1574" w:type="pct"/>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 xml:space="preserve">Substantiated child </w:t>
                  </w:r>
                  <w:r w:rsidRPr="007268E9">
                    <w:rPr>
                      <w:color w:val="000000" w:themeColor="text1"/>
                      <w:sz w:val="22"/>
                      <w:szCs w:val="22"/>
                    </w:rPr>
                    <w:br/>
                    <w:t>abuse and neglect</w:t>
                  </w:r>
                </w:p>
              </w:tc>
              <w:tc>
                <w:tcPr>
                  <w:tcW w:w="104" w:type="pct"/>
                </w:tcPr>
                <w:p w:rsidR="00227E25" w:rsidRPr="007268E9" w:rsidRDefault="00227E25" w:rsidP="00227E25">
                  <w:pPr>
                    <w:pStyle w:val="TableBodyText"/>
                    <w:spacing w:before="120"/>
                    <w:jc w:val="left"/>
                    <w:rPr>
                      <w:color w:val="000000" w:themeColor="text1"/>
                      <w:sz w:val="22"/>
                      <w:szCs w:val="22"/>
                    </w:rPr>
                  </w:pPr>
                </w:p>
              </w:tc>
              <w:tc>
                <w:tcPr>
                  <w:tcW w:w="3322" w:type="pct"/>
                </w:tcPr>
                <w:p w:rsidR="00227E25" w:rsidRPr="007268E9" w:rsidRDefault="00227E25" w:rsidP="009973B1">
                  <w:pPr>
                    <w:pStyle w:val="TableBodyText"/>
                    <w:spacing w:before="120"/>
                    <w:ind w:right="28"/>
                    <w:jc w:val="both"/>
                    <w:rPr>
                      <w:color w:val="000000" w:themeColor="text1"/>
                      <w:sz w:val="22"/>
                      <w:szCs w:val="22"/>
                    </w:rPr>
                  </w:pPr>
                  <w:r w:rsidRPr="007268E9">
                    <w:rPr>
                      <w:color w:val="000000" w:themeColor="text1"/>
                      <w:sz w:val="22"/>
                      <w:szCs w:val="22"/>
                    </w:rPr>
                    <w:t xml:space="preserve">Collect data on the underlying </w:t>
                  </w:r>
                  <w:r w:rsidR="009973B1">
                    <w:rPr>
                      <w:color w:val="000000" w:themeColor="text1"/>
                      <w:sz w:val="22"/>
                      <w:szCs w:val="22"/>
                    </w:rPr>
                    <w:t>prevalence of child abuse and neglect.</w:t>
                  </w:r>
                </w:p>
              </w:tc>
            </w:tr>
            <w:tr w:rsidR="00037871" w:rsidRPr="00037871" w:rsidTr="00227E25">
              <w:tc>
                <w:tcPr>
                  <w:tcW w:w="1574" w:type="pct"/>
                  <w:shd w:val="clear" w:color="auto" w:fill="auto"/>
                </w:tcPr>
                <w:p w:rsidR="00227E25" w:rsidRPr="00B6469C" w:rsidRDefault="00227E25" w:rsidP="00227E25">
                  <w:pPr>
                    <w:pStyle w:val="TableBodyText"/>
                    <w:spacing w:before="120"/>
                    <w:jc w:val="left"/>
                    <w:rPr>
                      <w:color w:val="000000" w:themeColor="text1"/>
                      <w:sz w:val="22"/>
                      <w:szCs w:val="22"/>
                    </w:rPr>
                  </w:pPr>
                  <w:r w:rsidRPr="00B6469C">
                    <w:rPr>
                      <w:color w:val="000000" w:themeColor="text1"/>
                      <w:sz w:val="22"/>
                      <w:szCs w:val="22"/>
                    </w:rPr>
                    <w:t>Participation in</w:t>
                  </w:r>
                  <w:r w:rsidRPr="00B6469C">
                    <w:rPr>
                      <w:color w:val="000000" w:themeColor="text1"/>
                      <w:sz w:val="22"/>
                      <w:szCs w:val="22"/>
                      <w:bdr w:val="single" w:sz="4" w:space="0" w:color="auto"/>
                    </w:rPr>
                    <w:t xml:space="preserve"> </w:t>
                  </w:r>
                  <w:r w:rsidRPr="00B6469C">
                    <w:rPr>
                      <w:color w:val="000000" w:themeColor="text1"/>
                      <w:sz w:val="22"/>
                      <w:szCs w:val="22"/>
                      <w:bdr w:val="single" w:sz="4" w:space="0" w:color="auto"/>
                    </w:rPr>
                    <w:br/>
                  </w:r>
                  <w:r w:rsidRPr="00B6469C">
                    <w:rPr>
                      <w:color w:val="000000" w:themeColor="text1"/>
                      <w:sz w:val="22"/>
                      <w:szCs w:val="22"/>
                    </w:rPr>
                    <w:t>decision making</w:t>
                  </w:r>
                </w:p>
              </w:tc>
              <w:tc>
                <w:tcPr>
                  <w:tcW w:w="104" w:type="pct"/>
                  <w:shd w:val="clear" w:color="auto" w:fill="auto"/>
                </w:tcPr>
                <w:p w:rsidR="00227E25" w:rsidRPr="00B6469C" w:rsidRDefault="00227E25" w:rsidP="00227E25">
                  <w:pPr>
                    <w:pStyle w:val="TableBodyText"/>
                    <w:spacing w:before="120"/>
                    <w:jc w:val="left"/>
                    <w:rPr>
                      <w:color w:val="000000" w:themeColor="text1"/>
                      <w:sz w:val="22"/>
                      <w:szCs w:val="22"/>
                    </w:rPr>
                  </w:pPr>
                </w:p>
              </w:tc>
              <w:tc>
                <w:tcPr>
                  <w:tcW w:w="3322" w:type="pct"/>
                  <w:shd w:val="clear" w:color="auto" w:fill="auto"/>
                </w:tcPr>
                <w:p w:rsidR="00227E25" w:rsidRPr="00B6469C" w:rsidRDefault="00227E25" w:rsidP="00227E25">
                  <w:pPr>
                    <w:pStyle w:val="TableBodyText"/>
                    <w:spacing w:before="120"/>
                    <w:ind w:right="28"/>
                    <w:jc w:val="both"/>
                    <w:rPr>
                      <w:color w:val="000000" w:themeColor="text1"/>
                      <w:sz w:val="22"/>
                      <w:szCs w:val="22"/>
                    </w:rPr>
                  </w:pPr>
                  <w:r w:rsidRPr="00B6469C">
                    <w:rPr>
                      <w:color w:val="000000" w:themeColor="text1"/>
                      <w:sz w:val="22"/>
                      <w:szCs w:val="22"/>
                    </w:rPr>
                    <w:t>Collect data on the preferred measure of ‘wanting to, and</w:t>
                  </w:r>
                  <w:r w:rsidRPr="00B6469C">
                    <w:rPr>
                      <w:color w:val="000000" w:themeColor="text1"/>
                      <w:sz w:val="22"/>
                      <w:szCs w:val="22"/>
                      <w:bdr w:val="single" w:sz="4" w:space="0" w:color="auto"/>
                    </w:rPr>
                    <w:t xml:space="preserve"> </w:t>
                  </w:r>
                  <w:r w:rsidRPr="00B6469C">
                    <w:rPr>
                      <w:color w:val="000000" w:themeColor="text1"/>
                      <w:sz w:val="22"/>
                      <w:szCs w:val="22"/>
                    </w:rPr>
                    <w:t>ability to’ participate in decision making.</w:t>
                  </w:r>
                </w:p>
              </w:tc>
            </w:tr>
            <w:tr w:rsidR="00037871" w:rsidRPr="00037871" w:rsidTr="00745BA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 xml:space="preserve">Indigenous cultural </w:t>
                  </w:r>
                  <w:r w:rsidRPr="007268E9">
                    <w:rPr>
                      <w:color w:val="000000" w:themeColor="text1"/>
                      <w:sz w:val="22"/>
                      <w:szCs w:val="22"/>
                    </w:rPr>
                    <w:br/>
                    <w:t>studies</w:t>
                  </w:r>
                </w:p>
              </w:tc>
              <w:tc>
                <w:tcPr>
                  <w:tcW w:w="104" w:type="pct"/>
                  <w:shd w:val="clear" w:color="auto" w:fill="auto"/>
                </w:tcPr>
                <w:p w:rsidR="00227E25" w:rsidRPr="007268E9" w:rsidRDefault="00227E25" w:rsidP="00227E25">
                  <w:pPr>
                    <w:pStyle w:val="TableBodyText"/>
                    <w:spacing w:before="120"/>
                    <w:jc w:val="left"/>
                    <w:rPr>
                      <w:color w:val="000000" w:themeColor="text1"/>
                      <w:sz w:val="22"/>
                      <w:szCs w:val="22"/>
                    </w:rPr>
                  </w:pPr>
                </w:p>
              </w:tc>
              <w:tc>
                <w:tcPr>
                  <w:tcW w:w="3322" w:type="pct"/>
                  <w:shd w:val="clear" w:color="auto" w:fill="auto"/>
                </w:tcPr>
                <w:p w:rsidR="00227E25" w:rsidRPr="006F1C9E" w:rsidRDefault="00227E25" w:rsidP="00227E25">
                  <w:pPr>
                    <w:pStyle w:val="TableBodyText"/>
                    <w:spacing w:before="120"/>
                    <w:ind w:right="28"/>
                    <w:jc w:val="both"/>
                    <w:rPr>
                      <w:sz w:val="22"/>
                      <w:szCs w:val="22"/>
                    </w:rPr>
                  </w:pPr>
                  <w:r w:rsidRPr="006F1C9E">
                    <w:rPr>
                      <w:sz w:val="22"/>
                      <w:szCs w:val="22"/>
                    </w:rPr>
                    <w:t>Develop a measure and data source for this indicator.</w:t>
                  </w:r>
                </w:p>
              </w:tc>
            </w:tr>
            <w:tr w:rsidR="00037871" w:rsidRPr="00037871" w:rsidTr="00227E2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Teacher quality</w:t>
                  </w:r>
                </w:p>
              </w:tc>
              <w:tc>
                <w:tcPr>
                  <w:tcW w:w="104" w:type="pct"/>
                  <w:shd w:val="clear" w:color="auto" w:fill="auto"/>
                </w:tcPr>
                <w:p w:rsidR="00227E25" w:rsidRPr="007268E9" w:rsidRDefault="00227E25" w:rsidP="00227E25">
                  <w:pPr>
                    <w:pStyle w:val="TableBodyText"/>
                    <w:spacing w:before="120"/>
                    <w:jc w:val="both"/>
                    <w:rPr>
                      <w:color w:val="000000" w:themeColor="text1"/>
                      <w:sz w:val="22"/>
                      <w:szCs w:val="22"/>
                    </w:rPr>
                  </w:pPr>
                </w:p>
              </w:tc>
              <w:tc>
                <w:tcPr>
                  <w:tcW w:w="3322" w:type="pct"/>
                  <w:shd w:val="clear" w:color="auto" w:fill="auto"/>
                </w:tcPr>
                <w:p w:rsidR="00227E25" w:rsidRPr="006F1C9E" w:rsidRDefault="00227E25" w:rsidP="00745BA5">
                  <w:pPr>
                    <w:pStyle w:val="TableBodyText"/>
                    <w:spacing w:before="120"/>
                    <w:ind w:right="28"/>
                    <w:jc w:val="both"/>
                    <w:rPr>
                      <w:sz w:val="22"/>
                      <w:szCs w:val="22"/>
                    </w:rPr>
                  </w:pPr>
                  <w:r w:rsidRPr="006F1C9E">
                    <w:rPr>
                      <w:sz w:val="22"/>
                      <w:szCs w:val="22"/>
                    </w:rPr>
                    <w:t xml:space="preserve">Develop a </w:t>
                  </w:r>
                  <w:r w:rsidR="00745BA5" w:rsidRPr="006F1C9E">
                    <w:rPr>
                      <w:sz w:val="22"/>
                      <w:szCs w:val="22"/>
                    </w:rPr>
                    <w:t>nationally agreed measure</w:t>
                  </w:r>
                  <w:r w:rsidRPr="006F1C9E">
                    <w:rPr>
                      <w:sz w:val="22"/>
                      <w:szCs w:val="22"/>
                    </w:rPr>
                    <w:t>.</w:t>
                  </w:r>
                </w:p>
              </w:tc>
            </w:tr>
            <w:tr w:rsidR="00037871" w:rsidRPr="00037871" w:rsidTr="00745BA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School engagement</w:t>
                  </w:r>
                </w:p>
              </w:tc>
              <w:tc>
                <w:tcPr>
                  <w:tcW w:w="104" w:type="pct"/>
                  <w:shd w:val="clear" w:color="auto" w:fill="auto"/>
                </w:tcPr>
                <w:p w:rsidR="00227E25" w:rsidRPr="007268E9" w:rsidRDefault="00227E25" w:rsidP="00227E25">
                  <w:pPr>
                    <w:pStyle w:val="TableBodyText"/>
                    <w:spacing w:before="120"/>
                    <w:jc w:val="both"/>
                    <w:rPr>
                      <w:color w:val="000000" w:themeColor="text1"/>
                      <w:sz w:val="22"/>
                      <w:szCs w:val="22"/>
                    </w:rPr>
                  </w:pPr>
                </w:p>
              </w:tc>
              <w:tc>
                <w:tcPr>
                  <w:tcW w:w="3322" w:type="pct"/>
                  <w:shd w:val="clear" w:color="auto" w:fill="auto"/>
                </w:tcPr>
                <w:p w:rsidR="00227E25" w:rsidRPr="006F1C9E" w:rsidRDefault="00227E25" w:rsidP="00745BA5">
                  <w:pPr>
                    <w:pStyle w:val="TableBodyText"/>
                    <w:spacing w:before="120"/>
                    <w:ind w:right="28"/>
                    <w:jc w:val="both"/>
                    <w:rPr>
                      <w:sz w:val="22"/>
                      <w:szCs w:val="22"/>
                    </w:rPr>
                  </w:pPr>
                  <w:r w:rsidRPr="006F1C9E">
                    <w:rPr>
                      <w:sz w:val="22"/>
                      <w:szCs w:val="22"/>
                    </w:rPr>
                    <w:t xml:space="preserve">Develop a </w:t>
                  </w:r>
                  <w:r w:rsidR="00745BA5" w:rsidRPr="006F1C9E">
                    <w:rPr>
                      <w:sz w:val="22"/>
                      <w:szCs w:val="22"/>
                    </w:rPr>
                    <w:t>nationally agreed definition, to inform selection of measures</w:t>
                  </w:r>
                  <w:r w:rsidRPr="006F1C9E">
                    <w:rPr>
                      <w:sz w:val="22"/>
                      <w:szCs w:val="22"/>
                    </w:rPr>
                    <w:t>.</w:t>
                  </w:r>
                </w:p>
              </w:tc>
            </w:tr>
            <w:tr w:rsidR="00037871" w:rsidRPr="00037871" w:rsidTr="00745BA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 xml:space="preserve">Access to traditional </w:t>
                  </w:r>
                  <w:r w:rsidRPr="007268E9">
                    <w:rPr>
                      <w:color w:val="000000" w:themeColor="text1"/>
                      <w:sz w:val="22"/>
                      <w:szCs w:val="22"/>
                    </w:rPr>
                    <w:br/>
                    <w:t>lands and waters</w:t>
                  </w:r>
                </w:p>
              </w:tc>
              <w:tc>
                <w:tcPr>
                  <w:tcW w:w="104" w:type="pct"/>
                  <w:shd w:val="clear" w:color="auto" w:fill="auto"/>
                </w:tcPr>
                <w:p w:rsidR="00227E25" w:rsidRPr="007268E9" w:rsidRDefault="00227E25" w:rsidP="00227E25">
                  <w:pPr>
                    <w:pStyle w:val="TableBodyText"/>
                    <w:spacing w:before="120"/>
                    <w:jc w:val="left"/>
                    <w:rPr>
                      <w:color w:val="000000" w:themeColor="text1"/>
                      <w:sz w:val="22"/>
                      <w:szCs w:val="22"/>
                    </w:rPr>
                  </w:pPr>
                </w:p>
              </w:tc>
              <w:tc>
                <w:tcPr>
                  <w:tcW w:w="3322" w:type="pct"/>
                  <w:shd w:val="clear" w:color="auto" w:fill="auto"/>
                </w:tcPr>
                <w:p w:rsidR="00227E25" w:rsidRPr="007268E9" w:rsidRDefault="00227E25" w:rsidP="00227E25">
                  <w:pPr>
                    <w:pStyle w:val="TableBodyText"/>
                    <w:spacing w:before="120"/>
                    <w:ind w:right="28"/>
                    <w:jc w:val="both"/>
                    <w:rPr>
                      <w:color w:val="000000" w:themeColor="text1"/>
                      <w:sz w:val="22"/>
                      <w:szCs w:val="22"/>
                    </w:rPr>
                  </w:pPr>
                  <w:r w:rsidRPr="007268E9">
                    <w:rPr>
                      <w:color w:val="000000" w:themeColor="text1"/>
                      <w:sz w:val="22"/>
                      <w:szCs w:val="22"/>
                    </w:rPr>
                    <w:t>Expand the availability of data on reasons why people do not identify with or recognise homelands. Collect data on access to traditional waters.</w:t>
                  </w:r>
                </w:p>
              </w:tc>
            </w:tr>
            <w:tr w:rsidR="00037871" w:rsidRPr="00037871" w:rsidTr="00227E2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Oral health</w:t>
                  </w:r>
                </w:p>
              </w:tc>
              <w:tc>
                <w:tcPr>
                  <w:tcW w:w="104" w:type="pct"/>
                  <w:shd w:val="clear" w:color="auto" w:fill="auto"/>
                </w:tcPr>
                <w:p w:rsidR="00227E25" w:rsidRPr="007268E9" w:rsidRDefault="00227E25" w:rsidP="00227E25">
                  <w:pPr>
                    <w:pStyle w:val="TableBodyText"/>
                    <w:spacing w:before="120"/>
                    <w:jc w:val="both"/>
                    <w:rPr>
                      <w:color w:val="000000" w:themeColor="text1"/>
                      <w:sz w:val="22"/>
                      <w:szCs w:val="22"/>
                    </w:rPr>
                  </w:pPr>
                </w:p>
              </w:tc>
              <w:tc>
                <w:tcPr>
                  <w:tcW w:w="3322" w:type="pct"/>
                  <w:shd w:val="clear" w:color="auto" w:fill="auto"/>
                </w:tcPr>
                <w:p w:rsidR="00227E25" w:rsidRPr="007268E9" w:rsidRDefault="009973B1" w:rsidP="00227E25">
                  <w:pPr>
                    <w:pStyle w:val="TableBodyText"/>
                    <w:spacing w:before="120"/>
                    <w:ind w:right="28"/>
                    <w:jc w:val="both"/>
                    <w:rPr>
                      <w:color w:val="000000" w:themeColor="text1"/>
                      <w:sz w:val="22"/>
                      <w:szCs w:val="22"/>
                    </w:rPr>
                  </w:pPr>
                  <w:r w:rsidRPr="007268E9">
                    <w:rPr>
                      <w:color w:val="000000" w:themeColor="text1"/>
                      <w:sz w:val="22"/>
                      <w:szCs w:val="22"/>
                    </w:rPr>
                    <w:t>Develop and collect nationally comparable data.</w:t>
                  </w:r>
                </w:p>
              </w:tc>
            </w:tr>
            <w:tr w:rsidR="00037871" w:rsidRPr="00037871" w:rsidTr="00227E2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Juvenile diversions</w:t>
                  </w:r>
                </w:p>
              </w:tc>
              <w:tc>
                <w:tcPr>
                  <w:tcW w:w="104" w:type="pct"/>
                  <w:shd w:val="clear" w:color="auto" w:fill="auto"/>
                </w:tcPr>
                <w:p w:rsidR="00227E25" w:rsidRPr="007268E9" w:rsidRDefault="00227E25" w:rsidP="00227E25">
                  <w:pPr>
                    <w:pStyle w:val="TableBodyText"/>
                    <w:spacing w:before="120"/>
                    <w:jc w:val="both"/>
                    <w:rPr>
                      <w:color w:val="000000" w:themeColor="text1"/>
                      <w:sz w:val="22"/>
                      <w:szCs w:val="22"/>
                    </w:rPr>
                  </w:pPr>
                </w:p>
              </w:tc>
              <w:tc>
                <w:tcPr>
                  <w:tcW w:w="3322" w:type="pct"/>
                  <w:shd w:val="clear" w:color="auto" w:fill="auto"/>
                </w:tcPr>
                <w:p w:rsidR="00227E25" w:rsidRPr="007268E9" w:rsidRDefault="00227E25" w:rsidP="00227E25">
                  <w:pPr>
                    <w:pStyle w:val="TableBodyText"/>
                    <w:spacing w:before="120"/>
                    <w:ind w:right="28"/>
                    <w:jc w:val="both"/>
                    <w:rPr>
                      <w:color w:val="000000" w:themeColor="text1"/>
                      <w:sz w:val="22"/>
                      <w:szCs w:val="22"/>
                    </w:rPr>
                  </w:pPr>
                  <w:r w:rsidRPr="007268E9">
                    <w:rPr>
                      <w:color w:val="000000" w:themeColor="text1"/>
                      <w:sz w:val="22"/>
                      <w:szCs w:val="22"/>
                    </w:rPr>
                    <w:t>Develop and collect nationally comparable data.</w:t>
                  </w:r>
                </w:p>
              </w:tc>
            </w:tr>
            <w:tr w:rsidR="00037871" w:rsidRPr="00037871" w:rsidTr="00227E25">
              <w:tc>
                <w:tcPr>
                  <w:tcW w:w="1574" w:type="pct"/>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Self</w:t>
                  </w:r>
                  <w:r w:rsidR="00FB3DF6">
                    <w:rPr>
                      <w:color w:val="000000" w:themeColor="text1"/>
                      <w:sz w:val="22"/>
                      <w:szCs w:val="22"/>
                    </w:rPr>
                    <w:noBreakHyphen/>
                  </w:r>
                  <w:r w:rsidRPr="007268E9">
                    <w:rPr>
                      <w:color w:val="000000" w:themeColor="text1"/>
                      <w:sz w:val="22"/>
                      <w:szCs w:val="22"/>
                    </w:rPr>
                    <w:t>employment and Indigenous business</w:t>
                  </w:r>
                </w:p>
              </w:tc>
              <w:tc>
                <w:tcPr>
                  <w:tcW w:w="104" w:type="pct"/>
                  <w:shd w:val="clear" w:color="auto" w:fill="auto"/>
                </w:tcPr>
                <w:p w:rsidR="00227E25" w:rsidRPr="007268E9" w:rsidRDefault="00227E25" w:rsidP="00227E25">
                  <w:pPr>
                    <w:pStyle w:val="TableBodyText"/>
                    <w:spacing w:before="120"/>
                    <w:jc w:val="left"/>
                    <w:rPr>
                      <w:color w:val="000000" w:themeColor="text1"/>
                      <w:sz w:val="22"/>
                      <w:szCs w:val="22"/>
                    </w:rPr>
                  </w:pPr>
                </w:p>
              </w:tc>
              <w:tc>
                <w:tcPr>
                  <w:tcW w:w="3322" w:type="pct"/>
                  <w:shd w:val="clear" w:color="auto" w:fill="auto"/>
                </w:tcPr>
                <w:p w:rsidR="00227E25" w:rsidRPr="007268E9" w:rsidRDefault="00227E25" w:rsidP="00227E25">
                  <w:pPr>
                    <w:pStyle w:val="TableBodyText"/>
                    <w:spacing w:before="120"/>
                    <w:ind w:right="28"/>
                    <w:jc w:val="both"/>
                    <w:rPr>
                      <w:color w:val="000000" w:themeColor="text1"/>
                      <w:sz w:val="22"/>
                      <w:szCs w:val="22"/>
                    </w:rPr>
                  </w:pPr>
                  <w:r w:rsidRPr="007268E9">
                    <w:rPr>
                      <w:color w:val="000000" w:themeColor="text1"/>
                      <w:sz w:val="22"/>
                      <w:szCs w:val="22"/>
                    </w:rPr>
                    <w:t>Collect data on Indigenous business</w:t>
                  </w:r>
                  <w:r w:rsidR="009973B1">
                    <w:rPr>
                      <w:color w:val="000000" w:themeColor="text1"/>
                      <w:sz w:val="22"/>
                      <w:szCs w:val="22"/>
                    </w:rPr>
                    <w:t>es</w:t>
                  </w:r>
                  <w:r w:rsidRPr="007268E9">
                    <w:rPr>
                      <w:color w:val="000000" w:themeColor="text1"/>
                      <w:sz w:val="22"/>
                      <w:szCs w:val="22"/>
                    </w:rPr>
                    <w:t>.</w:t>
                  </w:r>
                </w:p>
              </w:tc>
            </w:tr>
            <w:tr w:rsidR="00037871" w:rsidRPr="00037871" w:rsidTr="00227E25">
              <w:tc>
                <w:tcPr>
                  <w:tcW w:w="1574" w:type="pct"/>
                  <w:tcBorders>
                    <w:bottom w:val="single" w:sz="6" w:space="0" w:color="BFBFBF"/>
                  </w:tcBorders>
                  <w:shd w:val="clear" w:color="auto" w:fill="auto"/>
                </w:tcPr>
                <w:p w:rsidR="00227E25" w:rsidRPr="007268E9" w:rsidRDefault="00227E25" w:rsidP="00227E25">
                  <w:pPr>
                    <w:pStyle w:val="TableBodyText"/>
                    <w:spacing w:before="120"/>
                    <w:jc w:val="left"/>
                    <w:rPr>
                      <w:color w:val="000000" w:themeColor="text1"/>
                      <w:sz w:val="22"/>
                      <w:szCs w:val="22"/>
                    </w:rPr>
                  </w:pPr>
                  <w:r w:rsidRPr="007268E9">
                    <w:rPr>
                      <w:color w:val="000000" w:themeColor="text1"/>
                      <w:sz w:val="22"/>
                      <w:szCs w:val="22"/>
                    </w:rPr>
                    <w:t xml:space="preserve">Access to clean water </w:t>
                  </w:r>
                  <w:r w:rsidRPr="007268E9">
                    <w:rPr>
                      <w:color w:val="000000" w:themeColor="text1"/>
                      <w:sz w:val="22"/>
                      <w:szCs w:val="22"/>
                    </w:rPr>
                    <w:br/>
                    <w:t>and functional sewerage and electricity services</w:t>
                  </w:r>
                </w:p>
              </w:tc>
              <w:tc>
                <w:tcPr>
                  <w:tcW w:w="104" w:type="pct"/>
                  <w:tcBorders>
                    <w:bottom w:val="single" w:sz="6" w:space="0" w:color="BFBFBF"/>
                  </w:tcBorders>
                  <w:shd w:val="clear" w:color="auto" w:fill="auto"/>
                </w:tcPr>
                <w:p w:rsidR="00227E25" w:rsidRPr="007268E9" w:rsidRDefault="00227E25" w:rsidP="00227E25">
                  <w:pPr>
                    <w:pStyle w:val="TableBodyText"/>
                    <w:spacing w:before="120"/>
                    <w:jc w:val="left"/>
                    <w:rPr>
                      <w:color w:val="000000" w:themeColor="text1"/>
                      <w:sz w:val="22"/>
                      <w:szCs w:val="22"/>
                    </w:rPr>
                  </w:pPr>
                </w:p>
              </w:tc>
              <w:tc>
                <w:tcPr>
                  <w:tcW w:w="3322" w:type="pct"/>
                  <w:tcBorders>
                    <w:bottom w:val="single" w:sz="6" w:space="0" w:color="BFBFBF"/>
                  </w:tcBorders>
                  <w:shd w:val="clear" w:color="auto" w:fill="auto"/>
                </w:tcPr>
                <w:p w:rsidR="00227E25" w:rsidRPr="007268E9" w:rsidRDefault="00227E25" w:rsidP="00745BA5">
                  <w:pPr>
                    <w:pStyle w:val="TableBodyText"/>
                    <w:spacing w:before="120"/>
                    <w:ind w:right="28"/>
                    <w:jc w:val="both"/>
                    <w:rPr>
                      <w:color w:val="000000" w:themeColor="text1"/>
                      <w:sz w:val="22"/>
                      <w:szCs w:val="22"/>
                    </w:rPr>
                  </w:pPr>
                  <w:r w:rsidRPr="007268E9">
                    <w:rPr>
                      <w:color w:val="000000" w:themeColor="text1"/>
                      <w:sz w:val="22"/>
                      <w:szCs w:val="22"/>
                    </w:rPr>
                    <w:t xml:space="preserve">Collect data </w:t>
                  </w:r>
                  <w:r w:rsidR="009973B1">
                    <w:rPr>
                      <w:color w:val="000000" w:themeColor="text1"/>
                      <w:sz w:val="22"/>
                      <w:szCs w:val="22"/>
                    </w:rPr>
                    <w:t>on essential</w:t>
                  </w:r>
                  <w:r w:rsidRPr="007268E9">
                    <w:rPr>
                      <w:color w:val="000000" w:themeColor="text1"/>
                      <w:sz w:val="22"/>
                      <w:szCs w:val="22"/>
                    </w:rPr>
                    <w:t xml:space="preserve"> services in </w:t>
                  </w:r>
                  <w:r w:rsidR="00CF00C8" w:rsidRPr="007268E9">
                    <w:rPr>
                      <w:color w:val="000000" w:themeColor="text1"/>
                      <w:sz w:val="22"/>
                      <w:szCs w:val="22"/>
                    </w:rPr>
                    <w:t>Aboriginal and Torres Strait Islander</w:t>
                  </w:r>
                  <w:r w:rsidRPr="007268E9">
                    <w:rPr>
                      <w:color w:val="000000" w:themeColor="text1"/>
                      <w:sz w:val="22"/>
                      <w:szCs w:val="22"/>
                    </w:rPr>
                    <w:t xml:space="preserve"> communities</w:t>
                  </w:r>
                  <w:r w:rsidR="009973B1">
                    <w:rPr>
                      <w:color w:val="000000" w:themeColor="text1"/>
                      <w:sz w:val="22"/>
                      <w:szCs w:val="22"/>
                    </w:rPr>
                    <w:t>.</w:t>
                  </w:r>
                  <w:r w:rsidRPr="007268E9">
                    <w:rPr>
                      <w:color w:val="000000" w:themeColor="text1"/>
                      <w:sz w:val="22"/>
                      <w:szCs w:val="22"/>
                    </w:rPr>
                    <w:t xml:space="preserve"> </w:t>
                  </w:r>
                </w:p>
              </w:tc>
            </w:tr>
          </w:tbl>
          <w:p w:rsidR="00826ABC" w:rsidRPr="00037871" w:rsidRDefault="00826ABC" w:rsidP="00826ABC">
            <w:pPr>
              <w:pStyle w:val="Box"/>
              <w:rPr>
                <w:color w:val="00B050"/>
              </w:rPr>
            </w:pPr>
          </w:p>
        </w:tc>
      </w:tr>
      <w:tr w:rsidR="00037871" w:rsidRPr="00037871" w:rsidTr="00CD0615">
        <w:trPr>
          <w:cantSplit/>
        </w:trPr>
        <w:tc>
          <w:tcPr>
            <w:tcW w:w="8771" w:type="dxa"/>
            <w:tcBorders>
              <w:top w:val="nil"/>
              <w:left w:val="nil"/>
              <w:bottom w:val="single" w:sz="6" w:space="0" w:color="78A22F"/>
              <w:right w:val="nil"/>
            </w:tcBorders>
            <w:shd w:val="clear" w:color="auto" w:fill="auto"/>
          </w:tcPr>
          <w:p w:rsidR="00826ABC" w:rsidRPr="00037871" w:rsidRDefault="00826ABC" w:rsidP="00826ABC">
            <w:pPr>
              <w:pStyle w:val="Box"/>
              <w:spacing w:before="0" w:line="120" w:lineRule="exact"/>
              <w:rPr>
                <w:color w:val="00B050"/>
              </w:rPr>
            </w:pPr>
          </w:p>
        </w:tc>
      </w:tr>
      <w:tr w:rsidR="00037871" w:rsidRPr="00037871" w:rsidTr="00CD0615">
        <w:tc>
          <w:tcPr>
            <w:tcW w:w="8771" w:type="dxa"/>
            <w:tcBorders>
              <w:top w:val="single" w:sz="6" w:space="0" w:color="78A22F"/>
              <w:left w:val="nil"/>
              <w:bottom w:val="nil"/>
              <w:right w:val="nil"/>
            </w:tcBorders>
          </w:tcPr>
          <w:p w:rsidR="00826ABC" w:rsidRPr="00037871" w:rsidRDefault="00826ABC" w:rsidP="00826ABC">
            <w:pPr>
              <w:pStyle w:val="BoxSpaceBelow"/>
              <w:rPr>
                <w:color w:val="00B050"/>
              </w:rPr>
            </w:pPr>
          </w:p>
        </w:tc>
      </w:tr>
    </w:tbl>
    <w:p w:rsidR="00826ABC" w:rsidRPr="007268E9" w:rsidRDefault="00826ABC" w:rsidP="00826ABC">
      <w:pPr>
        <w:pStyle w:val="BodyText"/>
      </w:pPr>
    </w:p>
    <w:sectPr w:rsidR="00826ABC" w:rsidRPr="007268E9" w:rsidSect="00554197">
      <w:headerReference w:type="even" r:id="rId36"/>
      <w:headerReference w:type="default" r:id="rId37"/>
      <w:footerReference w:type="even" r:id="rId38"/>
      <w:footerReference w:type="default" r:id="rId39"/>
      <w:pgSz w:w="11907" w:h="16840" w:code="9"/>
      <w:pgMar w:top="1814" w:right="1304" w:bottom="1417" w:left="1814" w:header="1701" w:footer="567" w:gutter="0"/>
      <w:pgNumType w:start="1" w:chapStyle="1" w:chapSep="period"/>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DF6" w:rsidRDefault="00FB3DF6">
      <w:r>
        <w:separator/>
      </w:r>
    </w:p>
  </w:endnote>
  <w:endnote w:type="continuationSeparator" w:id="0">
    <w:p w:rsidR="00FB3DF6" w:rsidRDefault="00FB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B3DF6" w:rsidTr="005F48ED">
      <w:trPr>
        <w:trHeight w:hRule="exact" w:val="567"/>
      </w:trPr>
      <w:tc>
        <w:tcPr>
          <w:tcW w:w="510" w:type="dxa"/>
        </w:tcPr>
        <w:p w:rsidR="00FB3DF6" w:rsidRPr="00A24443" w:rsidRDefault="00FB3DF6"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1617A">
            <w:rPr>
              <w:rStyle w:val="PageNumber"/>
              <w:caps w:val="0"/>
              <w:noProof/>
            </w:rPr>
            <w:t>4</w:t>
          </w:r>
          <w:r w:rsidRPr="00A24443">
            <w:rPr>
              <w:rStyle w:val="PageNumber"/>
              <w:caps w:val="0"/>
            </w:rPr>
            <w:fldChar w:fldCharType="end"/>
          </w:r>
        </w:p>
      </w:tc>
      <w:tc>
        <w:tcPr>
          <w:tcW w:w="7767" w:type="dxa"/>
        </w:tcPr>
        <w:p w:rsidR="00FB3DF6" w:rsidRPr="0013739A" w:rsidRDefault="00FB3DF6" w:rsidP="001C42D5">
          <w:pPr>
            <w:pStyle w:val="Footer"/>
            <w:rPr>
              <w:rFonts w:cs="Arial"/>
            </w:rPr>
          </w:pPr>
          <w:r>
            <w:rPr>
              <w:rFonts w:cs="Arial"/>
            </w:rPr>
            <w:t>Overcoming Indigenous Disadvantage 2016</w:t>
          </w:r>
          <w:bookmarkStart w:id="4" w:name="DraftReportEven"/>
          <w:bookmarkEnd w:id="4"/>
        </w:p>
      </w:tc>
      <w:tc>
        <w:tcPr>
          <w:tcW w:w="510" w:type="dxa"/>
        </w:tcPr>
        <w:p w:rsidR="00FB3DF6" w:rsidRDefault="00FB3DF6" w:rsidP="0019293B">
          <w:pPr>
            <w:pStyle w:val="Footer"/>
          </w:pPr>
        </w:p>
      </w:tc>
    </w:tr>
  </w:tbl>
  <w:p w:rsidR="00FB3DF6" w:rsidRDefault="00FB3DF6"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B3DF6" w:rsidTr="005F48ED">
      <w:trPr>
        <w:trHeight w:hRule="exact" w:val="567"/>
      </w:trPr>
      <w:tc>
        <w:tcPr>
          <w:tcW w:w="510" w:type="dxa"/>
        </w:tcPr>
        <w:p w:rsidR="00FB3DF6" w:rsidRDefault="00FB3DF6">
          <w:pPr>
            <w:pStyle w:val="Footer"/>
            <w:ind w:right="360" w:firstLine="360"/>
          </w:pPr>
        </w:p>
      </w:tc>
      <w:tc>
        <w:tcPr>
          <w:tcW w:w="7767" w:type="dxa"/>
        </w:tcPr>
        <w:p w:rsidR="00FB3DF6" w:rsidRPr="00BA5B14" w:rsidRDefault="00FB3DF6" w:rsidP="0013739A">
          <w:pPr>
            <w:pStyle w:val="Footer"/>
            <w:jc w:val="right"/>
            <w:rPr>
              <w:rFonts w:cs="Arial"/>
            </w:rPr>
          </w:pPr>
          <w:r>
            <w:rPr>
              <w:rFonts w:cs="Arial"/>
            </w:rPr>
            <w:t>Overview</w:t>
          </w:r>
          <w:bookmarkStart w:id="5" w:name="DraftReportOdd"/>
          <w:bookmarkEnd w:id="5"/>
        </w:p>
      </w:tc>
      <w:tc>
        <w:tcPr>
          <w:tcW w:w="510" w:type="dxa"/>
        </w:tcPr>
        <w:p w:rsidR="00FB3DF6" w:rsidRPr="00A24443" w:rsidRDefault="00FB3DF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1617A">
            <w:rPr>
              <w:rStyle w:val="PageNumber"/>
              <w:caps w:val="0"/>
              <w:noProof/>
            </w:rPr>
            <w:t>3</w:t>
          </w:r>
          <w:r w:rsidRPr="00A24443">
            <w:rPr>
              <w:rStyle w:val="PageNumber"/>
              <w:caps w:val="0"/>
            </w:rPr>
            <w:fldChar w:fldCharType="end"/>
          </w:r>
        </w:p>
      </w:tc>
    </w:tr>
  </w:tbl>
  <w:p w:rsidR="00FB3DF6" w:rsidRDefault="00FB3DF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DF6" w:rsidRDefault="00FB3DF6">
      <w:r>
        <w:separator/>
      </w:r>
    </w:p>
  </w:footnote>
  <w:footnote w:type="continuationSeparator" w:id="0">
    <w:p w:rsidR="00FB3DF6" w:rsidRDefault="00FB3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FB3DF6">
      <w:tc>
        <w:tcPr>
          <w:tcW w:w="2155" w:type="dxa"/>
          <w:tcBorders>
            <w:top w:val="single" w:sz="24" w:space="0" w:color="auto"/>
          </w:tcBorders>
        </w:tcPr>
        <w:p w:rsidR="00FB3DF6" w:rsidRDefault="00FB3DF6" w:rsidP="0019293B">
          <w:pPr>
            <w:pStyle w:val="HeaderEven"/>
          </w:pPr>
        </w:p>
      </w:tc>
      <w:tc>
        <w:tcPr>
          <w:tcW w:w="6634" w:type="dxa"/>
          <w:tcBorders>
            <w:top w:val="single" w:sz="6" w:space="0" w:color="auto"/>
          </w:tcBorders>
        </w:tcPr>
        <w:p w:rsidR="00FB3DF6" w:rsidRDefault="00FB3DF6" w:rsidP="00D17CE9">
          <w:pPr>
            <w:pStyle w:val="HeaderEven"/>
          </w:pPr>
        </w:p>
      </w:tc>
    </w:tr>
  </w:tbl>
  <w:p w:rsidR="00FB3DF6" w:rsidRDefault="00FB3DF6"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B3DF6">
      <w:tc>
        <w:tcPr>
          <w:tcW w:w="6634" w:type="dxa"/>
          <w:tcBorders>
            <w:top w:val="single" w:sz="6" w:space="0" w:color="auto"/>
          </w:tcBorders>
        </w:tcPr>
        <w:p w:rsidR="00FB3DF6" w:rsidRDefault="00FB3DF6" w:rsidP="00D17CE9">
          <w:pPr>
            <w:pStyle w:val="HeaderOdd"/>
          </w:pPr>
        </w:p>
      </w:tc>
      <w:tc>
        <w:tcPr>
          <w:tcW w:w="2155" w:type="dxa"/>
          <w:tcBorders>
            <w:top w:val="single" w:sz="24" w:space="0" w:color="auto"/>
          </w:tcBorders>
        </w:tcPr>
        <w:p w:rsidR="00FB3DF6" w:rsidRDefault="00FB3DF6" w:rsidP="00E669E2">
          <w:pPr>
            <w:pStyle w:val="HeaderOdd"/>
          </w:pPr>
        </w:p>
      </w:tc>
    </w:tr>
  </w:tbl>
  <w:p w:rsidR="00FB3DF6" w:rsidRDefault="00FB3DF6"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5">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6">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5BAA5EE7"/>
    <w:multiLevelType w:val="hybridMultilevel"/>
    <w:tmpl w:val="FF3EA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nsid w:val="79952DDA"/>
    <w:multiLevelType w:val="hybridMultilevel"/>
    <w:tmpl w:val="7F741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3"/>
  </w:num>
  <w:num w:numId="4">
    <w:abstractNumId w:val="3"/>
  </w:num>
  <w:num w:numId="5">
    <w:abstractNumId w:val="19"/>
  </w:num>
  <w:num w:numId="6">
    <w:abstractNumId w:val="15"/>
  </w:num>
  <w:num w:numId="7">
    <w:abstractNumId w:val="7"/>
  </w:num>
  <w:num w:numId="8">
    <w:abstractNumId w:val="14"/>
  </w:num>
  <w:num w:numId="9">
    <w:abstractNumId w:val="6"/>
  </w:num>
  <w:num w:numId="10">
    <w:abstractNumId w:val="5"/>
  </w:num>
  <w:num w:numId="11">
    <w:abstractNumId w:val="9"/>
  </w:num>
  <w:num w:numId="12">
    <w:abstractNumId w:val="10"/>
  </w:num>
  <w:num w:numId="13">
    <w:abstractNumId w:val="4"/>
  </w:num>
  <w:num w:numId="14">
    <w:abstractNumId w:val="16"/>
  </w:num>
  <w:num w:numId="15">
    <w:abstractNumId w:val="21"/>
  </w:num>
  <w:num w:numId="16">
    <w:abstractNumId w:val="12"/>
  </w:num>
  <w:num w:numId="17">
    <w:abstractNumId w:val="22"/>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18"/>
  </w:num>
  <w:num w:numId="21">
    <w:abstractNumId w:val="8"/>
  </w:num>
  <w:num w:numId="22">
    <w:abstractNumId w:val="20"/>
  </w:num>
  <w:num w:numId="23">
    <w:abstractNumId w:val="17"/>
  </w:num>
  <w:num w:numId="24">
    <w:abstractNumId w:val="11"/>
  </w:num>
  <w:num w:numId="25">
    <w:abstractNumId w:val="4"/>
  </w:num>
  <w:num w:numId="26">
    <w:abstractNumId w:val="19"/>
  </w:num>
  <w:num w:numId="27">
    <w:abstractNumId w:val="16"/>
  </w:num>
  <w:num w:numId="28">
    <w:abstractNumId w:val="5"/>
  </w:num>
  <w:num w:numId="29">
    <w:abstractNumId w:val="5"/>
  </w:num>
  <w:num w:numId="30">
    <w:abstractNumId w:val="10"/>
  </w:num>
  <w:num w:numId="31">
    <w:abstractNumId w:val="21"/>
  </w:num>
  <w:num w:numId="32">
    <w:abstractNumId w:val="13"/>
  </w:num>
  <w:num w:numId="33">
    <w:abstractNumId w:val="12"/>
  </w:num>
  <w:num w:numId="34">
    <w:abstractNumId w:val="2"/>
  </w:num>
  <w:num w:numId="35">
    <w:abstractNumId w:val="18"/>
  </w:num>
  <w:num w:numId="36">
    <w:abstractNumId w:val="8"/>
  </w:num>
  <w:num w:numId="37">
    <w:abstractNumId w:val="3"/>
  </w:num>
  <w:num w:numId="38">
    <w:abstractNumId w:val="6"/>
  </w:num>
  <w:num w:numId="39">
    <w:abstractNumId w:val="6"/>
  </w:num>
  <w:num w:numId="40">
    <w:abstractNumId w:val="6"/>
  </w:num>
  <w:num w:numId="41">
    <w:abstractNumId w:val="15"/>
  </w:num>
  <w:num w:numId="42">
    <w:abstractNumId w:val="22"/>
  </w:num>
  <w:num w:numId="43">
    <w:abstractNumId w:val="9"/>
  </w:num>
  <w:num w:numId="44">
    <w:abstractNumId w:val="7"/>
  </w:num>
  <w:num w:numId="4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24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Overview"/>
    <w:docVar w:name="ShortReportTitle" w:val="Overcoming Indigenous Disadvantage 2014"/>
  </w:docVars>
  <w:rsids>
    <w:rsidRoot w:val="00C05E94"/>
    <w:rsid w:val="000017FD"/>
    <w:rsid w:val="00011D0F"/>
    <w:rsid w:val="00012BDE"/>
    <w:rsid w:val="00013D89"/>
    <w:rsid w:val="0001760D"/>
    <w:rsid w:val="000227D5"/>
    <w:rsid w:val="0002365A"/>
    <w:rsid w:val="000245AA"/>
    <w:rsid w:val="00026106"/>
    <w:rsid w:val="0003290F"/>
    <w:rsid w:val="0003664B"/>
    <w:rsid w:val="00037871"/>
    <w:rsid w:val="00037AB9"/>
    <w:rsid w:val="0004111F"/>
    <w:rsid w:val="0004364C"/>
    <w:rsid w:val="00045FA2"/>
    <w:rsid w:val="00047B12"/>
    <w:rsid w:val="00055077"/>
    <w:rsid w:val="000565B3"/>
    <w:rsid w:val="0006170B"/>
    <w:rsid w:val="00064340"/>
    <w:rsid w:val="0007150B"/>
    <w:rsid w:val="000752A8"/>
    <w:rsid w:val="00077E48"/>
    <w:rsid w:val="00087F81"/>
    <w:rsid w:val="00091A02"/>
    <w:rsid w:val="000938F5"/>
    <w:rsid w:val="00094646"/>
    <w:rsid w:val="00095663"/>
    <w:rsid w:val="0009587E"/>
    <w:rsid w:val="00096D98"/>
    <w:rsid w:val="00096E55"/>
    <w:rsid w:val="0009783E"/>
    <w:rsid w:val="000A5776"/>
    <w:rsid w:val="000B1022"/>
    <w:rsid w:val="000B18DD"/>
    <w:rsid w:val="000B3112"/>
    <w:rsid w:val="000B5125"/>
    <w:rsid w:val="000B601B"/>
    <w:rsid w:val="000C207E"/>
    <w:rsid w:val="000D41E9"/>
    <w:rsid w:val="000D4B13"/>
    <w:rsid w:val="000D56B7"/>
    <w:rsid w:val="000D7EAE"/>
    <w:rsid w:val="000E1049"/>
    <w:rsid w:val="000F0035"/>
    <w:rsid w:val="000F04E7"/>
    <w:rsid w:val="000F060A"/>
    <w:rsid w:val="000F0F09"/>
    <w:rsid w:val="000F420B"/>
    <w:rsid w:val="001032A4"/>
    <w:rsid w:val="00110116"/>
    <w:rsid w:val="001137EF"/>
    <w:rsid w:val="001139FA"/>
    <w:rsid w:val="00120072"/>
    <w:rsid w:val="00124A61"/>
    <w:rsid w:val="00126149"/>
    <w:rsid w:val="00126EB8"/>
    <w:rsid w:val="001274D4"/>
    <w:rsid w:val="001363AA"/>
    <w:rsid w:val="001365B1"/>
    <w:rsid w:val="0013692D"/>
    <w:rsid w:val="001372F8"/>
    <w:rsid w:val="0013739A"/>
    <w:rsid w:val="0014070A"/>
    <w:rsid w:val="00142165"/>
    <w:rsid w:val="00142ACE"/>
    <w:rsid w:val="00142B01"/>
    <w:rsid w:val="001509DC"/>
    <w:rsid w:val="0015485D"/>
    <w:rsid w:val="001578F4"/>
    <w:rsid w:val="001601B9"/>
    <w:rsid w:val="00162434"/>
    <w:rsid w:val="00172778"/>
    <w:rsid w:val="0018003B"/>
    <w:rsid w:val="00183E82"/>
    <w:rsid w:val="00185B98"/>
    <w:rsid w:val="001878BB"/>
    <w:rsid w:val="00191AE0"/>
    <w:rsid w:val="0019293B"/>
    <w:rsid w:val="00192A01"/>
    <w:rsid w:val="00193821"/>
    <w:rsid w:val="0019426B"/>
    <w:rsid w:val="001A15D4"/>
    <w:rsid w:val="001A1FFA"/>
    <w:rsid w:val="001A6A4B"/>
    <w:rsid w:val="001B1313"/>
    <w:rsid w:val="001B165E"/>
    <w:rsid w:val="001B3D33"/>
    <w:rsid w:val="001C0865"/>
    <w:rsid w:val="001C0AED"/>
    <w:rsid w:val="001C14EC"/>
    <w:rsid w:val="001C34D9"/>
    <w:rsid w:val="001C3ABA"/>
    <w:rsid w:val="001C42D5"/>
    <w:rsid w:val="001C4E13"/>
    <w:rsid w:val="001C5111"/>
    <w:rsid w:val="001D2E4C"/>
    <w:rsid w:val="001D480C"/>
    <w:rsid w:val="001D733F"/>
    <w:rsid w:val="001E7BE8"/>
    <w:rsid w:val="001F0248"/>
    <w:rsid w:val="001F102F"/>
    <w:rsid w:val="001F386B"/>
    <w:rsid w:val="001F3EB3"/>
    <w:rsid w:val="001F4F86"/>
    <w:rsid w:val="00200950"/>
    <w:rsid w:val="00202C2C"/>
    <w:rsid w:val="00202EF4"/>
    <w:rsid w:val="00203050"/>
    <w:rsid w:val="0020338A"/>
    <w:rsid w:val="00205BFA"/>
    <w:rsid w:val="002102BD"/>
    <w:rsid w:val="0021060A"/>
    <w:rsid w:val="0021286F"/>
    <w:rsid w:val="002135AB"/>
    <w:rsid w:val="002144BE"/>
    <w:rsid w:val="00215DAA"/>
    <w:rsid w:val="002177F8"/>
    <w:rsid w:val="00223EBD"/>
    <w:rsid w:val="002262AA"/>
    <w:rsid w:val="00227E25"/>
    <w:rsid w:val="002331D0"/>
    <w:rsid w:val="00234BDB"/>
    <w:rsid w:val="00240FAF"/>
    <w:rsid w:val="00242279"/>
    <w:rsid w:val="00243997"/>
    <w:rsid w:val="0024516C"/>
    <w:rsid w:val="00245C82"/>
    <w:rsid w:val="002460B8"/>
    <w:rsid w:val="002472A9"/>
    <w:rsid w:val="002477BB"/>
    <w:rsid w:val="0025114F"/>
    <w:rsid w:val="002526E3"/>
    <w:rsid w:val="00263848"/>
    <w:rsid w:val="00264654"/>
    <w:rsid w:val="00270586"/>
    <w:rsid w:val="002724BA"/>
    <w:rsid w:val="00275CDD"/>
    <w:rsid w:val="00281E39"/>
    <w:rsid w:val="00282F67"/>
    <w:rsid w:val="002903BD"/>
    <w:rsid w:val="00290AB1"/>
    <w:rsid w:val="0029168C"/>
    <w:rsid w:val="00291B40"/>
    <w:rsid w:val="00292783"/>
    <w:rsid w:val="00293CCF"/>
    <w:rsid w:val="002A336B"/>
    <w:rsid w:val="002B0889"/>
    <w:rsid w:val="002B2CAD"/>
    <w:rsid w:val="002B4008"/>
    <w:rsid w:val="002B6DF1"/>
    <w:rsid w:val="002B790C"/>
    <w:rsid w:val="002C2F3E"/>
    <w:rsid w:val="002C439F"/>
    <w:rsid w:val="002C5A4B"/>
    <w:rsid w:val="002D0C42"/>
    <w:rsid w:val="002D0E8E"/>
    <w:rsid w:val="002D57A1"/>
    <w:rsid w:val="002D7349"/>
    <w:rsid w:val="002D76C7"/>
    <w:rsid w:val="002E2D1A"/>
    <w:rsid w:val="002E52F1"/>
    <w:rsid w:val="002E596A"/>
    <w:rsid w:val="002F4FDF"/>
    <w:rsid w:val="002F7C99"/>
    <w:rsid w:val="00300A02"/>
    <w:rsid w:val="00301189"/>
    <w:rsid w:val="0030126B"/>
    <w:rsid w:val="00301E4A"/>
    <w:rsid w:val="00304C13"/>
    <w:rsid w:val="00315B62"/>
    <w:rsid w:val="003168B8"/>
    <w:rsid w:val="00320D2D"/>
    <w:rsid w:val="00322D64"/>
    <w:rsid w:val="00323E09"/>
    <w:rsid w:val="00324C35"/>
    <w:rsid w:val="00333932"/>
    <w:rsid w:val="0034662D"/>
    <w:rsid w:val="003518AA"/>
    <w:rsid w:val="00352165"/>
    <w:rsid w:val="00353182"/>
    <w:rsid w:val="003565D9"/>
    <w:rsid w:val="003602E1"/>
    <w:rsid w:val="003653B5"/>
    <w:rsid w:val="003665D9"/>
    <w:rsid w:val="0037026F"/>
    <w:rsid w:val="0037114D"/>
    <w:rsid w:val="00371240"/>
    <w:rsid w:val="00374731"/>
    <w:rsid w:val="00374986"/>
    <w:rsid w:val="00376E59"/>
    <w:rsid w:val="00377EC1"/>
    <w:rsid w:val="00380340"/>
    <w:rsid w:val="00381DE4"/>
    <w:rsid w:val="0039111B"/>
    <w:rsid w:val="003919F9"/>
    <w:rsid w:val="003920CF"/>
    <w:rsid w:val="003927C6"/>
    <w:rsid w:val="003929A7"/>
    <w:rsid w:val="003953C6"/>
    <w:rsid w:val="003A290A"/>
    <w:rsid w:val="003B1511"/>
    <w:rsid w:val="003B23C2"/>
    <w:rsid w:val="003B5F03"/>
    <w:rsid w:val="003C38B5"/>
    <w:rsid w:val="003C5D99"/>
    <w:rsid w:val="003D092B"/>
    <w:rsid w:val="003D1087"/>
    <w:rsid w:val="003D1F00"/>
    <w:rsid w:val="003D42FA"/>
    <w:rsid w:val="003D78B3"/>
    <w:rsid w:val="003E2F59"/>
    <w:rsid w:val="003E3A2A"/>
    <w:rsid w:val="003E746B"/>
    <w:rsid w:val="003F0789"/>
    <w:rsid w:val="003F232F"/>
    <w:rsid w:val="003F36AE"/>
    <w:rsid w:val="003F3CB2"/>
    <w:rsid w:val="003F48BA"/>
    <w:rsid w:val="00400E30"/>
    <w:rsid w:val="00401882"/>
    <w:rsid w:val="00406AC7"/>
    <w:rsid w:val="004100C8"/>
    <w:rsid w:val="00411DBD"/>
    <w:rsid w:val="00412ACE"/>
    <w:rsid w:val="004145D2"/>
    <w:rsid w:val="00423330"/>
    <w:rsid w:val="00426CB4"/>
    <w:rsid w:val="00431249"/>
    <w:rsid w:val="00431EDE"/>
    <w:rsid w:val="00434C19"/>
    <w:rsid w:val="004411EA"/>
    <w:rsid w:val="00441CD0"/>
    <w:rsid w:val="00444B6F"/>
    <w:rsid w:val="004503A2"/>
    <w:rsid w:val="00450810"/>
    <w:rsid w:val="0045082A"/>
    <w:rsid w:val="00456BFD"/>
    <w:rsid w:val="0046089E"/>
    <w:rsid w:val="00462C59"/>
    <w:rsid w:val="00464B99"/>
    <w:rsid w:val="00466C91"/>
    <w:rsid w:val="00470737"/>
    <w:rsid w:val="004733CC"/>
    <w:rsid w:val="004741DF"/>
    <w:rsid w:val="00474D55"/>
    <w:rsid w:val="00477144"/>
    <w:rsid w:val="00490C79"/>
    <w:rsid w:val="00491380"/>
    <w:rsid w:val="00493316"/>
    <w:rsid w:val="00494373"/>
    <w:rsid w:val="0049459F"/>
    <w:rsid w:val="00494726"/>
    <w:rsid w:val="00497B38"/>
    <w:rsid w:val="004A38DD"/>
    <w:rsid w:val="004B11F2"/>
    <w:rsid w:val="004B43AE"/>
    <w:rsid w:val="004B486E"/>
    <w:rsid w:val="004B7B30"/>
    <w:rsid w:val="004C30ED"/>
    <w:rsid w:val="004C65E3"/>
    <w:rsid w:val="004C69E8"/>
    <w:rsid w:val="004D2588"/>
    <w:rsid w:val="004D5675"/>
    <w:rsid w:val="004D61CE"/>
    <w:rsid w:val="004E1C84"/>
    <w:rsid w:val="004E3AC1"/>
    <w:rsid w:val="004E5512"/>
    <w:rsid w:val="004E69B2"/>
    <w:rsid w:val="004F266E"/>
    <w:rsid w:val="004F2B40"/>
    <w:rsid w:val="004F3501"/>
    <w:rsid w:val="005000A8"/>
    <w:rsid w:val="00501CE9"/>
    <w:rsid w:val="00511F0E"/>
    <w:rsid w:val="00512AE6"/>
    <w:rsid w:val="00513512"/>
    <w:rsid w:val="00517795"/>
    <w:rsid w:val="00523639"/>
    <w:rsid w:val="00524C50"/>
    <w:rsid w:val="00530A3E"/>
    <w:rsid w:val="00531FE5"/>
    <w:rsid w:val="00533D0B"/>
    <w:rsid w:val="005357E3"/>
    <w:rsid w:val="005402FA"/>
    <w:rsid w:val="00540CA8"/>
    <w:rsid w:val="00542F1B"/>
    <w:rsid w:val="0054551C"/>
    <w:rsid w:val="0054740B"/>
    <w:rsid w:val="00554197"/>
    <w:rsid w:val="00554A46"/>
    <w:rsid w:val="00556C69"/>
    <w:rsid w:val="005608A2"/>
    <w:rsid w:val="00562347"/>
    <w:rsid w:val="00572651"/>
    <w:rsid w:val="005729BD"/>
    <w:rsid w:val="00572A74"/>
    <w:rsid w:val="00573656"/>
    <w:rsid w:val="0057529E"/>
    <w:rsid w:val="00580154"/>
    <w:rsid w:val="00582944"/>
    <w:rsid w:val="00583C39"/>
    <w:rsid w:val="00585A55"/>
    <w:rsid w:val="00586A90"/>
    <w:rsid w:val="00587F28"/>
    <w:rsid w:val="005909CF"/>
    <w:rsid w:val="00591E71"/>
    <w:rsid w:val="005A0D41"/>
    <w:rsid w:val="005A3BBB"/>
    <w:rsid w:val="005A6592"/>
    <w:rsid w:val="005B25B5"/>
    <w:rsid w:val="005B2FEF"/>
    <w:rsid w:val="005B520A"/>
    <w:rsid w:val="005C0FCA"/>
    <w:rsid w:val="005D21FE"/>
    <w:rsid w:val="005D329F"/>
    <w:rsid w:val="005D4975"/>
    <w:rsid w:val="005D5BB8"/>
    <w:rsid w:val="005D6C71"/>
    <w:rsid w:val="005E24B0"/>
    <w:rsid w:val="005F164A"/>
    <w:rsid w:val="005F48ED"/>
    <w:rsid w:val="005F6820"/>
    <w:rsid w:val="00606E78"/>
    <w:rsid w:val="00607BF1"/>
    <w:rsid w:val="00615471"/>
    <w:rsid w:val="00622C23"/>
    <w:rsid w:val="00630D4D"/>
    <w:rsid w:val="00632A74"/>
    <w:rsid w:val="006357BB"/>
    <w:rsid w:val="00635E1F"/>
    <w:rsid w:val="006431FE"/>
    <w:rsid w:val="00646112"/>
    <w:rsid w:val="006466C6"/>
    <w:rsid w:val="00647C3E"/>
    <w:rsid w:val="00653422"/>
    <w:rsid w:val="00654D42"/>
    <w:rsid w:val="00655B32"/>
    <w:rsid w:val="00655D2E"/>
    <w:rsid w:val="006633B7"/>
    <w:rsid w:val="00666E02"/>
    <w:rsid w:val="00671987"/>
    <w:rsid w:val="00673E0C"/>
    <w:rsid w:val="00685E59"/>
    <w:rsid w:val="00686FD4"/>
    <w:rsid w:val="00691A0C"/>
    <w:rsid w:val="00691ECE"/>
    <w:rsid w:val="00696244"/>
    <w:rsid w:val="006A390C"/>
    <w:rsid w:val="006A4655"/>
    <w:rsid w:val="006B2B3C"/>
    <w:rsid w:val="006C07D0"/>
    <w:rsid w:val="006C1699"/>
    <w:rsid w:val="006C1D81"/>
    <w:rsid w:val="006C4E61"/>
    <w:rsid w:val="006C7038"/>
    <w:rsid w:val="006D021A"/>
    <w:rsid w:val="006D16E3"/>
    <w:rsid w:val="006D56CD"/>
    <w:rsid w:val="006D59F2"/>
    <w:rsid w:val="006D5AC6"/>
    <w:rsid w:val="006E73EF"/>
    <w:rsid w:val="006F1C9E"/>
    <w:rsid w:val="006F5754"/>
    <w:rsid w:val="00701500"/>
    <w:rsid w:val="007015AD"/>
    <w:rsid w:val="00704EE3"/>
    <w:rsid w:val="007064EC"/>
    <w:rsid w:val="007079C9"/>
    <w:rsid w:val="0071099C"/>
    <w:rsid w:val="00714D4D"/>
    <w:rsid w:val="007240DD"/>
    <w:rsid w:val="00726094"/>
    <w:rsid w:val="007266D3"/>
    <w:rsid w:val="007268E9"/>
    <w:rsid w:val="00732029"/>
    <w:rsid w:val="007331C6"/>
    <w:rsid w:val="00743220"/>
    <w:rsid w:val="00745BA5"/>
    <w:rsid w:val="0074663B"/>
    <w:rsid w:val="007474B2"/>
    <w:rsid w:val="00751E0A"/>
    <w:rsid w:val="00752B7C"/>
    <w:rsid w:val="00753095"/>
    <w:rsid w:val="007531A8"/>
    <w:rsid w:val="00753349"/>
    <w:rsid w:val="0075480C"/>
    <w:rsid w:val="007604BB"/>
    <w:rsid w:val="007616A8"/>
    <w:rsid w:val="00772909"/>
    <w:rsid w:val="00776518"/>
    <w:rsid w:val="007778BA"/>
    <w:rsid w:val="00782B29"/>
    <w:rsid w:val="00785232"/>
    <w:rsid w:val="00794C79"/>
    <w:rsid w:val="0079701E"/>
    <w:rsid w:val="00797E60"/>
    <w:rsid w:val="007A21EB"/>
    <w:rsid w:val="007A391C"/>
    <w:rsid w:val="007B05C6"/>
    <w:rsid w:val="007B1A93"/>
    <w:rsid w:val="007B37B7"/>
    <w:rsid w:val="007B64D4"/>
    <w:rsid w:val="007B693D"/>
    <w:rsid w:val="007C3044"/>
    <w:rsid w:val="007C34DC"/>
    <w:rsid w:val="007C36C9"/>
    <w:rsid w:val="007D048B"/>
    <w:rsid w:val="007D5856"/>
    <w:rsid w:val="007D6401"/>
    <w:rsid w:val="007D716F"/>
    <w:rsid w:val="007E01E4"/>
    <w:rsid w:val="007E1CB2"/>
    <w:rsid w:val="007E4896"/>
    <w:rsid w:val="007E7A12"/>
    <w:rsid w:val="007F201A"/>
    <w:rsid w:val="007F2D28"/>
    <w:rsid w:val="007F7107"/>
    <w:rsid w:val="00800D4C"/>
    <w:rsid w:val="0081030F"/>
    <w:rsid w:val="0081102D"/>
    <w:rsid w:val="00811F5A"/>
    <w:rsid w:val="008128BF"/>
    <w:rsid w:val="00812F4A"/>
    <w:rsid w:val="00814EDC"/>
    <w:rsid w:val="0082087D"/>
    <w:rsid w:val="00821DBD"/>
    <w:rsid w:val="00825474"/>
    <w:rsid w:val="0082585B"/>
    <w:rsid w:val="00826ABC"/>
    <w:rsid w:val="00833507"/>
    <w:rsid w:val="00834478"/>
    <w:rsid w:val="00835771"/>
    <w:rsid w:val="00842933"/>
    <w:rsid w:val="00844884"/>
    <w:rsid w:val="008462CE"/>
    <w:rsid w:val="008528B1"/>
    <w:rsid w:val="0086082C"/>
    <w:rsid w:val="008612AA"/>
    <w:rsid w:val="00861C2B"/>
    <w:rsid w:val="0086388D"/>
    <w:rsid w:val="00864095"/>
    <w:rsid w:val="00864ADC"/>
    <w:rsid w:val="00874469"/>
    <w:rsid w:val="00880153"/>
    <w:rsid w:val="00880F97"/>
    <w:rsid w:val="0088133A"/>
    <w:rsid w:val="00891904"/>
    <w:rsid w:val="0089285E"/>
    <w:rsid w:val="00893BC4"/>
    <w:rsid w:val="0089436C"/>
    <w:rsid w:val="0089750B"/>
    <w:rsid w:val="008A1173"/>
    <w:rsid w:val="008B4277"/>
    <w:rsid w:val="008C255C"/>
    <w:rsid w:val="008C7EC2"/>
    <w:rsid w:val="008D2B74"/>
    <w:rsid w:val="008D365C"/>
    <w:rsid w:val="008D6ECF"/>
    <w:rsid w:val="008D7622"/>
    <w:rsid w:val="008E1D84"/>
    <w:rsid w:val="008E3159"/>
    <w:rsid w:val="008E4321"/>
    <w:rsid w:val="008E6324"/>
    <w:rsid w:val="008E6FE6"/>
    <w:rsid w:val="008F233E"/>
    <w:rsid w:val="009021A6"/>
    <w:rsid w:val="00902379"/>
    <w:rsid w:val="009030BF"/>
    <w:rsid w:val="00903B52"/>
    <w:rsid w:val="0091032F"/>
    <w:rsid w:val="009109F4"/>
    <w:rsid w:val="00914368"/>
    <w:rsid w:val="00920433"/>
    <w:rsid w:val="00923019"/>
    <w:rsid w:val="0092337A"/>
    <w:rsid w:val="009306AB"/>
    <w:rsid w:val="00931076"/>
    <w:rsid w:val="00931493"/>
    <w:rsid w:val="009345D9"/>
    <w:rsid w:val="00934B15"/>
    <w:rsid w:val="00935DD2"/>
    <w:rsid w:val="0093605E"/>
    <w:rsid w:val="00940C87"/>
    <w:rsid w:val="00942A14"/>
    <w:rsid w:val="00942B62"/>
    <w:rsid w:val="0095323B"/>
    <w:rsid w:val="0095581D"/>
    <w:rsid w:val="00956A0C"/>
    <w:rsid w:val="00956BD9"/>
    <w:rsid w:val="00962489"/>
    <w:rsid w:val="00967CD3"/>
    <w:rsid w:val="00967F72"/>
    <w:rsid w:val="00972832"/>
    <w:rsid w:val="009737B6"/>
    <w:rsid w:val="00975310"/>
    <w:rsid w:val="00976072"/>
    <w:rsid w:val="00976114"/>
    <w:rsid w:val="00983131"/>
    <w:rsid w:val="00987341"/>
    <w:rsid w:val="009909B8"/>
    <w:rsid w:val="00990C2C"/>
    <w:rsid w:val="00994B19"/>
    <w:rsid w:val="009973B1"/>
    <w:rsid w:val="009A5171"/>
    <w:rsid w:val="009A7835"/>
    <w:rsid w:val="009B365F"/>
    <w:rsid w:val="009E01B1"/>
    <w:rsid w:val="009E1844"/>
    <w:rsid w:val="009F0D1B"/>
    <w:rsid w:val="009F24D6"/>
    <w:rsid w:val="009F5BBD"/>
    <w:rsid w:val="009F696D"/>
    <w:rsid w:val="009F6BC6"/>
    <w:rsid w:val="009F74DD"/>
    <w:rsid w:val="009F74EF"/>
    <w:rsid w:val="009F7E6B"/>
    <w:rsid w:val="00A01E91"/>
    <w:rsid w:val="00A02826"/>
    <w:rsid w:val="00A02E23"/>
    <w:rsid w:val="00A068AF"/>
    <w:rsid w:val="00A1258F"/>
    <w:rsid w:val="00A135D3"/>
    <w:rsid w:val="00A15D5A"/>
    <w:rsid w:val="00A17328"/>
    <w:rsid w:val="00A22A1E"/>
    <w:rsid w:val="00A23A20"/>
    <w:rsid w:val="00A24443"/>
    <w:rsid w:val="00A268B9"/>
    <w:rsid w:val="00A2703A"/>
    <w:rsid w:val="00A27498"/>
    <w:rsid w:val="00A33DFF"/>
    <w:rsid w:val="00A35115"/>
    <w:rsid w:val="00A35C4C"/>
    <w:rsid w:val="00A36D9A"/>
    <w:rsid w:val="00A37843"/>
    <w:rsid w:val="00A40893"/>
    <w:rsid w:val="00A427A4"/>
    <w:rsid w:val="00A44B54"/>
    <w:rsid w:val="00A451DC"/>
    <w:rsid w:val="00A47FB6"/>
    <w:rsid w:val="00A512B5"/>
    <w:rsid w:val="00A554AB"/>
    <w:rsid w:val="00A561D3"/>
    <w:rsid w:val="00A57062"/>
    <w:rsid w:val="00A62E43"/>
    <w:rsid w:val="00A637A9"/>
    <w:rsid w:val="00A67781"/>
    <w:rsid w:val="00A72621"/>
    <w:rsid w:val="00A72C96"/>
    <w:rsid w:val="00A761F9"/>
    <w:rsid w:val="00A82426"/>
    <w:rsid w:val="00A908B5"/>
    <w:rsid w:val="00A91361"/>
    <w:rsid w:val="00A91CB3"/>
    <w:rsid w:val="00A92B53"/>
    <w:rsid w:val="00A9316D"/>
    <w:rsid w:val="00A935D0"/>
    <w:rsid w:val="00A94FA6"/>
    <w:rsid w:val="00A97218"/>
    <w:rsid w:val="00AA3EA5"/>
    <w:rsid w:val="00AA3FC3"/>
    <w:rsid w:val="00AA49A0"/>
    <w:rsid w:val="00AA6710"/>
    <w:rsid w:val="00AB0681"/>
    <w:rsid w:val="00AB6124"/>
    <w:rsid w:val="00AC2FA9"/>
    <w:rsid w:val="00AC3A15"/>
    <w:rsid w:val="00AD0D0E"/>
    <w:rsid w:val="00AD520B"/>
    <w:rsid w:val="00AE230A"/>
    <w:rsid w:val="00AE3BCC"/>
    <w:rsid w:val="00AF4313"/>
    <w:rsid w:val="00AF4F2F"/>
    <w:rsid w:val="00AF5213"/>
    <w:rsid w:val="00B06492"/>
    <w:rsid w:val="00B14EB0"/>
    <w:rsid w:val="00B161A7"/>
    <w:rsid w:val="00B17CFF"/>
    <w:rsid w:val="00B260CD"/>
    <w:rsid w:val="00B3048D"/>
    <w:rsid w:val="00B30E3C"/>
    <w:rsid w:val="00B32236"/>
    <w:rsid w:val="00B425C3"/>
    <w:rsid w:val="00B440AD"/>
    <w:rsid w:val="00B479BB"/>
    <w:rsid w:val="00B539DA"/>
    <w:rsid w:val="00B539E9"/>
    <w:rsid w:val="00B53E7E"/>
    <w:rsid w:val="00B541C7"/>
    <w:rsid w:val="00B544F1"/>
    <w:rsid w:val="00B568B0"/>
    <w:rsid w:val="00B6342E"/>
    <w:rsid w:val="00B63DC9"/>
    <w:rsid w:val="00B6469C"/>
    <w:rsid w:val="00B66EB8"/>
    <w:rsid w:val="00B703EA"/>
    <w:rsid w:val="00B70CFE"/>
    <w:rsid w:val="00B7113F"/>
    <w:rsid w:val="00B87906"/>
    <w:rsid w:val="00B87E93"/>
    <w:rsid w:val="00B92E1D"/>
    <w:rsid w:val="00B959ED"/>
    <w:rsid w:val="00B962F2"/>
    <w:rsid w:val="00B97C7F"/>
    <w:rsid w:val="00BA0316"/>
    <w:rsid w:val="00BA27A9"/>
    <w:rsid w:val="00BA2BCF"/>
    <w:rsid w:val="00BA5B14"/>
    <w:rsid w:val="00BA73B6"/>
    <w:rsid w:val="00BA7E27"/>
    <w:rsid w:val="00BB2603"/>
    <w:rsid w:val="00BB4FCD"/>
    <w:rsid w:val="00BB504E"/>
    <w:rsid w:val="00BB5C5A"/>
    <w:rsid w:val="00BB7E3A"/>
    <w:rsid w:val="00BC04E9"/>
    <w:rsid w:val="00BC08AC"/>
    <w:rsid w:val="00BC17E0"/>
    <w:rsid w:val="00BC33FF"/>
    <w:rsid w:val="00BD13EA"/>
    <w:rsid w:val="00BD2424"/>
    <w:rsid w:val="00BD31CC"/>
    <w:rsid w:val="00BD66D6"/>
    <w:rsid w:val="00BE3808"/>
    <w:rsid w:val="00BE50E9"/>
    <w:rsid w:val="00BE5284"/>
    <w:rsid w:val="00BF6B77"/>
    <w:rsid w:val="00C03B88"/>
    <w:rsid w:val="00C03D55"/>
    <w:rsid w:val="00C05945"/>
    <w:rsid w:val="00C05E94"/>
    <w:rsid w:val="00C062E9"/>
    <w:rsid w:val="00C07B64"/>
    <w:rsid w:val="00C13721"/>
    <w:rsid w:val="00C14FE4"/>
    <w:rsid w:val="00C210D1"/>
    <w:rsid w:val="00C3066D"/>
    <w:rsid w:val="00C3198B"/>
    <w:rsid w:val="00C32E7D"/>
    <w:rsid w:val="00C33496"/>
    <w:rsid w:val="00C52416"/>
    <w:rsid w:val="00C543F4"/>
    <w:rsid w:val="00C545AB"/>
    <w:rsid w:val="00C6291C"/>
    <w:rsid w:val="00C633CB"/>
    <w:rsid w:val="00C664CD"/>
    <w:rsid w:val="00C674CE"/>
    <w:rsid w:val="00C736B7"/>
    <w:rsid w:val="00C738E6"/>
    <w:rsid w:val="00C76332"/>
    <w:rsid w:val="00C77FEA"/>
    <w:rsid w:val="00C80EFB"/>
    <w:rsid w:val="00C81D4A"/>
    <w:rsid w:val="00C820D2"/>
    <w:rsid w:val="00C84F61"/>
    <w:rsid w:val="00C8762C"/>
    <w:rsid w:val="00CA00F9"/>
    <w:rsid w:val="00CA07F3"/>
    <w:rsid w:val="00CA2961"/>
    <w:rsid w:val="00CA4C20"/>
    <w:rsid w:val="00CA4E24"/>
    <w:rsid w:val="00CA5250"/>
    <w:rsid w:val="00CB0AE8"/>
    <w:rsid w:val="00CB50D7"/>
    <w:rsid w:val="00CB7177"/>
    <w:rsid w:val="00CB7CED"/>
    <w:rsid w:val="00CC070F"/>
    <w:rsid w:val="00CC1998"/>
    <w:rsid w:val="00CC1AAB"/>
    <w:rsid w:val="00CC4946"/>
    <w:rsid w:val="00CC58DD"/>
    <w:rsid w:val="00CC64A1"/>
    <w:rsid w:val="00CC794C"/>
    <w:rsid w:val="00CD0615"/>
    <w:rsid w:val="00CD17FE"/>
    <w:rsid w:val="00CD5D13"/>
    <w:rsid w:val="00CD72CF"/>
    <w:rsid w:val="00CE26DA"/>
    <w:rsid w:val="00CE3D53"/>
    <w:rsid w:val="00CE6373"/>
    <w:rsid w:val="00CF00C8"/>
    <w:rsid w:val="00CF3B11"/>
    <w:rsid w:val="00CF5D2B"/>
    <w:rsid w:val="00D1080E"/>
    <w:rsid w:val="00D11B56"/>
    <w:rsid w:val="00D12305"/>
    <w:rsid w:val="00D14CD9"/>
    <w:rsid w:val="00D17CE9"/>
    <w:rsid w:val="00D270A4"/>
    <w:rsid w:val="00D31FE9"/>
    <w:rsid w:val="00D32D23"/>
    <w:rsid w:val="00D34E1B"/>
    <w:rsid w:val="00D376BA"/>
    <w:rsid w:val="00D42A93"/>
    <w:rsid w:val="00D433D2"/>
    <w:rsid w:val="00D434A0"/>
    <w:rsid w:val="00D44B60"/>
    <w:rsid w:val="00D45634"/>
    <w:rsid w:val="00D47FF8"/>
    <w:rsid w:val="00D54DF6"/>
    <w:rsid w:val="00D5568A"/>
    <w:rsid w:val="00D63D73"/>
    <w:rsid w:val="00D64452"/>
    <w:rsid w:val="00D66E1E"/>
    <w:rsid w:val="00D70696"/>
    <w:rsid w:val="00D7113D"/>
    <w:rsid w:val="00D7120B"/>
    <w:rsid w:val="00D75722"/>
    <w:rsid w:val="00D80695"/>
    <w:rsid w:val="00D80CF5"/>
    <w:rsid w:val="00D82150"/>
    <w:rsid w:val="00D82758"/>
    <w:rsid w:val="00D85608"/>
    <w:rsid w:val="00D95470"/>
    <w:rsid w:val="00D970F3"/>
    <w:rsid w:val="00DA1CDC"/>
    <w:rsid w:val="00DA28BA"/>
    <w:rsid w:val="00DA5BBA"/>
    <w:rsid w:val="00DA607A"/>
    <w:rsid w:val="00DB0A82"/>
    <w:rsid w:val="00DB1437"/>
    <w:rsid w:val="00DB26D2"/>
    <w:rsid w:val="00DB45DB"/>
    <w:rsid w:val="00DB67C9"/>
    <w:rsid w:val="00DC0C95"/>
    <w:rsid w:val="00DC3167"/>
    <w:rsid w:val="00DC4F0B"/>
    <w:rsid w:val="00DC58AA"/>
    <w:rsid w:val="00DC6538"/>
    <w:rsid w:val="00DD2358"/>
    <w:rsid w:val="00DD2B1E"/>
    <w:rsid w:val="00DD6580"/>
    <w:rsid w:val="00DD75ED"/>
    <w:rsid w:val="00DE1AA1"/>
    <w:rsid w:val="00DE236E"/>
    <w:rsid w:val="00DE26C2"/>
    <w:rsid w:val="00DE3105"/>
    <w:rsid w:val="00DE4453"/>
    <w:rsid w:val="00DE4DD0"/>
    <w:rsid w:val="00DE6094"/>
    <w:rsid w:val="00DF3F47"/>
    <w:rsid w:val="00E0129B"/>
    <w:rsid w:val="00E01D7F"/>
    <w:rsid w:val="00E04A22"/>
    <w:rsid w:val="00E05C03"/>
    <w:rsid w:val="00E06CC0"/>
    <w:rsid w:val="00E07E8D"/>
    <w:rsid w:val="00E13A15"/>
    <w:rsid w:val="00E152FA"/>
    <w:rsid w:val="00E1617A"/>
    <w:rsid w:val="00E16762"/>
    <w:rsid w:val="00E17C72"/>
    <w:rsid w:val="00E21FC6"/>
    <w:rsid w:val="00E31590"/>
    <w:rsid w:val="00E32D75"/>
    <w:rsid w:val="00E337FF"/>
    <w:rsid w:val="00E36147"/>
    <w:rsid w:val="00E431A9"/>
    <w:rsid w:val="00E4557C"/>
    <w:rsid w:val="00E46BE7"/>
    <w:rsid w:val="00E51721"/>
    <w:rsid w:val="00E55428"/>
    <w:rsid w:val="00E60A6D"/>
    <w:rsid w:val="00E63DCA"/>
    <w:rsid w:val="00E669E2"/>
    <w:rsid w:val="00E70902"/>
    <w:rsid w:val="00E75B86"/>
    <w:rsid w:val="00E76135"/>
    <w:rsid w:val="00E77546"/>
    <w:rsid w:val="00E8132B"/>
    <w:rsid w:val="00E82D12"/>
    <w:rsid w:val="00E82F4F"/>
    <w:rsid w:val="00E864DF"/>
    <w:rsid w:val="00E9056C"/>
    <w:rsid w:val="00E92224"/>
    <w:rsid w:val="00E93877"/>
    <w:rsid w:val="00E95CCA"/>
    <w:rsid w:val="00E95F70"/>
    <w:rsid w:val="00EA1A67"/>
    <w:rsid w:val="00EA2ADD"/>
    <w:rsid w:val="00EA4AFB"/>
    <w:rsid w:val="00EA7621"/>
    <w:rsid w:val="00EB22A7"/>
    <w:rsid w:val="00EB2CC3"/>
    <w:rsid w:val="00EC0C6E"/>
    <w:rsid w:val="00EC2844"/>
    <w:rsid w:val="00EC5500"/>
    <w:rsid w:val="00EC67AB"/>
    <w:rsid w:val="00ED1112"/>
    <w:rsid w:val="00ED18F8"/>
    <w:rsid w:val="00ED7376"/>
    <w:rsid w:val="00EE2D01"/>
    <w:rsid w:val="00EE387E"/>
    <w:rsid w:val="00EE4B55"/>
    <w:rsid w:val="00EE50FB"/>
    <w:rsid w:val="00EE6EDA"/>
    <w:rsid w:val="00EE778E"/>
    <w:rsid w:val="00EE7901"/>
    <w:rsid w:val="00EF2BCD"/>
    <w:rsid w:val="00EF5E6A"/>
    <w:rsid w:val="00EF6719"/>
    <w:rsid w:val="00EF6B4B"/>
    <w:rsid w:val="00EF6C6C"/>
    <w:rsid w:val="00F056FC"/>
    <w:rsid w:val="00F0632F"/>
    <w:rsid w:val="00F069AE"/>
    <w:rsid w:val="00F072ED"/>
    <w:rsid w:val="00F10476"/>
    <w:rsid w:val="00F135D8"/>
    <w:rsid w:val="00F16067"/>
    <w:rsid w:val="00F174BD"/>
    <w:rsid w:val="00F20249"/>
    <w:rsid w:val="00F211BD"/>
    <w:rsid w:val="00F31299"/>
    <w:rsid w:val="00F322D0"/>
    <w:rsid w:val="00F326E9"/>
    <w:rsid w:val="00F3534A"/>
    <w:rsid w:val="00F35BFB"/>
    <w:rsid w:val="00F36ACC"/>
    <w:rsid w:val="00F409A2"/>
    <w:rsid w:val="00F448C1"/>
    <w:rsid w:val="00F51609"/>
    <w:rsid w:val="00F547A8"/>
    <w:rsid w:val="00F55C25"/>
    <w:rsid w:val="00F6583E"/>
    <w:rsid w:val="00F66E0B"/>
    <w:rsid w:val="00F70E53"/>
    <w:rsid w:val="00F73727"/>
    <w:rsid w:val="00F7561F"/>
    <w:rsid w:val="00F766A7"/>
    <w:rsid w:val="00F81006"/>
    <w:rsid w:val="00F85325"/>
    <w:rsid w:val="00F876D3"/>
    <w:rsid w:val="00F87E58"/>
    <w:rsid w:val="00F96082"/>
    <w:rsid w:val="00FA7C3E"/>
    <w:rsid w:val="00FB0C7A"/>
    <w:rsid w:val="00FB13A2"/>
    <w:rsid w:val="00FB3DF6"/>
    <w:rsid w:val="00FB47D2"/>
    <w:rsid w:val="00FB4A32"/>
    <w:rsid w:val="00FB7513"/>
    <w:rsid w:val="00FC15F9"/>
    <w:rsid w:val="00FC1F93"/>
    <w:rsid w:val="00FC51CA"/>
    <w:rsid w:val="00FC7FF0"/>
    <w:rsid w:val="00FD03D1"/>
    <w:rsid w:val="00FD22B1"/>
    <w:rsid w:val="00FD242C"/>
    <w:rsid w:val="00FD33F1"/>
    <w:rsid w:val="00FD3566"/>
    <w:rsid w:val="00FD3F04"/>
    <w:rsid w:val="00FD5540"/>
    <w:rsid w:val="00FD6A49"/>
    <w:rsid w:val="00FE1E8D"/>
    <w:rsid w:val="00FE2FD4"/>
    <w:rsid w:val="00FE5397"/>
    <w:rsid w:val="00FE5D53"/>
    <w:rsid w:val="00FE6F42"/>
    <w:rsid w:val="00FF035B"/>
    <w:rsid w:val="00FF2B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C14EC"/>
    <w:rPr>
      <w:sz w:val="24"/>
      <w:szCs w:val="24"/>
    </w:rPr>
  </w:style>
  <w:style w:type="paragraph" w:styleId="Heading1">
    <w:name w:val="heading 1"/>
    <w:basedOn w:val="BodyText"/>
    <w:next w:val="BodyText"/>
    <w:link w:val="Heading1Char"/>
    <w:rsid w:val="001C14EC"/>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1C14EC"/>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1C14EC"/>
    <w:pPr>
      <w:spacing w:before="560" w:line="320" w:lineRule="exact"/>
      <w:ind w:left="0" w:firstLine="0"/>
      <w:outlineLvl w:val="2"/>
    </w:pPr>
    <w:rPr>
      <w:sz w:val="26"/>
    </w:rPr>
  </w:style>
  <w:style w:type="paragraph" w:styleId="Heading4">
    <w:name w:val="heading 4"/>
    <w:basedOn w:val="Heading3"/>
    <w:next w:val="BodyText"/>
    <w:link w:val="Heading4Char"/>
    <w:qFormat/>
    <w:rsid w:val="001C14EC"/>
    <w:pPr>
      <w:spacing w:before="480"/>
      <w:outlineLvl w:val="3"/>
    </w:pPr>
    <w:rPr>
      <w:b w:val="0"/>
      <w:sz w:val="24"/>
    </w:rPr>
  </w:style>
  <w:style w:type="paragraph" w:styleId="Heading5">
    <w:name w:val="heading 5"/>
    <w:basedOn w:val="Heading4"/>
    <w:next w:val="BodyText"/>
    <w:link w:val="Heading5Char"/>
    <w:qFormat/>
    <w:rsid w:val="001C14EC"/>
    <w:pPr>
      <w:outlineLvl w:val="4"/>
    </w:pPr>
    <w:rPr>
      <w:i/>
      <w:sz w:val="22"/>
    </w:rPr>
  </w:style>
  <w:style w:type="paragraph" w:styleId="Heading6">
    <w:name w:val="heading 6"/>
    <w:basedOn w:val="BodyText"/>
    <w:next w:val="BodyText"/>
    <w:link w:val="Heading6Char"/>
    <w:rsid w:val="001C14EC"/>
    <w:pPr>
      <w:spacing w:after="60"/>
      <w:jc w:val="left"/>
      <w:outlineLvl w:val="5"/>
    </w:pPr>
    <w:rPr>
      <w:i/>
      <w:sz w:val="22"/>
    </w:rPr>
  </w:style>
  <w:style w:type="paragraph" w:styleId="Heading7">
    <w:name w:val="heading 7"/>
    <w:basedOn w:val="BodyText"/>
    <w:next w:val="BodyText"/>
    <w:link w:val="Heading7Char"/>
    <w:rsid w:val="001C14EC"/>
    <w:pPr>
      <w:spacing w:after="60" w:line="240" w:lineRule="auto"/>
      <w:jc w:val="left"/>
      <w:outlineLvl w:val="6"/>
    </w:pPr>
    <w:rPr>
      <w:rFonts w:ascii="Arial" w:hAnsi="Arial"/>
      <w:sz w:val="20"/>
    </w:rPr>
  </w:style>
  <w:style w:type="paragraph" w:styleId="Heading8">
    <w:name w:val="heading 8"/>
    <w:basedOn w:val="BodyText"/>
    <w:next w:val="BodyText"/>
    <w:link w:val="Heading8Char"/>
    <w:rsid w:val="001C14EC"/>
    <w:pPr>
      <w:spacing w:after="60" w:line="240" w:lineRule="auto"/>
      <w:jc w:val="left"/>
      <w:outlineLvl w:val="7"/>
    </w:pPr>
    <w:rPr>
      <w:rFonts w:ascii="Arial" w:hAnsi="Arial"/>
      <w:i/>
      <w:sz w:val="20"/>
    </w:rPr>
  </w:style>
  <w:style w:type="paragraph" w:styleId="Heading9">
    <w:name w:val="heading 9"/>
    <w:basedOn w:val="BodyText"/>
    <w:next w:val="BodyText"/>
    <w:link w:val="Heading9Char"/>
    <w:rsid w:val="001C14EC"/>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C14EC"/>
    <w:pPr>
      <w:spacing w:before="240" w:line="300" w:lineRule="atLeast"/>
      <w:jc w:val="both"/>
    </w:pPr>
    <w:rPr>
      <w:sz w:val="24"/>
    </w:rPr>
  </w:style>
  <w:style w:type="paragraph" w:styleId="Footer">
    <w:name w:val="footer"/>
    <w:basedOn w:val="BodyText"/>
    <w:link w:val="FooterChar"/>
    <w:semiHidden/>
    <w:rsid w:val="001C14EC"/>
    <w:pPr>
      <w:spacing w:before="80" w:line="200" w:lineRule="exact"/>
      <w:ind w:right="6"/>
      <w:jc w:val="left"/>
    </w:pPr>
    <w:rPr>
      <w:rFonts w:ascii="Arial" w:hAnsi="Arial"/>
      <w:caps/>
      <w:spacing w:val="-4"/>
      <w:sz w:val="16"/>
    </w:rPr>
  </w:style>
  <w:style w:type="paragraph" w:customStyle="1" w:styleId="FooterEnd">
    <w:name w:val="Footer End"/>
    <w:basedOn w:val="Footer"/>
    <w:rsid w:val="001C14EC"/>
    <w:pPr>
      <w:spacing w:before="0" w:line="20" w:lineRule="exact"/>
    </w:pPr>
  </w:style>
  <w:style w:type="paragraph" w:styleId="Header">
    <w:name w:val="header"/>
    <w:basedOn w:val="BodyText"/>
    <w:link w:val="HeaderChar"/>
    <w:rsid w:val="001C14EC"/>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1C14EC"/>
    <w:pPr>
      <w:spacing w:line="20" w:lineRule="exact"/>
    </w:pPr>
    <w:rPr>
      <w:sz w:val="16"/>
    </w:rPr>
  </w:style>
  <w:style w:type="paragraph" w:customStyle="1" w:styleId="HeaderEven">
    <w:name w:val="Header Even"/>
    <w:basedOn w:val="Header"/>
    <w:semiHidden/>
    <w:rsid w:val="001C14EC"/>
  </w:style>
  <w:style w:type="paragraph" w:customStyle="1" w:styleId="HeaderOdd">
    <w:name w:val="Header Odd"/>
    <w:basedOn w:val="Header"/>
    <w:semiHidden/>
    <w:rsid w:val="001C14EC"/>
  </w:style>
  <w:style w:type="character" w:styleId="PageNumber">
    <w:name w:val="page number"/>
    <w:basedOn w:val="DefaultParagraphFont"/>
    <w:rsid w:val="001C14EC"/>
    <w:rPr>
      <w:rFonts w:ascii="Arial" w:hAnsi="Arial"/>
      <w:b/>
      <w:sz w:val="16"/>
    </w:rPr>
  </w:style>
  <w:style w:type="paragraph" w:customStyle="1" w:styleId="Abbreviation">
    <w:name w:val="Abbreviation"/>
    <w:basedOn w:val="BodyText"/>
    <w:rsid w:val="001C14EC"/>
    <w:pPr>
      <w:spacing w:before="120"/>
      <w:ind w:left="2381" w:hanging="2381"/>
      <w:jc w:val="left"/>
    </w:pPr>
  </w:style>
  <w:style w:type="paragraph" w:customStyle="1" w:styleId="Box">
    <w:name w:val="Box"/>
    <w:basedOn w:val="BodyText"/>
    <w:link w:val="BoxChar"/>
    <w:qFormat/>
    <w:rsid w:val="001C14EC"/>
    <w:pPr>
      <w:keepNext/>
      <w:spacing w:before="120" w:line="260" w:lineRule="atLeast"/>
    </w:pPr>
    <w:rPr>
      <w:rFonts w:ascii="Arial" w:hAnsi="Arial"/>
      <w:sz w:val="20"/>
    </w:rPr>
  </w:style>
  <w:style w:type="paragraph" w:customStyle="1" w:styleId="BoxContinued">
    <w:name w:val="Box Continued"/>
    <w:basedOn w:val="BodyText"/>
    <w:next w:val="BodyText"/>
    <w:semiHidden/>
    <w:rsid w:val="001C14EC"/>
    <w:pPr>
      <w:spacing w:before="180" w:line="220" w:lineRule="exact"/>
      <w:jc w:val="right"/>
    </w:pPr>
    <w:rPr>
      <w:rFonts w:ascii="Arial" w:hAnsi="Arial"/>
      <w:sz w:val="18"/>
    </w:rPr>
  </w:style>
  <w:style w:type="paragraph" w:customStyle="1" w:styleId="BoxHeading1">
    <w:name w:val="Box Heading 1"/>
    <w:basedOn w:val="BodyText"/>
    <w:next w:val="Box"/>
    <w:rsid w:val="001C14EC"/>
    <w:pPr>
      <w:keepNext/>
      <w:spacing w:before="200" w:line="280" w:lineRule="atLeast"/>
    </w:pPr>
    <w:rPr>
      <w:rFonts w:ascii="Arial" w:hAnsi="Arial"/>
      <w:b/>
      <w:sz w:val="22"/>
    </w:rPr>
  </w:style>
  <w:style w:type="paragraph" w:customStyle="1" w:styleId="BoxHeading2">
    <w:name w:val="Box Heading 2"/>
    <w:basedOn w:val="BoxHeading1"/>
    <w:next w:val="Normal"/>
    <w:rsid w:val="001C14EC"/>
    <w:rPr>
      <w:b w:val="0"/>
      <w:i/>
    </w:rPr>
  </w:style>
  <w:style w:type="paragraph" w:customStyle="1" w:styleId="BoxListBullet">
    <w:name w:val="Box List Bullet"/>
    <w:basedOn w:val="BodyText"/>
    <w:link w:val="BoxListBulletChar"/>
    <w:rsid w:val="001C14EC"/>
    <w:pPr>
      <w:keepNext/>
      <w:numPr>
        <w:numId w:val="24"/>
      </w:numPr>
      <w:spacing w:before="100" w:line="260" w:lineRule="atLeast"/>
    </w:pPr>
    <w:rPr>
      <w:rFonts w:ascii="Arial" w:hAnsi="Arial"/>
      <w:sz w:val="20"/>
    </w:rPr>
  </w:style>
  <w:style w:type="paragraph" w:customStyle="1" w:styleId="BoxListBullet2">
    <w:name w:val="Box List Bullet 2"/>
    <w:basedOn w:val="BoxListBullet"/>
    <w:link w:val="BoxListBullet2Char"/>
    <w:rsid w:val="001C14EC"/>
    <w:pPr>
      <w:numPr>
        <w:numId w:val="25"/>
      </w:numPr>
    </w:pPr>
  </w:style>
  <w:style w:type="paragraph" w:customStyle="1" w:styleId="BoxListNumber">
    <w:name w:val="Box List Number"/>
    <w:basedOn w:val="BodyText"/>
    <w:rsid w:val="001C14EC"/>
    <w:pPr>
      <w:keepNext/>
      <w:numPr>
        <w:numId w:val="29"/>
      </w:numPr>
      <w:spacing w:before="100" w:line="260" w:lineRule="atLeast"/>
    </w:pPr>
    <w:rPr>
      <w:rFonts w:ascii="Arial" w:hAnsi="Arial"/>
      <w:sz w:val="20"/>
    </w:rPr>
  </w:style>
  <w:style w:type="paragraph" w:customStyle="1" w:styleId="BoxListNumber2">
    <w:name w:val="Box List Number 2"/>
    <w:basedOn w:val="BoxListNumber"/>
    <w:rsid w:val="001C14EC"/>
    <w:pPr>
      <w:numPr>
        <w:ilvl w:val="1"/>
      </w:numPr>
    </w:pPr>
  </w:style>
  <w:style w:type="paragraph" w:customStyle="1" w:styleId="BoxQuote">
    <w:name w:val="Box Quote"/>
    <w:basedOn w:val="BodyText"/>
    <w:next w:val="Box"/>
    <w:qFormat/>
    <w:rsid w:val="001C14EC"/>
    <w:pPr>
      <w:keepNext/>
      <w:spacing w:before="60" w:line="240" w:lineRule="exact"/>
      <w:ind w:left="284"/>
    </w:pPr>
    <w:rPr>
      <w:rFonts w:ascii="Arial" w:hAnsi="Arial"/>
      <w:sz w:val="18"/>
    </w:rPr>
  </w:style>
  <w:style w:type="paragraph" w:customStyle="1" w:styleId="Note">
    <w:name w:val="Note"/>
    <w:basedOn w:val="BodyText"/>
    <w:next w:val="BodyText"/>
    <w:link w:val="NoteChar"/>
    <w:rsid w:val="001C14EC"/>
    <w:pPr>
      <w:keepLines/>
      <w:spacing w:before="80" w:line="220" w:lineRule="exact"/>
    </w:pPr>
    <w:rPr>
      <w:rFonts w:ascii="Arial" w:hAnsi="Arial"/>
      <w:sz w:val="18"/>
    </w:rPr>
  </w:style>
  <w:style w:type="paragraph" w:customStyle="1" w:styleId="Source">
    <w:name w:val="Source"/>
    <w:basedOn w:val="Normal"/>
    <w:next w:val="BodyText"/>
    <w:rsid w:val="001C14EC"/>
    <w:pPr>
      <w:keepLines/>
      <w:spacing w:before="80" w:line="220" w:lineRule="exact"/>
      <w:jc w:val="both"/>
    </w:pPr>
    <w:rPr>
      <w:rFonts w:ascii="Arial" w:hAnsi="Arial"/>
      <w:sz w:val="18"/>
      <w:szCs w:val="20"/>
    </w:rPr>
  </w:style>
  <w:style w:type="paragraph" w:customStyle="1" w:styleId="BoxSource">
    <w:name w:val="Box Source"/>
    <w:basedOn w:val="Source"/>
    <w:next w:val="BodyText"/>
    <w:rsid w:val="001C14EC"/>
    <w:pPr>
      <w:spacing w:before="120"/>
    </w:pPr>
  </w:style>
  <w:style w:type="paragraph" w:customStyle="1" w:styleId="BoxSpaceAbove">
    <w:name w:val="Box Space Above"/>
    <w:basedOn w:val="BodyText"/>
    <w:rsid w:val="001C14EC"/>
    <w:pPr>
      <w:keepNext/>
      <w:spacing w:before="360" w:line="80" w:lineRule="exact"/>
      <w:jc w:val="left"/>
    </w:pPr>
  </w:style>
  <w:style w:type="paragraph" w:styleId="Caption">
    <w:name w:val="caption"/>
    <w:basedOn w:val="Normal"/>
    <w:next w:val="BodyText"/>
    <w:rsid w:val="001C14EC"/>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link w:val="BoxTitleChar"/>
    <w:rsid w:val="001C14EC"/>
    <w:pPr>
      <w:spacing w:before="120" w:after="0"/>
    </w:pPr>
  </w:style>
  <w:style w:type="paragraph" w:customStyle="1" w:styleId="BoxSubtitle">
    <w:name w:val="Box Subtitle"/>
    <w:basedOn w:val="BoxTitle"/>
    <w:next w:val="Normal"/>
    <w:rsid w:val="001C14EC"/>
    <w:pPr>
      <w:spacing w:after="80" w:line="200" w:lineRule="exact"/>
      <w:ind w:firstLine="0"/>
    </w:pPr>
    <w:rPr>
      <w:b w:val="0"/>
      <w:sz w:val="20"/>
    </w:rPr>
  </w:style>
  <w:style w:type="paragraph" w:customStyle="1" w:styleId="Chapter">
    <w:name w:val="Chapter"/>
    <w:basedOn w:val="Heading1"/>
    <w:next w:val="BodyText"/>
    <w:semiHidden/>
    <w:rsid w:val="001C14EC"/>
    <w:pPr>
      <w:ind w:left="0" w:firstLine="0"/>
      <w:outlineLvl w:val="9"/>
    </w:pPr>
  </w:style>
  <w:style w:type="paragraph" w:customStyle="1" w:styleId="ChapterSummary">
    <w:name w:val="Chapter Summary"/>
    <w:basedOn w:val="BodyText"/>
    <w:rsid w:val="001C14EC"/>
    <w:pPr>
      <w:spacing w:line="280" w:lineRule="atLeast"/>
      <w:ind w:left="907"/>
    </w:pPr>
    <w:rPr>
      <w:rFonts w:ascii="Arial" w:hAnsi="Arial"/>
      <w:b/>
      <w:sz w:val="20"/>
    </w:rPr>
  </w:style>
  <w:style w:type="character" w:styleId="CommentReference">
    <w:name w:val="annotation reference"/>
    <w:basedOn w:val="DefaultParagraphFont"/>
    <w:semiHidden/>
    <w:rsid w:val="001C14EC"/>
    <w:rPr>
      <w:b/>
      <w:vanish/>
      <w:color w:val="FF00FF"/>
      <w:sz w:val="20"/>
    </w:rPr>
  </w:style>
  <w:style w:type="paragraph" w:styleId="CommentText">
    <w:name w:val="annotation text"/>
    <w:basedOn w:val="Normal"/>
    <w:link w:val="CommentTextChar"/>
    <w:semiHidden/>
    <w:rsid w:val="001C14EC"/>
    <w:pPr>
      <w:spacing w:before="120" w:line="240" w:lineRule="atLeast"/>
      <w:ind w:left="567" w:hanging="567"/>
    </w:pPr>
    <w:rPr>
      <w:sz w:val="20"/>
    </w:rPr>
  </w:style>
  <w:style w:type="paragraph" w:customStyle="1" w:styleId="Continued">
    <w:name w:val="Continued"/>
    <w:basedOn w:val="BoxContinued"/>
    <w:next w:val="BodyText"/>
    <w:rsid w:val="001C14EC"/>
  </w:style>
  <w:style w:type="character" w:customStyle="1" w:styleId="DocumentInfo">
    <w:name w:val="Document Info"/>
    <w:basedOn w:val="DefaultParagraphFont"/>
    <w:semiHidden/>
    <w:rsid w:val="001C14EC"/>
    <w:rPr>
      <w:rFonts w:ascii="Arial" w:hAnsi="Arial"/>
      <w:sz w:val="14"/>
    </w:rPr>
  </w:style>
  <w:style w:type="character" w:customStyle="1" w:styleId="DraftingNote">
    <w:name w:val="Drafting Note"/>
    <w:basedOn w:val="DefaultParagraphFont"/>
    <w:rsid w:val="001C14EC"/>
    <w:rPr>
      <w:b/>
      <w:color w:val="FF0000"/>
      <w:sz w:val="24"/>
      <w:u w:val="dotted"/>
    </w:rPr>
  </w:style>
  <w:style w:type="paragraph" w:customStyle="1" w:styleId="Figure">
    <w:name w:val="Figure"/>
    <w:basedOn w:val="BodyText"/>
    <w:rsid w:val="001C14EC"/>
    <w:pPr>
      <w:keepNext/>
      <w:spacing w:before="120" w:after="120" w:line="240" w:lineRule="atLeast"/>
      <w:jc w:val="center"/>
    </w:pPr>
  </w:style>
  <w:style w:type="paragraph" w:customStyle="1" w:styleId="FigureTitle">
    <w:name w:val="Figure Title"/>
    <w:basedOn w:val="Caption"/>
    <w:next w:val="Subtitle"/>
    <w:rsid w:val="001C14EC"/>
    <w:pPr>
      <w:spacing w:before="120"/>
    </w:pPr>
  </w:style>
  <w:style w:type="paragraph" w:styleId="Subtitle">
    <w:name w:val="Subtitle"/>
    <w:basedOn w:val="Caption"/>
    <w:link w:val="SubtitleChar"/>
    <w:qFormat/>
    <w:rsid w:val="001C14EC"/>
    <w:pPr>
      <w:spacing w:before="0" w:line="200" w:lineRule="exact"/>
      <w:ind w:firstLine="0"/>
    </w:pPr>
    <w:rPr>
      <w:b w:val="0"/>
      <w:sz w:val="20"/>
    </w:rPr>
  </w:style>
  <w:style w:type="paragraph" w:customStyle="1" w:styleId="Finding">
    <w:name w:val="Finding"/>
    <w:basedOn w:val="BodyText"/>
    <w:rsid w:val="001C14EC"/>
    <w:pPr>
      <w:keepLines/>
      <w:spacing w:before="120" w:line="280" w:lineRule="atLeast"/>
    </w:pPr>
    <w:rPr>
      <w:rFonts w:ascii="Arial" w:hAnsi="Arial"/>
      <w:sz w:val="22"/>
    </w:rPr>
  </w:style>
  <w:style w:type="paragraph" w:customStyle="1" w:styleId="FindingBullet">
    <w:name w:val="Finding Bullet"/>
    <w:basedOn w:val="Finding"/>
    <w:rsid w:val="001C14EC"/>
    <w:pPr>
      <w:numPr>
        <w:numId w:val="31"/>
      </w:numPr>
      <w:spacing w:before="80"/>
    </w:pPr>
  </w:style>
  <w:style w:type="paragraph" w:customStyle="1" w:styleId="FindingNoTitle">
    <w:name w:val="Finding NoTitle"/>
    <w:basedOn w:val="Finding"/>
    <w:semiHidden/>
    <w:rsid w:val="001C14EC"/>
    <w:pPr>
      <w:spacing w:before="240"/>
    </w:pPr>
  </w:style>
  <w:style w:type="paragraph" w:customStyle="1" w:styleId="RecTitle">
    <w:name w:val="Rec Title"/>
    <w:basedOn w:val="BodyText"/>
    <w:next w:val="Rec"/>
    <w:qFormat/>
    <w:rsid w:val="001C14EC"/>
    <w:pPr>
      <w:keepNext/>
      <w:keepLines/>
      <w:spacing w:line="280" w:lineRule="atLeast"/>
    </w:pPr>
    <w:rPr>
      <w:rFonts w:ascii="Arial" w:hAnsi="Arial"/>
      <w:caps/>
      <w:sz w:val="18"/>
    </w:rPr>
  </w:style>
  <w:style w:type="paragraph" w:customStyle="1" w:styleId="FindingTitle">
    <w:name w:val="Finding Title"/>
    <w:basedOn w:val="RecTitle"/>
    <w:next w:val="Finding"/>
    <w:rsid w:val="001C14EC"/>
  </w:style>
  <w:style w:type="character" w:styleId="FootnoteReference">
    <w:name w:val="footnote reference"/>
    <w:basedOn w:val="DefaultParagraphFont"/>
    <w:semiHidden/>
    <w:rsid w:val="001C14EC"/>
    <w:rPr>
      <w:rFonts w:ascii="Times New Roman" w:hAnsi="Times New Roman"/>
      <w:position w:val="6"/>
      <w:sz w:val="20"/>
      <w:vertAlign w:val="baseline"/>
    </w:rPr>
  </w:style>
  <w:style w:type="paragraph" w:styleId="FootnoteText">
    <w:name w:val="footnote text"/>
    <w:basedOn w:val="BodyText"/>
    <w:link w:val="FootnoteTextChar"/>
    <w:rsid w:val="001C14EC"/>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1C14EC"/>
    <w:rPr>
      <w:i/>
    </w:rPr>
  </w:style>
  <w:style w:type="paragraph" w:customStyle="1" w:styleId="Jurisdictioncommentsbodytext">
    <w:name w:val="Jurisdiction comments body text"/>
    <w:rsid w:val="001C14EC"/>
    <w:pPr>
      <w:spacing w:after="140"/>
      <w:jc w:val="both"/>
    </w:pPr>
    <w:rPr>
      <w:rFonts w:ascii="Arial" w:hAnsi="Arial"/>
      <w:sz w:val="24"/>
      <w:lang w:eastAsia="en-US"/>
    </w:rPr>
  </w:style>
  <w:style w:type="paragraph" w:customStyle="1" w:styleId="Jurisdictioncommentsheading">
    <w:name w:val="Jurisdiction comments heading"/>
    <w:rsid w:val="001C14EC"/>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1C14EC"/>
    <w:pPr>
      <w:numPr>
        <w:numId w:val="34"/>
      </w:numPr>
      <w:spacing w:after="140"/>
      <w:jc w:val="both"/>
    </w:pPr>
    <w:rPr>
      <w:rFonts w:ascii="Arial" w:hAnsi="Arial"/>
      <w:sz w:val="24"/>
      <w:lang w:eastAsia="en-US"/>
    </w:rPr>
  </w:style>
  <w:style w:type="paragraph" w:styleId="ListBullet">
    <w:name w:val="List Bullet"/>
    <w:basedOn w:val="BodyText"/>
    <w:link w:val="ListBulletChar"/>
    <w:rsid w:val="001C14EC"/>
    <w:pPr>
      <w:numPr>
        <w:numId w:val="32"/>
      </w:numPr>
      <w:spacing w:before="120"/>
    </w:pPr>
  </w:style>
  <w:style w:type="paragraph" w:styleId="ListBullet2">
    <w:name w:val="List Bullet 2"/>
    <w:basedOn w:val="BodyText"/>
    <w:rsid w:val="001C14EC"/>
    <w:pPr>
      <w:numPr>
        <w:numId w:val="37"/>
      </w:numPr>
      <w:spacing w:before="120"/>
    </w:pPr>
  </w:style>
  <w:style w:type="paragraph" w:styleId="ListBullet3">
    <w:name w:val="List Bullet 3"/>
    <w:basedOn w:val="BodyText"/>
    <w:rsid w:val="001C14EC"/>
    <w:pPr>
      <w:numPr>
        <w:numId w:val="26"/>
      </w:numPr>
      <w:spacing w:before="120"/>
    </w:pPr>
  </w:style>
  <w:style w:type="paragraph" w:styleId="ListNumber">
    <w:name w:val="List Number"/>
    <w:basedOn w:val="BodyText"/>
    <w:rsid w:val="001C14EC"/>
    <w:pPr>
      <w:numPr>
        <w:numId w:val="40"/>
      </w:numPr>
      <w:spacing w:before="120"/>
    </w:pPr>
  </w:style>
  <w:style w:type="paragraph" w:styleId="ListNumber2">
    <w:name w:val="List Number 2"/>
    <w:basedOn w:val="ListNumber"/>
    <w:rsid w:val="001C14EC"/>
    <w:pPr>
      <w:numPr>
        <w:ilvl w:val="1"/>
      </w:numPr>
    </w:pPr>
  </w:style>
  <w:style w:type="paragraph" w:styleId="ListNumber3">
    <w:name w:val="List Number 3"/>
    <w:basedOn w:val="ListNumber2"/>
    <w:rsid w:val="001C14EC"/>
    <w:pPr>
      <w:numPr>
        <w:ilvl w:val="2"/>
      </w:numPr>
    </w:pPr>
  </w:style>
  <w:style w:type="character" w:customStyle="1" w:styleId="NoteLabel">
    <w:name w:val="Note Label"/>
    <w:basedOn w:val="DefaultParagraphFont"/>
    <w:rsid w:val="001C14EC"/>
    <w:rPr>
      <w:rFonts w:ascii="Arial" w:hAnsi="Arial"/>
      <w:b/>
      <w:position w:val="6"/>
      <w:sz w:val="18"/>
    </w:rPr>
  </w:style>
  <w:style w:type="paragraph" w:customStyle="1" w:styleId="PartDivider">
    <w:name w:val="Part Divider"/>
    <w:basedOn w:val="BodyText"/>
    <w:next w:val="BodyText"/>
    <w:rsid w:val="001C14EC"/>
    <w:pPr>
      <w:spacing w:before="0" w:line="40" w:lineRule="exact"/>
      <w:jc w:val="right"/>
    </w:pPr>
    <w:rPr>
      <w:smallCaps/>
      <w:sz w:val="16"/>
    </w:rPr>
  </w:style>
  <w:style w:type="paragraph" w:customStyle="1" w:styleId="PartNumber">
    <w:name w:val="Part Number"/>
    <w:basedOn w:val="BodyText"/>
    <w:next w:val="BodyText"/>
    <w:rsid w:val="001C14EC"/>
    <w:pPr>
      <w:spacing w:before="4000" w:line="320" w:lineRule="exact"/>
      <w:ind w:left="6634"/>
      <w:jc w:val="right"/>
    </w:pPr>
    <w:rPr>
      <w:smallCaps/>
      <w:spacing w:val="60"/>
      <w:sz w:val="32"/>
    </w:rPr>
  </w:style>
  <w:style w:type="paragraph" w:customStyle="1" w:styleId="PartTitle">
    <w:name w:val="Part Title"/>
    <w:basedOn w:val="BodyText"/>
    <w:rsid w:val="001C14EC"/>
    <w:pPr>
      <w:spacing w:before="160" w:after="1360" w:line="520" w:lineRule="exact"/>
      <w:ind w:right="2381"/>
      <w:jc w:val="right"/>
    </w:pPr>
    <w:rPr>
      <w:smallCaps/>
      <w:sz w:val="52"/>
    </w:rPr>
  </w:style>
  <w:style w:type="paragraph" w:styleId="Quote">
    <w:name w:val="Quote"/>
    <w:basedOn w:val="BodyText"/>
    <w:next w:val="BodyText"/>
    <w:link w:val="QuoteChar"/>
    <w:qFormat/>
    <w:rsid w:val="001C14EC"/>
    <w:pPr>
      <w:spacing w:before="120" w:line="280" w:lineRule="exact"/>
      <w:ind w:left="340"/>
    </w:pPr>
    <w:rPr>
      <w:sz w:val="22"/>
    </w:rPr>
  </w:style>
  <w:style w:type="paragraph" w:customStyle="1" w:styleId="QuoteBullet">
    <w:name w:val="Quote Bullet"/>
    <w:basedOn w:val="Quote"/>
    <w:rsid w:val="001C14EC"/>
    <w:pPr>
      <w:numPr>
        <w:numId w:val="41"/>
      </w:numPr>
    </w:pPr>
  </w:style>
  <w:style w:type="paragraph" w:customStyle="1" w:styleId="Rec">
    <w:name w:val="Rec"/>
    <w:basedOn w:val="BodyText"/>
    <w:qFormat/>
    <w:rsid w:val="001C14EC"/>
    <w:pPr>
      <w:keepLines/>
      <w:spacing w:before="120" w:line="280" w:lineRule="atLeast"/>
    </w:pPr>
    <w:rPr>
      <w:rFonts w:ascii="Arial" w:hAnsi="Arial"/>
      <w:sz w:val="22"/>
    </w:rPr>
  </w:style>
  <w:style w:type="paragraph" w:customStyle="1" w:styleId="RecBullet">
    <w:name w:val="Rec Bullet"/>
    <w:basedOn w:val="Rec"/>
    <w:rsid w:val="001C14EC"/>
    <w:pPr>
      <w:numPr>
        <w:numId w:val="42"/>
      </w:numPr>
      <w:spacing w:before="80"/>
    </w:pPr>
  </w:style>
  <w:style w:type="paragraph" w:customStyle="1" w:styleId="RecB">
    <w:name w:val="RecB"/>
    <w:basedOn w:val="Normal"/>
    <w:semiHidden/>
    <w:rsid w:val="001C14EC"/>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1C14EC"/>
    <w:pPr>
      <w:numPr>
        <w:numId w:val="43"/>
      </w:numPr>
      <w:spacing w:before="80"/>
    </w:pPr>
  </w:style>
  <w:style w:type="paragraph" w:customStyle="1" w:styleId="RecBNoTitle">
    <w:name w:val="RecB NoTitle"/>
    <w:basedOn w:val="RecB"/>
    <w:semiHidden/>
    <w:rsid w:val="001C14EC"/>
    <w:pPr>
      <w:spacing w:before="240"/>
    </w:pPr>
  </w:style>
  <w:style w:type="paragraph" w:customStyle="1" w:styleId="Reference">
    <w:name w:val="Reference"/>
    <w:basedOn w:val="BodyText"/>
    <w:rsid w:val="001C14EC"/>
    <w:pPr>
      <w:spacing w:before="120"/>
      <w:ind w:left="340" w:hanging="340"/>
    </w:pPr>
  </w:style>
  <w:style w:type="paragraph" w:customStyle="1" w:styleId="SequenceInfo">
    <w:name w:val="Sequence Info"/>
    <w:basedOn w:val="BodyText"/>
    <w:semiHidden/>
    <w:rsid w:val="001C14EC"/>
    <w:rPr>
      <w:vanish/>
      <w:sz w:val="16"/>
    </w:rPr>
  </w:style>
  <w:style w:type="paragraph" w:customStyle="1" w:styleId="SideNote">
    <w:name w:val="Side Note"/>
    <w:basedOn w:val="BodyText"/>
    <w:next w:val="BodyText"/>
    <w:semiHidden/>
    <w:rsid w:val="001C14EC"/>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1C14EC"/>
    <w:pPr>
      <w:framePr w:wrap="around"/>
      <w:numPr>
        <w:numId w:val="44"/>
      </w:numPr>
      <w:tabs>
        <w:tab w:val="left" w:pos="227"/>
      </w:tabs>
    </w:pPr>
  </w:style>
  <w:style w:type="paragraph" w:customStyle="1" w:styleId="SideNoteGraphic">
    <w:name w:val="Side Note Graphic"/>
    <w:basedOn w:val="SideNote"/>
    <w:next w:val="BodyText"/>
    <w:semiHidden/>
    <w:rsid w:val="001C14EC"/>
    <w:pPr>
      <w:framePr w:wrap="around"/>
    </w:pPr>
  </w:style>
  <w:style w:type="paragraph" w:customStyle="1" w:styleId="TableBodyText">
    <w:name w:val="Table Body Text"/>
    <w:basedOn w:val="BodyText"/>
    <w:rsid w:val="001C14EC"/>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C14EC"/>
    <w:pPr>
      <w:numPr>
        <w:numId w:val="45"/>
      </w:numPr>
      <w:jc w:val="left"/>
    </w:pPr>
  </w:style>
  <w:style w:type="paragraph" w:customStyle="1" w:styleId="TableColumnHeading">
    <w:name w:val="Table Column Heading"/>
    <w:basedOn w:val="TableBodyText"/>
    <w:rsid w:val="001C14EC"/>
    <w:pPr>
      <w:spacing w:before="80" w:after="80"/>
    </w:pPr>
    <w:rPr>
      <w:i/>
    </w:rPr>
  </w:style>
  <w:style w:type="paragraph" w:styleId="TOC2">
    <w:name w:val="toc 2"/>
    <w:basedOn w:val="TOC1"/>
    <w:rsid w:val="001C14EC"/>
    <w:pPr>
      <w:ind w:left="1134" w:hanging="624"/>
    </w:pPr>
    <w:rPr>
      <w:b w:val="0"/>
    </w:rPr>
  </w:style>
  <w:style w:type="paragraph" w:styleId="TOC3">
    <w:name w:val="toc 3"/>
    <w:basedOn w:val="TOC2"/>
    <w:rsid w:val="001C14EC"/>
    <w:pPr>
      <w:spacing w:before="60"/>
      <w:ind w:left="1190" w:hanging="680"/>
    </w:pPr>
  </w:style>
  <w:style w:type="paragraph" w:styleId="TableofFigures">
    <w:name w:val="table of figures"/>
    <w:basedOn w:val="TOC3"/>
    <w:next w:val="BodyText"/>
    <w:semiHidden/>
    <w:rsid w:val="001C14EC"/>
    <w:pPr>
      <w:ind w:left="737" w:hanging="737"/>
    </w:pPr>
  </w:style>
  <w:style w:type="paragraph" w:customStyle="1" w:styleId="TableTitle">
    <w:name w:val="Table Title"/>
    <w:basedOn w:val="Caption"/>
    <w:next w:val="Subtitle"/>
    <w:qFormat/>
    <w:rsid w:val="001C14EC"/>
    <w:pPr>
      <w:spacing w:before="120"/>
    </w:pPr>
  </w:style>
  <w:style w:type="paragraph" w:customStyle="1" w:styleId="TableUnitsRow">
    <w:name w:val="Table Units Row"/>
    <w:basedOn w:val="TableBodyText"/>
    <w:rsid w:val="001C14EC"/>
    <w:pPr>
      <w:spacing w:before="40"/>
    </w:pPr>
  </w:style>
  <w:style w:type="paragraph" w:styleId="TOC1">
    <w:name w:val="toc 1"/>
    <w:basedOn w:val="Normal"/>
    <w:next w:val="TOC2"/>
    <w:link w:val="TOC1Char"/>
    <w:rsid w:val="001C14EC"/>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1C14EC"/>
    <w:pPr>
      <w:ind w:left="1191" w:firstLine="0"/>
    </w:pPr>
  </w:style>
  <w:style w:type="paragraph" w:customStyle="1" w:styleId="RecBBullet2">
    <w:name w:val="RecB Bullet 2"/>
    <w:basedOn w:val="ListBullet2"/>
    <w:semiHidden/>
    <w:rsid w:val="001C14EC"/>
    <w:pPr>
      <w:numPr>
        <w:numId w:val="0"/>
      </w:numPr>
      <w:pBdr>
        <w:left w:val="single" w:sz="24" w:space="29" w:color="C0C0C0"/>
      </w:pBdr>
    </w:pPr>
    <w:rPr>
      <w:b/>
      <w:i/>
    </w:rPr>
  </w:style>
  <w:style w:type="paragraph" w:styleId="BalloonText">
    <w:name w:val="Balloon Text"/>
    <w:basedOn w:val="Normal"/>
    <w:link w:val="BalloonTextChar"/>
    <w:rsid w:val="001C14EC"/>
    <w:rPr>
      <w:rFonts w:ascii="Tahoma" w:hAnsi="Tahoma" w:cs="Tahoma"/>
      <w:sz w:val="16"/>
      <w:szCs w:val="16"/>
    </w:rPr>
  </w:style>
  <w:style w:type="character" w:customStyle="1" w:styleId="BalloonTextChar">
    <w:name w:val="Balloon Text Char"/>
    <w:basedOn w:val="DefaultParagraphFont"/>
    <w:link w:val="BalloonText"/>
    <w:rsid w:val="001C14EC"/>
    <w:rPr>
      <w:rFonts w:ascii="Tahoma" w:hAnsi="Tahoma" w:cs="Tahoma"/>
      <w:sz w:val="16"/>
      <w:szCs w:val="16"/>
    </w:rPr>
  </w:style>
  <w:style w:type="character" w:customStyle="1" w:styleId="SubtitleChar">
    <w:name w:val="Subtitle Char"/>
    <w:basedOn w:val="DefaultParagraphFont"/>
    <w:link w:val="Subtitle"/>
    <w:rsid w:val="001C14EC"/>
    <w:rPr>
      <w:rFonts w:ascii="Arial" w:hAnsi="Arial"/>
      <w:szCs w:val="24"/>
    </w:rPr>
  </w:style>
  <w:style w:type="paragraph" w:customStyle="1" w:styleId="BoxListBullet3">
    <w:name w:val="Box List Bullet 3"/>
    <w:basedOn w:val="ListBullet3"/>
    <w:rsid w:val="001C14EC"/>
    <w:pPr>
      <w:numPr>
        <w:numId w:val="27"/>
      </w:numPr>
      <w:tabs>
        <w:tab w:val="left" w:pos="907"/>
      </w:tabs>
      <w:spacing w:before="60" w:line="260" w:lineRule="atLeast"/>
    </w:pPr>
    <w:rPr>
      <w:rFonts w:ascii="Arial" w:hAnsi="Arial"/>
      <w:sz w:val="20"/>
    </w:rPr>
  </w:style>
  <w:style w:type="character" w:styleId="Emphasis">
    <w:name w:val="Emphasis"/>
    <w:basedOn w:val="DefaultParagraphFont"/>
    <w:rsid w:val="001C14EC"/>
    <w:rPr>
      <w:i/>
      <w:iCs/>
    </w:rPr>
  </w:style>
  <w:style w:type="paragraph" w:customStyle="1" w:styleId="BoxQuoteBullet">
    <w:name w:val="Box Quote Bullet"/>
    <w:basedOn w:val="BoxQuote"/>
    <w:next w:val="Box"/>
    <w:rsid w:val="001C14EC"/>
    <w:pPr>
      <w:numPr>
        <w:numId w:val="30"/>
      </w:numPr>
    </w:pPr>
  </w:style>
  <w:style w:type="paragraph" w:customStyle="1" w:styleId="InformationRequestBullet">
    <w:name w:val="Information Request Bullet"/>
    <w:basedOn w:val="ListBullet"/>
    <w:next w:val="BodyText"/>
    <w:rsid w:val="001C14EC"/>
    <w:pPr>
      <w:numPr>
        <w:numId w:val="33"/>
      </w:numPr>
      <w:spacing w:before="80" w:line="280" w:lineRule="atLeast"/>
    </w:pPr>
    <w:rPr>
      <w:rFonts w:ascii="Arial" w:hAnsi="Arial"/>
      <w:i/>
      <w:sz w:val="22"/>
    </w:rPr>
  </w:style>
  <w:style w:type="paragraph" w:customStyle="1" w:styleId="BoxSpaceBelow">
    <w:name w:val="Box Space Below"/>
    <w:basedOn w:val="Box"/>
    <w:rsid w:val="001C14EC"/>
    <w:pPr>
      <w:keepNext w:val="0"/>
      <w:spacing w:before="60" w:after="60" w:line="80" w:lineRule="exact"/>
    </w:pPr>
    <w:rPr>
      <w:sz w:val="14"/>
    </w:rPr>
  </w:style>
  <w:style w:type="paragraph" w:customStyle="1" w:styleId="KeyPointsListBullet">
    <w:name w:val="Key Points List Bullet"/>
    <w:basedOn w:val="Normal"/>
    <w:qFormat/>
    <w:rsid w:val="001C14EC"/>
    <w:pPr>
      <w:keepNext/>
      <w:numPr>
        <w:numId w:val="35"/>
      </w:numPr>
      <w:spacing w:before="100" w:line="260" w:lineRule="atLeast"/>
      <w:jc w:val="both"/>
    </w:pPr>
    <w:rPr>
      <w:rFonts w:ascii="Arial" w:hAnsi="Arial"/>
      <w:sz w:val="20"/>
      <w:szCs w:val="20"/>
      <w:lang w:eastAsia="en-US"/>
    </w:rPr>
  </w:style>
  <w:style w:type="paragraph" w:customStyle="1" w:styleId="KeyPointsListBullet2">
    <w:name w:val="Key Points List Bullet 2"/>
    <w:basedOn w:val="BoxListBullet2"/>
    <w:rsid w:val="001C14EC"/>
    <w:pPr>
      <w:numPr>
        <w:numId w:val="36"/>
      </w:numPr>
    </w:pPr>
  </w:style>
  <w:style w:type="paragraph" w:customStyle="1" w:styleId="InformationRequestTitle">
    <w:name w:val="Information Request Title"/>
    <w:basedOn w:val="FindingTitle"/>
    <w:next w:val="InformationRequest"/>
    <w:rsid w:val="001C14EC"/>
    <w:rPr>
      <w:i/>
    </w:rPr>
  </w:style>
  <w:style w:type="paragraph" w:customStyle="1" w:styleId="Space">
    <w:name w:val="Space"/>
    <w:basedOn w:val="Normal"/>
    <w:rsid w:val="001C14EC"/>
    <w:pPr>
      <w:keepNext/>
      <w:spacing w:line="120" w:lineRule="exact"/>
      <w:jc w:val="both"/>
    </w:pPr>
    <w:rPr>
      <w:rFonts w:ascii="Arial" w:hAnsi="Arial"/>
      <w:sz w:val="20"/>
      <w:szCs w:val="20"/>
    </w:rPr>
  </w:style>
  <w:style w:type="paragraph" w:customStyle="1" w:styleId="Heading1nochapterno">
    <w:name w:val="Heading 1 (no chapter no.)"/>
    <w:basedOn w:val="Heading1"/>
    <w:rsid w:val="001C14EC"/>
    <w:pPr>
      <w:spacing w:before="0"/>
      <w:ind w:left="0" w:firstLine="0"/>
    </w:pPr>
  </w:style>
  <w:style w:type="paragraph" w:customStyle="1" w:styleId="Heading2nosectionno">
    <w:name w:val="Heading 2 (no section no.)"/>
    <w:basedOn w:val="Heading2"/>
    <w:rsid w:val="001C14EC"/>
    <w:pPr>
      <w:ind w:left="0" w:firstLine="0"/>
    </w:pPr>
  </w:style>
  <w:style w:type="character" w:customStyle="1" w:styleId="Heading5Char">
    <w:name w:val="Heading 5 Char"/>
    <w:basedOn w:val="DefaultParagraphFont"/>
    <w:link w:val="Heading5"/>
    <w:rsid w:val="001C14EC"/>
    <w:rPr>
      <w:rFonts w:ascii="Arial" w:hAnsi="Arial"/>
      <w:i/>
      <w:sz w:val="22"/>
    </w:rPr>
  </w:style>
  <w:style w:type="paragraph" w:customStyle="1" w:styleId="Figurespace">
    <w:name w:val="Figure space"/>
    <w:basedOn w:val="Box"/>
    <w:rsid w:val="001C14EC"/>
    <w:pPr>
      <w:spacing w:before="0" w:line="120" w:lineRule="exact"/>
    </w:pPr>
  </w:style>
  <w:style w:type="paragraph" w:customStyle="1" w:styleId="FooterDraftReport">
    <w:name w:val="FooterDraftReport"/>
    <w:basedOn w:val="Footer"/>
    <w:link w:val="FooterDraftReportChar"/>
    <w:rsid w:val="001C14EC"/>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1C14EC"/>
    <w:rPr>
      <w:sz w:val="24"/>
    </w:rPr>
  </w:style>
  <w:style w:type="character" w:customStyle="1" w:styleId="FooterChar">
    <w:name w:val="Footer Char"/>
    <w:basedOn w:val="BodyTextChar"/>
    <w:link w:val="Footer"/>
    <w:semiHidden/>
    <w:rsid w:val="001C14EC"/>
    <w:rPr>
      <w:rFonts w:ascii="Arial" w:hAnsi="Arial"/>
      <w:caps/>
      <w:spacing w:val="-4"/>
      <w:sz w:val="16"/>
    </w:rPr>
  </w:style>
  <w:style w:type="character" w:customStyle="1" w:styleId="FooterDraftReportChar">
    <w:name w:val="FooterDraftReport Char"/>
    <w:basedOn w:val="FooterChar"/>
    <w:link w:val="FooterDraftReport"/>
    <w:rsid w:val="001C14EC"/>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1C1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1C14EC"/>
    <w:rPr>
      <w:rFonts w:ascii="Arial" w:hAnsi="Arial"/>
      <w:b/>
      <w:sz w:val="26"/>
      <w:szCs w:val="26"/>
      <w:lang w:eastAsia="en-US"/>
    </w:rPr>
  </w:style>
  <w:style w:type="character" w:customStyle="1" w:styleId="BoxListBulletChar">
    <w:name w:val="Box List Bullet Char"/>
    <w:basedOn w:val="DefaultParagraphFont"/>
    <w:link w:val="BoxListBullet"/>
    <w:rsid w:val="00C05E94"/>
    <w:rPr>
      <w:rFonts w:ascii="Arial" w:hAnsi="Arial"/>
    </w:rPr>
  </w:style>
  <w:style w:type="character" w:customStyle="1" w:styleId="BoxListBullet2Char">
    <w:name w:val="Box List Bullet 2 Char"/>
    <w:link w:val="BoxListBullet2"/>
    <w:rsid w:val="00C05E94"/>
    <w:rPr>
      <w:rFonts w:ascii="Arial" w:hAnsi="Arial"/>
    </w:rPr>
  </w:style>
  <w:style w:type="character" w:customStyle="1" w:styleId="ListBulletChar">
    <w:name w:val="List Bullet Char"/>
    <w:link w:val="ListBullet"/>
    <w:rsid w:val="001137EF"/>
    <w:rPr>
      <w:sz w:val="24"/>
    </w:rPr>
  </w:style>
  <w:style w:type="character" w:customStyle="1" w:styleId="BoxChar">
    <w:name w:val="Box Char"/>
    <w:link w:val="Box"/>
    <w:rsid w:val="00263848"/>
    <w:rPr>
      <w:rFonts w:ascii="Arial" w:hAnsi="Arial"/>
    </w:rPr>
  </w:style>
  <w:style w:type="character" w:customStyle="1" w:styleId="NoteChar">
    <w:name w:val="Note Char"/>
    <w:link w:val="Note"/>
    <w:rsid w:val="0074663B"/>
    <w:rPr>
      <w:rFonts w:ascii="Arial" w:hAnsi="Arial"/>
      <w:sz w:val="18"/>
    </w:rPr>
  </w:style>
  <w:style w:type="character" w:customStyle="1" w:styleId="Heading2Char">
    <w:name w:val="Heading 2 Char"/>
    <w:basedOn w:val="DefaultParagraphFont"/>
    <w:link w:val="Heading2"/>
    <w:rsid w:val="001C14EC"/>
    <w:rPr>
      <w:rFonts w:ascii="Arial" w:hAnsi="Arial"/>
      <w:b/>
      <w:sz w:val="32"/>
    </w:rPr>
  </w:style>
  <w:style w:type="paragraph" w:styleId="CommentSubject">
    <w:name w:val="annotation subject"/>
    <w:basedOn w:val="CommentText"/>
    <w:next w:val="CommentText"/>
    <w:link w:val="CommentSubjectChar"/>
    <w:rsid w:val="00C32E7D"/>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1C14EC"/>
    <w:rPr>
      <w:szCs w:val="24"/>
    </w:rPr>
  </w:style>
  <w:style w:type="character" w:customStyle="1" w:styleId="CommentSubjectChar">
    <w:name w:val="Comment Subject Char"/>
    <w:basedOn w:val="CommentTextChar"/>
    <w:link w:val="CommentSubject"/>
    <w:rsid w:val="00C32E7D"/>
    <w:rPr>
      <w:b/>
      <w:bCs/>
      <w:szCs w:val="24"/>
    </w:rPr>
  </w:style>
  <w:style w:type="character" w:customStyle="1" w:styleId="BoxTitleChar">
    <w:name w:val="Box Title Char"/>
    <w:link w:val="BoxTitle"/>
    <w:rsid w:val="004E69B2"/>
    <w:rPr>
      <w:rFonts w:ascii="Arial" w:hAnsi="Arial"/>
      <w:b/>
      <w:sz w:val="24"/>
      <w:szCs w:val="24"/>
    </w:rPr>
  </w:style>
  <w:style w:type="character" w:customStyle="1" w:styleId="Heading1Char">
    <w:name w:val="Heading 1 Char"/>
    <w:basedOn w:val="DefaultParagraphFont"/>
    <w:link w:val="Heading1"/>
    <w:rsid w:val="001C14EC"/>
    <w:rPr>
      <w:sz w:val="52"/>
    </w:rPr>
  </w:style>
  <w:style w:type="character" w:customStyle="1" w:styleId="FootnoteTextChar">
    <w:name w:val="Footnote Text Char"/>
    <w:basedOn w:val="DefaultParagraphFont"/>
    <w:link w:val="FootnoteText"/>
    <w:rsid w:val="001C14EC"/>
  </w:style>
  <w:style w:type="character" w:customStyle="1" w:styleId="HeaderChar">
    <w:name w:val="Header Char"/>
    <w:basedOn w:val="DefaultParagraphFont"/>
    <w:link w:val="Header"/>
    <w:rsid w:val="001C14EC"/>
    <w:rPr>
      <w:rFonts w:ascii="Arial" w:hAnsi="Arial"/>
      <w:caps/>
      <w:sz w:val="24"/>
    </w:rPr>
  </w:style>
  <w:style w:type="character" w:customStyle="1" w:styleId="Heading3Char">
    <w:name w:val="Heading 3 Char"/>
    <w:basedOn w:val="DefaultParagraphFont"/>
    <w:link w:val="Heading3"/>
    <w:rsid w:val="001C14EC"/>
    <w:rPr>
      <w:rFonts w:ascii="Arial" w:hAnsi="Arial"/>
      <w:b/>
      <w:sz w:val="26"/>
    </w:rPr>
  </w:style>
  <w:style w:type="character" w:customStyle="1" w:styleId="Heading4Char">
    <w:name w:val="Heading 4 Char"/>
    <w:basedOn w:val="DefaultParagraphFont"/>
    <w:link w:val="Heading4"/>
    <w:rsid w:val="001C14EC"/>
    <w:rPr>
      <w:rFonts w:ascii="Arial" w:hAnsi="Arial"/>
      <w:sz w:val="24"/>
    </w:rPr>
  </w:style>
  <w:style w:type="character" w:customStyle="1" w:styleId="Heading6Char">
    <w:name w:val="Heading 6 Char"/>
    <w:basedOn w:val="DefaultParagraphFont"/>
    <w:link w:val="Heading6"/>
    <w:rsid w:val="001C14EC"/>
    <w:rPr>
      <w:i/>
      <w:sz w:val="22"/>
    </w:rPr>
  </w:style>
  <w:style w:type="character" w:customStyle="1" w:styleId="Heading7Char">
    <w:name w:val="Heading 7 Char"/>
    <w:basedOn w:val="DefaultParagraphFont"/>
    <w:link w:val="Heading7"/>
    <w:rsid w:val="001C14EC"/>
    <w:rPr>
      <w:rFonts w:ascii="Arial" w:hAnsi="Arial"/>
    </w:rPr>
  </w:style>
  <w:style w:type="character" w:customStyle="1" w:styleId="Heading8Char">
    <w:name w:val="Heading 8 Char"/>
    <w:basedOn w:val="DefaultParagraphFont"/>
    <w:link w:val="Heading8"/>
    <w:rsid w:val="001C14EC"/>
    <w:rPr>
      <w:rFonts w:ascii="Arial" w:hAnsi="Arial"/>
      <w:i/>
    </w:rPr>
  </w:style>
  <w:style w:type="character" w:customStyle="1" w:styleId="Heading9Char">
    <w:name w:val="Heading 9 Char"/>
    <w:basedOn w:val="DefaultParagraphFont"/>
    <w:link w:val="Heading9"/>
    <w:rsid w:val="001C14EC"/>
    <w:rPr>
      <w:rFonts w:ascii="Arial" w:hAnsi="Arial"/>
      <w:b/>
      <w:i/>
      <w:sz w:val="18"/>
    </w:rPr>
  </w:style>
  <w:style w:type="character" w:customStyle="1" w:styleId="QuoteChar">
    <w:name w:val="Quote Char"/>
    <w:basedOn w:val="DefaultParagraphFont"/>
    <w:link w:val="Quote"/>
    <w:rsid w:val="001C14EC"/>
    <w:rPr>
      <w:sz w:val="22"/>
    </w:rPr>
  </w:style>
  <w:style w:type="paragraph" w:styleId="Revision">
    <w:name w:val="Revision"/>
    <w:hidden/>
    <w:uiPriority w:val="99"/>
    <w:semiHidden/>
    <w:rsid w:val="00E60A6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C14EC"/>
    <w:rPr>
      <w:sz w:val="24"/>
      <w:szCs w:val="24"/>
    </w:rPr>
  </w:style>
  <w:style w:type="paragraph" w:styleId="Heading1">
    <w:name w:val="heading 1"/>
    <w:basedOn w:val="BodyText"/>
    <w:next w:val="BodyText"/>
    <w:link w:val="Heading1Char"/>
    <w:rsid w:val="001C14EC"/>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1C14EC"/>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1C14EC"/>
    <w:pPr>
      <w:spacing w:before="560" w:line="320" w:lineRule="exact"/>
      <w:ind w:left="0" w:firstLine="0"/>
      <w:outlineLvl w:val="2"/>
    </w:pPr>
    <w:rPr>
      <w:sz w:val="26"/>
    </w:rPr>
  </w:style>
  <w:style w:type="paragraph" w:styleId="Heading4">
    <w:name w:val="heading 4"/>
    <w:basedOn w:val="Heading3"/>
    <w:next w:val="BodyText"/>
    <w:link w:val="Heading4Char"/>
    <w:qFormat/>
    <w:rsid w:val="001C14EC"/>
    <w:pPr>
      <w:spacing w:before="480"/>
      <w:outlineLvl w:val="3"/>
    </w:pPr>
    <w:rPr>
      <w:b w:val="0"/>
      <w:sz w:val="24"/>
    </w:rPr>
  </w:style>
  <w:style w:type="paragraph" w:styleId="Heading5">
    <w:name w:val="heading 5"/>
    <w:basedOn w:val="Heading4"/>
    <w:next w:val="BodyText"/>
    <w:link w:val="Heading5Char"/>
    <w:qFormat/>
    <w:rsid w:val="001C14EC"/>
    <w:pPr>
      <w:outlineLvl w:val="4"/>
    </w:pPr>
    <w:rPr>
      <w:i/>
      <w:sz w:val="22"/>
    </w:rPr>
  </w:style>
  <w:style w:type="paragraph" w:styleId="Heading6">
    <w:name w:val="heading 6"/>
    <w:basedOn w:val="BodyText"/>
    <w:next w:val="BodyText"/>
    <w:link w:val="Heading6Char"/>
    <w:rsid w:val="001C14EC"/>
    <w:pPr>
      <w:spacing w:after="60"/>
      <w:jc w:val="left"/>
      <w:outlineLvl w:val="5"/>
    </w:pPr>
    <w:rPr>
      <w:i/>
      <w:sz w:val="22"/>
    </w:rPr>
  </w:style>
  <w:style w:type="paragraph" w:styleId="Heading7">
    <w:name w:val="heading 7"/>
    <w:basedOn w:val="BodyText"/>
    <w:next w:val="BodyText"/>
    <w:link w:val="Heading7Char"/>
    <w:rsid w:val="001C14EC"/>
    <w:pPr>
      <w:spacing w:after="60" w:line="240" w:lineRule="auto"/>
      <w:jc w:val="left"/>
      <w:outlineLvl w:val="6"/>
    </w:pPr>
    <w:rPr>
      <w:rFonts w:ascii="Arial" w:hAnsi="Arial"/>
      <w:sz w:val="20"/>
    </w:rPr>
  </w:style>
  <w:style w:type="paragraph" w:styleId="Heading8">
    <w:name w:val="heading 8"/>
    <w:basedOn w:val="BodyText"/>
    <w:next w:val="BodyText"/>
    <w:link w:val="Heading8Char"/>
    <w:rsid w:val="001C14EC"/>
    <w:pPr>
      <w:spacing w:after="60" w:line="240" w:lineRule="auto"/>
      <w:jc w:val="left"/>
      <w:outlineLvl w:val="7"/>
    </w:pPr>
    <w:rPr>
      <w:rFonts w:ascii="Arial" w:hAnsi="Arial"/>
      <w:i/>
      <w:sz w:val="20"/>
    </w:rPr>
  </w:style>
  <w:style w:type="paragraph" w:styleId="Heading9">
    <w:name w:val="heading 9"/>
    <w:basedOn w:val="BodyText"/>
    <w:next w:val="BodyText"/>
    <w:link w:val="Heading9Char"/>
    <w:rsid w:val="001C14EC"/>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C14EC"/>
    <w:pPr>
      <w:spacing w:before="240" w:line="300" w:lineRule="atLeast"/>
      <w:jc w:val="both"/>
    </w:pPr>
    <w:rPr>
      <w:sz w:val="24"/>
    </w:rPr>
  </w:style>
  <w:style w:type="paragraph" w:styleId="Footer">
    <w:name w:val="footer"/>
    <w:basedOn w:val="BodyText"/>
    <w:link w:val="FooterChar"/>
    <w:semiHidden/>
    <w:rsid w:val="001C14EC"/>
    <w:pPr>
      <w:spacing w:before="80" w:line="200" w:lineRule="exact"/>
      <w:ind w:right="6"/>
      <w:jc w:val="left"/>
    </w:pPr>
    <w:rPr>
      <w:rFonts w:ascii="Arial" w:hAnsi="Arial"/>
      <w:caps/>
      <w:spacing w:val="-4"/>
      <w:sz w:val="16"/>
    </w:rPr>
  </w:style>
  <w:style w:type="paragraph" w:customStyle="1" w:styleId="FooterEnd">
    <w:name w:val="Footer End"/>
    <w:basedOn w:val="Footer"/>
    <w:rsid w:val="001C14EC"/>
    <w:pPr>
      <w:spacing w:before="0" w:line="20" w:lineRule="exact"/>
    </w:pPr>
  </w:style>
  <w:style w:type="paragraph" w:styleId="Header">
    <w:name w:val="header"/>
    <w:basedOn w:val="BodyText"/>
    <w:link w:val="HeaderChar"/>
    <w:rsid w:val="001C14EC"/>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1C14EC"/>
    <w:pPr>
      <w:spacing w:line="20" w:lineRule="exact"/>
    </w:pPr>
    <w:rPr>
      <w:sz w:val="16"/>
    </w:rPr>
  </w:style>
  <w:style w:type="paragraph" w:customStyle="1" w:styleId="HeaderEven">
    <w:name w:val="Header Even"/>
    <w:basedOn w:val="Header"/>
    <w:semiHidden/>
    <w:rsid w:val="001C14EC"/>
  </w:style>
  <w:style w:type="paragraph" w:customStyle="1" w:styleId="HeaderOdd">
    <w:name w:val="Header Odd"/>
    <w:basedOn w:val="Header"/>
    <w:semiHidden/>
    <w:rsid w:val="001C14EC"/>
  </w:style>
  <w:style w:type="character" w:styleId="PageNumber">
    <w:name w:val="page number"/>
    <w:basedOn w:val="DefaultParagraphFont"/>
    <w:rsid w:val="001C14EC"/>
    <w:rPr>
      <w:rFonts w:ascii="Arial" w:hAnsi="Arial"/>
      <w:b/>
      <w:sz w:val="16"/>
    </w:rPr>
  </w:style>
  <w:style w:type="paragraph" w:customStyle="1" w:styleId="Abbreviation">
    <w:name w:val="Abbreviation"/>
    <w:basedOn w:val="BodyText"/>
    <w:rsid w:val="001C14EC"/>
    <w:pPr>
      <w:spacing w:before="120"/>
      <w:ind w:left="2381" w:hanging="2381"/>
      <w:jc w:val="left"/>
    </w:pPr>
  </w:style>
  <w:style w:type="paragraph" w:customStyle="1" w:styleId="Box">
    <w:name w:val="Box"/>
    <w:basedOn w:val="BodyText"/>
    <w:link w:val="BoxChar"/>
    <w:qFormat/>
    <w:rsid w:val="001C14EC"/>
    <w:pPr>
      <w:keepNext/>
      <w:spacing w:before="120" w:line="260" w:lineRule="atLeast"/>
    </w:pPr>
    <w:rPr>
      <w:rFonts w:ascii="Arial" w:hAnsi="Arial"/>
      <w:sz w:val="20"/>
    </w:rPr>
  </w:style>
  <w:style w:type="paragraph" w:customStyle="1" w:styleId="BoxContinued">
    <w:name w:val="Box Continued"/>
    <w:basedOn w:val="BodyText"/>
    <w:next w:val="BodyText"/>
    <w:semiHidden/>
    <w:rsid w:val="001C14EC"/>
    <w:pPr>
      <w:spacing w:before="180" w:line="220" w:lineRule="exact"/>
      <w:jc w:val="right"/>
    </w:pPr>
    <w:rPr>
      <w:rFonts w:ascii="Arial" w:hAnsi="Arial"/>
      <w:sz w:val="18"/>
    </w:rPr>
  </w:style>
  <w:style w:type="paragraph" w:customStyle="1" w:styleId="BoxHeading1">
    <w:name w:val="Box Heading 1"/>
    <w:basedOn w:val="BodyText"/>
    <w:next w:val="Box"/>
    <w:rsid w:val="001C14EC"/>
    <w:pPr>
      <w:keepNext/>
      <w:spacing w:before="200" w:line="280" w:lineRule="atLeast"/>
    </w:pPr>
    <w:rPr>
      <w:rFonts w:ascii="Arial" w:hAnsi="Arial"/>
      <w:b/>
      <w:sz w:val="22"/>
    </w:rPr>
  </w:style>
  <w:style w:type="paragraph" w:customStyle="1" w:styleId="BoxHeading2">
    <w:name w:val="Box Heading 2"/>
    <w:basedOn w:val="BoxHeading1"/>
    <w:next w:val="Normal"/>
    <w:rsid w:val="001C14EC"/>
    <w:rPr>
      <w:b w:val="0"/>
      <w:i/>
    </w:rPr>
  </w:style>
  <w:style w:type="paragraph" w:customStyle="1" w:styleId="BoxListBullet">
    <w:name w:val="Box List Bullet"/>
    <w:basedOn w:val="BodyText"/>
    <w:link w:val="BoxListBulletChar"/>
    <w:rsid w:val="001C14EC"/>
    <w:pPr>
      <w:keepNext/>
      <w:numPr>
        <w:numId w:val="24"/>
      </w:numPr>
      <w:spacing w:before="100" w:line="260" w:lineRule="atLeast"/>
    </w:pPr>
    <w:rPr>
      <w:rFonts w:ascii="Arial" w:hAnsi="Arial"/>
      <w:sz w:val="20"/>
    </w:rPr>
  </w:style>
  <w:style w:type="paragraph" w:customStyle="1" w:styleId="BoxListBullet2">
    <w:name w:val="Box List Bullet 2"/>
    <w:basedOn w:val="BoxListBullet"/>
    <w:link w:val="BoxListBullet2Char"/>
    <w:rsid w:val="001C14EC"/>
    <w:pPr>
      <w:numPr>
        <w:numId w:val="25"/>
      </w:numPr>
    </w:pPr>
  </w:style>
  <w:style w:type="paragraph" w:customStyle="1" w:styleId="BoxListNumber">
    <w:name w:val="Box List Number"/>
    <w:basedOn w:val="BodyText"/>
    <w:rsid w:val="001C14EC"/>
    <w:pPr>
      <w:keepNext/>
      <w:numPr>
        <w:numId w:val="29"/>
      </w:numPr>
      <w:spacing w:before="100" w:line="260" w:lineRule="atLeast"/>
    </w:pPr>
    <w:rPr>
      <w:rFonts w:ascii="Arial" w:hAnsi="Arial"/>
      <w:sz w:val="20"/>
    </w:rPr>
  </w:style>
  <w:style w:type="paragraph" w:customStyle="1" w:styleId="BoxListNumber2">
    <w:name w:val="Box List Number 2"/>
    <w:basedOn w:val="BoxListNumber"/>
    <w:rsid w:val="001C14EC"/>
    <w:pPr>
      <w:numPr>
        <w:ilvl w:val="1"/>
      </w:numPr>
    </w:pPr>
  </w:style>
  <w:style w:type="paragraph" w:customStyle="1" w:styleId="BoxQuote">
    <w:name w:val="Box Quote"/>
    <w:basedOn w:val="BodyText"/>
    <w:next w:val="Box"/>
    <w:qFormat/>
    <w:rsid w:val="001C14EC"/>
    <w:pPr>
      <w:keepNext/>
      <w:spacing w:before="60" w:line="240" w:lineRule="exact"/>
      <w:ind w:left="284"/>
    </w:pPr>
    <w:rPr>
      <w:rFonts w:ascii="Arial" w:hAnsi="Arial"/>
      <w:sz w:val="18"/>
    </w:rPr>
  </w:style>
  <w:style w:type="paragraph" w:customStyle="1" w:styleId="Note">
    <w:name w:val="Note"/>
    <w:basedOn w:val="BodyText"/>
    <w:next w:val="BodyText"/>
    <w:link w:val="NoteChar"/>
    <w:rsid w:val="001C14EC"/>
    <w:pPr>
      <w:keepLines/>
      <w:spacing w:before="80" w:line="220" w:lineRule="exact"/>
    </w:pPr>
    <w:rPr>
      <w:rFonts w:ascii="Arial" w:hAnsi="Arial"/>
      <w:sz w:val="18"/>
    </w:rPr>
  </w:style>
  <w:style w:type="paragraph" w:customStyle="1" w:styleId="Source">
    <w:name w:val="Source"/>
    <w:basedOn w:val="Normal"/>
    <w:next w:val="BodyText"/>
    <w:rsid w:val="001C14EC"/>
    <w:pPr>
      <w:keepLines/>
      <w:spacing w:before="80" w:line="220" w:lineRule="exact"/>
      <w:jc w:val="both"/>
    </w:pPr>
    <w:rPr>
      <w:rFonts w:ascii="Arial" w:hAnsi="Arial"/>
      <w:sz w:val="18"/>
      <w:szCs w:val="20"/>
    </w:rPr>
  </w:style>
  <w:style w:type="paragraph" w:customStyle="1" w:styleId="BoxSource">
    <w:name w:val="Box Source"/>
    <w:basedOn w:val="Source"/>
    <w:next w:val="BodyText"/>
    <w:rsid w:val="001C14EC"/>
    <w:pPr>
      <w:spacing w:before="120"/>
    </w:pPr>
  </w:style>
  <w:style w:type="paragraph" w:customStyle="1" w:styleId="BoxSpaceAbove">
    <w:name w:val="Box Space Above"/>
    <w:basedOn w:val="BodyText"/>
    <w:rsid w:val="001C14EC"/>
    <w:pPr>
      <w:keepNext/>
      <w:spacing w:before="360" w:line="80" w:lineRule="exact"/>
      <w:jc w:val="left"/>
    </w:pPr>
  </w:style>
  <w:style w:type="paragraph" w:styleId="Caption">
    <w:name w:val="caption"/>
    <w:basedOn w:val="Normal"/>
    <w:next w:val="BodyText"/>
    <w:rsid w:val="001C14EC"/>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link w:val="BoxTitleChar"/>
    <w:rsid w:val="001C14EC"/>
    <w:pPr>
      <w:spacing w:before="120" w:after="0"/>
    </w:pPr>
  </w:style>
  <w:style w:type="paragraph" w:customStyle="1" w:styleId="BoxSubtitle">
    <w:name w:val="Box Subtitle"/>
    <w:basedOn w:val="BoxTitle"/>
    <w:next w:val="Normal"/>
    <w:rsid w:val="001C14EC"/>
    <w:pPr>
      <w:spacing w:after="80" w:line="200" w:lineRule="exact"/>
      <w:ind w:firstLine="0"/>
    </w:pPr>
    <w:rPr>
      <w:b w:val="0"/>
      <w:sz w:val="20"/>
    </w:rPr>
  </w:style>
  <w:style w:type="paragraph" w:customStyle="1" w:styleId="Chapter">
    <w:name w:val="Chapter"/>
    <w:basedOn w:val="Heading1"/>
    <w:next w:val="BodyText"/>
    <w:semiHidden/>
    <w:rsid w:val="001C14EC"/>
    <w:pPr>
      <w:ind w:left="0" w:firstLine="0"/>
      <w:outlineLvl w:val="9"/>
    </w:pPr>
  </w:style>
  <w:style w:type="paragraph" w:customStyle="1" w:styleId="ChapterSummary">
    <w:name w:val="Chapter Summary"/>
    <w:basedOn w:val="BodyText"/>
    <w:rsid w:val="001C14EC"/>
    <w:pPr>
      <w:spacing w:line="280" w:lineRule="atLeast"/>
      <w:ind w:left="907"/>
    </w:pPr>
    <w:rPr>
      <w:rFonts w:ascii="Arial" w:hAnsi="Arial"/>
      <w:b/>
      <w:sz w:val="20"/>
    </w:rPr>
  </w:style>
  <w:style w:type="character" w:styleId="CommentReference">
    <w:name w:val="annotation reference"/>
    <w:basedOn w:val="DefaultParagraphFont"/>
    <w:semiHidden/>
    <w:rsid w:val="001C14EC"/>
    <w:rPr>
      <w:b/>
      <w:vanish/>
      <w:color w:val="FF00FF"/>
      <w:sz w:val="20"/>
    </w:rPr>
  </w:style>
  <w:style w:type="paragraph" w:styleId="CommentText">
    <w:name w:val="annotation text"/>
    <w:basedOn w:val="Normal"/>
    <w:link w:val="CommentTextChar"/>
    <w:semiHidden/>
    <w:rsid w:val="001C14EC"/>
    <w:pPr>
      <w:spacing w:before="120" w:line="240" w:lineRule="atLeast"/>
      <w:ind w:left="567" w:hanging="567"/>
    </w:pPr>
    <w:rPr>
      <w:sz w:val="20"/>
    </w:rPr>
  </w:style>
  <w:style w:type="paragraph" w:customStyle="1" w:styleId="Continued">
    <w:name w:val="Continued"/>
    <w:basedOn w:val="BoxContinued"/>
    <w:next w:val="BodyText"/>
    <w:rsid w:val="001C14EC"/>
  </w:style>
  <w:style w:type="character" w:customStyle="1" w:styleId="DocumentInfo">
    <w:name w:val="Document Info"/>
    <w:basedOn w:val="DefaultParagraphFont"/>
    <w:semiHidden/>
    <w:rsid w:val="001C14EC"/>
    <w:rPr>
      <w:rFonts w:ascii="Arial" w:hAnsi="Arial"/>
      <w:sz w:val="14"/>
    </w:rPr>
  </w:style>
  <w:style w:type="character" w:customStyle="1" w:styleId="DraftingNote">
    <w:name w:val="Drafting Note"/>
    <w:basedOn w:val="DefaultParagraphFont"/>
    <w:rsid w:val="001C14EC"/>
    <w:rPr>
      <w:b/>
      <w:color w:val="FF0000"/>
      <w:sz w:val="24"/>
      <w:u w:val="dotted"/>
    </w:rPr>
  </w:style>
  <w:style w:type="paragraph" w:customStyle="1" w:styleId="Figure">
    <w:name w:val="Figure"/>
    <w:basedOn w:val="BodyText"/>
    <w:rsid w:val="001C14EC"/>
    <w:pPr>
      <w:keepNext/>
      <w:spacing w:before="120" w:after="120" w:line="240" w:lineRule="atLeast"/>
      <w:jc w:val="center"/>
    </w:pPr>
  </w:style>
  <w:style w:type="paragraph" w:customStyle="1" w:styleId="FigureTitle">
    <w:name w:val="Figure Title"/>
    <w:basedOn w:val="Caption"/>
    <w:next w:val="Subtitle"/>
    <w:rsid w:val="001C14EC"/>
    <w:pPr>
      <w:spacing w:before="120"/>
    </w:pPr>
  </w:style>
  <w:style w:type="paragraph" w:styleId="Subtitle">
    <w:name w:val="Subtitle"/>
    <w:basedOn w:val="Caption"/>
    <w:link w:val="SubtitleChar"/>
    <w:qFormat/>
    <w:rsid w:val="001C14EC"/>
    <w:pPr>
      <w:spacing w:before="0" w:line="200" w:lineRule="exact"/>
      <w:ind w:firstLine="0"/>
    </w:pPr>
    <w:rPr>
      <w:b w:val="0"/>
      <w:sz w:val="20"/>
    </w:rPr>
  </w:style>
  <w:style w:type="paragraph" w:customStyle="1" w:styleId="Finding">
    <w:name w:val="Finding"/>
    <w:basedOn w:val="BodyText"/>
    <w:rsid w:val="001C14EC"/>
    <w:pPr>
      <w:keepLines/>
      <w:spacing w:before="120" w:line="280" w:lineRule="atLeast"/>
    </w:pPr>
    <w:rPr>
      <w:rFonts w:ascii="Arial" w:hAnsi="Arial"/>
      <w:sz w:val="22"/>
    </w:rPr>
  </w:style>
  <w:style w:type="paragraph" w:customStyle="1" w:styleId="FindingBullet">
    <w:name w:val="Finding Bullet"/>
    <w:basedOn w:val="Finding"/>
    <w:rsid w:val="001C14EC"/>
    <w:pPr>
      <w:numPr>
        <w:numId w:val="31"/>
      </w:numPr>
      <w:spacing w:before="80"/>
    </w:pPr>
  </w:style>
  <w:style w:type="paragraph" w:customStyle="1" w:styleId="FindingNoTitle">
    <w:name w:val="Finding NoTitle"/>
    <w:basedOn w:val="Finding"/>
    <w:semiHidden/>
    <w:rsid w:val="001C14EC"/>
    <w:pPr>
      <w:spacing w:before="240"/>
    </w:pPr>
  </w:style>
  <w:style w:type="paragraph" w:customStyle="1" w:styleId="RecTitle">
    <w:name w:val="Rec Title"/>
    <w:basedOn w:val="BodyText"/>
    <w:next w:val="Rec"/>
    <w:qFormat/>
    <w:rsid w:val="001C14EC"/>
    <w:pPr>
      <w:keepNext/>
      <w:keepLines/>
      <w:spacing w:line="280" w:lineRule="atLeast"/>
    </w:pPr>
    <w:rPr>
      <w:rFonts w:ascii="Arial" w:hAnsi="Arial"/>
      <w:caps/>
      <w:sz w:val="18"/>
    </w:rPr>
  </w:style>
  <w:style w:type="paragraph" w:customStyle="1" w:styleId="FindingTitle">
    <w:name w:val="Finding Title"/>
    <w:basedOn w:val="RecTitle"/>
    <w:next w:val="Finding"/>
    <w:rsid w:val="001C14EC"/>
  </w:style>
  <w:style w:type="character" w:styleId="FootnoteReference">
    <w:name w:val="footnote reference"/>
    <w:basedOn w:val="DefaultParagraphFont"/>
    <w:semiHidden/>
    <w:rsid w:val="001C14EC"/>
    <w:rPr>
      <w:rFonts w:ascii="Times New Roman" w:hAnsi="Times New Roman"/>
      <w:position w:val="6"/>
      <w:sz w:val="20"/>
      <w:vertAlign w:val="baseline"/>
    </w:rPr>
  </w:style>
  <w:style w:type="paragraph" w:styleId="FootnoteText">
    <w:name w:val="footnote text"/>
    <w:basedOn w:val="BodyText"/>
    <w:link w:val="FootnoteTextChar"/>
    <w:rsid w:val="001C14EC"/>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1C14EC"/>
    <w:rPr>
      <w:i/>
    </w:rPr>
  </w:style>
  <w:style w:type="paragraph" w:customStyle="1" w:styleId="Jurisdictioncommentsbodytext">
    <w:name w:val="Jurisdiction comments body text"/>
    <w:rsid w:val="001C14EC"/>
    <w:pPr>
      <w:spacing w:after="140"/>
      <w:jc w:val="both"/>
    </w:pPr>
    <w:rPr>
      <w:rFonts w:ascii="Arial" w:hAnsi="Arial"/>
      <w:sz w:val="24"/>
      <w:lang w:eastAsia="en-US"/>
    </w:rPr>
  </w:style>
  <w:style w:type="paragraph" w:customStyle="1" w:styleId="Jurisdictioncommentsheading">
    <w:name w:val="Jurisdiction comments heading"/>
    <w:rsid w:val="001C14EC"/>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1C14EC"/>
    <w:pPr>
      <w:numPr>
        <w:numId w:val="34"/>
      </w:numPr>
      <w:spacing w:after="140"/>
      <w:jc w:val="both"/>
    </w:pPr>
    <w:rPr>
      <w:rFonts w:ascii="Arial" w:hAnsi="Arial"/>
      <w:sz w:val="24"/>
      <w:lang w:eastAsia="en-US"/>
    </w:rPr>
  </w:style>
  <w:style w:type="paragraph" w:styleId="ListBullet">
    <w:name w:val="List Bullet"/>
    <w:basedOn w:val="BodyText"/>
    <w:link w:val="ListBulletChar"/>
    <w:rsid w:val="001C14EC"/>
    <w:pPr>
      <w:numPr>
        <w:numId w:val="32"/>
      </w:numPr>
      <w:spacing w:before="120"/>
    </w:pPr>
  </w:style>
  <w:style w:type="paragraph" w:styleId="ListBullet2">
    <w:name w:val="List Bullet 2"/>
    <w:basedOn w:val="BodyText"/>
    <w:rsid w:val="001C14EC"/>
    <w:pPr>
      <w:numPr>
        <w:numId w:val="37"/>
      </w:numPr>
      <w:spacing w:before="120"/>
    </w:pPr>
  </w:style>
  <w:style w:type="paragraph" w:styleId="ListBullet3">
    <w:name w:val="List Bullet 3"/>
    <w:basedOn w:val="BodyText"/>
    <w:rsid w:val="001C14EC"/>
    <w:pPr>
      <w:numPr>
        <w:numId w:val="26"/>
      </w:numPr>
      <w:spacing w:before="120"/>
    </w:pPr>
  </w:style>
  <w:style w:type="paragraph" w:styleId="ListNumber">
    <w:name w:val="List Number"/>
    <w:basedOn w:val="BodyText"/>
    <w:rsid w:val="001C14EC"/>
    <w:pPr>
      <w:numPr>
        <w:numId w:val="40"/>
      </w:numPr>
      <w:spacing w:before="120"/>
    </w:pPr>
  </w:style>
  <w:style w:type="paragraph" w:styleId="ListNumber2">
    <w:name w:val="List Number 2"/>
    <w:basedOn w:val="ListNumber"/>
    <w:rsid w:val="001C14EC"/>
    <w:pPr>
      <w:numPr>
        <w:ilvl w:val="1"/>
      </w:numPr>
    </w:pPr>
  </w:style>
  <w:style w:type="paragraph" w:styleId="ListNumber3">
    <w:name w:val="List Number 3"/>
    <w:basedOn w:val="ListNumber2"/>
    <w:rsid w:val="001C14EC"/>
    <w:pPr>
      <w:numPr>
        <w:ilvl w:val="2"/>
      </w:numPr>
    </w:pPr>
  </w:style>
  <w:style w:type="character" w:customStyle="1" w:styleId="NoteLabel">
    <w:name w:val="Note Label"/>
    <w:basedOn w:val="DefaultParagraphFont"/>
    <w:rsid w:val="001C14EC"/>
    <w:rPr>
      <w:rFonts w:ascii="Arial" w:hAnsi="Arial"/>
      <w:b/>
      <w:position w:val="6"/>
      <w:sz w:val="18"/>
    </w:rPr>
  </w:style>
  <w:style w:type="paragraph" w:customStyle="1" w:styleId="PartDivider">
    <w:name w:val="Part Divider"/>
    <w:basedOn w:val="BodyText"/>
    <w:next w:val="BodyText"/>
    <w:rsid w:val="001C14EC"/>
    <w:pPr>
      <w:spacing w:before="0" w:line="40" w:lineRule="exact"/>
      <w:jc w:val="right"/>
    </w:pPr>
    <w:rPr>
      <w:smallCaps/>
      <w:sz w:val="16"/>
    </w:rPr>
  </w:style>
  <w:style w:type="paragraph" w:customStyle="1" w:styleId="PartNumber">
    <w:name w:val="Part Number"/>
    <w:basedOn w:val="BodyText"/>
    <w:next w:val="BodyText"/>
    <w:rsid w:val="001C14EC"/>
    <w:pPr>
      <w:spacing w:before="4000" w:line="320" w:lineRule="exact"/>
      <w:ind w:left="6634"/>
      <w:jc w:val="right"/>
    </w:pPr>
    <w:rPr>
      <w:smallCaps/>
      <w:spacing w:val="60"/>
      <w:sz w:val="32"/>
    </w:rPr>
  </w:style>
  <w:style w:type="paragraph" w:customStyle="1" w:styleId="PartTitle">
    <w:name w:val="Part Title"/>
    <w:basedOn w:val="BodyText"/>
    <w:rsid w:val="001C14EC"/>
    <w:pPr>
      <w:spacing w:before="160" w:after="1360" w:line="520" w:lineRule="exact"/>
      <w:ind w:right="2381"/>
      <w:jc w:val="right"/>
    </w:pPr>
    <w:rPr>
      <w:smallCaps/>
      <w:sz w:val="52"/>
    </w:rPr>
  </w:style>
  <w:style w:type="paragraph" w:styleId="Quote">
    <w:name w:val="Quote"/>
    <w:basedOn w:val="BodyText"/>
    <w:next w:val="BodyText"/>
    <w:link w:val="QuoteChar"/>
    <w:qFormat/>
    <w:rsid w:val="001C14EC"/>
    <w:pPr>
      <w:spacing w:before="120" w:line="280" w:lineRule="exact"/>
      <w:ind w:left="340"/>
    </w:pPr>
    <w:rPr>
      <w:sz w:val="22"/>
    </w:rPr>
  </w:style>
  <w:style w:type="paragraph" w:customStyle="1" w:styleId="QuoteBullet">
    <w:name w:val="Quote Bullet"/>
    <w:basedOn w:val="Quote"/>
    <w:rsid w:val="001C14EC"/>
    <w:pPr>
      <w:numPr>
        <w:numId w:val="41"/>
      </w:numPr>
    </w:pPr>
  </w:style>
  <w:style w:type="paragraph" w:customStyle="1" w:styleId="Rec">
    <w:name w:val="Rec"/>
    <w:basedOn w:val="BodyText"/>
    <w:qFormat/>
    <w:rsid w:val="001C14EC"/>
    <w:pPr>
      <w:keepLines/>
      <w:spacing w:before="120" w:line="280" w:lineRule="atLeast"/>
    </w:pPr>
    <w:rPr>
      <w:rFonts w:ascii="Arial" w:hAnsi="Arial"/>
      <w:sz w:val="22"/>
    </w:rPr>
  </w:style>
  <w:style w:type="paragraph" w:customStyle="1" w:styleId="RecBullet">
    <w:name w:val="Rec Bullet"/>
    <w:basedOn w:val="Rec"/>
    <w:rsid w:val="001C14EC"/>
    <w:pPr>
      <w:numPr>
        <w:numId w:val="42"/>
      </w:numPr>
      <w:spacing w:before="80"/>
    </w:pPr>
  </w:style>
  <w:style w:type="paragraph" w:customStyle="1" w:styleId="RecB">
    <w:name w:val="RecB"/>
    <w:basedOn w:val="Normal"/>
    <w:semiHidden/>
    <w:rsid w:val="001C14EC"/>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1C14EC"/>
    <w:pPr>
      <w:numPr>
        <w:numId w:val="43"/>
      </w:numPr>
      <w:spacing w:before="80"/>
    </w:pPr>
  </w:style>
  <w:style w:type="paragraph" w:customStyle="1" w:styleId="RecBNoTitle">
    <w:name w:val="RecB NoTitle"/>
    <w:basedOn w:val="RecB"/>
    <w:semiHidden/>
    <w:rsid w:val="001C14EC"/>
    <w:pPr>
      <w:spacing w:before="240"/>
    </w:pPr>
  </w:style>
  <w:style w:type="paragraph" w:customStyle="1" w:styleId="Reference">
    <w:name w:val="Reference"/>
    <w:basedOn w:val="BodyText"/>
    <w:rsid w:val="001C14EC"/>
    <w:pPr>
      <w:spacing w:before="120"/>
      <w:ind w:left="340" w:hanging="340"/>
    </w:pPr>
  </w:style>
  <w:style w:type="paragraph" w:customStyle="1" w:styleId="SequenceInfo">
    <w:name w:val="Sequence Info"/>
    <w:basedOn w:val="BodyText"/>
    <w:semiHidden/>
    <w:rsid w:val="001C14EC"/>
    <w:rPr>
      <w:vanish/>
      <w:sz w:val="16"/>
    </w:rPr>
  </w:style>
  <w:style w:type="paragraph" w:customStyle="1" w:styleId="SideNote">
    <w:name w:val="Side Note"/>
    <w:basedOn w:val="BodyText"/>
    <w:next w:val="BodyText"/>
    <w:semiHidden/>
    <w:rsid w:val="001C14EC"/>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1C14EC"/>
    <w:pPr>
      <w:framePr w:wrap="around"/>
      <w:numPr>
        <w:numId w:val="44"/>
      </w:numPr>
      <w:tabs>
        <w:tab w:val="left" w:pos="227"/>
      </w:tabs>
    </w:pPr>
  </w:style>
  <w:style w:type="paragraph" w:customStyle="1" w:styleId="SideNoteGraphic">
    <w:name w:val="Side Note Graphic"/>
    <w:basedOn w:val="SideNote"/>
    <w:next w:val="BodyText"/>
    <w:semiHidden/>
    <w:rsid w:val="001C14EC"/>
    <w:pPr>
      <w:framePr w:wrap="around"/>
    </w:pPr>
  </w:style>
  <w:style w:type="paragraph" w:customStyle="1" w:styleId="TableBodyText">
    <w:name w:val="Table Body Text"/>
    <w:basedOn w:val="BodyText"/>
    <w:rsid w:val="001C14EC"/>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C14EC"/>
    <w:pPr>
      <w:numPr>
        <w:numId w:val="45"/>
      </w:numPr>
      <w:jc w:val="left"/>
    </w:pPr>
  </w:style>
  <w:style w:type="paragraph" w:customStyle="1" w:styleId="TableColumnHeading">
    <w:name w:val="Table Column Heading"/>
    <w:basedOn w:val="TableBodyText"/>
    <w:rsid w:val="001C14EC"/>
    <w:pPr>
      <w:spacing w:before="80" w:after="80"/>
    </w:pPr>
    <w:rPr>
      <w:i/>
    </w:rPr>
  </w:style>
  <w:style w:type="paragraph" w:styleId="TOC2">
    <w:name w:val="toc 2"/>
    <w:basedOn w:val="TOC1"/>
    <w:rsid w:val="001C14EC"/>
    <w:pPr>
      <w:ind w:left="1134" w:hanging="624"/>
    </w:pPr>
    <w:rPr>
      <w:b w:val="0"/>
    </w:rPr>
  </w:style>
  <w:style w:type="paragraph" w:styleId="TOC3">
    <w:name w:val="toc 3"/>
    <w:basedOn w:val="TOC2"/>
    <w:rsid w:val="001C14EC"/>
    <w:pPr>
      <w:spacing w:before="60"/>
      <w:ind w:left="1190" w:hanging="680"/>
    </w:pPr>
  </w:style>
  <w:style w:type="paragraph" w:styleId="TableofFigures">
    <w:name w:val="table of figures"/>
    <w:basedOn w:val="TOC3"/>
    <w:next w:val="BodyText"/>
    <w:semiHidden/>
    <w:rsid w:val="001C14EC"/>
    <w:pPr>
      <w:ind w:left="737" w:hanging="737"/>
    </w:pPr>
  </w:style>
  <w:style w:type="paragraph" w:customStyle="1" w:styleId="TableTitle">
    <w:name w:val="Table Title"/>
    <w:basedOn w:val="Caption"/>
    <w:next w:val="Subtitle"/>
    <w:qFormat/>
    <w:rsid w:val="001C14EC"/>
    <w:pPr>
      <w:spacing w:before="120"/>
    </w:pPr>
  </w:style>
  <w:style w:type="paragraph" w:customStyle="1" w:styleId="TableUnitsRow">
    <w:name w:val="Table Units Row"/>
    <w:basedOn w:val="TableBodyText"/>
    <w:rsid w:val="001C14EC"/>
    <w:pPr>
      <w:spacing w:before="40"/>
    </w:pPr>
  </w:style>
  <w:style w:type="paragraph" w:styleId="TOC1">
    <w:name w:val="toc 1"/>
    <w:basedOn w:val="Normal"/>
    <w:next w:val="TOC2"/>
    <w:link w:val="TOC1Char"/>
    <w:rsid w:val="001C14EC"/>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1C14EC"/>
    <w:pPr>
      <w:ind w:left="1191" w:firstLine="0"/>
    </w:pPr>
  </w:style>
  <w:style w:type="paragraph" w:customStyle="1" w:styleId="RecBBullet2">
    <w:name w:val="RecB Bullet 2"/>
    <w:basedOn w:val="ListBullet2"/>
    <w:semiHidden/>
    <w:rsid w:val="001C14EC"/>
    <w:pPr>
      <w:numPr>
        <w:numId w:val="0"/>
      </w:numPr>
      <w:pBdr>
        <w:left w:val="single" w:sz="24" w:space="29" w:color="C0C0C0"/>
      </w:pBdr>
    </w:pPr>
    <w:rPr>
      <w:b/>
      <w:i/>
    </w:rPr>
  </w:style>
  <w:style w:type="paragraph" w:styleId="BalloonText">
    <w:name w:val="Balloon Text"/>
    <w:basedOn w:val="Normal"/>
    <w:link w:val="BalloonTextChar"/>
    <w:rsid w:val="001C14EC"/>
    <w:rPr>
      <w:rFonts w:ascii="Tahoma" w:hAnsi="Tahoma" w:cs="Tahoma"/>
      <w:sz w:val="16"/>
      <w:szCs w:val="16"/>
    </w:rPr>
  </w:style>
  <w:style w:type="character" w:customStyle="1" w:styleId="BalloonTextChar">
    <w:name w:val="Balloon Text Char"/>
    <w:basedOn w:val="DefaultParagraphFont"/>
    <w:link w:val="BalloonText"/>
    <w:rsid w:val="001C14EC"/>
    <w:rPr>
      <w:rFonts w:ascii="Tahoma" w:hAnsi="Tahoma" w:cs="Tahoma"/>
      <w:sz w:val="16"/>
      <w:szCs w:val="16"/>
    </w:rPr>
  </w:style>
  <w:style w:type="character" w:customStyle="1" w:styleId="SubtitleChar">
    <w:name w:val="Subtitle Char"/>
    <w:basedOn w:val="DefaultParagraphFont"/>
    <w:link w:val="Subtitle"/>
    <w:rsid w:val="001C14EC"/>
    <w:rPr>
      <w:rFonts w:ascii="Arial" w:hAnsi="Arial"/>
      <w:szCs w:val="24"/>
    </w:rPr>
  </w:style>
  <w:style w:type="paragraph" w:customStyle="1" w:styleId="BoxListBullet3">
    <w:name w:val="Box List Bullet 3"/>
    <w:basedOn w:val="ListBullet3"/>
    <w:rsid w:val="001C14EC"/>
    <w:pPr>
      <w:numPr>
        <w:numId w:val="27"/>
      </w:numPr>
      <w:tabs>
        <w:tab w:val="left" w:pos="907"/>
      </w:tabs>
      <w:spacing w:before="60" w:line="260" w:lineRule="atLeast"/>
    </w:pPr>
    <w:rPr>
      <w:rFonts w:ascii="Arial" w:hAnsi="Arial"/>
      <w:sz w:val="20"/>
    </w:rPr>
  </w:style>
  <w:style w:type="character" w:styleId="Emphasis">
    <w:name w:val="Emphasis"/>
    <w:basedOn w:val="DefaultParagraphFont"/>
    <w:rsid w:val="001C14EC"/>
    <w:rPr>
      <w:i/>
      <w:iCs/>
    </w:rPr>
  </w:style>
  <w:style w:type="paragraph" w:customStyle="1" w:styleId="BoxQuoteBullet">
    <w:name w:val="Box Quote Bullet"/>
    <w:basedOn w:val="BoxQuote"/>
    <w:next w:val="Box"/>
    <w:rsid w:val="001C14EC"/>
    <w:pPr>
      <w:numPr>
        <w:numId w:val="30"/>
      </w:numPr>
    </w:pPr>
  </w:style>
  <w:style w:type="paragraph" w:customStyle="1" w:styleId="InformationRequestBullet">
    <w:name w:val="Information Request Bullet"/>
    <w:basedOn w:val="ListBullet"/>
    <w:next w:val="BodyText"/>
    <w:rsid w:val="001C14EC"/>
    <w:pPr>
      <w:numPr>
        <w:numId w:val="33"/>
      </w:numPr>
      <w:spacing w:before="80" w:line="280" w:lineRule="atLeast"/>
    </w:pPr>
    <w:rPr>
      <w:rFonts w:ascii="Arial" w:hAnsi="Arial"/>
      <w:i/>
      <w:sz w:val="22"/>
    </w:rPr>
  </w:style>
  <w:style w:type="paragraph" w:customStyle="1" w:styleId="BoxSpaceBelow">
    <w:name w:val="Box Space Below"/>
    <w:basedOn w:val="Box"/>
    <w:rsid w:val="001C14EC"/>
    <w:pPr>
      <w:keepNext w:val="0"/>
      <w:spacing w:before="60" w:after="60" w:line="80" w:lineRule="exact"/>
    </w:pPr>
    <w:rPr>
      <w:sz w:val="14"/>
    </w:rPr>
  </w:style>
  <w:style w:type="paragraph" w:customStyle="1" w:styleId="KeyPointsListBullet">
    <w:name w:val="Key Points List Bullet"/>
    <w:basedOn w:val="Normal"/>
    <w:qFormat/>
    <w:rsid w:val="001C14EC"/>
    <w:pPr>
      <w:keepNext/>
      <w:numPr>
        <w:numId w:val="35"/>
      </w:numPr>
      <w:spacing w:before="100" w:line="260" w:lineRule="atLeast"/>
      <w:jc w:val="both"/>
    </w:pPr>
    <w:rPr>
      <w:rFonts w:ascii="Arial" w:hAnsi="Arial"/>
      <w:sz w:val="20"/>
      <w:szCs w:val="20"/>
      <w:lang w:eastAsia="en-US"/>
    </w:rPr>
  </w:style>
  <w:style w:type="paragraph" w:customStyle="1" w:styleId="KeyPointsListBullet2">
    <w:name w:val="Key Points List Bullet 2"/>
    <w:basedOn w:val="BoxListBullet2"/>
    <w:rsid w:val="001C14EC"/>
    <w:pPr>
      <w:numPr>
        <w:numId w:val="36"/>
      </w:numPr>
    </w:pPr>
  </w:style>
  <w:style w:type="paragraph" w:customStyle="1" w:styleId="InformationRequestTitle">
    <w:name w:val="Information Request Title"/>
    <w:basedOn w:val="FindingTitle"/>
    <w:next w:val="InformationRequest"/>
    <w:rsid w:val="001C14EC"/>
    <w:rPr>
      <w:i/>
    </w:rPr>
  </w:style>
  <w:style w:type="paragraph" w:customStyle="1" w:styleId="Space">
    <w:name w:val="Space"/>
    <w:basedOn w:val="Normal"/>
    <w:rsid w:val="001C14EC"/>
    <w:pPr>
      <w:keepNext/>
      <w:spacing w:line="120" w:lineRule="exact"/>
      <w:jc w:val="both"/>
    </w:pPr>
    <w:rPr>
      <w:rFonts w:ascii="Arial" w:hAnsi="Arial"/>
      <w:sz w:val="20"/>
      <w:szCs w:val="20"/>
    </w:rPr>
  </w:style>
  <w:style w:type="paragraph" w:customStyle="1" w:styleId="Heading1nochapterno">
    <w:name w:val="Heading 1 (no chapter no.)"/>
    <w:basedOn w:val="Heading1"/>
    <w:rsid w:val="001C14EC"/>
    <w:pPr>
      <w:spacing w:before="0"/>
      <w:ind w:left="0" w:firstLine="0"/>
    </w:pPr>
  </w:style>
  <w:style w:type="paragraph" w:customStyle="1" w:styleId="Heading2nosectionno">
    <w:name w:val="Heading 2 (no section no.)"/>
    <w:basedOn w:val="Heading2"/>
    <w:rsid w:val="001C14EC"/>
    <w:pPr>
      <w:ind w:left="0" w:firstLine="0"/>
    </w:pPr>
  </w:style>
  <w:style w:type="character" w:customStyle="1" w:styleId="Heading5Char">
    <w:name w:val="Heading 5 Char"/>
    <w:basedOn w:val="DefaultParagraphFont"/>
    <w:link w:val="Heading5"/>
    <w:rsid w:val="001C14EC"/>
    <w:rPr>
      <w:rFonts w:ascii="Arial" w:hAnsi="Arial"/>
      <w:i/>
      <w:sz w:val="22"/>
    </w:rPr>
  </w:style>
  <w:style w:type="paragraph" w:customStyle="1" w:styleId="Figurespace">
    <w:name w:val="Figure space"/>
    <w:basedOn w:val="Box"/>
    <w:rsid w:val="001C14EC"/>
    <w:pPr>
      <w:spacing w:before="0" w:line="120" w:lineRule="exact"/>
    </w:pPr>
  </w:style>
  <w:style w:type="paragraph" w:customStyle="1" w:styleId="FooterDraftReport">
    <w:name w:val="FooterDraftReport"/>
    <w:basedOn w:val="Footer"/>
    <w:link w:val="FooterDraftReportChar"/>
    <w:rsid w:val="001C14EC"/>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1C14EC"/>
    <w:rPr>
      <w:sz w:val="24"/>
    </w:rPr>
  </w:style>
  <w:style w:type="character" w:customStyle="1" w:styleId="FooterChar">
    <w:name w:val="Footer Char"/>
    <w:basedOn w:val="BodyTextChar"/>
    <w:link w:val="Footer"/>
    <w:semiHidden/>
    <w:rsid w:val="001C14EC"/>
    <w:rPr>
      <w:rFonts w:ascii="Arial" w:hAnsi="Arial"/>
      <w:caps/>
      <w:spacing w:val="-4"/>
      <w:sz w:val="16"/>
    </w:rPr>
  </w:style>
  <w:style w:type="character" w:customStyle="1" w:styleId="FooterDraftReportChar">
    <w:name w:val="FooterDraftReport Char"/>
    <w:basedOn w:val="FooterChar"/>
    <w:link w:val="FooterDraftReport"/>
    <w:rsid w:val="001C14EC"/>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1C1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1C14EC"/>
    <w:rPr>
      <w:rFonts w:ascii="Arial" w:hAnsi="Arial"/>
      <w:b/>
      <w:sz w:val="26"/>
      <w:szCs w:val="26"/>
      <w:lang w:eastAsia="en-US"/>
    </w:rPr>
  </w:style>
  <w:style w:type="character" w:customStyle="1" w:styleId="BoxListBulletChar">
    <w:name w:val="Box List Bullet Char"/>
    <w:basedOn w:val="DefaultParagraphFont"/>
    <w:link w:val="BoxListBullet"/>
    <w:rsid w:val="00C05E94"/>
    <w:rPr>
      <w:rFonts w:ascii="Arial" w:hAnsi="Arial"/>
    </w:rPr>
  </w:style>
  <w:style w:type="character" w:customStyle="1" w:styleId="BoxListBullet2Char">
    <w:name w:val="Box List Bullet 2 Char"/>
    <w:link w:val="BoxListBullet2"/>
    <w:rsid w:val="00C05E94"/>
    <w:rPr>
      <w:rFonts w:ascii="Arial" w:hAnsi="Arial"/>
    </w:rPr>
  </w:style>
  <w:style w:type="character" w:customStyle="1" w:styleId="ListBulletChar">
    <w:name w:val="List Bullet Char"/>
    <w:link w:val="ListBullet"/>
    <w:rsid w:val="001137EF"/>
    <w:rPr>
      <w:sz w:val="24"/>
    </w:rPr>
  </w:style>
  <w:style w:type="character" w:customStyle="1" w:styleId="BoxChar">
    <w:name w:val="Box Char"/>
    <w:link w:val="Box"/>
    <w:rsid w:val="00263848"/>
    <w:rPr>
      <w:rFonts w:ascii="Arial" w:hAnsi="Arial"/>
    </w:rPr>
  </w:style>
  <w:style w:type="character" w:customStyle="1" w:styleId="NoteChar">
    <w:name w:val="Note Char"/>
    <w:link w:val="Note"/>
    <w:rsid w:val="0074663B"/>
    <w:rPr>
      <w:rFonts w:ascii="Arial" w:hAnsi="Arial"/>
      <w:sz w:val="18"/>
    </w:rPr>
  </w:style>
  <w:style w:type="character" w:customStyle="1" w:styleId="Heading2Char">
    <w:name w:val="Heading 2 Char"/>
    <w:basedOn w:val="DefaultParagraphFont"/>
    <w:link w:val="Heading2"/>
    <w:rsid w:val="001C14EC"/>
    <w:rPr>
      <w:rFonts w:ascii="Arial" w:hAnsi="Arial"/>
      <w:b/>
      <w:sz w:val="32"/>
    </w:rPr>
  </w:style>
  <w:style w:type="paragraph" w:styleId="CommentSubject">
    <w:name w:val="annotation subject"/>
    <w:basedOn w:val="CommentText"/>
    <w:next w:val="CommentText"/>
    <w:link w:val="CommentSubjectChar"/>
    <w:rsid w:val="00C32E7D"/>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1C14EC"/>
    <w:rPr>
      <w:szCs w:val="24"/>
    </w:rPr>
  </w:style>
  <w:style w:type="character" w:customStyle="1" w:styleId="CommentSubjectChar">
    <w:name w:val="Comment Subject Char"/>
    <w:basedOn w:val="CommentTextChar"/>
    <w:link w:val="CommentSubject"/>
    <w:rsid w:val="00C32E7D"/>
    <w:rPr>
      <w:b/>
      <w:bCs/>
      <w:szCs w:val="24"/>
    </w:rPr>
  </w:style>
  <w:style w:type="character" w:customStyle="1" w:styleId="BoxTitleChar">
    <w:name w:val="Box Title Char"/>
    <w:link w:val="BoxTitle"/>
    <w:rsid w:val="004E69B2"/>
    <w:rPr>
      <w:rFonts w:ascii="Arial" w:hAnsi="Arial"/>
      <w:b/>
      <w:sz w:val="24"/>
      <w:szCs w:val="24"/>
    </w:rPr>
  </w:style>
  <w:style w:type="character" w:customStyle="1" w:styleId="Heading1Char">
    <w:name w:val="Heading 1 Char"/>
    <w:basedOn w:val="DefaultParagraphFont"/>
    <w:link w:val="Heading1"/>
    <w:rsid w:val="001C14EC"/>
    <w:rPr>
      <w:sz w:val="52"/>
    </w:rPr>
  </w:style>
  <w:style w:type="character" w:customStyle="1" w:styleId="FootnoteTextChar">
    <w:name w:val="Footnote Text Char"/>
    <w:basedOn w:val="DefaultParagraphFont"/>
    <w:link w:val="FootnoteText"/>
    <w:rsid w:val="001C14EC"/>
  </w:style>
  <w:style w:type="character" w:customStyle="1" w:styleId="HeaderChar">
    <w:name w:val="Header Char"/>
    <w:basedOn w:val="DefaultParagraphFont"/>
    <w:link w:val="Header"/>
    <w:rsid w:val="001C14EC"/>
    <w:rPr>
      <w:rFonts w:ascii="Arial" w:hAnsi="Arial"/>
      <w:caps/>
      <w:sz w:val="24"/>
    </w:rPr>
  </w:style>
  <w:style w:type="character" w:customStyle="1" w:styleId="Heading3Char">
    <w:name w:val="Heading 3 Char"/>
    <w:basedOn w:val="DefaultParagraphFont"/>
    <w:link w:val="Heading3"/>
    <w:rsid w:val="001C14EC"/>
    <w:rPr>
      <w:rFonts w:ascii="Arial" w:hAnsi="Arial"/>
      <w:b/>
      <w:sz w:val="26"/>
    </w:rPr>
  </w:style>
  <w:style w:type="character" w:customStyle="1" w:styleId="Heading4Char">
    <w:name w:val="Heading 4 Char"/>
    <w:basedOn w:val="DefaultParagraphFont"/>
    <w:link w:val="Heading4"/>
    <w:rsid w:val="001C14EC"/>
    <w:rPr>
      <w:rFonts w:ascii="Arial" w:hAnsi="Arial"/>
      <w:sz w:val="24"/>
    </w:rPr>
  </w:style>
  <w:style w:type="character" w:customStyle="1" w:styleId="Heading6Char">
    <w:name w:val="Heading 6 Char"/>
    <w:basedOn w:val="DefaultParagraphFont"/>
    <w:link w:val="Heading6"/>
    <w:rsid w:val="001C14EC"/>
    <w:rPr>
      <w:i/>
      <w:sz w:val="22"/>
    </w:rPr>
  </w:style>
  <w:style w:type="character" w:customStyle="1" w:styleId="Heading7Char">
    <w:name w:val="Heading 7 Char"/>
    <w:basedOn w:val="DefaultParagraphFont"/>
    <w:link w:val="Heading7"/>
    <w:rsid w:val="001C14EC"/>
    <w:rPr>
      <w:rFonts w:ascii="Arial" w:hAnsi="Arial"/>
    </w:rPr>
  </w:style>
  <w:style w:type="character" w:customStyle="1" w:styleId="Heading8Char">
    <w:name w:val="Heading 8 Char"/>
    <w:basedOn w:val="DefaultParagraphFont"/>
    <w:link w:val="Heading8"/>
    <w:rsid w:val="001C14EC"/>
    <w:rPr>
      <w:rFonts w:ascii="Arial" w:hAnsi="Arial"/>
      <w:i/>
    </w:rPr>
  </w:style>
  <w:style w:type="character" w:customStyle="1" w:styleId="Heading9Char">
    <w:name w:val="Heading 9 Char"/>
    <w:basedOn w:val="DefaultParagraphFont"/>
    <w:link w:val="Heading9"/>
    <w:rsid w:val="001C14EC"/>
    <w:rPr>
      <w:rFonts w:ascii="Arial" w:hAnsi="Arial"/>
      <w:b/>
      <w:i/>
      <w:sz w:val="18"/>
    </w:rPr>
  </w:style>
  <w:style w:type="character" w:customStyle="1" w:styleId="QuoteChar">
    <w:name w:val="Quote Char"/>
    <w:basedOn w:val="DefaultParagraphFont"/>
    <w:link w:val="Quote"/>
    <w:rsid w:val="001C14EC"/>
    <w:rPr>
      <w:sz w:val="22"/>
    </w:rPr>
  </w:style>
  <w:style w:type="paragraph" w:styleId="Revision">
    <w:name w:val="Revision"/>
    <w:hidden/>
    <w:uiPriority w:val="99"/>
    <w:semiHidden/>
    <w:rsid w:val="00E60A6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chart" Target="charts/chart8.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chart" Target="charts/chart5.xml"/><Relationship Id="rId27" Type="http://schemas.openxmlformats.org/officeDocument/2006/relationships/image" Target="media/image14.emf"/><Relationship Id="rId30" Type="http://schemas.openxmlformats.org/officeDocument/2006/relationships/chart" Target="charts/chart7.xml"/><Relationship Id="rId35"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si\chapter.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el_1\groups\Monitor\06%20Indigenous%20Report\2016%20report\03%20Chapter%20drafts\Overview\Remoteness%20and%20TSI%20chart%20for%202016%20Overview.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2%20Child%20mortality\Charts4.2_copy%20new%20colour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7%20(was%204.6)%20Employment\2016%204.7%20(was%204.6)%20Employment%20-%20charts.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10%20(was%204.9)%20Household%20and%20individual%20income\4.10%20charts.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7\7.3%20(was%207.4)%20Transition%20from%20school%20to%20work\7.3%20Transition%20from%20school%20to%20work%20-%20chart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8\8.3%20Potentially%20avoidable%20deaths\8.3_charts_new%20colour.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9\9.1\9.1%20Employment%20by%20full%20time%20part%20time%20status,%20sector%20and%20occupation_GRAPH.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170622043763319E-2"/>
          <c:y val="4.8169522927281161E-2"/>
          <c:w val="0.89195738208684505"/>
          <c:h val="0.72381666666666666"/>
        </c:manualLayout>
      </c:layout>
      <c:barChart>
        <c:barDir val="col"/>
        <c:grouping val="clustered"/>
        <c:varyColors val="0"/>
        <c:ser>
          <c:idx val="0"/>
          <c:order val="0"/>
          <c:tx>
            <c:strRef>
              <c:f>Remoteness!$C$6</c:f>
              <c:strCache>
                <c:ptCount val="1"/>
                <c:pt idx="0">
                  <c:v>Non-remote</c:v>
                </c:pt>
              </c:strCache>
            </c:strRef>
          </c:tx>
          <c:spPr>
            <a:solidFill>
              <a:srgbClr val="78A22F"/>
            </a:solidFill>
            <a:ln w="12700">
              <a:solidFill>
                <a:srgbClr val="78A22F"/>
              </a:solidFill>
              <a:prstDash val="solid"/>
            </a:ln>
          </c:spPr>
          <c:invertIfNegative val="0"/>
          <c:errBars>
            <c:errBarType val="both"/>
            <c:errValType val="cust"/>
            <c:noEndCap val="0"/>
            <c:plus>
              <c:numRef>
                <c:f>Remoteness!$F$7:$F$11</c:f>
                <c:numCache>
                  <c:formatCode>General</c:formatCode>
                  <c:ptCount val="5"/>
                  <c:pt idx="0">
                    <c:v>7.6</c:v>
                  </c:pt>
                  <c:pt idx="1">
                    <c:v>3.2</c:v>
                  </c:pt>
                  <c:pt idx="2">
                    <c:v>6</c:v>
                  </c:pt>
                  <c:pt idx="3">
                    <c:v>3.3</c:v>
                  </c:pt>
                  <c:pt idx="4">
                    <c:v>2.7</c:v>
                  </c:pt>
                </c:numCache>
              </c:numRef>
            </c:plus>
            <c:minus>
              <c:numRef>
                <c:f>Remoteness!$F$7:$F$11</c:f>
                <c:numCache>
                  <c:formatCode>General</c:formatCode>
                  <c:ptCount val="5"/>
                  <c:pt idx="0">
                    <c:v>7.6</c:v>
                  </c:pt>
                  <c:pt idx="1">
                    <c:v>3.2</c:v>
                  </c:pt>
                  <c:pt idx="2">
                    <c:v>6</c:v>
                  </c:pt>
                  <c:pt idx="3">
                    <c:v>3.3</c:v>
                  </c:pt>
                  <c:pt idx="4">
                    <c:v>2.7</c:v>
                  </c:pt>
                </c:numCache>
              </c:numRef>
            </c:minus>
            <c:spPr>
              <a:ln>
                <a:solidFill>
                  <a:srgbClr val="BFBFBF"/>
                </a:solidFill>
              </a:ln>
            </c:spPr>
          </c:errBars>
          <c:cat>
            <c:strRef>
              <c:f>Remoteness!$B$7:$B$11</c:f>
              <c:strCache>
                <c:ptCount val="5"/>
                <c:pt idx="0">
                  <c:v>20–24 yr olds with 
year 12 (4.6)</c:v>
                </c:pt>
                <c:pt idx="1">
                  <c:v>20–64 yr olds with 
Cert III or above (4.8)</c:v>
                </c:pt>
                <c:pt idx="2">
                  <c:v>17–24 yr olds fully engaged (7.3) (a)</c:v>
                </c:pt>
                <c:pt idx="3">
                  <c:v>Home ownership 
(9.3)</c:v>
                </c:pt>
                <c:pt idx="4">
                  <c:v>Overcrowding
(10.1)</c:v>
                </c:pt>
              </c:strCache>
            </c:strRef>
          </c:cat>
          <c:val>
            <c:numRef>
              <c:f>Remoteness!$C$7:$C$11</c:f>
              <c:numCache>
                <c:formatCode>General</c:formatCode>
                <c:ptCount val="5"/>
                <c:pt idx="0">
                  <c:v>66</c:v>
                </c:pt>
                <c:pt idx="1">
                  <c:v>52.8</c:v>
                </c:pt>
                <c:pt idx="2">
                  <c:v>48.4</c:v>
                </c:pt>
                <c:pt idx="3">
                  <c:v>34.1</c:v>
                </c:pt>
                <c:pt idx="4">
                  <c:v>15.1</c:v>
                </c:pt>
              </c:numCache>
            </c:numRef>
          </c:val>
        </c:ser>
        <c:ser>
          <c:idx val="1"/>
          <c:order val="1"/>
          <c:tx>
            <c:strRef>
              <c:f>Remoteness!$D$6</c:f>
              <c:strCache>
                <c:ptCount val="1"/>
                <c:pt idx="0">
                  <c:v>Remote</c:v>
                </c:pt>
              </c:strCache>
            </c:strRef>
          </c:tx>
          <c:spPr>
            <a:solidFill>
              <a:srgbClr val="B2D673"/>
            </a:solidFill>
            <a:ln w="12700">
              <a:solidFill>
                <a:srgbClr val="B2D673"/>
              </a:solidFill>
              <a:prstDash val="solid"/>
            </a:ln>
          </c:spPr>
          <c:invertIfNegative val="0"/>
          <c:errBars>
            <c:errBarType val="both"/>
            <c:errValType val="cust"/>
            <c:noEndCap val="0"/>
            <c:plus>
              <c:numRef>
                <c:f>Remoteness!$G$7:$G$11</c:f>
                <c:numCache>
                  <c:formatCode>General</c:formatCode>
                  <c:ptCount val="5"/>
                  <c:pt idx="0">
                    <c:v>14.6</c:v>
                  </c:pt>
                  <c:pt idx="1">
                    <c:v>5.3</c:v>
                  </c:pt>
                  <c:pt idx="2">
                    <c:v>13.7</c:v>
                  </c:pt>
                  <c:pt idx="3">
                    <c:v>5.0999999999999996</c:v>
                  </c:pt>
                  <c:pt idx="4">
                    <c:v>6</c:v>
                  </c:pt>
                </c:numCache>
              </c:numRef>
            </c:plus>
            <c:minus>
              <c:numRef>
                <c:f>Remoteness!$G$7:$G$11</c:f>
                <c:numCache>
                  <c:formatCode>General</c:formatCode>
                  <c:ptCount val="5"/>
                  <c:pt idx="0">
                    <c:v>14.6</c:v>
                  </c:pt>
                  <c:pt idx="1">
                    <c:v>5.3</c:v>
                  </c:pt>
                  <c:pt idx="2">
                    <c:v>13.7</c:v>
                  </c:pt>
                  <c:pt idx="3">
                    <c:v>5.0999999999999996</c:v>
                  </c:pt>
                  <c:pt idx="4">
                    <c:v>6</c:v>
                  </c:pt>
                </c:numCache>
              </c:numRef>
            </c:minus>
            <c:spPr>
              <a:ln>
                <a:solidFill>
                  <a:srgbClr val="78A22F"/>
                </a:solidFill>
              </a:ln>
            </c:spPr>
          </c:errBars>
          <c:cat>
            <c:strRef>
              <c:f>Remoteness!$B$7:$B$11</c:f>
              <c:strCache>
                <c:ptCount val="5"/>
                <c:pt idx="0">
                  <c:v>20–24 yr olds with 
year 12 (4.6)</c:v>
                </c:pt>
                <c:pt idx="1">
                  <c:v>20–64 yr olds with 
Cert III or above (4.8)</c:v>
                </c:pt>
                <c:pt idx="2">
                  <c:v>17–24 yr olds fully engaged (7.3) (a)</c:v>
                </c:pt>
                <c:pt idx="3">
                  <c:v>Home ownership 
(9.3)</c:v>
                </c:pt>
                <c:pt idx="4">
                  <c:v>Overcrowding
(10.1)</c:v>
                </c:pt>
              </c:strCache>
            </c:strRef>
          </c:cat>
          <c:val>
            <c:numRef>
              <c:f>Remoteness!$D$7:$D$11</c:f>
              <c:numCache>
                <c:formatCode>General</c:formatCode>
                <c:ptCount val="5"/>
                <c:pt idx="0">
                  <c:v>41.7</c:v>
                </c:pt>
                <c:pt idx="1">
                  <c:v>33.200000000000003</c:v>
                </c:pt>
                <c:pt idx="2">
                  <c:v>30.4</c:v>
                </c:pt>
                <c:pt idx="3">
                  <c:v>19.100000000000001</c:v>
                </c:pt>
                <c:pt idx="4">
                  <c:v>27.2</c:v>
                </c:pt>
              </c:numCache>
            </c:numRef>
          </c:val>
        </c:ser>
        <c:ser>
          <c:idx val="2"/>
          <c:order val="2"/>
          <c:tx>
            <c:strRef>
              <c:f>Remoteness!$E$6</c:f>
              <c:strCache>
                <c:ptCount val="1"/>
                <c:pt idx="0">
                  <c:v>Very remote</c:v>
                </c:pt>
              </c:strCache>
            </c:strRef>
          </c:tx>
          <c:spPr>
            <a:solidFill>
              <a:srgbClr val="000000"/>
            </a:solidFill>
            <a:ln w="12700">
              <a:solidFill>
                <a:srgbClr val="000000"/>
              </a:solidFill>
              <a:prstDash val="solid"/>
            </a:ln>
          </c:spPr>
          <c:invertIfNegative val="0"/>
          <c:errBars>
            <c:errBarType val="both"/>
            <c:errValType val="cust"/>
            <c:noEndCap val="0"/>
            <c:plus>
              <c:numRef>
                <c:f>Remoteness!$H$7:$H$11</c:f>
                <c:numCache>
                  <c:formatCode>General</c:formatCode>
                  <c:ptCount val="5"/>
                  <c:pt idx="0">
                    <c:v>11.3</c:v>
                  </c:pt>
                  <c:pt idx="1">
                    <c:v>4.5</c:v>
                  </c:pt>
                  <c:pt idx="2">
                    <c:v>5.4</c:v>
                  </c:pt>
                  <c:pt idx="3">
                    <c:v>2.8</c:v>
                  </c:pt>
                  <c:pt idx="4">
                    <c:v>3.9</c:v>
                  </c:pt>
                </c:numCache>
              </c:numRef>
            </c:plus>
            <c:minus>
              <c:numRef>
                <c:f>Remoteness!$H$7:$H$11</c:f>
                <c:numCache>
                  <c:formatCode>General</c:formatCode>
                  <c:ptCount val="5"/>
                  <c:pt idx="0">
                    <c:v>11.3</c:v>
                  </c:pt>
                  <c:pt idx="1">
                    <c:v>4.5</c:v>
                  </c:pt>
                  <c:pt idx="2">
                    <c:v>5.4</c:v>
                  </c:pt>
                  <c:pt idx="3">
                    <c:v>2.8</c:v>
                  </c:pt>
                  <c:pt idx="4">
                    <c:v>3.9</c:v>
                  </c:pt>
                </c:numCache>
              </c:numRef>
            </c:minus>
            <c:spPr>
              <a:ln>
                <a:solidFill>
                  <a:srgbClr val="BFBFBF"/>
                </a:solidFill>
              </a:ln>
            </c:spPr>
          </c:errBars>
          <c:cat>
            <c:strRef>
              <c:f>Remoteness!$B$7:$B$11</c:f>
              <c:strCache>
                <c:ptCount val="5"/>
                <c:pt idx="0">
                  <c:v>20–24 yr olds with 
year 12 (4.6)</c:v>
                </c:pt>
                <c:pt idx="1">
                  <c:v>20–64 yr olds with 
Cert III or above (4.8)</c:v>
                </c:pt>
                <c:pt idx="2">
                  <c:v>17–24 yr olds fully engaged (7.3) (a)</c:v>
                </c:pt>
                <c:pt idx="3">
                  <c:v>Home ownership 
(9.3)</c:v>
                </c:pt>
                <c:pt idx="4">
                  <c:v>Overcrowding
(10.1)</c:v>
                </c:pt>
              </c:strCache>
            </c:strRef>
          </c:cat>
          <c:val>
            <c:numRef>
              <c:f>Remoteness!$E$7:$E$11</c:f>
              <c:numCache>
                <c:formatCode>General</c:formatCode>
                <c:ptCount val="5"/>
                <c:pt idx="0">
                  <c:v>41.7</c:v>
                </c:pt>
                <c:pt idx="1">
                  <c:v>23.2</c:v>
                </c:pt>
                <c:pt idx="2">
                  <c:v>14.6</c:v>
                </c:pt>
                <c:pt idx="3">
                  <c:v>7.7</c:v>
                </c:pt>
                <c:pt idx="4">
                  <c:v>49.4</c:v>
                </c:pt>
              </c:numCache>
            </c:numRef>
          </c:val>
        </c:ser>
        <c:dLbls>
          <c:showLegendKey val="0"/>
          <c:showVal val="0"/>
          <c:showCatName val="0"/>
          <c:showSerName val="0"/>
          <c:showPercent val="0"/>
          <c:showBubbleSize val="0"/>
        </c:dLbls>
        <c:gapWidth val="150"/>
        <c:axId val="136396160"/>
        <c:axId val="136406144"/>
      </c:barChart>
      <c:catAx>
        <c:axId val="136396160"/>
        <c:scaling>
          <c:orientation val="minMax"/>
        </c:scaling>
        <c:delete val="0"/>
        <c:axPos val="b"/>
        <c:numFmt formatCode="General" sourceLinked="1"/>
        <c:majorTickMark val="none"/>
        <c:minorTickMark val="none"/>
        <c:tickLblPos val="nextTo"/>
        <c:spPr>
          <a:ln w="3175">
            <a:solidFill>
              <a:srgbClr val="BFBFBF"/>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406144"/>
        <c:crosses val="autoZero"/>
        <c:auto val="1"/>
        <c:lblAlgn val="ctr"/>
        <c:lblOffset val="100"/>
        <c:tickLblSkip val="1"/>
        <c:tickMarkSkip val="1"/>
        <c:noMultiLvlLbl val="0"/>
      </c:catAx>
      <c:valAx>
        <c:axId val="136406144"/>
        <c:scaling>
          <c:orientation val="minMax"/>
        </c:scaling>
        <c:delete val="0"/>
        <c:axPos val="l"/>
        <c:title>
          <c:tx>
            <c:rich>
              <a:bodyPr rot="-5400000" vert="horz"/>
              <a:lstStyle/>
              <a:p>
                <a:pPr>
                  <a:defRPr sz="900" b="1" i="0" u="none" strike="noStrike" baseline="0">
                    <a:solidFill>
                      <a:srgbClr val="000000"/>
                    </a:solidFill>
                    <a:latin typeface="arial"/>
                    <a:ea typeface="arial"/>
                    <a:cs typeface="arial"/>
                  </a:defRPr>
                </a:pPr>
                <a:r>
                  <a:rPr lang="en-AU"/>
                  <a:t>Per cent</a:t>
                </a:r>
              </a:p>
            </c:rich>
          </c:tx>
          <c:layout>
            <c:manualLayout>
              <c:xMode val="edge"/>
              <c:yMode val="edge"/>
              <c:x val="5.1973558840155143E-3"/>
              <c:y val="0.42004762448172239"/>
            </c:manualLayout>
          </c:layout>
          <c:overlay val="0"/>
          <c:spPr>
            <a:noFill/>
            <a:ln w="25400">
              <a:noFill/>
            </a:ln>
          </c:spPr>
        </c:title>
        <c:numFmt formatCode="General" sourceLinked="1"/>
        <c:majorTickMark val="out"/>
        <c:minorTickMark val="none"/>
        <c:tickLblPos val="nextTo"/>
        <c:spPr>
          <a:ln w="3175">
            <a:solidFill>
              <a:srgbClr val="BFBFBF"/>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36396160"/>
        <c:crosses val="autoZero"/>
        <c:crossBetween val="between"/>
      </c:valAx>
      <c:spPr>
        <a:noFill/>
        <a:ln w="25400">
          <a:noFill/>
        </a:ln>
      </c:spPr>
    </c:plotArea>
    <c:legend>
      <c:legendPos val="b"/>
      <c:layout>
        <c:manualLayout>
          <c:xMode val="edge"/>
          <c:yMode val="edge"/>
          <c:x val="0.30257330893092155"/>
          <c:y val="0.93835931378142945"/>
          <c:w val="0.42007675587411242"/>
          <c:h val="6.1640628254801481E-2"/>
        </c:manualLayout>
      </c:layout>
      <c:overlay val="0"/>
      <c:spPr>
        <a:no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 (3)'!$G$4</c:f>
              <c:strCache>
                <c:ptCount val="1"/>
                <c:pt idx="0">
                  <c:v>Indigenous</c:v>
                </c:pt>
              </c:strCache>
            </c:strRef>
          </c:tx>
          <c:spPr>
            <a:ln>
              <a:solidFill>
                <a:srgbClr val="BD4636"/>
              </a:solidFill>
            </a:ln>
          </c:spPr>
          <c:marker>
            <c:symbol val="none"/>
          </c:marker>
          <c:cat>
            <c:numRef>
              <c:f>'Table 4A.2.1 (3)'!$H$3:$X$3</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 (3)'!$H$4:$X$4</c:f>
              <c:numCache>
                <c:formatCode>0.00000</c:formatCode>
                <c:ptCount val="17"/>
                <c:pt idx="0">
                  <c:v>13.45669</c:v>
                </c:pt>
                <c:pt idx="1">
                  <c:v>14.3109</c:v>
                </c:pt>
                <c:pt idx="2">
                  <c:v>14.134980000000001</c:v>
                </c:pt>
                <c:pt idx="3">
                  <c:v>11.212059999999999</c:v>
                </c:pt>
                <c:pt idx="4">
                  <c:v>12.515639999999999</c:v>
                </c:pt>
                <c:pt idx="5">
                  <c:v>10.89325</c:v>
                </c:pt>
                <c:pt idx="6">
                  <c:v>10.24174</c:v>
                </c:pt>
                <c:pt idx="7">
                  <c:v>10.87815</c:v>
                </c:pt>
                <c:pt idx="8">
                  <c:v>9.4387299999999996</c:v>
                </c:pt>
                <c:pt idx="9">
                  <c:v>8.2590699999999995</c:v>
                </c:pt>
                <c:pt idx="10">
                  <c:v>6.9722499999999998</c:v>
                </c:pt>
                <c:pt idx="11">
                  <c:v>6.36191</c:v>
                </c:pt>
                <c:pt idx="12">
                  <c:v>6.8860999999999999</c:v>
                </c:pt>
                <c:pt idx="13">
                  <c:v>6.61876</c:v>
                </c:pt>
                <c:pt idx="14">
                  <c:v>4.9882999999999997</c:v>
                </c:pt>
                <c:pt idx="15" formatCode="0.0_ ;\-0.0\ ">
                  <c:v>6.8</c:v>
                </c:pt>
                <c:pt idx="16" formatCode="###\ ###\ ##0.0;\-###\ ###\ ##0.0;&quot;–&quot;">
                  <c:v>6.4</c:v>
                </c:pt>
              </c:numCache>
            </c:numRef>
          </c:val>
          <c:smooth val="0"/>
        </c:ser>
        <c:ser>
          <c:idx val="1"/>
          <c:order val="1"/>
          <c:tx>
            <c:strRef>
              <c:f>'Table 4A.2.1 (3)'!$G$5</c:f>
              <c:strCache>
                <c:ptCount val="1"/>
                <c:pt idx="0">
                  <c:v>Non-Indigenous</c:v>
                </c:pt>
              </c:strCache>
            </c:strRef>
          </c:tx>
          <c:spPr>
            <a:ln>
              <a:solidFill>
                <a:srgbClr val="7297A9"/>
              </a:solidFill>
              <a:prstDash val="solid"/>
            </a:ln>
            <a:effectLst/>
          </c:spPr>
          <c:marker>
            <c:symbol val="none"/>
          </c:marker>
          <c:cat>
            <c:numRef>
              <c:f>'Table 4A.2.1 (3)'!$H$3:$X$3</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 (3)'!$H$5:$X$5</c:f>
              <c:numCache>
                <c:formatCode>0.00000</c:formatCode>
                <c:ptCount val="17"/>
                <c:pt idx="0">
                  <c:v>4.4439700000000002</c:v>
                </c:pt>
                <c:pt idx="1">
                  <c:v>4.7169299999999996</c:v>
                </c:pt>
                <c:pt idx="2">
                  <c:v>4.78057</c:v>
                </c:pt>
                <c:pt idx="3">
                  <c:v>5.0135800000000001</c:v>
                </c:pt>
                <c:pt idx="4">
                  <c:v>4.4005099999999997</c:v>
                </c:pt>
                <c:pt idx="5">
                  <c:v>4.0187400000000002</c:v>
                </c:pt>
                <c:pt idx="6">
                  <c:v>4.2588400000000002</c:v>
                </c:pt>
                <c:pt idx="7">
                  <c:v>4.4955100000000003</c:v>
                </c:pt>
                <c:pt idx="8">
                  <c:v>4.3633899999999999</c:v>
                </c:pt>
                <c:pt idx="9">
                  <c:v>3.8948299999999998</c:v>
                </c:pt>
                <c:pt idx="10">
                  <c:v>3.9085700000000001</c:v>
                </c:pt>
                <c:pt idx="11">
                  <c:v>4.0556000000000001</c:v>
                </c:pt>
                <c:pt idx="12">
                  <c:v>3.9334799999999999</c:v>
                </c:pt>
                <c:pt idx="13">
                  <c:v>3.61409</c:v>
                </c:pt>
                <c:pt idx="14">
                  <c:v>3.2712699999999999</c:v>
                </c:pt>
                <c:pt idx="15" formatCode="###\ ###\ ##0.0;\-###\ ###\ ##0.0;&quot;–&quot;">
                  <c:v>3.5</c:v>
                </c:pt>
                <c:pt idx="16" formatCode="###\ ###\ ##0.0;\-###\ ###\ ##0.0;&quot;–&quot;">
                  <c:v>3.3</c:v>
                </c:pt>
              </c:numCache>
            </c:numRef>
          </c:val>
          <c:smooth val="0"/>
        </c:ser>
        <c:dLbls>
          <c:showLegendKey val="0"/>
          <c:showVal val="0"/>
          <c:showCatName val="0"/>
          <c:showSerName val="0"/>
          <c:showPercent val="0"/>
          <c:showBubbleSize val="0"/>
        </c:dLbls>
        <c:marker val="1"/>
        <c:smooth val="0"/>
        <c:axId val="137760128"/>
        <c:axId val="137766016"/>
      </c:lineChart>
      <c:catAx>
        <c:axId val="137760128"/>
        <c:scaling>
          <c:orientation val="minMax"/>
        </c:scaling>
        <c:delete val="0"/>
        <c:axPos val="b"/>
        <c:numFmt formatCode="General" sourceLinked="1"/>
        <c:majorTickMark val="none"/>
        <c:minorTickMark val="none"/>
        <c:tickLblPos val="nextTo"/>
        <c:spPr>
          <a:ln>
            <a:solidFill>
              <a:srgbClr val="BFBFBF"/>
            </a:solidFill>
          </a:ln>
        </c:spPr>
        <c:txPr>
          <a:bodyPr rot="-1800000"/>
          <a:lstStyle/>
          <a:p>
            <a:pPr>
              <a:defRPr sz="900" b="0" i="0">
                <a:latin typeface="Arial"/>
                <a:ea typeface="Arial"/>
                <a:cs typeface="Arial"/>
              </a:defRPr>
            </a:pPr>
            <a:endParaRPr lang="en-US"/>
          </a:p>
        </c:txPr>
        <c:crossAx val="137766016"/>
        <c:crosses val="autoZero"/>
        <c:auto val="1"/>
        <c:lblAlgn val="ctr"/>
        <c:lblOffset val="100"/>
        <c:noMultiLvlLbl val="0"/>
      </c:catAx>
      <c:valAx>
        <c:axId val="137766016"/>
        <c:scaling>
          <c:orientation val="minMax"/>
          <c:max val="16"/>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1000 live births</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137760128"/>
        <c:crosses val="autoZero"/>
        <c:crossBetween val="between"/>
        <c:majorUnit val="4"/>
        <c:minorUnit val="0.4"/>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 (4)'!$G$5</c:f>
              <c:strCache>
                <c:ptCount val="1"/>
                <c:pt idx="0">
                  <c:v>Aboriginal and Torres Strait Islander </c:v>
                </c:pt>
              </c:strCache>
            </c:strRef>
          </c:tx>
          <c:spPr>
            <a:ln>
              <a:solidFill>
                <a:srgbClr val="BD4636"/>
              </a:solidFill>
            </a:ln>
          </c:spPr>
          <c:marker>
            <c:symbol val="none"/>
          </c:marker>
          <c:cat>
            <c:numRef>
              <c:f>'Table 4A.2.1 (4)'!$H$4:$V$4</c:f>
              <c:numCache>
                <c:formatCode>General</c:formatCode>
                <c:ptCount val="15"/>
                <c:pt idx="0">
                  <c:v>1998</c:v>
                </c:pt>
                <c:pt idx="1">
                  <c:v>1999</c:v>
                </c:pt>
                <c:pt idx="2">
                  <c:v>200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'Table 4A.2.1 (4)'!$H$5:$V$5</c:f>
              <c:numCache>
                <c:formatCode>General</c:formatCode>
                <c:ptCount val="15"/>
              </c:numCache>
            </c:numRef>
          </c:val>
          <c:smooth val="0"/>
        </c:ser>
        <c:ser>
          <c:idx val="1"/>
          <c:order val="1"/>
          <c:tx>
            <c:strRef>
              <c:f>'Table 4A.2.1 (4)'!$G$6</c:f>
              <c:strCache>
                <c:ptCount val="1"/>
                <c:pt idx="0">
                  <c:v>Non-Indigenous</c:v>
                </c:pt>
              </c:strCache>
            </c:strRef>
          </c:tx>
          <c:spPr>
            <a:ln>
              <a:solidFill>
                <a:srgbClr val="7297A9"/>
              </a:solidFill>
              <a:prstDash val="solid"/>
            </a:ln>
            <a:effectLst/>
          </c:spPr>
          <c:marker>
            <c:symbol val="none"/>
          </c:marker>
          <c:cat>
            <c:numRef>
              <c:f>'Table 4A.2.1 (4)'!$H$4:$V$4</c:f>
              <c:numCache>
                <c:formatCode>General</c:formatCode>
                <c:ptCount val="15"/>
                <c:pt idx="0">
                  <c:v>1998</c:v>
                </c:pt>
                <c:pt idx="1">
                  <c:v>1999</c:v>
                </c:pt>
                <c:pt idx="2">
                  <c:v>200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'Table 4A.2.1 (4)'!$H$6:$V$6</c:f>
              <c:numCache>
                <c:formatCode>General</c:formatCode>
                <c:ptCount val="15"/>
              </c:numCache>
            </c:numRef>
          </c:val>
          <c:smooth val="0"/>
        </c:ser>
        <c:dLbls>
          <c:showLegendKey val="0"/>
          <c:showVal val="0"/>
          <c:showCatName val="0"/>
          <c:showSerName val="0"/>
          <c:showPercent val="0"/>
          <c:showBubbleSize val="0"/>
        </c:dLbls>
        <c:marker val="1"/>
        <c:smooth val="0"/>
        <c:axId val="137790592"/>
        <c:axId val="137792128"/>
      </c:lineChart>
      <c:catAx>
        <c:axId val="137790592"/>
        <c:scaling>
          <c:orientation val="minMax"/>
        </c:scaling>
        <c:delete val="1"/>
        <c:axPos val="b"/>
        <c:numFmt formatCode="General" sourceLinked="1"/>
        <c:majorTickMark val="none"/>
        <c:minorTickMark val="none"/>
        <c:tickLblPos val="nextTo"/>
        <c:crossAx val="137792128"/>
        <c:crosses val="autoZero"/>
        <c:auto val="1"/>
        <c:lblAlgn val="ctr"/>
        <c:lblOffset val="100"/>
        <c:noMultiLvlLbl val="0"/>
      </c:catAx>
      <c:valAx>
        <c:axId val="137792128"/>
        <c:scaling>
          <c:orientation val="minMax"/>
          <c:max val="250"/>
          <c:min val="0"/>
        </c:scaling>
        <c:delete val="1"/>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0" sourceLinked="0"/>
        <c:majorTickMark val="out"/>
        <c:minorTickMark val="none"/>
        <c:tickLblPos val="nextTo"/>
        <c:crossAx val="137790592"/>
        <c:crosses val="autoZero"/>
        <c:crossBetween val="between"/>
        <c:majorUnit val="50"/>
        <c:min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23296296296296"/>
          <c:y val="4.8506944444444443E-2"/>
          <c:w val="0.87160037037037041"/>
          <c:h val="0.77982465277777779"/>
        </c:manualLayout>
      </c:layout>
      <c:barChart>
        <c:barDir val="col"/>
        <c:grouping val="clustered"/>
        <c:varyColors val="0"/>
        <c:ser>
          <c:idx val="0"/>
          <c:order val="0"/>
          <c:tx>
            <c:strRef>
              <c:f>'Figure 4.7.1'!$C$13</c:f>
              <c:strCache>
                <c:ptCount val="1"/>
                <c:pt idx="0">
                  <c:v>15–64 years</c:v>
                </c:pt>
              </c:strCache>
            </c:strRef>
          </c:tx>
          <c:spPr>
            <a:solidFill>
              <a:srgbClr val="78A22F"/>
            </a:solidFill>
            <a:ln>
              <a:solidFill>
                <a:srgbClr val="78A22F"/>
              </a:solidFill>
            </a:ln>
          </c:spPr>
          <c:invertIfNegative val="0"/>
          <c:errBars>
            <c:errBarType val="both"/>
            <c:errValType val="cust"/>
            <c:noEndCap val="0"/>
            <c:plus>
              <c:numRef>
                <c:f>'Figure 4.7.1'!$C$23:$C$28</c:f>
                <c:numCache>
                  <c:formatCode>General</c:formatCode>
                  <c:ptCount val="6"/>
                  <c:pt idx="0">
                    <c:v>2.4</c:v>
                  </c:pt>
                  <c:pt idx="1">
                    <c:v>2.2999999999999998</c:v>
                  </c:pt>
                  <c:pt idx="2">
                    <c:v>2.2999999999999998</c:v>
                  </c:pt>
                  <c:pt idx="3">
                    <c:v>2.2999999999999998</c:v>
                  </c:pt>
                  <c:pt idx="4">
                    <c:v>1.9</c:v>
                  </c:pt>
                  <c:pt idx="5">
                    <c:v>2.6</c:v>
                  </c:pt>
                </c:numCache>
              </c:numRef>
            </c:plus>
            <c:minus>
              <c:numRef>
                <c:f>'Figure 4.7.1'!$C$23:$C$28</c:f>
                <c:numCache>
                  <c:formatCode>General</c:formatCode>
                  <c:ptCount val="6"/>
                  <c:pt idx="0">
                    <c:v>2.4</c:v>
                  </c:pt>
                  <c:pt idx="1">
                    <c:v>2.2999999999999998</c:v>
                  </c:pt>
                  <c:pt idx="2">
                    <c:v>2.2999999999999998</c:v>
                  </c:pt>
                  <c:pt idx="3">
                    <c:v>2.2999999999999998</c:v>
                  </c:pt>
                  <c:pt idx="4">
                    <c:v>1.9</c:v>
                  </c:pt>
                  <c:pt idx="5">
                    <c:v>2.6</c:v>
                  </c:pt>
                </c:numCache>
              </c:numRef>
            </c:minus>
            <c:spPr>
              <a:ln>
                <a:solidFill>
                  <a:srgbClr val="BFBFBF"/>
                </a:solidFill>
              </a:ln>
            </c:spPr>
          </c:errBars>
          <c:cat>
            <c:strRef>
              <c:f>'Figure 4.7.1'!$B$15:$B$20</c:f>
              <c:strCache>
                <c:ptCount val="6"/>
                <c:pt idx="0">
                  <c:v>1994</c:v>
                </c:pt>
                <c:pt idx="1">
                  <c:v>2002</c:v>
                </c:pt>
                <c:pt idx="2">
                  <c:v>2004-05</c:v>
                </c:pt>
                <c:pt idx="3">
                  <c:v>2008</c:v>
                </c:pt>
                <c:pt idx="4">
                  <c:v>2012-13</c:v>
                </c:pt>
                <c:pt idx="5">
                  <c:v>2014-15</c:v>
                </c:pt>
              </c:strCache>
            </c:strRef>
          </c:cat>
          <c:val>
            <c:numRef>
              <c:f>'Figure 4.7.1'!$C$15:$C$20</c:f>
              <c:numCache>
                <c:formatCode>General</c:formatCode>
                <c:ptCount val="6"/>
                <c:pt idx="0">
                  <c:v>37.6</c:v>
                </c:pt>
                <c:pt idx="1">
                  <c:v>48.2</c:v>
                </c:pt>
                <c:pt idx="2">
                  <c:v>50.7</c:v>
                </c:pt>
                <c:pt idx="3">
                  <c:v>53.8</c:v>
                </c:pt>
                <c:pt idx="4">
                  <c:v>47.5</c:v>
                </c:pt>
                <c:pt idx="5">
                  <c:v>48.4</c:v>
                </c:pt>
              </c:numCache>
            </c:numRef>
          </c:val>
        </c:ser>
        <c:ser>
          <c:idx val="1"/>
          <c:order val="1"/>
          <c:tx>
            <c:strRef>
              <c:f>'Figure 4.7.1'!$E$13</c:f>
              <c:strCache>
                <c:ptCount val="1"/>
                <c:pt idx="0">
                  <c:v>18–64 years</c:v>
                </c:pt>
              </c:strCache>
            </c:strRef>
          </c:tx>
          <c:spPr>
            <a:solidFill>
              <a:srgbClr val="B2D673"/>
            </a:solidFill>
            <a:ln>
              <a:solidFill>
                <a:srgbClr val="B2D673"/>
              </a:solidFill>
            </a:ln>
          </c:spPr>
          <c:invertIfNegative val="0"/>
          <c:errBars>
            <c:errBarType val="both"/>
            <c:errValType val="cust"/>
            <c:noEndCap val="0"/>
            <c:plus>
              <c:numRef>
                <c:f>'Figure 4.7.1'!$E$23:$E$28</c:f>
                <c:numCache>
                  <c:formatCode>General</c:formatCode>
                  <c:ptCount val="6"/>
                  <c:pt idx="0">
                    <c:v>2.6</c:v>
                  </c:pt>
                  <c:pt idx="1">
                    <c:v>2.4</c:v>
                  </c:pt>
                  <c:pt idx="2">
                    <c:v>2.4</c:v>
                  </c:pt>
                  <c:pt idx="3">
                    <c:v>2.2999999999999998</c:v>
                  </c:pt>
                  <c:pt idx="4">
                    <c:v>2</c:v>
                  </c:pt>
                  <c:pt idx="5">
                    <c:v>2.8</c:v>
                  </c:pt>
                </c:numCache>
              </c:numRef>
            </c:plus>
            <c:minus>
              <c:numRef>
                <c:f>'Figure 4.7.1'!$E$23:$E$28</c:f>
                <c:numCache>
                  <c:formatCode>General</c:formatCode>
                  <c:ptCount val="6"/>
                  <c:pt idx="0">
                    <c:v>2.6</c:v>
                  </c:pt>
                  <c:pt idx="1">
                    <c:v>2.4</c:v>
                  </c:pt>
                  <c:pt idx="2">
                    <c:v>2.4</c:v>
                  </c:pt>
                  <c:pt idx="3">
                    <c:v>2.2999999999999998</c:v>
                  </c:pt>
                  <c:pt idx="4">
                    <c:v>2</c:v>
                  </c:pt>
                  <c:pt idx="5">
                    <c:v>2.8</c:v>
                  </c:pt>
                </c:numCache>
              </c:numRef>
            </c:minus>
            <c:spPr>
              <a:ln>
                <a:solidFill>
                  <a:srgbClr val="78A22F"/>
                </a:solidFill>
              </a:ln>
            </c:spPr>
          </c:errBars>
          <c:cat>
            <c:strRef>
              <c:f>'Figure 4.7.1'!$B$15:$B$20</c:f>
              <c:strCache>
                <c:ptCount val="6"/>
                <c:pt idx="0">
                  <c:v>1994</c:v>
                </c:pt>
                <c:pt idx="1">
                  <c:v>2002</c:v>
                </c:pt>
                <c:pt idx="2">
                  <c:v>2004-05</c:v>
                </c:pt>
                <c:pt idx="3">
                  <c:v>2008</c:v>
                </c:pt>
                <c:pt idx="4">
                  <c:v>2012-13</c:v>
                </c:pt>
                <c:pt idx="5">
                  <c:v>2014-15</c:v>
                </c:pt>
              </c:strCache>
            </c:strRef>
          </c:cat>
          <c:val>
            <c:numRef>
              <c:f>'Figure 4.7.1'!$E$15:$E$20</c:f>
              <c:numCache>
                <c:formatCode>General</c:formatCode>
                <c:ptCount val="6"/>
                <c:pt idx="0">
                  <c:v>40.1</c:v>
                </c:pt>
                <c:pt idx="1">
                  <c:v>51.3</c:v>
                </c:pt>
                <c:pt idx="2">
                  <c:v>54.7</c:v>
                </c:pt>
                <c:pt idx="3">
                  <c:v>56.5</c:v>
                </c:pt>
                <c:pt idx="4">
                  <c:v>50.6</c:v>
                </c:pt>
                <c:pt idx="5">
                  <c:v>50.8</c:v>
                </c:pt>
              </c:numCache>
            </c:numRef>
          </c:val>
        </c:ser>
        <c:dLbls>
          <c:showLegendKey val="0"/>
          <c:showVal val="0"/>
          <c:showCatName val="0"/>
          <c:showSerName val="0"/>
          <c:showPercent val="0"/>
          <c:showBubbleSize val="0"/>
        </c:dLbls>
        <c:gapWidth val="150"/>
        <c:axId val="137859072"/>
        <c:axId val="137860608"/>
      </c:barChart>
      <c:catAx>
        <c:axId val="13785907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137860608"/>
        <c:crosses val="autoZero"/>
        <c:auto val="1"/>
        <c:lblAlgn val="ctr"/>
        <c:lblOffset val="100"/>
        <c:noMultiLvlLbl val="0"/>
      </c:catAx>
      <c:valAx>
        <c:axId val="137860608"/>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137859072"/>
        <c:crosses val="autoZero"/>
        <c:crossBetween val="between"/>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0.33468814814814812"/>
          <c:y val="0.91643784722222221"/>
          <c:w val="0.33062351851851851"/>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33423329149943"/>
          <c:y val="4.8807551509959607E-2"/>
          <c:w val="0.84774147861969962"/>
          <c:h val="0.79177133330212257"/>
        </c:manualLayout>
      </c:layout>
      <c:barChart>
        <c:barDir val="col"/>
        <c:grouping val="clustered"/>
        <c:varyColors val="0"/>
        <c:ser>
          <c:idx val="0"/>
          <c:order val="0"/>
          <c:tx>
            <c:strRef>
              <c:f>'fig 1'!$B$45:$B$46</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1'!$B$53:$B$57</c:f>
                <c:numCache>
                  <c:formatCode>General</c:formatCode>
                  <c:ptCount val="5"/>
                  <c:pt idx="0">
                    <c:v>17.399999999999999</c:v>
                  </c:pt>
                  <c:pt idx="1">
                    <c:v>21.8</c:v>
                  </c:pt>
                  <c:pt idx="2">
                    <c:v>34.700000000000003</c:v>
                  </c:pt>
                  <c:pt idx="3">
                    <c:v>22.5</c:v>
                  </c:pt>
                  <c:pt idx="4">
                    <c:v>29.7</c:v>
                  </c:pt>
                </c:numCache>
              </c:numRef>
            </c:plus>
            <c:minus>
              <c:numRef>
                <c:f>'fig 1'!$B$53:$B$57</c:f>
                <c:numCache>
                  <c:formatCode>General</c:formatCode>
                  <c:ptCount val="5"/>
                  <c:pt idx="0">
                    <c:v>17.399999999999999</c:v>
                  </c:pt>
                  <c:pt idx="1">
                    <c:v>21.8</c:v>
                  </c:pt>
                  <c:pt idx="2">
                    <c:v>34.700000000000003</c:v>
                  </c:pt>
                  <c:pt idx="3">
                    <c:v>22.5</c:v>
                  </c:pt>
                  <c:pt idx="4">
                    <c:v>29.7</c:v>
                  </c:pt>
                </c:numCache>
              </c:numRef>
            </c:minus>
            <c:spPr>
              <a:ln>
                <a:solidFill>
                  <a:srgbClr val="000000"/>
                </a:solidFill>
              </a:ln>
            </c:spPr>
          </c:errBars>
          <c:cat>
            <c:strRef>
              <c:f>'fig 1'!$A$47:$A$51</c:f>
              <c:strCache>
                <c:ptCount val="5"/>
                <c:pt idx="0">
                  <c:v>2002</c:v>
                </c:pt>
                <c:pt idx="1">
                  <c:v>2004-05</c:v>
                </c:pt>
                <c:pt idx="2">
                  <c:v>2008</c:v>
                </c:pt>
                <c:pt idx="3">
                  <c:v>2011-13</c:v>
                </c:pt>
                <c:pt idx="4">
                  <c:v>2014-15</c:v>
                </c:pt>
              </c:strCache>
            </c:strRef>
          </c:cat>
          <c:val>
            <c:numRef>
              <c:f>'fig 1'!$B$47:$B$51</c:f>
              <c:numCache>
                <c:formatCode>0</c:formatCode>
                <c:ptCount val="5"/>
                <c:pt idx="0">
                  <c:v>402</c:v>
                </c:pt>
                <c:pt idx="1">
                  <c:v>443</c:v>
                </c:pt>
                <c:pt idx="2" formatCode="General">
                  <c:v>514</c:v>
                </c:pt>
                <c:pt idx="3" formatCode="General">
                  <c:v>486</c:v>
                </c:pt>
                <c:pt idx="4" formatCode="General">
                  <c:v>542</c:v>
                </c:pt>
              </c:numCache>
            </c:numRef>
          </c:val>
        </c:ser>
        <c:ser>
          <c:idx val="1"/>
          <c:order val="1"/>
          <c:tx>
            <c:strRef>
              <c:f>'fig 1'!$C$45:$C$46</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 1'!$C$53:$C$57</c:f>
                <c:numCache>
                  <c:formatCode>General</c:formatCode>
                  <c:ptCount val="5"/>
                  <c:pt idx="0">
                    <c:v>14.7</c:v>
                  </c:pt>
                  <c:pt idx="1">
                    <c:v>15.7</c:v>
                  </c:pt>
                  <c:pt idx="2">
                    <c:v>19</c:v>
                  </c:pt>
                  <c:pt idx="3">
                    <c:v>17.100000000000001</c:v>
                  </c:pt>
                  <c:pt idx="4">
                    <c:v>58.9</c:v>
                  </c:pt>
                </c:numCache>
              </c:numRef>
            </c:plus>
            <c:minus>
              <c:numRef>
                <c:f>'fig 1'!$C$53:$C$57</c:f>
                <c:numCache>
                  <c:formatCode>General</c:formatCode>
                  <c:ptCount val="5"/>
                  <c:pt idx="0">
                    <c:v>14.7</c:v>
                  </c:pt>
                  <c:pt idx="1">
                    <c:v>15.7</c:v>
                  </c:pt>
                  <c:pt idx="2">
                    <c:v>19</c:v>
                  </c:pt>
                  <c:pt idx="3">
                    <c:v>17.100000000000001</c:v>
                  </c:pt>
                  <c:pt idx="4">
                    <c:v>58.9</c:v>
                  </c:pt>
                </c:numCache>
              </c:numRef>
            </c:minus>
            <c:spPr>
              <a:ln>
                <a:solidFill>
                  <a:srgbClr val="000000"/>
                </a:solidFill>
              </a:ln>
            </c:spPr>
          </c:errBars>
          <c:cat>
            <c:strRef>
              <c:f>'fig 1'!$A$47:$A$51</c:f>
              <c:strCache>
                <c:ptCount val="5"/>
                <c:pt idx="0">
                  <c:v>2002</c:v>
                </c:pt>
                <c:pt idx="1">
                  <c:v>2004-05</c:v>
                </c:pt>
                <c:pt idx="2">
                  <c:v>2008</c:v>
                </c:pt>
                <c:pt idx="3">
                  <c:v>2011-13</c:v>
                </c:pt>
                <c:pt idx="4">
                  <c:v>2014-15</c:v>
                </c:pt>
              </c:strCache>
            </c:strRef>
          </c:cat>
          <c:val>
            <c:numRef>
              <c:f>'fig 1'!$C$47:$C$51</c:f>
              <c:numCache>
                <c:formatCode>###\ ###\ ###;\-###\ ###\ ###;"–"</c:formatCode>
                <c:ptCount val="5"/>
                <c:pt idx="0">
                  <c:v>751</c:v>
                </c:pt>
                <c:pt idx="1">
                  <c:v>807</c:v>
                </c:pt>
                <c:pt idx="2">
                  <c:v>897</c:v>
                </c:pt>
                <c:pt idx="3" formatCode="#,##0">
                  <c:v>907</c:v>
                </c:pt>
                <c:pt idx="4" formatCode="General">
                  <c:v>852</c:v>
                </c:pt>
              </c:numCache>
            </c:numRef>
          </c:val>
        </c:ser>
        <c:dLbls>
          <c:showLegendKey val="0"/>
          <c:showVal val="0"/>
          <c:showCatName val="0"/>
          <c:showSerName val="0"/>
          <c:showPercent val="0"/>
          <c:showBubbleSize val="0"/>
        </c:dLbls>
        <c:gapWidth val="150"/>
        <c:axId val="102768640"/>
        <c:axId val="102770176"/>
      </c:barChart>
      <c:catAx>
        <c:axId val="102768640"/>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102770176"/>
        <c:crosses val="autoZero"/>
        <c:auto val="1"/>
        <c:lblAlgn val="ctr"/>
        <c:lblOffset val="100"/>
        <c:noMultiLvlLbl val="0"/>
      </c:catAx>
      <c:valAx>
        <c:axId val="102770176"/>
        <c:scaling>
          <c:orientation val="minMax"/>
          <c:max val="1000"/>
        </c:scaling>
        <c:delete val="0"/>
        <c:axPos val="l"/>
        <c:title>
          <c:tx>
            <c:rich>
              <a:bodyPr rot="-5400000" vert="horz"/>
              <a:lstStyle/>
              <a:p>
                <a:pPr>
                  <a:defRPr sz="900">
                    <a:latin typeface="arial"/>
                    <a:ea typeface="arial"/>
                    <a:cs typeface="arial"/>
                  </a:defRPr>
                </a:pPr>
                <a:r>
                  <a:rPr lang="en-AU"/>
                  <a:t>$/week</a:t>
                </a:r>
              </a:p>
            </c:rich>
          </c:tx>
          <c:overlay val="0"/>
        </c:title>
        <c:numFmt formatCode="0"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102768640"/>
        <c:crosses val="autoZero"/>
        <c:crossBetween val="between"/>
        <c:majorUnit val="200"/>
      </c:valAx>
      <c:spPr>
        <a:noFill/>
        <a:ln w="25400">
          <a:noFill/>
        </a:ln>
      </c:spPr>
    </c:plotArea>
    <c:legend>
      <c:legendPos val="b"/>
      <c:layout>
        <c:manualLayout>
          <c:xMode val="edge"/>
          <c:yMode val="edge"/>
          <c:x val="0.12042401389967099"/>
          <c:y val="0.92479416100384715"/>
          <c:w val="0.8154896306975713"/>
          <c:h val="7.076870528170276E-2"/>
        </c:manualLayout>
      </c:layout>
      <c:overlay val="0"/>
      <c:spPr>
        <a:noFill/>
        <a:ln w="25400">
          <a:noFill/>
        </a:ln>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16274256678351E-2"/>
          <c:y val="4.8506944444444443E-2"/>
          <c:w val="0.88691713719428145"/>
          <c:h val="0.78423437500000004"/>
        </c:manualLayout>
      </c:layout>
      <c:lineChart>
        <c:grouping val="standard"/>
        <c:varyColors val="0"/>
        <c:ser>
          <c:idx val="0"/>
          <c:order val="0"/>
          <c:tx>
            <c:strRef>
              <c:f>'7A.4.2'!$R$2</c:f>
              <c:strCache>
                <c:ptCount val="1"/>
                <c:pt idx="0">
                  <c:v>Aboriginal and Torres Strait Islander</c:v>
                </c:pt>
              </c:strCache>
            </c:strRef>
          </c:tx>
          <c:spPr>
            <a:ln>
              <a:solidFill>
                <a:srgbClr val="BD4636"/>
              </a:solidFill>
            </a:ln>
          </c:spPr>
          <c:marker>
            <c:symbol val="none"/>
          </c:marker>
          <c:cat>
            <c:strRef>
              <c:f>'7A.4.2'!$Q$3:$Q$7</c:f>
              <c:strCache>
                <c:ptCount val="5"/>
                <c:pt idx="0">
                  <c:v>2002</c:v>
                </c:pt>
                <c:pt idx="1">
                  <c:v>2004-05</c:v>
                </c:pt>
                <c:pt idx="2">
                  <c:v>2008</c:v>
                </c:pt>
                <c:pt idx="3">
                  <c:v>2011-13</c:v>
                </c:pt>
                <c:pt idx="4">
                  <c:v>2014-15</c:v>
                </c:pt>
              </c:strCache>
            </c:strRef>
          </c:cat>
          <c:val>
            <c:numRef>
              <c:f>'7A.4.2'!$R$3:$R$7</c:f>
              <c:numCache>
                <c:formatCode>0.0</c:formatCode>
                <c:ptCount val="5"/>
                <c:pt idx="0">
                  <c:v>32.4</c:v>
                </c:pt>
                <c:pt idx="1">
                  <c:v>39.4</c:v>
                </c:pt>
                <c:pt idx="2">
                  <c:v>38.299999999999997</c:v>
                </c:pt>
                <c:pt idx="3">
                  <c:v>40.299999999999997</c:v>
                </c:pt>
                <c:pt idx="4" formatCode="General">
                  <c:v>42.4</c:v>
                </c:pt>
              </c:numCache>
            </c:numRef>
          </c:val>
          <c:smooth val="0"/>
        </c:ser>
        <c:ser>
          <c:idx val="1"/>
          <c:order val="1"/>
          <c:tx>
            <c:strRef>
              <c:f>'7A.4.2'!$S$2</c:f>
              <c:strCache>
                <c:ptCount val="1"/>
                <c:pt idx="0">
                  <c:v>Non-Indigenous</c:v>
                </c:pt>
              </c:strCache>
            </c:strRef>
          </c:tx>
          <c:spPr>
            <a:ln>
              <a:solidFill>
                <a:srgbClr val="7297A9"/>
              </a:solidFill>
              <a:prstDash val="solid"/>
            </a:ln>
            <a:effectLst/>
          </c:spPr>
          <c:marker>
            <c:symbol val="none"/>
          </c:marker>
          <c:cat>
            <c:strRef>
              <c:f>'7A.4.2'!$Q$3:$Q$7</c:f>
              <c:strCache>
                <c:ptCount val="5"/>
                <c:pt idx="0">
                  <c:v>2002</c:v>
                </c:pt>
                <c:pt idx="1">
                  <c:v>2004-05</c:v>
                </c:pt>
                <c:pt idx="2">
                  <c:v>2008</c:v>
                </c:pt>
                <c:pt idx="3">
                  <c:v>2011-13</c:v>
                </c:pt>
                <c:pt idx="4">
                  <c:v>2014-15</c:v>
                </c:pt>
              </c:strCache>
            </c:strRef>
          </c:cat>
          <c:val>
            <c:numRef>
              <c:f>'7A.4.2'!$S$3:$S$7</c:f>
              <c:numCache>
                <c:formatCode>0.0</c:formatCode>
                <c:ptCount val="5"/>
                <c:pt idx="0">
                  <c:v>75.2</c:v>
                </c:pt>
                <c:pt idx="1">
                  <c:v>75.5</c:v>
                </c:pt>
                <c:pt idx="2">
                  <c:v>77.3</c:v>
                </c:pt>
                <c:pt idx="3">
                  <c:v>75.5</c:v>
                </c:pt>
                <c:pt idx="4" formatCode="General">
                  <c:v>73.8</c:v>
                </c:pt>
              </c:numCache>
            </c:numRef>
          </c:val>
          <c:smooth val="0"/>
        </c:ser>
        <c:dLbls>
          <c:showLegendKey val="0"/>
          <c:showVal val="0"/>
          <c:showCatName val="0"/>
          <c:showSerName val="0"/>
          <c:showPercent val="0"/>
          <c:showBubbleSize val="0"/>
        </c:dLbls>
        <c:marker val="1"/>
        <c:smooth val="0"/>
        <c:axId val="139337728"/>
        <c:axId val="139339264"/>
      </c:lineChart>
      <c:catAx>
        <c:axId val="13933772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139339264"/>
        <c:crosses val="autoZero"/>
        <c:auto val="1"/>
        <c:lblAlgn val="ctr"/>
        <c:lblOffset val="100"/>
        <c:noMultiLvlLbl val="0"/>
      </c:catAx>
      <c:valAx>
        <c:axId val="139339264"/>
        <c:scaling>
          <c:orientation val="minMax"/>
          <c:max val="1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4.7037037037037039E-3"/>
              <c:y val="0.41500590277777777"/>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139337728"/>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7.3666631933334142E-2"/>
          <c:y val="0.92966711072378749"/>
          <c:w val="0.85769870370370371"/>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7037037037037"/>
          <c:y val="5.1097569444444442E-2"/>
          <c:w val="0.80200740740740739"/>
          <c:h val="0.70995069444444447"/>
        </c:manualLayout>
      </c:layout>
      <c:lineChart>
        <c:grouping val="standard"/>
        <c:varyColors val="0"/>
        <c:ser>
          <c:idx val="0"/>
          <c:order val="0"/>
          <c:tx>
            <c:strRef>
              <c:f>'8_3_2'!$B$4</c:f>
              <c:strCache>
                <c:ptCount val="1"/>
                <c:pt idx="0">
                  <c:v>Aboriginal and Torres Strait Islander</c:v>
                </c:pt>
              </c:strCache>
            </c:strRef>
          </c:tx>
          <c:spPr>
            <a:ln>
              <a:solidFill>
                <a:srgbClr val="BD4636"/>
              </a:solidFill>
            </a:ln>
          </c:spPr>
          <c:marker>
            <c:symbol val="none"/>
          </c:marker>
          <c:cat>
            <c:numRef>
              <c:f>'8_3_2'!$C$3:$S$3</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'8_3_2'!$C$4:$S$4</c:f>
              <c:numCache>
                <c:formatCode>0.0</c:formatCode>
                <c:ptCount val="17"/>
                <c:pt idx="0">
                  <c:v>497.1</c:v>
                </c:pt>
                <c:pt idx="1">
                  <c:v>437.2</c:v>
                </c:pt>
                <c:pt idx="2">
                  <c:v>486.5</c:v>
                </c:pt>
                <c:pt idx="3">
                  <c:v>447.1</c:v>
                </c:pt>
                <c:pt idx="4">
                  <c:v>444.4</c:v>
                </c:pt>
                <c:pt idx="5">
                  <c:v>407.3</c:v>
                </c:pt>
                <c:pt idx="6">
                  <c:v>398.9</c:v>
                </c:pt>
                <c:pt idx="7">
                  <c:v>358.2</c:v>
                </c:pt>
                <c:pt idx="8">
                  <c:v>391.8</c:v>
                </c:pt>
                <c:pt idx="9">
                  <c:v>389.8</c:v>
                </c:pt>
                <c:pt idx="10">
                  <c:v>357</c:v>
                </c:pt>
                <c:pt idx="11">
                  <c:v>359.6</c:v>
                </c:pt>
                <c:pt idx="12">
                  <c:v>349.4</c:v>
                </c:pt>
                <c:pt idx="13">
                  <c:v>338.1</c:v>
                </c:pt>
                <c:pt idx="14">
                  <c:v>347.8</c:v>
                </c:pt>
                <c:pt idx="15">
                  <c:v>347.9</c:v>
                </c:pt>
                <c:pt idx="16">
                  <c:v>345.3</c:v>
                </c:pt>
              </c:numCache>
            </c:numRef>
          </c:val>
          <c:smooth val="0"/>
        </c:ser>
        <c:ser>
          <c:idx val="1"/>
          <c:order val="1"/>
          <c:tx>
            <c:strRef>
              <c:f>'8_3_2'!$B$5</c:f>
              <c:strCache>
                <c:ptCount val="1"/>
                <c:pt idx="0">
                  <c:v>Non-Indigenous</c:v>
                </c:pt>
              </c:strCache>
            </c:strRef>
          </c:tx>
          <c:spPr>
            <a:ln>
              <a:solidFill>
                <a:srgbClr val="7297A9"/>
              </a:solidFill>
              <a:prstDash val="solid"/>
            </a:ln>
            <a:effectLst/>
          </c:spPr>
          <c:marker>
            <c:symbol val="none"/>
          </c:marker>
          <c:cat>
            <c:numRef>
              <c:f>'8_3_2'!$C$3:$S$3</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'8_3_2'!$C$5:$S$5</c:f>
              <c:numCache>
                <c:formatCode>#,##0.0</c:formatCode>
                <c:ptCount val="17"/>
                <c:pt idx="0">
                  <c:v>177.9</c:v>
                </c:pt>
                <c:pt idx="1">
                  <c:v>165.3</c:v>
                </c:pt>
                <c:pt idx="2">
                  <c:v>161.9</c:v>
                </c:pt>
                <c:pt idx="3">
                  <c:v>154.69999999999999</c:v>
                </c:pt>
                <c:pt idx="4">
                  <c:v>147.69999999999999</c:v>
                </c:pt>
                <c:pt idx="5">
                  <c:v>141.1</c:v>
                </c:pt>
                <c:pt idx="6" formatCode="General">
                  <c:v>135.69999999999999</c:v>
                </c:pt>
                <c:pt idx="7" formatCode="General">
                  <c:v>127.4</c:v>
                </c:pt>
                <c:pt idx="8">
                  <c:v>124.1</c:v>
                </c:pt>
                <c:pt idx="9">
                  <c:v>122.5</c:v>
                </c:pt>
                <c:pt idx="10">
                  <c:v>120.7</c:v>
                </c:pt>
                <c:pt idx="11">
                  <c:v>115.8</c:v>
                </c:pt>
                <c:pt idx="12">
                  <c:v>111.2</c:v>
                </c:pt>
                <c:pt idx="13">
                  <c:v>110.9</c:v>
                </c:pt>
                <c:pt idx="14">
                  <c:v>105.6</c:v>
                </c:pt>
                <c:pt idx="15">
                  <c:v>104.2</c:v>
                </c:pt>
                <c:pt idx="16">
                  <c:v>102.6</c:v>
                </c:pt>
              </c:numCache>
            </c:numRef>
          </c:val>
          <c:smooth val="0"/>
        </c:ser>
        <c:dLbls>
          <c:showLegendKey val="0"/>
          <c:showVal val="0"/>
          <c:showCatName val="0"/>
          <c:showSerName val="0"/>
          <c:showPercent val="0"/>
          <c:showBubbleSize val="0"/>
        </c:dLbls>
        <c:marker val="1"/>
        <c:smooth val="0"/>
        <c:axId val="139353472"/>
        <c:axId val="139371648"/>
      </c:lineChart>
      <c:catAx>
        <c:axId val="139353472"/>
        <c:scaling>
          <c:orientation val="minMax"/>
        </c:scaling>
        <c:delete val="0"/>
        <c:axPos val="b"/>
        <c:numFmt formatCode="General" sourceLinked="1"/>
        <c:majorTickMark val="none"/>
        <c:minorTickMark val="none"/>
        <c:tickLblPos val="nextTo"/>
        <c:spPr>
          <a:ln>
            <a:solidFill>
              <a:srgbClr val="BFBFBF"/>
            </a:solidFill>
          </a:ln>
        </c:spPr>
        <c:txPr>
          <a:bodyPr rot="-3180000"/>
          <a:lstStyle/>
          <a:p>
            <a:pPr>
              <a:defRPr sz="900" b="0" i="0">
                <a:latin typeface="Arial"/>
                <a:ea typeface="Arial"/>
                <a:cs typeface="Arial"/>
              </a:defRPr>
            </a:pPr>
            <a:endParaRPr lang="en-US"/>
          </a:p>
        </c:txPr>
        <c:crossAx val="139371648"/>
        <c:crosses val="autoZero"/>
        <c:auto val="1"/>
        <c:lblAlgn val="ctr"/>
        <c:lblOffset val="100"/>
        <c:noMultiLvlLbl val="0"/>
      </c:catAx>
      <c:valAx>
        <c:axId val="139371648"/>
        <c:scaling>
          <c:orientation val="minMax"/>
          <c:max val="6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100 000 population</a:t>
                </a:r>
              </a:p>
              <a:p>
                <a:pPr>
                  <a:defRPr sz="900">
                    <a:latin typeface="arial"/>
                    <a:ea typeface="arial"/>
                    <a:cs typeface="arial"/>
                  </a:defRPr>
                </a:pPr>
                <a:endParaRPr lang="en-AU"/>
              </a:p>
            </c:rich>
          </c:tx>
          <c:layout>
            <c:manualLayout>
              <c:xMode val="edge"/>
              <c:yMode val="edge"/>
              <c:x val="2.0510555555555556E-2"/>
              <c:y val="0.22188958333333333"/>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139353472"/>
        <c:crosses val="autoZero"/>
        <c:crossBetween val="between"/>
        <c:majorUnit val="100"/>
        <c:min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0.15584817841498591"/>
          <c:y val="0.92966689527645874"/>
          <c:w val="0.69795857136110373"/>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9.1.1'!$A$13</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'Figure 9.1.1'!$B$16:$F$16</c:f>
                <c:numCache>
                  <c:formatCode>General</c:formatCode>
                  <c:ptCount val="5"/>
                  <c:pt idx="0">
                    <c:v>3.2045999999999997</c:v>
                  </c:pt>
                  <c:pt idx="1">
                    <c:v>3.0525040000000003</c:v>
                  </c:pt>
                  <c:pt idx="2">
                    <c:v>2.5127199999999998</c:v>
                  </c:pt>
                  <c:pt idx="3">
                    <c:v>2.5</c:v>
                  </c:pt>
                  <c:pt idx="4">
                    <c:v>3</c:v>
                  </c:pt>
                </c:numCache>
              </c:numRef>
            </c:plus>
            <c:minus>
              <c:numRef>
                <c:f>'Figure 9.1.1'!$B$16:$F$16</c:f>
                <c:numCache>
                  <c:formatCode>General</c:formatCode>
                  <c:ptCount val="5"/>
                  <c:pt idx="0">
                    <c:v>3.2045999999999997</c:v>
                  </c:pt>
                  <c:pt idx="1">
                    <c:v>3.0525040000000003</c:v>
                  </c:pt>
                  <c:pt idx="2">
                    <c:v>2.5127199999999998</c:v>
                  </c:pt>
                  <c:pt idx="3">
                    <c:v>2.5</c:v>
                  </c:pt>
                  <c:pt idx="4">
                    <c:v>3</c:v>
                  </c:pt>
                </c:numCache>
              </c:numRef>
            </c:minus>
            <c:spPr>
              <a:ln>
                <a:solidFill>
                  <a:srgbClr val="000000"/>
                </a:solidFill>
              </a:ln>
            </c:spPr>
          </c:errBars>
          <c:cat>
            <c:strRef>
              <c:f>'Figure 9.1.1'!$B$12:$F$12</c:f>
              <c:strCache>
                <c:ptCount val="5"/>
                <c:pt idx="0">
                  <c:v>2002</c:v>
                </c:pt>
                <c:pt idx="1">
                  <c:v>2004-05</c:v>
                </c:pt>
                <c:pt idx="2">
                  <c:v>2008</c:v>
                </c:pt>
                <c:pt idx="3">
                  <c:v>2011-13</c:v>
                </c:pt>
                <c:pt idx="4">
                  <c:v>2014-15</c:v>
                </c:pt>
              </c:strCache>
            </c:strRef>
          </c:cat>
          <c:val>
            <c:numRef>
              <c:f>'Figure 9.1.1'!$B$13:$F$13</c:f>
              <c:numCache>
                <c:formatCode>0.0</c:formatCode>
                <c:ptCount val="5"/>
                <c:pt idx="0">
                  <c:v>54.5</c:v>
                </c:pt>
                <c:pt idx="1">
                  <c:v>59.9</c:v>
                </c:pt>
                <c:pt idx="2">
                  <c:v>64.099999999999994</c:v>
                </c:pt>
                <c:pt idx="3">
                  <c:v>65</c:v>
                </c:pt>
                <c:pt idx="4">
                  <c:v>63.1</c:v>
                </c:pt>
              </c:numCache>
            </c:numRef>
          </c:val>
        </c:ser>
        <c:ser>
          <c:idx val="1"/>
          <c:order val="1"/>
          <c:tx>
            <c:strRef>
              <c:f>'Figure 9.1.1'!$A$14</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'Figure 9.1.1'!$B$17:$F$17</c:f>
                <c:numCache>
                  <c:formatCode>General</c:formatCode>
                  <c:ptCount val="5"/>
                  <c:pt idx="0">
                    <c:v>0</c:v>
                  </c:pt>
                  <c:pt idx="1">
                    <c:v>0.89689600000000014</c:v>
                  </c:pt>
                  <c:pt idx="2">
                    <c:v>1.40924</c:v>
                  </c:pt>
                  <c:pt idx="3">
                    <c:v>1.1000000000000001</c:v>
                  </c:pt>
                  <c:pt idx="4">
                    <c:v>1.8</c:v>
                  </c:pt>
                </c:numCache>
              </c:numRef>
            </c:plus>
            <c:minus>
              <c:numRef>
                <c:f>'Figure 9.1.1'!$B$17:$F$17</c:f>
                <c:numCache>
                  <c:formatCode>General</c:formatCode>
                  <c:ptCount val="5"/>
                  <c:pt idx="0">
                    <c:v>0</c:v>
                  </c:pt>
                  <c:pt idx="1">
                    <c:v>0.89689600000000014</c:v>
                  </c:pt>
                  <c:pt idx="2">
                    <c:v>1.40924</c:v>
                  </c:pt>
                  <c:pt idx="3">
                    <c:v>1.1000000000000001</c:v>
                  </c:pt>
                  <c:pt idx="4">
                    <c:v>1.8</c:v>
                  </c:pt>
                </c:numCache>
              </c:numRef>
            </c:minus>
            <c:spPr>
              <a:ln>
                <a:solidFill>
                  <a:srgbClr val="000000"/>
                </a:solidFill>
              </a:ln>
            </c:spPr>
          </c:errBars>
          <c:cat>
            <c:strRef>
              <c:f>'Figure 9.1.1'!$B$12:$F$12</c:f>
              <c:strCache>
                <c:ptCount val="5"/>
                <c:pt idx="0">
                  <c:v>2002</c:v>
                </c:pt>
                <c:pt idx="1">
                  <c:v>2004-05</c:v>
                </c:pt>
                <c:pt idx="2">
                  <c:v>2008</c:v>
                </c:pt>
                <c:pt idx="3">
                  <c:v>2011-13</c:v>
                </c:pt>
                <c:pt idx="4">
                  <c:v>2014-15</c:v>
                </c:pt>
              </c:strCache>
            </c:strRef>
          </c:cat>
          <c:val>
            <c:numRef>
              <c:f>'Figure 9.1.1'!$B$14:$F$14</c:f>
              <c:numCache>
                <c:formatCode>###\ ###\ ##0.0;\-###\ ###\ ##0.0;"–"</c:formatCode>
                <c:ptCount val="5"/>
                <c:pt idx="0" formatCode="#,##0.0">
                  <c:v>0</c:v>
                </c:pt>
                <c:pt idx="1">
                  <c:v>71.400000000000006</c:v>
                </c:pt>
                <c:pt idx="2" formatCode="#,##0.0">
                  <c:v>71.900000000000006</c:v>
                </c:pt>
                <c:pt idx="3" formatCode="0.0">
                  <c:v>69.599999999999994</c:v>
                </c:pt>
                <c:pt idx="4" formatCode="0.0">
                  <c:v>69.5</c:v>
                </c:pt>
              </c:numCache>
            </c:numRef>
          </c:val>
        </c:ser>
        <c:dLbls>
          <c:showLegendKey val="0"/>
          <c:showVal val="0"/>
          <c:showCatName val="0"/>
          <c:showSerName val="0"/>
          <c:showPercent val="0"/>
          <c:showBubbleSize val="0"/>
        </c:dLbls>
        <c:gapWidth val="150"/>
        <c:axId val="139483776"/>
        <c:axId val="139489664"/>
      </c:barChart>
      <c:catAx>
        <c:axId val="139483776"/>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139489664"/>
        <c:crosses val="autoZero"/>
        <c:auto val="1"/>
        <c:lblAlgn val="ctr"/>
        <c:lblOffset val="100"/>
        <c:noMultiLvlLbl val="0"/>
      </c:catAx>
      <c:valAx>
        <c:axId val="139489664"/>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139483776"/>
        <c:crosses val="autoZero"/>
        <c:crossBetween val="between"/>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A8C94-0E86-4D95-B891-806127E01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119</TotalTime>
  <Pages>59</Pages>
  <Words>13938</Words>
  <Characters>78579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Overview - Overcoming Indigenous Disadvantag - Key Indicators 2016 Report</vt:lpstr>
    </vt:vector>
  </TitlesOfParts>
  <Company>Productivity Commission</Company>
  <LinksUpToDate>false</LinksUpToDate>
  <CharactersWithSpaces>92333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Overcoming Indigenous Disadvantag - Key Indicators 2016 Report</dc:title>
  <dc:creator>Steering Committee for the Review of Government Service Provision</dc:creator>
  <cp:lastModifiedBy>Frech, Tanya</cp:lastModifiedBy>
  <cp:revision>20</cp:revision>
  <cp:lastPrinted>2016-09-22T04:41:00Z</cp:lastPrinted>
  <dcterms:created xsi:type="dcterms:W3CDTF">2016-10-25T10:01:00Z</dcterms:created>
  <dcterms:modified xsi:type="dcterms:W3CDTF">2016-11-03T02:40:00Z</dcterms:modified>
</cp:coreProperties>
</file>