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8A01D" w14:textId="77777777" w:rsidR="00A33DFF" w:rsidRDefault="00D04B31" w:rsidP="00D04B31">
      <w:pPr>
        <w:pStyle w:val="Heading1"/>
      </w:pPr>
      <w:bookmarkStart w:id="0" w:name="ChapterNumber"/>
      <w:bookmarkStart w:id="1" w:name="_Toc396142931"/>
      <w:bookmarkStart w:id="2" w:name="_Toc396143029"/>
      <w:bookmarkStart w:id="3" w:name="_Toc435724829"/>
      <w:bookmarkStart w:id="4" w:name="_Toc459884654"/>
      <w:r>
        <w:t>18</w:t>
      </w:r>
      <w:bookmarkEnd w:id="0"/>
      <w:r>
        <w:tab/>
      </w:r>
      <w:bookmarkStart w:id="5" w:name="ChapterTitle"/>
      <w:r>
        <w:t>Housin</w:t>
      </w:r>
      <w:bookmarkEnd w:id="5"/>
      <w:r w:rsidR="00E61FAC">
        <w:t>g</w:t>
      </w:r>
      <w:bookmarkEnd w:id="1"/>
      <w:bookmarkEnd w:id="2"/>
      <w:bookmarkEnd w:id="3"/>
      <w:bookmarkEnd w:id="4"/>
    </w:p>
    <w:p w14:paraId="71B375AA" w14:textId="77777777" w:rsidR="00635A69" w:rsidRPr="00635A69" w:rsidRDefault="00635A69" w:rsidP="00635A69">
      <w:pPr>
        <w:pStyle w:val="BodyText"/>
      </w:pPr>
    </w:p>
    <w:sdt>
      <w:sdtPr>
        <w:rPr>
          <w:rFonts w:ascii="Times New Roman" w:hAnsi="Times New Roman"/>
          <w:b w:val="0"/>
          <w:kern w:val="28"/>
          <w:sz w:val="52"/>
          <w:szCs w:val="20"/>
          <w:lang w:eastAsia="en-AU"/>
        </w:rPr>
        <w:id w:val="71549268"/>
        <w:docPartObj>
          <w:docPartGallery w:val="Table of Contents"/>
          <w:docPartUnique/>
        </w:docPartObj>
      </w:sdtPr>
      <w:sdtEndPr>
        <w:rPr>
          <w:rFonts w:ascii="Arial" w:hAnsi="Arial"/>
          <w:kern w:val="0"/>
          <w:sz w:val="26"/>
          <w:szCs w:val="26"/>
          <w:lang w:eastAsia="en-US"/>
        </w:rPr>
      </w:sdtEndPr>
      <w:sdtContent>
        <w:p w14:paraId="0CB5E1CA" w14:textId="68B5A8E3" w:rsidR="003022A0" w:rsidRDefault="003022A0">
          <w:pPr>
            <w:pStyle w:val="TOC1"/>
            <w:rPr>
              <w:rFonts w:asciiTheme="minorHAnsi" w:eastAsiaTheme="minorEastAsia" w:hAnsiTheme="minorHAnsi"/>
              <w:b w:val="0"/>
              <w:noProof/>
              <w:sz w:val="22"/>
              <w:szCs w:val="22"/>
              <w:lang w:eastAsia="en-AU"/>
            </w:rPr>
          </w:pPr>
          <w:r w:rsidRPr="00635A69">
            <w:rPr>
              <w:b w:val="0"/>
              <w:noProof/>
            </w:rPr>
            <w:t>CONTENTS</w:t>
          </w:r>
        </w:p>
        <w:p w14:paraId="38A3AC91" w14:textId="2E77C0AF" w:rsidR="003022A0" w:rsidRDefault="003022A0">
          <w:pPr>
            <w:pStyle w:val="TOC2"/>
            <w:tabs>
              <w:tab w:val="left" w:pos="1320"/>
            </w:tabs>
            <w:rPr>
              <w:rFonts w:asciiTheme="minorHAnsi" w:eastAsiaTheme="minorEastAsia" w:hAnsiTheme="minorHAnsi"/>
              <w:noProof/>
              <w:sz w:val="22"/>
              <w:szCs w:val="22"/>
              <w:lang w:eastAsia="en-AU"/>
            </w:rPr>
          </w:pPr>
          <w:r>
            <w:rPr>
              <w:noProof/>
            </w:rPr>
            <w:t>18.1</w:t>
          </w:r>
          <w:r>
            <w:rPr>
              <w:rFonts w:asciiTheme="minorHAnsi" w:eastAsiaTheme="minorEastAsia" w:hAnsiTheme="minorHAnsi"/>
              <w:noProof/>
              <w:sz w:val="22"/>
              <w:szCs w:val="22"/>
              <w:lang w:eastAsia="en-AU"/>
            </w:rPr>
            <w:tab/>
          </w:r>
          <w:r>
            <w:rPr>
              <w:noProof/>
            </w:rPr>
            <w:t>Profile of social housing assistance</w:t>
          </w:r>
          <w:r>
            <w:rPr>
              <w:noProof/>
            </w:rPr>
            <w:tab/>
          </w:r>
          <w:r w:rsidR="003571EA">
            <w:rPr>
              <w:noProof/>
            </w:rPr>
            <w:t>18.</w:t>
          </w:r>
          <w:r w:rsidR="007D5A6B">
            <w:rPr>
              <w:noProof/>
            </w:rPr>
            <w:t>1</w:t>
          </w:r>
        </w:p>
        <w:p w14:paraId="7A201AA0" w14:textId="2FFA6479" w:rsidR="003022A0" w:rsidRDefault="003022A0">
          <w:pPr>
            <w:pStyle w:val="TOC2"/>
            <w:tabs>
              <w:tab w:val="left" w:pos="1320"/>
            </w:tabs>
            <w:rPr>
              <w:rFonts w:asciiTheme="minorHAnsi" w:eastAsiaTheme="minorEastAsia" w:hAnsiTheme="minorHAnsi"/>
              <w:noProof/>
              <w:sz w:val="22"/>
              <w:szCs w:val="22"/>
              <w:lang w:eastAsia="en-AU"/>
            </w:rPr>
          </w:pPr>
          <w:r>
            <w:rPr>
              <w:noProof/>
            </w:rPr>
            <w:t>18.2</w:t>
          </w:r>
          <w:r>
            <w:rPr>
              <w:rFonts w:asciiTheme="minorHAnsi" w:eastAsiaTheme="minorEastAsia" w:hAnsiTheme="minorHAnsi"/>
              <w:noProof/>
              <w:sz w:val="22"/>
              <w:szCs w:val="22"/>
              <w:lang w:eastAsia="en-AU"/>
            </w:rPr>
            <w:tab/>
          </w:r>
          <w:r>
            <w:rPr>
              <w:noProof/>
            </w:rPr>
            <w:t>Framework of performance indicators</w:t>
          </w:r>
          <w:r>
            <w:rPr>
              <w:noProof/>
            </w:rPr>
            <w:tab/>
          </w:r>
          <w:r w:rsidR="003571EA">
            <w:rPr>
              <w:noProof/>
            </w:rPr>
            <w:t>18.</w:t>
          </w:r>
          <w:r w:rsidR="007D5A6B">
            <w:rPr>
              <w:noProof/>
            </w:rPr>
            <w:t>5</w:t>
          </w:r>
        </w:p>
        <w:p w14:paraId="3CAA782B" w14:textId="39759043" w:rsidR="003022A0" w:rsidRDefault="003022A0">
          <w:pPr>
            <w:pStyle w:val="TOC2"/>
            <w:tabs>
              <w:tab w:val="left" w:pos="1320"/>
            </w:tabs>
            <w:rPr>
              <w:rFonts w:asciiTheme="minorHAnsi" w:eastAsiaTheme="minorEastAsia" w:hAnsiTheme="minorHAnsi"/>
              <w:noProof/>
              <w:sz w:val="22"/>
              <w:szCs w:val="22"/>
              <w:lang w:eastAsia="en-AU"/>
            </w:rPr>
          </w:pPr>
          <w:r>
            <w:rPr>
              <w:noProof/>
            </w:rPr>
            <w:t>18.3</w:t>
          </w:r>
          <w:r>
            <w:rPr>
              <w:rFonts w:asciiTheme="minorHAnsi" w:eastAsiaTheme="minorEastAsia" w:hAnsiTheme="minorHAnsi"/>
              <w:noProof/>
              <w:sz w:val="22"/>
              <w:szCs w:val="22"/>
              <w:lang w:eastAsia="en-AU"/>
            </w:rPr>
            <w:tab/>
          </w:r>
          <w:r>
            <w:rPr>
              <w:noProof/>
            </w:rPr>
            <w:t>Key performance indicator results</w:t>
          </w:r>
          <w:r>
            <w:rPr>
              <w:noProof/>
            </w:rPr>
            <w:tab/>
          </w:r>
          <w:r w:rsidR="003571EA">
            <w:rPr>
              <w:noProof/>
            </w:rPr>
            <w:t>18.</w:t>
          </w:r>
          <w:r w:rsidR="007D5A6B">
            <w:rPr>
              <w:noProof/>
            </w:rPr>
            <w:t>7</w:t>
          </w:r>
        </w:p>
        <w:p w14:paraId="72D0CFD3" w14:textId="29396A5B" w:rsidR="003022A0" w:rsidRDefault="003022A0">
          <w:pPr>
            <w:pStyle w:val="TOC2"/>
            <w:tabs>
              <w:tab w:val="left" w:pos="1320"/>
            </w:tabs>
            <w:rPr>
              <w:rFonts w:asciiTheme="minorHAnsi" w:eastAsiaTheme="minorEastAsia" w:hAnsiTheme="minorHAnsi"/>
              <w:noProof/>
              <w:sz w:val="22"/>
              <w:szCs w:val="22"/>
              <w:lang w:eastAsia="en-AU"/>
            </w:rPr>
          </w:pPr>
          <w:r>
            <w:rPr>
              <w:noProof/>
            </w:rPr>
            <w:t>18.4</w:t>
          </w:r>
          <w:r>
            <w:rPr>
              <w:rFonts w:asciiTheme="minorHAnsi" w:eastAsiaTheme="minorEastAsia" w:hAnsiTheme="minorHAnsi"/>
              <w:noProof/>
              <w:sz w:val="22"/>
              <w:szCs w:val="22"/>
              <w:lang w:eastAsia="en-AU"/>
            </w:rPr>
            <w:tab/>
          </w:r>
          <w:r>
            <w:rPr>
              <w:noProof/>
            </w:rPr>
            <w:t>Definitions of key terms</w:t>
          </w:r>
          <w:r>
            <w:rPr>
              <w:noProof/>
            </w:rPr>
            <w:tab/>
          </w:r>
          <w:r w:rsidR="003571EA">
            <w:rPr>
              <w:noProof/>
            </w:rPr>
            <w:t>18.</w:t>
          </w:r>
          <w:r w:rsidR="007D5A6B">
            <w:rPr>
              <w:noProof/>
            </w:rPr>
            <w:t>26</w:t>
          </w:r>
        </w:p>
        <w:p w14:paraId="4FC1D96C" w14:textId="4327CB79" w:rsidR="00635A69" w:rsidRDefault="003022A0" w:rsidP="00DA6812">
          <w:pPr>
            <w:pStyle w:val="TOC2"/>
            <w:tabs>
              <w:tab w:val="left" w:pos="1320"/>
            </w:tabs>
          </w:pPr>
          <w:r>
            <w:rPr>
              <w:noProof/>
            </w:rPr>
            <w:t>18.5</w:t>
          </w:r>
          <w:r>
            <w:rPr>
              <w:rFonts w:asciiTheme="minorHAnsi" w:eastAsiaTheme="minorEastAsia" w:hAnsiTheme="minorHAnsi"/>
              <w:noProof/>
              <w:sz w:val="22"/>
              <w:szCs w:val="22"/>
              <w:lang w:eastAsia="en-AU"/>
            </w:rPr>
            <w:tab/>
          </w:r>
          <w:r>
            <w:rPr>
              <w:noProof/>
            </w:rPr>
            <w:t>References</w:t>
          </w:r>
          <w:r>
            <w:rPr>
              <w:noProof/>
            </w:rPr>
            <w:tab/>
          </w:r>
          <w:r w:rsidR="003571EA">
            <w:rPr>
              <w:noProof/>
            </w:rPr>
            <w:t>18.</w:t>
          </w:r>
          <w:r w:rsidR="007D5A6B">
            <w:rPr>
              <w:noProof/>
            </w:rPr>
            <w:t>30</w:t>
          </w:r>
        </w:p>
      </w:sdtContent>
    </w:sdt>
    <w:p w14:paraId="5ABEE32B" w14:textId="77777777" w:rsidR="00524516" w:rsidRDefault="00524516">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524516" w14:paraId="5986115B" w14:textId="77777777" w:rsidTr="009916C8">
        <w:tc>
          <w:tcPr>
            <w:tcW w:w="8789" w:type="dxa"/>
            <w:tcBorders>
              <w:top w:val="single" w:sz="6" w:space="0" w:color="78A22F"/>
              <w:left w:val="nil"/>
              <w:bottom w:val="nil"/>
              <w:right w:val="nil"/>
            </w:tcBorders>
            <w:shd w:val="clear" w:color="auto" w:fill="F2F2F2" w:themeFill="background1" w:themeFillShade="F2"/>
          </w:tcPr>
          <w:p w14:paraId="681DC7C7" w14:textId="77777777" w:rsidR="00524516" w:rsidRDefault="00524516" w:rsidP="00524516">
            <w:pPr>
              <w:pStyle w:val="BoxTitle"/>
            </w:pPr>
            <w:r>
              <w:t>Attachment tables</w:t>
            </w:r>
          </w:p>
        </w:tc>
      </w:tr>
      <w:tr w:rsidR="00524516" w14:paraId="581A764D" w14:textId="77777777" w:rsidTr="009916C8">
        <w:trPr>
          <w:cantSplit/>
        </w:trPr>
        <w:tc>
          <w:tcPr>
            <w:tcW w:w="8789" w:type="dxa"/>
            <w:tcBorders>
              <w:top w:val="nil"/>
              <w:left w:val="nil"/>
              <w:bottom w:val="nil"/>
              <w:right w:val="nil"/>
            </w:tcBorders>
            <w:shd w:val="clear" w:color="auto" w:fill="F2F2F2" w:themeFill="background1" w:themeFillShade="F2"/>
          </w:tcPr>
          <w:p w14:paraId="0754B7C3" w14:textId="77777777" w:rsidR="00524516" w:rsidRDefault="00524516" w:rsidP="006D70BC">
            <w:pPr>
              <w:pStyle w:val="Box"/>
            </w:pPr>
            <w:r w:rsidRPr="00524516">
              <w:t xml:space="preserve">Attachment tables are identified in references </w:t>
            </w:r>
            <w:r w:rsidR="00BB5630">
              <w:t>throughout this chapter by a ‘</w:t>
            </w:r>
            <w:proofErr w:type="spellStart"/>
            <w:r w:rsidR="00BB5630">
              <w:t>18</w:t>
            </w:r>
            <w:r w:rsidRPr="00524516">
              <w:t>A</w:t>
            </w:r>
            <w:proofErr w:type="spellEnd"/>
            <w:r w:rsidRPr="00524516">
              <w:t>’ prefix (for example, table </w:t>
            </w:r>
            <w:proofErr w:type="spellStart"/>
            <w:r w:rsidR="00F91EE9">
              <w:rPr>
                <w:color w:val="000000" w:themeColor="text1"/>
              </w:rPr>
              <w:t>18A</w:t>
            </w:r>
            <w:r w:rsidR="004B2834">
              <w:t>.</w:t>
            </w:r>
            <w:r w:rsidRPr="00524516">
              <w:t>1</w:t>
            </w:r>
            <w:proofErr w:type="spellEnd"/>
            <w:r w:rsidRPr="00524516">
              <w:t>)</w:t>
            </w:r>
            <w:r w:rsidR="007559BA">
              <w:t xml:space="preserve"> and</w:t>
            </w:r>
            <w:r w:rsidR="005101E8">
              <w:t xml:space="preserve"> are available </w:t>
            </w:r>
            <w:r w:rsidR="000A5406">
              <w:t xml:space="preserve">from the website </w:t>
            </w:r>
            <w:r w:rsidR="00FE3FD5">
              <w:t xml:space="preserve">at </w:t>
            </w:r>
            <w:proofErr w:type="spellStart"/>
            <w:r w:rsidR="00FE3FD5">
              <w:t>www.pc.gov.au</w:t>
            </w:r>
            <w:proofErr w:type="spellEnd"/>
            <w:r w:rsidR="00FE3FD5">
              <w:t>/</w:t>
            </w:r>
            <w:proofErr w:type="spellStart"/>
            <w:r w:rsidR="00FE3FD5">
              <w:t>rogs</w:t>
            </w:r>
            <w:proofErr w:type="spellEnd"/>
            <w:r w:rsidR="00FE3FD5">
              <w:t>/201</w:t>
            </w:r>
            <w:r w:rsidR="006D70BC">
              <w:t>8</w:t>
            </w:r>
            <w:r w:rsidR="00FE3FD5">
              <w:t>.</w:t>
            </w:r>
          </w:p>
        </w:tc>
      </w:tr>
      <w:tr w:rsidR="00524516" w14:paraId="5248329A" w14:textId="77777777" w:rsidTr="009916C8">
        <w:trPr>
          <w:cantSplit/>
        </w:trPr>
        <w:tc>
          <w:tcPr>
            <w:tcW w:w="8789" w:type="dxa"/>
            <w:tcBorders>
              <w:top w:val="nil"/>
              <w:left w:val="nil"/>
              <w:bottom w:val="single" w:sz="6" w:space="0" w:color="78A22F"/>
              <w:right w:val="nil"/>
            </w:tcBorders>
            <w:shd w:val="clear" w:color="auto" w:fill="F2F2F2" w:themeFill="background1" w:themeFillShade="F2"/>
          </w:tcPr>
          <w:p w14:paraId="0A39463C" w14:textId="77777777" w:rsidR="00524516" w:rsidRDefault="00524516">
            <w:pPr>
              <w:pStyle w:val="Box"/>
              <w:spacing w:before="0" w:line="120" w:lineRule="exact"/>
            </w:pPr>
          </w:p>
        </w:tc>
      </w:tr>
      <w:tr w:rsidR="00524516" w:rsidRPr="000863A5" w14:paraId="05BC80A1" w14:textId="77777777" w:rsidTr="009916C8">
        <w:tc>
          <w:tcPr>
            <w:tcW w:w="8789" w:type="dxa"/>
            <w:tcBorders>
              <w:top w:val="single" w:sz="6" w:space="0" w:color="78A22F"/>
              <w:left w:val="nil"/>
              <w:bottom w:val="nil"/>
              <w:right w:val="nil"/>
            </w:tcBorders>
          </w:tcPr>
          <w:p w14:paraId="36CA30BD" w14:textId="77777777" w:rsidR="00524516" w:rsidRPr="00626D32" w:rsidRDefault="00524516" w:rsidP="004237A3">
            <w:pPr>
              <w:pStyle w:val="BoxSpaceBelow"/>
            </w:pPr>
          </w:p>
        </w:tc>
      </w:tr>
    </w:tbl>
    <w:p w14:paraId="31C4B217" w14:textId="2823A931" w:rsidR="00B9545D" w:rsidRDefault="009F2584" w:rsidP="00FE3FD5">
      <w:pPr>
        <w:pStyle w:val="BodyText"/>
      </w:pPr>
      <w:r>
        <w:t xml:space="preserve">This chapter </w:t>
      </w:r>
      <w:r w:rsidR="000F37DD">
        <w:t>reports</w:t>
      </w:r>
      <w:r>
        <w:t xml:space="preserve"> on</w:t>
      </w:r>
      <w:r w:rsidR="001B00D0" w:rsidRPr="00FD6DB5">
        <w:t xml:space="preserve"> the </w:t>
      </w:r>
      <w:r w:rsidR="001B00D0" w:rsidRPr="00FE3FD5">
        <w:t>performance</w:t>
      </w:r>
      <w:r w:rsidR="001B00D0" w:rsidRPr="00FD6DB5">
        <w:t xml:space="preserve"> of governments in providing social housing</w:t>
      </w:r>
      <w:r w:rsidR="00C92566">
        <w:t xml:space="preserve"> </w:t>
      </w:r>
      <w:r w:rsidR="00615DF5">
        <w:t>services</w:t>
      </w:r>
      <w:r w:rsidR="004C7713">
        <w:t>.</w:t>
      </w:r>
    </w:p>
    <w:p w14:paraId="1BA40E0D" w14:textId="77777777" w:rsidR="000F37DD" w:rsidRDefault="001E7CE2" w:rsidP="00FE3FD5">
      <w:pPr>
        <w:pStyle w:val="BodyText"/>
      </w:pPr>
      <w:r w:rsidRPr="001E7CE2">
        <w:t xml:space="preserve">Further information on the Report on Government Services including other reported service areas, the glossary and list of abbreviations is available at </w:t>
      </w:r>
      <w:proofErr w:type="spellStart"/>
      <w:r w:rsidRPr="001E7CE2">
        <w:t>www.pc.gov.au</w:t>
      </w:r>
      <w:proofErr w:type="spellEnd"/>
      <w:r w:rsidRPr="001E7CE2">
        <w:t>/</w:t>
      </w:r>
      <w:proofErr w:type="spellStart"/>
      <w:r w:rsidRPr="001E7CE2">
        <w:t>rogs</w:t>
      </w:r>
      <w:proofErr w:type="spellEnd"/>
      <w:r w:rsidRPr="001E7CE2">
        <w:t>/2018.</w:t>
      </w:r>
    </w:p>
    <w:p w14:paraId="7FBBBEAB" w14:textId="316C18BA" w:rsidR="008C1B8A" w:rsidRDefault="00040F38" w:rsidP="008C1B8A">
      <w:pPr>
        <w:pStyle w:val="Heading2"/>
      </w:pPr>
      <w:bookmarkStart w:id="6" w:name="_Toc314211347"/>
      <w:bookmarkStart w:id="7" w:name="_Toc396143030"/>
      <w:bookmarkStart w:id="8" w:name="_Toc459884655"/>
      <w:r>
        <w:t>18.</w:t>
      </w:r>
      <w:r w:rsidR="007D5A6B">
        <w:rPr>
          <w:noProof/>
        </w:rPr>
        <w:t>1</w:t>
      </w:r>
      <w:r>
        <w:tab/>
      </w:r>
      <w:r w:rsidR="008C1B8A">
        <w:t xml:space="preserve">Profile of </w:t>
      </w:r>
      <w:r w:rsidR="00CA54BD">
        <w:t xml:space="preserve">social </w:t>
      </w:r>
      <w:r w:rsidR="008C1B8A">
        <w:t>housing assistance</w:t>
      </w:r>
      <w:bookmarkEnd w:id="6"/>
      <w:bookmarkEnd w:id="7"/>
      <w:bookmarkEnd w:id="8"/>
    </w:p>
    <w:p w14:paraId="608E9DEE" w14:textId="77777777" w:rsidR="005760CA" w:rsidRDefault="008C1B8A" w:rsidP="008C1B8A">
      <w:pPr>
        <w:pStyle w:val="Heading3"/>
      </w:pPr>
      <w:r>
        <w:t>Service overview</w:t>
      </w:r>
    </w:p>
    <w:p w14:paraId="5A4D9E62" w14:textId="426229DD" w:rsidR="003A76E9" w:rsidRDefault="001E7CE2" w:rsidP="001E7CE2">
      <w:pPr>
        <w:pStyle w:val="BodyText"/>
      </w:pPr>
      <w:r w:rsidRPr="00615DF5">
        <w:t xml:space="preserve">Social housing is </w:t>
      </w:r>
      <w:r w:rsidR="00202A98" w:rsidRPr="00D51E02">
        <w:t>subsidised</w:t>
      </w:r>
      <w:r w:rsidR="00202A98">
        <w:t xml:space="preserve"> </w:t>
      </w:r>
      <w:r w:rsidRPr="00615DF5">
        <w:t xml:space="preserve">rental housing </w:t>
      </w:r>
      <w:r>
        <w:t xml:space="preserve">provided </w:t>
      </w:r>
      <w:r w:rsidR="00731A7F" w:rsidRPr="00731A7F">
        <w:t>by not-for-profit</w:t>
      </w:r>
      <w:r>
        <w:t>, non</w:t>
      </w:r>
      <w:r>
        <w:noBreakHyphen/>
      </w:r>
      <w:r w:rsidRPr="00615DF5">
        <w:t xml:space="preserve">government or government organisations to assist people who are unable to access suitable accommodation in the private rental market. </w:t>
      </w:r>
      <w:r w:rsidRPr="001E7CE2">
        <w:t>Four forms of social housing ar</w:t>
      </w:r>
      <w:r w:rsidR="000C5FCB">
        <w:t>e reported in this chapter (box </w:t>
      </w:r>
      <w:r w:rsidRPr="001E7CE2">
        <w:t>18.1).</w:t>
      </w:r>
    </w:p>
    <w:p w14:paraId="6EC1F728" w14:textId="0FBE6E87" w:rsidR="004D0537" w:rsidRDefault="004D0537">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D0537" w14:paraId="32839469" w14:textId="77777777" w:rsidTr="009916C8">
        <w:tc>
          <w:tcPr>
            <w:tcW w:w="8789" w:type="dxa"/>
            <w:tcBorders>
              <w:top w:val="single" w:sz="6" w:space="0" w:color="78A22F"/>
              <w:left w:val="nil"/>
              <w:bottom w:val="nil"/>
              <w:right w:val="nil"/>
            </w:tcBorders>
            <w:shd w:val="clear" w:color="auto" w:fill="F2F2F2"/>
          </w:tcPr>
          <w:p w14:paraId="2233A667" w14:textId="593561D6" w:rsidR="004D0537" w:rsidRDefault="004D0537" w:rsidP="00BB5630">
            <w:pPr>
              <w:pStyle w:val="BoxTitle"/>
            </w:pPr>
            <w:r>
              <w:rPr>
                <w:b w:val="0"/>
              </w:rPr>
              <w:t>Box</w:t>
            </w:r>
            <w:r w:rsidR="00F412E4">
              <w:rPr>
                <w:b w:val="0"/>
              </w:rPr>
              <w:t xml:space="preserve"> </w:t>
            </w:r>
            <w:r w:rsidR="00040F38">
              <w:rPr>
                <w:b w:val="0"/>
              </w:rPr>
              <w:t>18.</w:t>
            </w:r>
            <w:r w:rsidR="007D5A6B">
              <w:rPr>
                <w:b w:val="0"/>
                <w:noProof/>
              </w:rPr>
              <w:t>1</w:t>
            </w:r>
            <w:r>
              <w:tab/>
            </w:r>
            <w:r w:rsidRPr="00E43D24">
              <w:t>Forms of social housing</w:t>
            </w:r>
          </w:p>
        </w:tc>
      </w:tr>
      <w:tr w:rsidR="004D0537" w14:paraId="5F5AA1EA" w14:textId="77777777" w:rsidTr="009916C8">
        <w:trPr>
          <w:cantSplit/>
        </w:trPr>
        <w:tc>
          <w:tcPr>
            <w:tcW w:w="8789" w:type="dxa"/>
            <w:tcBorders>
              <w:top w:val="nil"/>
              <w:left w:val="nil"/>
              <w:bottom w:val="nil"/>
              <w:right w:val="nil"/>
            </w:tcBorders>
            <w:shd w:val="clear" w:color="auto" w:fill="F2F2F2"/>
          </w:tcPr>
          <w:p w14:paraId="7CE1558F" w14:textId="77777777" w:rsidR="004D0537" w:rsidRPr="00E43D24" w:rsidRDefault="004D0537" w:rsidP="004D0537">
            <w:pPr>
              <w:pStyle w:val="Box"/>
              <w:numPr>
                <w:ilvl w:val="0"/>
                <w:numId w:val="1"/>
              </w:numPr>
            </w:pPr>
            <w:r w:rsidRPr="00E43D24">
              <w:rPr>
                <w:i/>
              </w:rPr>
              <w:t>Public housing</w:t>
            </w:r>
            <w:r w:rsidRPr="00E43D24">
              <w:t>: dwellings owned (or leased) and managed by State and Territory housing authorities</w:t>
            </w:r>
            <w:r>
              <w:t>. It is generally accessed by people on low incomes and/or those with special needs, and aims to provide a choice of housing location, physical type and management arrangements.</w:t>
            </w:r>
          </w:p>
          <w:p w14:paraId="6B9C51D9" w14:textId="77777777" w:rsidR="004D0537" w:rsidRDefault="004D0537" w:rsidP="00731A7F">
            <w:pPr>
              <w:pStyle w:val="BoxListBullet"/>
            </w:pPr>
            <w:r w:rsidRPr="00A0483A">
              <w:rPr>
                <w:i/>
              </w:rPr>
              <w:t>State owned and managed Indigenous housing (</w:t>
            </w:r>
            <w:proofErr w:type="spellStart"/>
            <w:r w:rsidRPr="00A0483A">
              <w:rPr>
                <w:i/>
              </w:rPr>
              <w:t>SOMIH</w:t>
            </w:r>
            <w:proofErr w:type="spellEnd"/>
            <w:r w:rsidRPr="00A0483A">
              <w:rPr>
                <w:i/>
              </w:rPr>
              <w:t>)</w:t>
            </w:r>
            <w:r w:rsidRPr="00E43D24">
              <w:t xml:space="preserve">: dwellings owned and managed by State </w:t>
            </w:r>
            <w:r w:rsidR="00731A7F" w:rsidRPr="00731A7F">
              <w:t xml:space="preserve">and Territory </w:t>
            </w:r>
            <w:r w:rsidRPr="00E43D24">
              <w:t>housing authorities that are allocated only to Aboriginal and To</w:t>
            </w:r>
            <w:r>
              <w:t>rres Strait Islander tenants</w:t>
            </w:r>
            <w:r w:rsidR="0071670A">
              <w:t>,</w:t>
            </w:r>
            <w:r>
              <w:t xml:space="preserve"> includ</w:t>
            </w:r>
            <w:r w:rsidR="00DF1A19">
              <w:t>ing</w:t>
            </w:r>
            <w:r>
              <w:t xml:space="preserve"> dwellings managed by government Indigenous housing agencies.</w:t>
            </w:r>
          </w:p>
          <w:p w14:paraId="66FCD842" w14:textId="77777777" w:rsidR="004D0537" w:rsidRPr="0071670A" w:rsidRDefault="004D0537" w:rsidP="00377029">
            <w:pPr>
              <w:pStyle w:val="BoxListBullet"/>
              <w:rPr>
                <w:b/>
                <w:i/>
              </w:rPr>
            </w:pPr>
            <w:r w:rsidRPr="0071670A">
              <w:rPr>
                <w:i/>
              </w:rPr>
              <w:t>Community</w:t>
            </w:r>
            <w:r w:rsidRPr="00A0483A">
              <w:rPr>
                <w:i/>
              </w:rPr>
              <w:t xml:space="preserve"> </w:t>
            </w:r>
            <w:r w:rsidRPr="0071670A">
              <w:rPr>
                <w:i/>
              </w:rPr>
              <w:t>housing</w:t>
            </w:r>
            <w:r w:rsidR="0071670A">
              <w:t xml:space="preserve">: </w:t>
            </w:r>
            <w:r w:rsidRPr="0071670A">
              <w:t>rental housing provided to low–to–moderate income and/or special needs households, managed by community</w:t>
            </w:r>
            <w:r w:rsidR="007D1214" w:rsidRPr="0071670A">
              <w:noBreakHyphen/>
            </w:r>
            <w:r w:rsidRPr="0071670A">
              <w:t>based organisations that lease properties from government or have received a capital or recurrent subsidy from government. Community housing organisations typically receive some form of government assistance, such as direct funding or the provision of land and property, but a number of community housing organisations are entirely self</w:t>
            </w:r>
            <w:r w:rsidR="007D1214" w:rsidRPr="0071670A">
              <w:noBreakHyphen/>
            </w:r>
            <w:r w:rsidRPr="0071670A">
              <w:t>funded.</w:t>
            </w:r>
            <w:r w:rsidR="00E06820" w:rsidRPr="0071670A">
              <w:t xml:space="preserve"> </w:t>
            </w:r>
            <w:r w:rsidR="00377029" w:rsidRPr="00377029">
              <w:t xml:space="preserve">Section 18.4 provides further information </w:t>
            </w:r>
            <w:r w:rsidR="00E06820" w:rsidRPr="0071670A">
              <w:t>on different models of community housing</w:t>
            </w:r>
            <w:r w:rsidR="00E06820" w:rsidRPr="0071670A">
              <w:rPr>
                <w:i/>
              </w:rPr>
              <w:t>.</w:t>
            </w:r>
          </w:p>
          <w:p w14:paraId="0D014182" w14:textId="77777777" w:rsidR="004D0537" w:rsidRDefault="004D0537" w:rsidP="004D0537">
            <w:pPr>
              <w:pStyle w:val="BoxListBullet"/>
            </w:pPr>
            <w:r w:rsidRPr="00207355">
              <w:rPr>
                <w:i/>
              </w:rPr>
              <w:t>Indigenous community housing (</w:t>
            </w:r>
            <w:proofErr w:type="spellStart"/>
            <w:r w:rsidRPr="00207355">
              <w:rPr>
                <w:i/>
              </w:rPr>
              <w:t>ICH</w:t>
            </w:r>
            <w:proofErr w:type="spellEnd"/>
            <w:r w:rsidRPr="00207355">
              <w:rPr>
                <w:i/>
              </w:rPr>
              <w:t xml:space="preserve">): </w:t>
            </w:r>
            <w:r w:rsidRPr="00207355">
              <w:t xml:space="preserve">dwellings owned or leased and managed by </w:t>
            </w:r>
            <w:proofErr w:type="spellStart"/>
            <w:r w:rsidRPr="00207355">
              <w:t>ICH</w:t>
            </w:r>
            <w:proofErr w:type="spellEnd"/>
            <w:r w:rsidRPr="00207355">
              <w:t xml:space="preserve"> organisations and community councils</w:t>
            </w:r>
            <w:r>
              <w:t xml:space="preserve">. </w:t>
            </w:r>
            <w:proofErr w:type="spellStart"/>
            <w:r>
              <w:t>ICH</w:t>
            </w:r>
            <w:proofErr w:type="spellEnd"/>
            <w:r>
              <w:t xml:space="preserve"> models </w:t>
            </w:r>
            <w:r w:rsidRPr="00207355">
              <w:t>vary across jurisdictions and can also include dwellings funded</w:t>
            </w:r>
            <w:r w:rsidR="0090319D" w:rsidRPr="00D51E02">
              <w:t>, managed</w:t>
            </w:r>
            <w:r w:rsidRPr="00207355">
              <w:t xml:space="preserve"> or registered by government. </w:t>
            </w:r>
            <w:proofErr w:type="spellStart"/>
            <w:r w:rsidRPr="00207355">
              <w:t>ICH</w:t>
            </w:r>
            <w:proofErr w:type="spellEnd"/>
            <w:r w:rsidRPr="00207355">
              <w:t xml:space="preserve"> organisations include community organisations such as resource agencies and land councils</w:t>
            </w:r>
            <w:r>
              <w:t>.</w:t>
            </w:r>
          </w:p>
          <w:p w14:paraId="043AD06D" w14:textId="77777777" w:rsidR="004D0537" w:rsidRDefault="004D0537" w:rsidP="007E05F0">
            <w:pPr>
              <w:pStyle w:val="Box"/>
            </w:pPr>
            <w:r w:rsidRPr="004F5372">
              <w:rPr>
                <w:i/>
              </w:rPr>
              <w:t>Crisis and transitional housing</w:t>
            </w:r>
            <w:r w:rsidRPr="00E43D24">
              <w:t xml:space="preserve"> is an</w:t>
            </w:r>
            <w:r w:rsidR="007E05F0">
              <w:t>other</w:t>
            </w:r>
            <w:r w:rsidRPr="00E43D24">
              <w:t xml:space="preserve"> form </w:t>
            </w:r>
            <w:r>
              <w:t xml:space="preserve">of social housing, but is </w:t>
            </w:r>
            <w:r w:rsidR="007E05F0">
              <w:t xml:space="preserve">not </w:t>
            </w:r>
            <w:r>
              <w:t xml:space="preserve">able to be separately identified in this </w:t>
            </w:r>
            <w:r w:rsidR="007E05F0">
              <w:t>R</w:t>
            </w:r>
            <w:r w:rsidRPr="00E43D24">
              <w:t xml:space="preserve">eport. </w:t>
            </w:r>
            <w:r w:rsidR="007E05F0">
              <w:t>Some c</w:t>
            </w:r>
            <w:r w:rsidRPr="00E43D24">
              <w:t xml:space="preserve">risis and transitional housing </w:t>
            </w:r>
            <w:r w:rsidR="007E05F0">
              <w:t>may</w:t>
            </w:r>
            <w:r w:rsidR="007E05F0" w:rsidRPr="00E43D24">
              <w:t xml:space="preserve"> </w:t>
            </w:r>
            <w:r w:rsidRPr="00E43D24">
              <w:t>be indirectly reported through the forms of social housing</w:t>
            </w:r>
            <w:r w:rsidR="007E05F0">
              <w:t xml:space="preserve"> that are reported</w:t>
            </w:r>
            <w:r w:rsidRPr="00E43D24">
              <w:t>.</w:t>
            </w:r>
          </w:p>
        </w:tc>
      </w:tr>
      <w:tr w:rsidR="004D0537" w14:paraId="7F9B92E3" w14:textId="77777777" w:rsidTr="009916C8">
        <w:trPr>
          <w:cantSplit/>
        </w:trPr>
        <w:tc>
          <w:tcPr>
            <w:tcW w:w="8789" w:type="dxa"/>
            <w:tcBorders>
              <w:top w:val="nil"/>
              <w:left w:val="nil"/>
              <w:bottom w:val="single" w:sz="6" w:space="0" w:color="78A22F"/>
              <w:right w:val="nil"/>
            </w:tcBorders>
            <w:shd w:val="clear" w:color="auto" w:fill="F2F2F2"/>
          </w:tcPr>
          <w:p w14:paraId="33027051" w14:textId="77777777" w:rsidR="004D0537" w:rsidRDefault="004D0537">
            <w:pPr>
              <w:pStyle w:val="Box"/>
              <w:spacing w:before="0" w:line="120" w:lineRule="exact"/>
            </w:pPr>
          </w:p>
        </w:tc>
      </w:tr>
      <w:tr w:rsidR="004D0537" w:rsidRPr="000863A5" w14:paraId="6EE531E6" w14:textId="77777777" w:rsidTr="009916C8">
        <w:tc>
          <w:tcPr>
            <w:tcW w:w="8789" w:type="dxa"/>
            <w:tcBorders>
              <w:top w:val="single" w:sz="6" w:space="0" w:color="78A22F"/>
              <w:left w:val="nil"/>
              <w:bottom w:val="nil"/>
              <w:right w:val="nil"/>
            </w:tcBorders>
          </w:tcPr>
          <w:p w14:paraId="0E5F08E7" w14:textId="17A2DF47" w:rsidR="004D0537" w:rsidRPr="00626D32" w:rsidRDefault="004D0537" w:rsidP="0037665F">
            <w:pPr>
              <w:pStyle w:val="BoxSpaceBelow"/>
            </w:pPr>
          </w:p>
        </w:tc>
      </w:tr>
    </w:tbl>
    <w:p w14:paraId="69B8364B" w14:textId="77777777" w:rsidR="00514E83" w:rsidRDefault="00514E83" w:rsidP="00514E83">
      <w:pPr>
        <w:pStyle w:val="Heading3"/>
      </w:pPr>
      <w:r w:rsidRPr="00F32F6A">
        <w:t>Roles and responsibilities</w:t>
      </w:r>
    </w:p>
    <w:p w14:paraId="5B07D142" w14:textId="7331F5D3" w:rsidR="00735117" w:rsidRDefault="001E7CE2" w:rsidP="00735117">
      <w:pPr>
        <w:pStyle w:val="BodyText"/>
      </w:pPr>
      <w:r>
        <w:t xml:space="preserve">Social housing is funded and delivered under the National Affordable Housing </w:t>
      </w:r>
      <w:r w:rsidR="005358CD">
        <w:t xml:space="preserve">Agreement </w:t>
      </w:r>
      <w:r w:rsidR="0071472E">
        <w:t>(NAHA)</w:t>
      </w:r>
      <w:r w:rsidR="0071472E">
        <w:rPr>
          <w:rStyle w:val="FootnoteReference"/>
        </w:rPr>
        <w:footnoteReference w:id="1"/>
      </w:r>
      <w:r w:rsidR="00D52670" w:rsidRPr="00D52670">
        <w:t xml:space="preserve"> and related Partnership Agreements between the Australian </w:t>
      </w:r>
      <w:r w:rsidR="00D52670">
        <w:t>G</w:t>
      </w:r>
      <w:r w:rsidR="00D52670" w:rsidRPr="00D52670">
        <w:t xml:space="preserve">overnment and State and Territory </w:t>
      </w:r>
      <w:r w:rsidR="00D52670" w:rsidRPr="000E4922">
        <w:t>governments</w:t>
      </w:r>
      <w:r w:rsidR="00247670" w:rsidRPr="000E4922">
        <w:rPr>
          <w:rStyle w:val="FootnoteReference"/>
        </w:rPr>
        <w:footnoteReference w:id="2"/>
      </w:r>
      <w:r w:rsidR="00D52670">
        <w:t>.</w:t>
      </w:r>
    </w:p>
    <w:p w14:paraId="55F3AE09" w14:textId="77777777" w:rsidR="00D52670" w:rsidRDefault="00D52670" w:rsidP="00D52670">
      <w:pPr>
        <w:pStyle w:val="BodyText"/>
      </w:pPr>
      <w:r>
        <w:t xml:space="preserve">State and Territory </w:t>
      </w:r>
      <w:r w:rsidR="00C06C94">
        <w:t>g</w:t>
      </w:r>
      <w:r>
        <w:t xml:space="preserve">overnments </w:t>
      </w:r>
      <w:r w:rsidRPr="000958E6">
        <w:t xml:space="preserve">have primary responsibility </w:t>
      </w:r>
      <w:r w:rsidR="00B86ABB">
        <w:t xml:space="preserve">for </w:t>
      </w:r>
      <w:r>
        <w:t>delivering social housing services</w:t>
      </w:r>
      <w:r w:rsidR="005A2CD1">
        <w:t xml:space="preserve"> </w:t>
      </w:r>
      <w:r w:rsidR="005A2CD1" w:rsidRPr="005A2CD1">
        <w:t xml:space="preserve">either directly through public housing and </w:t>
      </w:r>
      <w:proofErr w:type="spellStart"/>
      <w:r w:rsidR="005A2CD1" w:rsidRPr="005A2CD1">
        <w:t>SOMIH</w:t>
      </w:r>
      <w:proofErr w:type="spellEnd"/>
      <w:r w:rsidR="005A2CD1" w:rsidRPr="005A2CD1">
        <w:t xml:space="preserve"> or through funding community housing providers</w:t>
      </w:r>
      <w:r w:rsidR="004326B0">
        <w:t xml:space="preserve">. </w:t>
      </w:r>
      <w:proofErr w:type="spellStart"/>
      <w:r w:rsidR="005A2CD1" w:rsidRPr="005A2CD1">
        <w:t>ICH</w:t>
      </w:r>
      <w:proofErr w:type="spellEnd"/>
      <w:r w:rsidR="005A2CD1" w:rsidRPr="005A2CD1">
        <w:t xml:space="preserve"> is generally managed by </w:t>
      </w:r>
      <w:proofErr w:type="spellStart"/>
      <w:r w:rsidR="005A2CD1" w:rsidRPr="005A2CD1">
        <w:t>ICH</w:t>
      </w:r>
      <w:proofErr w:type="spellEnd"/>
      <w:r w:rsidR="005A2CD1" w:rsidRPr="005A2CD1">
        <w:t xml:space="preserve"> organisations (although some </w:t>
      </w:r>
      <w:proofErr w:type="spellStart"/>
      <w:r w:rsidR="005A2CD1" w:rsidRPr="005A2CD1">
        <w:t>ICH</w:t>
      </w:r>
      <w:proofErr w:type="spellEnd"/>
      <w:r w:rsidR="005A2CD1" w:rsidRPr="005A2CD1">
        <w:t xml:space="preserve"> dwellings are managed by State and Territory housing authorities). State and Territory governments assumed responsibility for administering </w:t>
      </w:r>
      <w:proofErr w:type="spellStart"/>
      <w:r w:rsidR="005A2CD1" w:rsidRPr="005A2CD1">
        <w:t>ICH</w:t>
      </w:r>
      <w:proofErr w:type="spellEnd"/>
      <w:r w:rsidR="005A2CD1" w:rsidRPr="005A2CD1">
        <w:t xml:space="preserve"> in urban and regional areas, however arrangements varied across jurisdictions.</w:t>
      </w:r>
    </w:p>
    <w:p w14:paraId="0068800A" w14:textId="77777777" w:rsidR="007E677D" w:rsidRPr="00681A55" w:rsidRDefault="00D6759F" w:rsidP="00501A18">
      <w:pPr>
        <w:pStyle w:val="Heading3"/>
      </w:pPr>
      <w:r>
        <w:lastRenderedPageBreak/>
        <w:t>Funding</w:t>
      </w:r>
    </w:p>
    <w:p w14:paraId="05775268" w14:textId="1E1E54D7" w:rsidR="009D17BE" w:rsidRPr="0073755A" w:rsidRDefault="00652AD7" w:rsidP="0084448E">
      <w:pPr>
        <w:pStyle w:val="BodyText"/>
        <w:rPr>
          <w:lang w:eastAsia="en-US"/>
        </w:rPr>
      </w:pPr>
      <w:r w:rsidRPr="00C21B75">
        <w:t xml:space="preserve">State and Territory government net recurrent expenditure on social housing was </w:t>
      </w:r>
      <w:r w:rsidR="00FD27EA">
        <w:t>$3.9 billion in 2016</w:t>
      </w:r>
      <w:r w:rsidR="00FD27EA">
        <w:noBreakHyphen/>
      </w:r>
      <w:r w:rsidR="00FD27EA" w:rsidRPr="00FD27EA">
        <w:t>17, an increase in real terms from $3.8 billion in 2015</w:t>
      </w:r>
      <w:r w:rsidR="00FD27EA">
        <w:noBreakHyphen/>
      </w:r>
      <w:r w:rsidR="00FD27EA" w:rsidRPr="00FD27EA">
        <w:t>16 (table 18.1)</w:t>
      </w:r>
      <w:r w:rsidRPr="00C21B75">
        <w:t xml:space="preserve">. In </w:t>
      </w:r>
      <w:r w:rsidR="007A7AF0" w:rsidRPr="00DE2A36">
        <w:rPr>
          <w:lang w:eastAsia="en-US"/>
        </w:rPr>
        <w:t>2016</w:t>
      </w:r>
      <w:r w:rsidR="00DC04F0">
        <w:rPr>
          <w:lang w:eastAsia="en-US"/>
        </w:rPr>
        <w:noBreakHyphen/>
      </w:r>
      <w:r w:rsidR="007A7AF0" w:rsidRPr="00DE2A36">
        <w:rPr>
          <w:lang w:eastAsia="en-US"/>
        </w:rPr>
        <w:t>17</w:t>
      </w:r>
      <w:r w:rsidRPr="00C21B75">
        <w:t>, this expenditure included</w:t>
      </w:r>
      <w:r w:rsidR="00567D98">
        <w:t xml:space="preserve"> </w:t>
      </w:r>
      <w:r w:rsidR="009C2D71" w:rsidRPr="00D51E02">
        <w:t>$3.</w:t>
      </w:r>
      <w:r w:rsidR="00BD43DD" w:rsidRPr="00D51E02">
        <w:t>0</w:t>
      </w:r>
      <w:r w:rsidR="009C2D71" w:rsidRPr="00D51E02">
        <w:t xml:space="preserve"> billion</w:t>
      </w:r>
      <w:r w:rsidR="009C2D71" w:rsidRPr="009C2D71">
        <w:t xml:space="preserve"> for public housing and $114.2 million </w:t>
      </w:r>
      <w:r w:rsidRPr="00DC3010">
        <w:t xml:space="preserve">for </w:t>
      </w:r>
      <w:proofErr w:type="spellStart"/>
      <w:r w:rsidRPr="00DC3010">
        <w:t>SOMIH</w:t>
      </w:r>
      <w:proofErr w:type="spellEnd"/>
      <w:r w:rsidRPr="00C21B75">
        <w:t xml:space="preserve"> (</w:t>
      </w:r>
      <w:r w:rsidR="00B220CD">
        <w:t>table</w:t>
      </w:r>
      <w:r w:rsidR="0026454E">
        <w:t> </w:t>
      </w:r>
      <w:proofErr w:type="spellStart"/>
      <w:r w:rsidR="004B2834">
        <w:t>1</w:t>
      </w:r>
      <w:r w:rsidR="00F91EE9">
        <w:t>8</w:t>
      </w:r>
      <w:r w:rsidR="004B2834">
        <w:t>A.</w:t>
      </w:r>
      <w:r w:rsidR="00146F7D">
        <w:t>1</w:t>
      </w:r>
      <w:proofErr w:type="spellEnd"/>
      <w:r w:rsidRPr="00C21B75">
        <w:t>).</w:t>
      </w:r>
    </w:p>
    <w:p w14:paraId="08826602" w14:textId="5CB726F4" w:rsidR="0088513E" w:rsidRDefault="0088513E" w:rsidP="0084448E">
      <w:pPr>
        <w:pStyle w:val="BodyText"/>
        <w:rPr>
          <w:shd w:val="clear" w:color="auto" w:fill="FFFF00"/>
        </w:rPr>
      </w:pPr>
      <w:r w:rsidRPr="00D51E02">
        <w:t>Australian Government funding for services under the NAHA was $1.7 billion in 2016</w:t>
      </w:r>
      <w:r w:rsidR="00DC04F0">
        <w:noBreakHyphen/>
      </w:r>
      <w:r w:rsidRPr="00D51E02">
        <w:t xml:space="preserve">17 (see table </w:t>
      </w:r>
      <w:proofErr w:type="spellStart"/>
      <w:r w:rsidRPr="00D51E02">
        <w:t>GA.1</w:t>
      </w:r>
      <w:proofErr w:type="spellEnd"/>
      <w:r w:rsidRPr="00D51E02">
        <w:t xml:space="preserve"> in the Housing and Homelessness Sector Overview) and is included in total State and Territory government net recurrent expenditure for housing and homelessness services.</w:t>
      </w:r>
    </w:p>
    <w:p w14:paraId="37C5B8A4" w14:textId="2F9B0D7E" w:rsidR="0090319D" w:rsidRDefault="0090319D" w:rsidP="0090319D">
      <w:pPr>
        <w:pStyle w:val="BodyText"/>
      </w:pPr>
      <w:r w:rsidRPr="0031506D">
        <w:t xml:space="preserve">State and Territory government capital </w:t>
      </w:r>
      <w:r>
        <w:t xml:space="preserve">(non-recurrent) </w:t>
      </w:r>
      <w:r w:rsidRPr="0031506D">
        <w:t xml:space="preserve">expenditure for social housing was </w:t>
      </w:r>
      <w:r>
        <w:t xml:space="preserve">$1.3 billion in </w:t>
      </w:r>
      <w:r w:rsidRPr="0073755A">
        <w:rPr>
          <w:lang w:eastAsia="en-US"/>
        </w:rPr>
        <w:t>2016</w:t>
      </w:r>
      <w:r w:rsidR="00DC04F0">
        <w:rPr>
          <w:lang w:eastAsia="en-US"/>
        </w:rPr>
        <w:noBreakHyphen/>
      </w:r>
      <w:r w:rsidRPr="0073755A">
        <w:rPr>
          <w:lang w:eastAsia="en-US"/>
        </w:rPr>
        <w:t>17</w:t>
      </w:r>
      <w:r w:rsidDel="007A7AF0">
        <w:t xml:space="preserve"> </w:t>
      </w:r>
      <w:r>
        <w:t>(table </w:t>
      </w:r>
      <w:proofErr w:type="spellStart"/>
      <w:r>
        <w:rPr>
          <w:color w:val="000000" w:themeColor="text1"/>
        </w:rPr>
        <w:t>18A</w:t>
      </w:r>
      <w:r>
        <w:t>.1</w:t>
      </w:r>
      <w:proofErr w:type="spellEnd"/>
      <w:r w:rsidRPr="0031506D">
        <w:t>).</w:t>
      </w:r>
    </w:p>
    <w:p w14:paraId="419601AF" w14:textId="7AF0ACB9" w:rsidR="000C5FCB" w:rsidRDefault="000C5FCB" w:rsidP="002B10F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C5FCB" w14:paraId="7BF2200A" w14:textId="77777777" w:rsidTr="0099204A">
        <w:trPr>
          <w:tblHeader/>
        </w:trPr>
        <w:tc>
          <w:tcPr>
            <w:tcW w:w="5000" w:type="pct"/>
            <w:tcBorders>
              <w:top w:val="single" w:sz="6" w:space="0" w:color="78A22F"/>
              <w:left w:val="nil"/>
              <w:bottom w:val="nil"/>
              <w:right w:val="nil"/>
            </w:tcBorders>
            <w:shd w:val="clear" w:color="auto" w:fill="auto"/>
          </w:tcPr>
          <w:p w14:paraId="42ACD848" w14:textId="1082C278" w:rsidR="000C5FCB" w:rsidRPr="00784A05" w:rsidRDefault="000C5FCB" w:rsidP="009D32FF">
            <w:pPr>
              <w:pStyle w:val="TableTitle"/>
            </w:pPr>
            <w:r>
              <w:rPr>
                <w:b w:val="0"/>
              </w:rPr>
              <w:t>Table 18.</w:t>
            </w:r>
            <w:r w:rsidR="007D5A6B">
              <w:rPr>
                <w:b w:val="0"/>
                <w:noProof/>
              </w:rPr>
              <w:t>1</w:t>
            </w:r>
            <w:r>
              <w:tab/>
            </w:r>
            <w:r w:rsidRPr="00620779">
              <w:t>State and Territory government net recurrent expenditure on</w:t>
            </w:r>
            <w:r>
              <w:t xml:space="preserve"> social housing </w:t>
            </w:r>
            <w:r w:rsidR="009D32FF" w:rsidRPr="00740873">
              <w:t>(</w:t>
            </w:r>
            <w:r w:rsidR="009D32FF" w:rsidRPr="0073755A">
              <w:t>2016-17 </w:t>
            </w:r>
            <w:r w:rsidR="009D32FF" w:rsidRPr="00740873">
              <w:t>dollars</w:t>
            </w:r>
            <w:r w:rsidR="009D32FF" w:rsidRPr="00620779">
              <w:t>)</w:t>
            </w:r>
            <w:r w:rsidR="009D32FF">
              <w:t xml:space="preserve"> </w:t>
            </w:r>
            <w:r>
              <w:t>($million)</w:t>
            </w:r>
            <w:r>
              <w:rPr>
                <w:rStyle w:val="NoteLabel"/>
                <w:b/>
              </w:rPr>
              <w:t>a</w:t>
            </w:r>
          </w:p>
        </w:tc>
      </w:tr>
      <w:tr w:rsidR="000C5FCB" w14:paraId="2137049E" w14:textId="77777777" w:rsidTr="0099204A">
        <w:trPr>
          <w:trHeight w:val="1635"/>
        </w:trPr>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8483"/>
            </w:tblGrid>
            <w:tr w:rsidR="000C5FCB" w14:paraId="043D02A2" w14:textId="77777777" w:rsidTr="002B10F1">
              <w:trPr>
                <w:trHeight w:val="1262"/>
              </w:trPr>
              <w:tc>
                <w:tcPr>
                  <w:tcW w:w="0" w:type="auto"/>
                  <w:tcBorders>
                    <w:top w:val="single" w:sz="6" w:space="0" w:color="BFBFBF"/>
                  </w:tcBorders>
                  <w:shd w:val="clear" w:color="auto" w:fill="auto"/>
                  <w:tcMar>
                    <w:top w:w="28" w:type="dxa"/>
                  </w:tcMar>
                </w:tcPr>
                <w:tbl>
                  <w:tblPr>
                    <w:tblW w:w="8483" w:type="dxa"/>
                    <w:tblCellMar>
                      <w:top w:w="28" w:type="dxa"/>
                      <w:left w:w="0" w:type="dxa"/>
                      <w:right w:w="0" w:type="dxa"/>
                    </w:tblCellMar>
                    <w:tblLook w:val="0000" w:firstRow="0" w:lastRow="0" w:firstColumn="0" w:lastColumn="0" w:noHBand="0" w:noVBand="0"/>
                  </w:tblPr>
                  <w:tblGrid>
                    <w:gridCol w:w="849"/>
                    <w:gridCol w:w="849"/>
                    <w:gridCol w:w="848"/>
                    <w:gridCol w:w="848"/>
                    <w:gridCol w:w="848"/>
                    <w:gridCol w:w="848"/>
                    <w:gridCol w:w="848"/>
                    <w:gridCol w:w="848"/>
                    <w:gridCol w:w="704"/>
                    <w:gridCol w:w="993"/>
                  </w:tblGrid>
                  <w:tr w:rsidR="000C5FCB" w:rsidRPr="00E65149" w14:paraId="1A5D1708" w14:textId="77777777" w:rsidTr="00604CB2">
                    <w:tc>
                      <w:tcPr>
                        <w:tcW w:w="500" w:type="pct"/>
                        <w:tcBorders>
                          <w:bottom w:val="single" w:sz="6" w:space="0" w:color="BFBFBF"/>
                        </w:tcBorders>
                        <w:shd w:val="clear" w:color="auto" w:fill="auto"/>
                        <w:tcMar>
                          <w:top w:w="28" w:type="dxa"/>
                        </w:tcMar>
                      </w:tcPr>
                      <w:p w14:paraId="6C39C8CA" w14:textId="77777777" w:rsidR="000C5FCB" w:rsidRPr="00D1336A" w:rsidRDefault="000C5FCB" w:rsidP="000C5FCB">
                        <w:pPr>
                          <w:pStyle w:val="TableColumnHeading"/>
                          <w:pBdr>
                            <w:left w:val="single" w:sz="4" w:space="1" w:color="auto"/>
                          </w:pBdr>
                          <w:jc w:val="left"/>
                        </w:pPr>
                      </w:p>
                    </w:tc>
                    <w:tc>
                      <w:tcPr>
                        <w:tcW w:w="500" w:type="pct"/>
                        <w:tcBorders>
                          <w:bottom w:val="single" w:sz="6" w:space="0" w:color="BFBFBF"/>
                        </w:tcBorders>
                        <w:tcMar>
                          <w:right w:w="113" w:type="dxa"/>
                        </w:tcMar>
                      </w:tcPr>
                      <w:p w14:paraId="7FD8D4EE" w14:textId="77777777" w:rsidR="000C5FCB" w:rsidRPr="00904B30" w:rsidRDefault="000C5FCB" w:rsidP="009916C8">
                        <w:pPr>
                          <w:pStyle w:val="TableColumnHeading"/>
                          <w:pBdr>
                            <w:left w:val="single" w:sz="4" w:space="1" w:color="auto"/>
                          </w:pBdr>
                          <w:spacing w:before="140"/>
                          <w:ind w:left="0" w:right="-68"/>
                          <w:rPr>
                            <w:b/>
                          </w:rPr>
                        </w:pPr>
                        <w:r w:rsidRPr="00932A5E">
                          <w:t>NSW</w:t>
                        </w:r>
                      </w:p>
                    </w:tc>
                    <w:tc>
                      <w:tcPr>
                        <w:tcW w:w="500" w:type="pct"/>
                        <w:tcBorders>
                          <w:bottom w:val="single" w:sz="6" w:space="0" w:color="BFBFBF"/>
                        </w:tcBorders>
                        <w:tcMar>
                          <w:right w:w="113" w:type="dxa"/>
                        </w:tcMar>
                      </w:tcPr>
                      <w:p w14:paraId="3C6DAFDD" w14:textId="77777777" w:rsidR="000C5FCB" w:rsidRPr="00E65149" w:rsidRDefault="000C5FCB" w:rsidP="009916C8">
                        <w:pPr>
                          <w:pStyle w:val="TableColumnHeading"/>
                          <w:pBdr>
                            <w:left w:val="single" w:sz="4" w:space="1" w:color="auto"/>
                          </w:pBdr>
                          <w:spacing w:before="140"/>
                          <w:ind w:left="0" w:right="-68"/>
                          <w:rPr>
                            <w:rStyle w:val="NoteLabel"/>
                            <w:i w:val="0"/>
                          </w:rPr>
                        </w:pPr>
                        <w:r w:rsidRPr="00E65149">
                          <w:t>Vic</w:t>
                        </w:r>
                      </w:p>
                    </w:tc>
                    <w:tc>
                      <w:tcPr>
                        <w:tcW w:w="500" w:type="pct"/>
                        <w:tcBorders>
                          <w:bottom w:val="single" w:sz="6" w:space="0" w:color="BFBFBF"/>
                        </w:tcBorders>
                        <w:tcMar>
                          <w:right w:w="113" w:type="dxa"/>
                        </w:tcMar>
                      </w:tcPr>
                      <w:p w14:paraId="57007F6F" w14:textId="77777777" w:rsidR="000C5FCB" w:rsidRPr="00E65149" w:rsidRDefault="000C5FCB" w:rsidP="009916C8">
                        <w:pPr>
                          <w:pStyle w:val="TableColumnHeading"/>
                          <w:pBdr>
                            <w:left w:val="single" w:sz="4" w:space="1" w:color="auto"/>
                          </w:pBdr>
                          <w:spacing w:before="140"/>
                          <w:ind w:left="0" w:right="-68"/>
                        </w:pPr>
                        <w:r w:rsidRPr="00E65149">
                          <w:t>Qld</w:t>
                        </w:r>
                      </w:p>
                    </w:tc>
                    <w:tc>
                      <w:tcPr>
                        <w:tcW w:w="500" w:type="pct"/>
                        <w:tcBorders>
                          <w:bottom w:val="single" w:sz="6" w:space="0" w:color="BFBFBF"/>
                        </w:tcBorders>
                        <w:tcMar>
                          <w:right w:w="113" w:type="dxa"/>
                        </w:tcMar>
                      </w:tcPr>
                      <w:p w14:paraId="4925B079" w14:textId="77777777" w:rsidR="000C5FCB" w:rsidRPr="00E65149" w:rsidRDefault="000C5FCB" w:rsidP="009916C8">
                        <w:pPr>
                          <w:pStyle w:val="TableColumnHeading"/>
                          <w:pBdr>
                            <w:left w:val="single" w:sz="4" w:space="1" w:color="auto"/>
                          </w:pBdr>
                          <w:spacing w:before="140"/>
                          <w:ind w:left="0" w:right="-68"/>
                        </w:pPr>
                        <w:r w:rsidRPr="00E65149">
                          <w:t>WA</w:t>
                        </w:r>
                      </w:p>
                    </w:tc>
                    <w:tc>
                      <w:tcPr>
                        <w:tcW w:w="500" w:type="pct"/>
                        <w:tcBorders>
                          <w:bottom w:val="single" w:sz="6" w:space="0" w:color="BFBFBF"/>
                        </w:tcBorders>
                        <w:tcMar>
                          <w:right w:w="113" w:type="dxa"/>
                        </w:tcMar>
                      </w:tcPr>
                      <w:p w14:paraId="45EFE20E" w14:textId="77777777" w:rsidR="000C5FCB" w:rsidRPr="00E65149" w:rsidRDefault="000C5FCB" w:rsidP="009916C8">
                        <w:pPr>
                          <w:pStyle w:val="TableColumnHeading"/>
                          <w:pBdr>
                            <w:left w:val="single" w:sz="4" w:space="1" w:color="auto"/>
                          </w:pBdr>
                          <w:spacing w:before="140"/>
                          <w:ind w:left="0" w:right="-68"/>
                        </w:pPr>
                        <w:r w:rsidRPr="00E65149">
                          <w:t>SA</w:t>
                        </w:r>
                      </w:p>
                    </w:tc>
                    <w:tc>
                      <w:tcPr>
                        <w:tcW w:w="500" w:type="pct"/>
                        <w:tcBorders>
                          <w:bottom w:val="single" w:sz="6" w:space="0" w:color="BFBFBF"/>
                        </w:tcBorders>
                        <w:tcMar>
                          <w:right w:w="113" w:type="dxa"/>
                        </w:tcMar>
                      </w:tcPr>
                      <w:p w14:paraId="1EC01399" w14:textId="77777777" w:rsidR="000C5FCB" w:rsidRPr="00E65149" w:rsidRDefault="000C5FCB" w:rsidP="009916C8">
                        <w:pPr>
                          <w:pStyle w:val="TableColumnHeading"/>
                          <w:pBdr>
                            <w:left w:val="single" w:sz="4" w:space="1" w:color="auto"/>
                          </w:pBdr>
                          <w:spacing w:before="140"/>
                          <w:ind w:left="0" w:right="-68"/>
                        </w:pPr>
                        <w:proofErr w:type="spellStart"/>
                        <w:r w:rsidRPr="00E65149">
                          <w:t>Tas</w:t>
                        </w:r>
                        <w:proofErr w:type="spellEnd"/>
                      </w:p>
                    </w:tc>
                    <w:tc>
                      <w:tcPr>
                        <w:tcW w:w="500" w:type="pct"/>
                        <w:tcBorders>
                          <w:bottom w:val="single" w:sz="6" w:space="0" w:color="BFBFBF"/>
                        </w:tcBorders>
                        <w:tcMar>
                          <w:right w:w="113" w:type="dxa"/>
                        </w:tcMar>
                      </w:tcPr>
                      <w:p w14:paraId="49BC8642" w14:textId="77777777" w:rsidR="000C5FCB" w:rsidRPr="00E65149" w:rsidRDefault="000C5FCB" w:rsidP="009916C8">
                        <w:pPr>
                          <w:pStyle w:val="TableColumnHeading"/>
                          <w:pBdr>
                            <w:left w:val="single" w:sz="4" w:space="1" w:color="auto"/>
                          </w:pBdr>
                          <w:spacing w:before="140"/>
                          <w:ind w:left="0" w:right="-68"/>
                        </w:pPr>
                        <w:r w:rsidRPr="00E65149">
                          <w:t>ACT</w:t>
                        </w:r>
                      </w:p>
                    </w:tc>
                    <w:tc>
                      <w:tcPr>
                        <w:tcW w:w="415" w:type="pct"/>
                        <w:tcBorders>
                          <w:bottom w:val="single" w:sz="6" w:space="0" w:color="BFBFBF"/>
                        </w:tcBorders>
                        <w:shd w:val="clear" w:color="auto" w:fill="auto"/>
                        <w:tcMar>
                          <w:top w:w="28" w:type="dxa"/>
                          <w:right w:w="113" w:type="dxa"/>
                        </w:tcMar>
                      </w:tcPr>
                      <w:p w14:paraId="60777C39" w14:textId="77777777" w:rsidR="000C5FCB" w:rsidRPr="00E65149" w:rsidRDefault="000C5FCB" w:rsidP="009916C8">
                        <w:pPr>
                          <w:pStyle w:val="TableColumnHeading"/>
                          <w:pBdr>
                            <w:left w:val="single" w:sz="4" w:space="1" w:color="auto"/>
                          </w:pBdr>
                          <w:spacing w:before="140"/>
                          <w:ind w:left="0" w:right="-68"/>
                        </w:pPr>
                        <w:r w:rsidRPr="00E65149">
                          <w:t>NT</w:t>
                        </w:r>
                      </w:p>
                    </w:tc>
                    <w:tc>
                      <w:tcPr>
                        <w:tcW w:w="585" w:type="pct"/>
                        <w:tcBorders>
                          <w:bottom w:val="single" w:sz="6" w:space="0" w:color="BFBFBF"/>
                        </w:tcBorders>
                        <w:shd w:val="clear" w:color="auto" w:fill="auto"/>
                        <w:tcMar>
                          <w:top w:w="28" w:type="dxa"/>
                          <w:right w:w="85" w:type="dxa"/>
                        </w:tcMar>
                      </w:tcPr>
                      <w:p w14:paraId="62E58646" w14:textId="77777777" w:rsidR="000C5FCB" w:rsidRPr="00E65149" w:rsidRDefault="000C5FCB" w:rsidP="009916C8">
                        <w:pPr>
                          <w:pStyle w:val="TableColumnHeading"/>
                          <w:pBdr>
                            <w:left w:val="single" w:sz="4" w:space="1" w:color="auto"/>
                          </w:pBdr>
                          <w:spacing w:before="140"/>
                          <w:ind w:left="0" w:right="-68"/>
                        </w:pPr>
                        <w:proofErr w:type="spellStart"/>
                        <w:r w:rsidRPr="00E65149">
                          <w:t>Aust</w:t>
                        </w:r>
                        <w:proofErr w:type="spellEnd"/>
                      </w:p>
                    </w:tc>
                  </w:tr>
                  <w:tr w:rsidR="000C5FCB" w14:paraId="7ED8E38E" w14:textId="77777777" w:rsidTr="00604CB2">
                    <w:tc>
                      <w:tcPr>
                        <w:tcW w:w="500" w:type="pct"/>
                        <w:tcBorders>
                          <w:top w:val="single" w:sz="6" w:space="0" w:color="BFBFBF"/>
                        </w:tcBorders>
                        <w:vAlign w:val="bottom"/>
                      </w:tcPr>
                      <w:p w14:paraId="00493B18" w14:textId="77777777" w:rsidR="000C5FCB" w:rsidRPr="005B2643" w:rsidRDefault="000C5FCB" w:rsidP="000C5FCB">
                        <w:pPr>
                          <w:pStyle w:val="TableBodyText"/>
                        </w:pPr>
                        <w:r w:rsidRPr="005B2643">
                          <w:t>201</w:t>
                        </w:r>
                        <w:r>
                          <w:t>6</w:t>
                        </w:r>
                        <w:r>
                          <w:noBreakHyphen/>
                          <w:t>17</w:t>
                        </w:r>
                      </w:p>
                    </w:tc>
                    <w:tc>
                      <w:tcPr>
                        <w:tcW w:w="500" w:type="pct"/>
                        <w:tcBorders>
                          <w:top w:val="nil"/>
                          <w:left w:val="nil"/>
                          <w:bottom w:val="nil"/>
                          <w:right w:val="nil"/>
                        </w:tcBorders>
                        <w:shd w:val="clear" w:color="auto" w:fill="auto"/>
                        <w:tcMar>
                          <w:right w:w="113" w:type="dxa"/>
                        </w:tcMar>
                        <w:vAlign w:val="center"/>
                      </w:tcPr>
                      <w:p w14:paraId="146CA924" w14:textId="06055547"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w:t>
                        </w:r>
                        <w:r w:rsidR="00E14A44">
                          <w:rPr>
                            <w:rFonts w:ascii="Arial" w:eastAsia="Times New Roman" w:hAnsi="Arial" w:cs="Arial"/>
                            <w:bCs/>
                            <w:sz w:val="18"/>
                            <w:szCs w:val="18"/>
                            <w:lang w:eastAsia="en-AU"/>
                          </w:rPr>
                          <w:t xml:space="preserve"> </w:t>
                        </w:r>
                        <w:r w:rsidRPr="00C515A8">
                          <w:rPr>
                            <w:rFonts w:ascii="Arial" w:eastAsia="Times New Roman" w:hAnsi="Arial" w:cs="Arial"/>
                            <w:bCs/>
                            <w:sz w:val="18"/>
                            <w:szCs w:val="18"/>
                            <w:lang w:eastAsia="en-AU"/>
                          </w:rPr>
                          <w:t>298.6</w:t>
                        </w:r>
                      </w:p>
                    </w:tc>
                    <w:tc>
                      <w:tcPr>
                        <w:tcW w:w="500" w:type="pct"/>
                        <w:tcBorders>
                          <w:top w:val="nil"/>
                          <w:left w:val="nil"/>
                          <w:bottom w:val="nil"/>
                          <w:right w:val="nil"/>
                        </w:tcBorders>
                        <w:shd w:val="clear" w:color="auto" w:fill="auto"/>
                        <w:tcMar>
                          <w:right w:w="113" w:type="dxa"/>
                        </w:tcMar>
                        <w:vAlign w:val="center"/>
                      </w:tcPr>
                      <w:p w14:paraId="27A17E02" w14:textId="6BBFDE99"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530.6</w:t>
                        </w:r>
                      </w:p>
                    </w:tc>
                    <w:tc>
                      <w:tcPr>
                        <w:tcW w:w="500" w:type="pct"/>
                        <w:tcBorders>
                          <w:top w:val="nil"/>
                          <w:left w:val="nil"/>
                          <w:bottom w:val="nil"/>
                          <w:right w:val="nil"/>
                        </w:tcBorders>
                        <w:shd w:val="clear" w:color="auto" w:fill="auto"/>
                        <w:tcMar>
                          <w:right w:w="113" w:type="dxa"/>
                        </w:tcMar>
                        <w:vAlign w:val="center"/>
                      </w:tcPr>
                      <w:p w14:paraId="796BCFD9" w14:textId="3ACB7883"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575.5</w:t>
                        </w:r>
                      </w:p>
                    </w:tc>
                    <w:tc>
                      <w:tcPr>
                        <w:tcW w:w="500" w:type="pct"/>
                        <w:tcBorders>
                          <w:top w:val="nil"/>
                          <w:left w:val="nil"/>
                          <w:bottom w:val="nil"/>
                          <w:right w:val="nil"/>
                        </w:tcBorders>
                        <w:shd w:val="clear" w:color="auto" w:fill="auto"/>
                        <w:tcMar>
                          <w:right w:w="113" w:type="dxa"/>
                        </w:tcMar>
                        <w:vAlign w:val="center"/>
                      </w:tcPr>
                      <w:p w14:paraId="3811A1EE" w14:textId="5537EAAF"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BA45CB">
                          <w:rPr>
                            <w:rFonts w:ascii="Arial" w:eastAsia="Times New Roman" w:hAnsi="Arial" w:cs="Arial"/>
                            <w:bCs/>
                            <w:sz w:val="18"/>
                            <w:szCs w:val="18"/>
                            <w:lang w:eastAsia="en-AU"/>
                          </w:rPr>
                          <w:t>781.5</w:t>
                        </w:r>
                      </w:p>
                    </w:tc>
                    <w:tc>
                      <w:tcPr>
                        <w:tcW w:w="500" w:type="pct"/>
                        <w:tcBorders>
                          <w:top w:val="nil"/>
                          <w:left w:val="nil"/>
                          <w:bottom w:val="nil"/>
                          <w:right w:val="nil"/>
                        </w:tcBorders>
                        <w:shd w:val="clear" w:color="auto" w:fill="auto"/>
                        <w:tcMar>
                          <w:right w:w="113" w:type="dxa"/>
                        </w:tcMar>
                        <w:vAlign w:val="center"/>
                      </w:tcPr>
                      <w:p w14:paraId="177E0918" w14:textId="0C19DF33"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424.5</w:t>
                        </w:r>
                      </w:p>
                    </w:tc>
                    <w:tc>
                      <w:tcPr>
                        <w:tcW w:w="500" w:type="pct"/>
                        <w:tcBorders>
                          <w:top w:val="nil"/>
                          <w:left w:val="nil"/>
                          <w:bottom w:val="nil"/>
                          <w:right w:val="nil"/>
                        </w:tcBorders>
                        <w:shd w:val="clear" w:color="auto" w:fill="auto"/>
                        <w:tcMar>
                          <w:right w:w="113" w:type="dxa"/>
                        </w:tcMar>
                        <w:vAlign w:val="center"/>
                      </w:tcPr>
                      <w:p w14:paraId="592FAB32" w14:textId="71AD8472"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494EEE">
                          <w:rPr>
                            <w:rFonts w:ascii="Arial" w:eastAsia="Times New Roman" w:hAnsi="Arial" w:cs="Arial"/>
                            <w:bCs/>
                            <w:sz w:val="18"/>
                            <w:szCs w:val="18"/>
                            <w:lang w:eastAsia="en-AU"/>
                          </w:rPr>
                          <w:t>102.8</w:t>
                        </w:r>
                      </w:p>
                    </w:tc>
                    <w:tc>
                      <w:tcPr>
                        <w:tcW w:w="500" w:type="pct"/>
                        <w:tcBorders>
                          <w:top w:val="nil"/>
                          <w:left w:val="nil"/>
                          <w:bottom w:val="nil"/>
                          <w:right w:val="nil"/>
                        </w:tcBorders>
                        <w:shd w:val="clear" w:color="auto" w:fill="auto"/>
                        <w:tcMar>
                          <w:right w:w="113" w:type="dxa"/>
                        </w:tcMar>
                        <w:vAlign w:val="center"/>
                      </w:tcPr>
                      <w:p w14:paraId="14C76FF6" w14:textId="42F50EC0"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117.4</w:t>
                        </w:r>
                      </w:p>
                    </w:tc>
                    <w:tc>
                      <w:tcPr>
                        <w:tcW w:w="415" w:type="pct"/>
                        <w:tcBorders>
                          <w:top w:val="nil"/>
                          <w:left w:val="nil"/>
                          <w:bottom w:val="nil"/>
                          <w:right w:val="nil"/>
                        </w:tcBorders>
                        <w:shd w:val="clear" w:color="auto" w:fill="auto"/>
                        <w:tcMar>
                          <w:right w:w="113" w:type="dxa"/>
                        </w:tcMar>
                        <w:vAlign w:val="center"/>
                      </w:tcPr>
                      <w:p w14:paraId="421EFF31" w14:textId="2E96CB1B"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85.8</w:t>
                        </w:r>
                      </w:p>
                    </w:tc>
                    <w:tc>
                      <w:tcPr>
                        <w:tcW w:w="585" w:type="pct"/>
                        <w:tcBorders>
                          <w:top w:val="nil"/>
                          <w:left w:val="nil"/>
                          <w:bottom w:val="nil"/>
                          <w:right w:val="nil"/>
                        </w:tcBorders>
                        <w:shd w:val="clear" w:color="auto" w:fill="auto"/>
                        <w:tcMar>
                          <w:right w:w="28" w:type="dxa"/>
                        </w:tcMar>
                        <w:vAlign w:val="center"/>
                      </w:tcPr>
                      <w:p w14:paraId="3A30D7F0" w14:textId="4D04B58A" w:rsidR="000C5FCB" w:rsidRPr="00C515A8" w:rsidRDefault="000C5FCB" w:rsidP="009916C8">
                        <w:pPr>
                          <w:tabs>
                            <w:tab w:val="left" w:pos="709"/>
                          </w:tabs>
                          <w:spacing w:after="40" w:line="200" w:lineRule="atLeast"/>
                          <w:ind w:left="6"/>
                          <w:jc w:val="right"/>
                          <w:rPr>
                            <w:rFonts w:ascii="Arial" w:eastAsia="Times New Roman" w:hAnsi="Arial" w:cs="Arial"/>
                            <w:bCs/>
                            <w:sz w:val="18"/>
                            <w:szCs w:val="18"/>
                            <w:lang w:eastAsia="en-AU"/>
                          </w:rPr>
                        </w:pPr>
                        <w:r w:rsidRPr="00CB1081">
                          <w:rPr>
                            <w:rFonts w:ascii="Arial" w:eastAsia="Times New Roman" w:hAnsi="Arial" w:cs="Arial"/>
                            <w:bCs/>
                            <w:sz w:val="18"/>
                            <w:szCs w:val="18"/>
                            <w:lang w:eastAsia="en-AU"/>
                          </w:rPr>
                          <w:t>3</w:t>
                        </w:r>
                        <w:r w:rsidR="00E14A44">
                          <w:rPr>
                            <w:rFonts w:ascii="Arial" w:eastAsia="Times New Roman" w:hAnsi="Arial" w:cs="Arial"/>
                            <w:bCs/>
                            <w:sz w:val="18"/>
                            <w:szCs w:val="18"/>
                            <w:lang w:eastAsia="en-AU"/>
                          </w:rPr>
                          <w:t xml:space="preserve"> </w:t>
                        </w:r>
                        <w:r w:rsidRPr="00D51E02">
                          <w:rPr>
                            <w:rFonts w:ascii="Arial" w:eastAsia="Times New Roman" w:hAnsi="Arial" w:cs="Arial"/>
                            <w:bCs/>
                            <w:sz w:val="18"/>
                            <w:szCs w:val="18"/>
                            <w:lang w:eastAsia="en-AU"/>
                          </w:rPr>
                          <w:t>916.7</w:t>
                        </w:r>
                      </w:p>
                    </w:tc>
                  </w:tr>
                  <w:tr w:rsidR="000C5FCB" w14:paraId="5ACC16E0" w14:textId="77777777" w:rsidTr="00604CB2">
                    <w:tc>
                      <w:tcPr>
                        <w:tcW w:w="500" w:type="pct"/>
                        <w:vAlign w:val="bottom"/>
                      </w:tcPr>
                      <w:p w14:paraId="619EC8D4" w14:textId="77777777" w:rsidR="000C5FCB" w:rsidRPr="005B2643" w:rsidRDefault="000C5FCB" w:rsidP="000C5FCB">
                        <w:pPr>
                          <w:pStyle w:val="TableBodyText"/>
                        </w:pPr>
                        <w:r w:rsidRPr="005B2643">
                          <w:t>201</w:t>
                        </w:r>
                        <w:r>
                          <w:t>5</w:t>
                        </w:r>
                        <w:r>
                          <w:noBreakHyphen/>
                          <w:t>16</w:t>
                        </w:r>
                      </w:p>
                    </w:tc>
                    <w:tc>
                      <w:tcPr>
                        <w:tcW w:w="500" w:type="pct"/>
                        <w:tcBorders>
                          <w:top w:val="nil"/>
                          <w:left w:val="nil"/>
                          <w:bottom w:val="nil"/>
                          <w:right w:val="nil"/>
                        </w:tcBorders>
                        <w:shd w:val="clear" w:color="auto" w:fill="auto"/>
                        <w:tcMar>
                          <w:right w:w="113" w:type="dxa"/>
                        </w:tcMar>
                        <w:vAlign w:val="center"/>
                      </w:tcPr>
                      <w:p w14:paraId="238B4BCD" w14:textId="0193183F"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w:t>
                        </w:r>
                        <w:r w:rsidR="00E14A44">
                          <w:rPr>
                            <w:rFonts w:ascii="Arial" w:eastAsia="Times New Roman" w:hAnsi="Arial" w:cs="Arial"/>
                            <w:bCs/>
                            <w:sz w:val="18"/>
                            <w:szCs w:val="18"/>
                            <w:lang w:eastAsia="en-AU"/>
                          </w:rPr>
                          <w:t xml:space="preserve"> </w:t>
                        </w:r>
                        <w:r w:rsidRPr="00C515A8">
                          <w:rPr>
                            <w:rFonts w:ascii="Arial" w:eastAsia="Times New Roman" w:hAnsi="Arial" w:cs="Arial"/>
                            <w:bCs/>
                            <w:sz w:val="18"/>
                            <w:szCs w:val="18"/>
                            <w:lang w:eastAsia="en-AU"/>
                          </w:rPr>
                          <w:t>211.2</w:t>
                        </w:r>
                      </w:p>
                    </w:tc>
                    <w:tc>
                      <w:tcPr>
                        <w:tcW w:w="500" w:type="pct"/>
                        <w:tcBorders>
                          <w:top w:val="nil"/>
                          <w:left w:val="nil"/>
                          <w:bottom w:val="nil"/>
                          <w:right w:val="nil"/>
                        </w:tcBorders>
                        <w:shd w:val="clear" w:color="auto" w:fill="auto"/>
                        <w:tcMar>
                          <w:right w:w="113" w:type="dxa"/>
                        </w:tcMar>
                        <w:vAlign w:val="center"/>
                      </w:tcPr>
                      <w:p w14:paraId="31E7C8B2" w14:textId="21220EFE"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542.1</w:t>
                        </w:r>
                      </w:p>
                    </w:tc>
                    <w:tc>
                      <w:tcPr>
                        <w:tcW w:w="500" w:type="pct"/>
                        <w:tcBorders>
                          <w:top w:val="nil"/>
                          <w:left w:val="nil"/>
                          <w:bottom w:val="nil"/>
                          <w:right w:val="nil"/>
                        </w:tcBorders>
                        <w:shd w:val="clear" w:color="auto" w:fill="auto"/>
                        <w:tcMar>
                          <w:right w:w="113" w:type="dxa"/>
                        </w:tcMar>
                        <w:vAlign w:val="center"/>
                      </w:tcPr>
                      <w:p w14:paraId="240B2A9C" w14:textId="23CF9C2F"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560.4</w:t>
                        </w:r>
                      </w:p>
                    </w:tc>
                    <w:tc>
                      <w:tcPr>
                        <w:tcW w:w="500" w:type="pct"/>
                        <w:tcBorders>
                          <w:top w:val="nil"/>
                          <w:left w:val="nil"/>
                          <w:bottom w:val="nil"/>
                          <w:right w:val="nil"/>
                        </w:tcBorders>
                        <w:shd w:val="clear" w:color="auto" w:fill="auto"/>
                        <w:tcMar>
                          <w:right w:w="113" w:type="dxa"/>
                        </w:tcMar>
                        <w:vAlign w:val="center"/>
                      </w:tcPr>
                      <w:p w14:paraId="5B6E6342" w14:textId="2CF957FC"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723.4</w:t>
                        </w:r>
                      </w:p>
                    </w:tc>
                    <w:tc>
                      <w:tcPr>
                        <w:tcW w:w="500" w:type="pct"/>
                        <w:tcBorders>
                          <w:top w:val="nil"/>
                          <w:left w:val="nil"/>
                          <w:bottom w:val="nil"/>
                          <w:right w:val="nil"/>
                        </w:tcBorders>
                        <w:shd w:val="clear" w:color="auto" w:fill="auto"/>
                        <w:tcMar>
                          <w:right w:w="113" w:type="dxa"/>
                        </w:tcMar>
                        <w:vAlign w:val="center"/>
                      </w:tcPr>
                      <w:p w14:paraId="34E2CAD8" w14:textId="4A51E7BA"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446.2</w:t>
                        </w:r>
                      </w:p>
                    </w:tc>
                    <w:tc>
                      <w:tcPr>
                        <w:tcW w:w="500" w:type="pct"/>
                        <w:tcBorders>
                          <w:top w:val="nil"/>
                          <w:left w:val="nil"/>
                          <w:bottom w:val="nil"/>
                          <w:right w:val="nil"/>
                        </w:tcBorders>
                        <w:shd w:val="clear" w:color="auto" w:fill="auto"/>
                        <w:tcMar>
                          <w:right w:w="113" w:type="dxa"/>
                        </w:tcMar>
                        <w:vAlign w:val="center"/>
                      </w:tcPr>
                      <w:p w14:paraId="7B8CA193" w14:textId="30E08EAD"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030B2C">
                          <w:rPr>
                            <w:rFonts w:ascii="Arial" w:eastAsia="Times New Roman" w:hAnsi="Arial" w:cs="Arial"/>
                            <w:bCs/>
                            <w:sz w:val="18"/>
                            <w:szCs w:val="18"/>
                            <w:lang w:eastAsia="en-AU"/>
                          </w:rPr>
                          <w:t>104.1</w:t>
                        </w:r>
                      </w:p>
                    </w:tc>
                    <w:tc>
                      <w:tcPr>
                        <w:tcW w:w="500" w:type="pct"/>
                        <w:tcBorders>
                          <w:top w:val="nil"/>
                          <w:left w:val="nil"/>
                          <w:bottom w:val="nil"/>
                          <w:right w:val="nil"/>
                        </w:tcBorders>
                        <w:shd w:val="clear" w:color="auto" w:fill="auto"/>
                        <w:tcMar>
                          <w:right w:w="113" w:type="dxa"/>
                        </w:tcMar>
                        <w:vAlign w:val="center"/>
                      </w:tcPr>
                      <w:p w14:paraId="5D1F6DD3" w14:textId="554AD7A9"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118.7</w:t>
                        </w:r>
                      </w:p>
                    </w:tc>
                    <w:tc>
                      <w:tcPr>
                        <w:tcW w:w="415" w:type="pct"/>
                        <w:tcBorders>
                          <w:top w:val="nil"/>
                          <w:left w:val="nil"/>
                          <w:bottom w:val="nil"/>
                          <w:right w:val="nil"/>
                        </w:tcBorders>
                        <w:shd w:val="clear" w:color="auto" w:fill="auto"/>
                        <w:tcMar>
                          <w:right w:w="113" w:type="dxa"/>
                        </w:tcMar>
                        <w:vAlign w:val="center"/>
                      </w:tcPr>
                      <w:p w14:paraId="19C52760" w14:textId="59CF2535"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78.4</w:t>
                        </w:r>
                      </w:p>
                    </w:tc>
                    <w:tc>
                      <w:tcPr>
                        <w:tcW w:w="585" w:type="pct"/>
                        <w:tcBorders>
                          <w:top w:val="nil"/>
                          <w:left w:val="nil"/>
                          <w:bottom w:val="nil"/>
                          <w:right w:val="nil"/>
                        </w:tcBorders>
                        <w:shd w:val="clear" w:color="auto" w:fill="auto"/>
                        <w:tcMar>
                          <w:right w:w="28" w:type="dxa"/>
                        </w:tcMar>
                        <w:vAlign w:val="center"/>
                      </w:tcPr>
                      <w:p w14:paraId="3B843AAF" w14:textId="47A3C408" w:rsidR="000C5FCB" w:rsidRPr="00C515A8" w:rsidRDefault="000C5FCB" w:rsidP="009916C8">
                        <w:pPr>
                          <w:tabs>
                            <w:tab w:val="left" w:pos="709"/>
                          </w:tabs>
                          <w:spacing w:after="40" w:line="200" w:lineRule="atLeast"/>
                          <w:ind w:left="6"/>
                          <w:jc w:val="right"/>
                          <w:rPr>
                            <w:rFonts w:ascii="Arial" w:eastAsia="Times New Roman" w:hAnsi="Arial" w:cs="Arial"/>
                            <w:bCs/>
                            <w:sz w:val="18"/>
                            <w:szCs w:val="18"/>
                            <w:lang w:eastAsia="en-AU"/>
                          </w:rPr>
                        </w:pPr>
                        <w:r w:rsidRPr="00030B2C">
                          <w:rPr>
                            <w:rFonts w:ascii="Arial" w:eastAsia="Times New Roman" w:hAnsi="Arial" w:cs="Arial"/>
                            <w:bCs/>
                            <w:sz w:val="18"/>
                            <w:szCs w:val="18"/>
                            <w:lang w:eastAsia="en-AU"/>
                          </w:rPr>
                          <w:t>3</w:t>
                        </w:r>
                        <w:r w:rsidR="00E14A44">
                          <w:rPr>
                            <w:rFonts w:ascii="Arial" w:eastAsia="Times New Roman" w:hAnsi="Arial" w:cs="Arial"/>
                            <w:bCs/>
                            <w:sz w:val="18"/>
                            <w:szCs w:val="18"/>
                            <w:lang w:eastAsia="en-AU"/>
                          </w:rPr>
                          <w:t xml:space="preserve"> </w:t>
                        </w:r>
                        <w:r w:rsidRPr="00030B2C">
                          <w:rPr>
                            <w:rFonts w:ascii="Arial" w:eastAsia="Times New Roman" w:hAnsi="Arial" w:cs="Arial"/>
                            <w:bCs/>
                            <w:sz w:val="18"/>
                            <w:szCs w:val="18"/>
                            <w:lang w:eastAsia="en-AU"/>
                          </w:rPr>
                          <w:t>784.6</w:t>
                        </w:r>
                      </w:p>
                    </w:tc>
                  </w:tr>
                  <w:tr w:rsidR="000C5FCB" w14:paraId="63385A1E" w14:textId="77777777" w:rsidTr="00604CB2">
                    <w:tc>
                      <w:tcPr>
                        <w:tcW w:w="500" w:type="pct"/>
                        <w:shd w:val="clear" w:color="auto" w:fill="auto"/>
                        <w:vAlign w:val="bottom"/>
                      </w:tcPr>
                      <w:p w14:paraId="62967E44" w14:textId="77777777" w:rsidR="000C5FCB" w:rsidRPr="008120D6" w:rsidRDefault="000C5FCB" w:rsidP="000C5FCB">
                        <w:pPr>
                          <w:spacing w:after="40" w:line="200" w:lineRule="atLeast"/>
                          <w:ind w:left="6" w:right="113"/>
                          <w:jc w:val="right"/>
                          <w:rPr>
                            <w:rFonts w:ascii="Arial" w:hAnsi="Arial" w:cs="Arial"/>
                            <w:bCs/>
                            <w:sz w:val="18"/>
                            <w:szCs w:val="18"/>
                          </w:rPr>
                        </w:pPr>
                        <w:r w:rsidRPr="008120D6">
                          <w:rPr>
                            <w:rFonts w:ascii="Arial" w:hAnsi="Arial" w:cs="Arial"/>
                            <w:bCs/>
                            <w:sz w:val="18"/>
                            <w:szCs w:val="18"/>
                          </w:rPr>
                          <w:t>2014</w:t>
                        </w:r>
                        <w:r w:rsidRPr="008120D6">
                          <w:rPr>
                            <w:rFonts w:ascii="Arial" w:hAnsi="Arial" w:cs="Arial"/>
                            <w:bCs/>
                            <w:sz w:val="18"/>
                            <w:szCs w:val="18"/>
                          </w:rPr>
                          <w:noBreakHyphen/>
                          <w:t>15</w:t>
                        </w:r>
                      </w:p>
                    </w:tc>
                    <w:tc>
                      <w:tcPr>
                        <w:tcW w:w="500" w:type="pct"/>
                        <w:tcBorders>
                          <w:top w:val="nil"/>
                          <w:left w:val="nil"/>
                          <w:bottom w:val="nil"/>
                          <w:right w:val="nil"/>
                        </w:tcBorders>
                        <w:shd w:val="clear" w:color="auto" w:fill="auto"/>
                        <w:tcMar>
                          <w:right w:w="113" w:type="dxa"/>
                        </w:tcMar>
                        <w:vAlign w:val="center"/>
                      </w:tcPr>
                      <w:p w14:paraId="4276F050" w14:textId="3ABBD612"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w:t>
                        </w:r>
                        <w:r w:rsidR="00E14A44">
                          <w:rPr>
                            <w:rFonts w:ascii="Arial" w:eastAsia="Times New Roman" w:hAnsi="Arial" w:cs="Arial"/>
                            <w:bCs/>
                            <w:sz w:val="18"/>
                            <w:szCs w:val="18"/>
                            <w:lang w:eastAsia="en-AU"/>
                          </w:rPr>
                          <w:t xml:space="preserve"> </w:t>
                        </w:r>
                        <w:r w:rsidRPr="00C515A8">
                          <w:rPr>
                            <w:rFonts w:ascii="Arial" w:eastAsia="Times New Roman" w:hAnsi="Arial" w:cs="Arial"/>
                            <w:bCs/>
                            <w:sz w:val="18"/>
                            <w:szCs w:val="18"/>
                            <w:lang w:eastAsia="en-AU"/>
                          </w:rPr>
                          <w:t>241.1</w:t>
                        </w:r>
                      </w:p>
                    </w:tc>
                    <w:tc>
                      <w:tcPr>
                        <w:tcW w:w="500" w:type="pct"/>
                        <w:tcBorders>
                          <w:top w:val="nil"/>
                          <w:left w:val="nil"/>
                          <w:bottom w:val="nil"/>
                          <w:right w:val="nil"/>
                        </w:tcBorders>
                        <w:shd w:val="clear" w:color="auto" w:fill="auto"/>
                        <w:tcMar>
                          <w:right w:w="113" w:type="dxa"/>
                        </w:tcMar>
                        <w:vAlign w:val="center"/>
                      </w:tcPr>
                      <w:p w14:paraId="67EDFF55" w14:textId="39739C8A"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578.1</w:t>
                        </w:r>
                      </w:p>
                    </w:tc>
                    <w:tc>
                      <w:tcPr>
                        <w:tcW w:w="500" w:type="pct"/>
                        <w:tcBorders>
                          <w:top w:val="nil"/>
                          <w:left w:val="nil"/>
                          <w:bottom w:val="nil"/>
                          <w:right w:val="nil"/>
                        </w:tcBorders>
                        <w:shd w:val="clear" w:color="auto" w:fill="auto"/>
                        <w:tcMar>
                          <w:right w:w="113" w:type="dxa"/>
                        </w:tcMar>
                        <w:vAlign w:val="center"/>
                      </w:tcPr>
                      <w:p w14:paraId="30694AA7" w14:textId="48E8D9D0"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608.0</w:t>
                        </w:r>
                      </w:p>
                    </w:tc>
                    <w:tc>
                      <w:tcPr>
                        <w:tcW w:w="500" w:type="pct"/>
                        <w:tcBorders>
                          <w:top w:val="nil"/>
                          <w:left w:val="nil"/>
                          <w:bottom w:val="nil"/>
                          <w:right w:val="nil"/>
                        </w:tcBorders>
                        <w:shd w:val="clear" w:color="auto" w:fill="auto"/>
                        <w:tcMar>
                          <w:right w:w="113" w:type="dxa"/>
                        </w:tcMar>
                        <w:vAlign w:val="center"/>
                      </w:tcPr>
                      <w:p w14:paraId="5261BC4A" w14:textId="0FFC5D4F"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699.0</w:t>
                        </w:r>
                      </w:p>
                    </w:tc>
                    <w:tc>
                      <w:tcPr>
                        <w:tcW w:w="500" w:type="pct"/>
                        <w:tcBorders>
                          <w:top w:val="nil"/>
                          <w:left w:val="nil"/>
                          <w:bottom w:val="nil"/>
                          <w:right w:val="nil"/>
                        </w:tcBorders>
                        <w:shd w:val="clear" w:color="auto" w:fill="auto"/>
                        <w:tcMar>
                          <w:right w:w="113" w:type="dxa"/>
                        </w:tcMar>
                        <w:vAlign w:val="center"/>
                      </w:tcPr>
                      <w:p w14:paraId="0A8131A3" w14:textId="5B023798"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448.7</w:t>
                        </w:r>
                      </w:p>
                    </w:tc>
                    <w:tc>
                      <w:tcPr>
                        <w:tcW w:w="500" w:type="pct"/>
                        <w:tcBorders>
                          <w:top w:val="nil"/>
                          <w:left w:val="nil"/>
                          <w:bottom w:val="nil"/>
                          <w:right w:val="nil"/>
                        </w:tcBorders>
                        <w:shd w:val="clear" w:color="auto" w:fill="auto"/>
                        <w:tcMar>
                          <w:right w:w="113" w:type="dxa"/>
                        </w:tcMar>
                        <w:vAlign w:val="center"/>
                      </w:tcPr>
                      <w:p w14:paraId="1959EA06" w14:textId="609524C0"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030B2C">
                          <w:rPr>
                            <w:rFonts w:ascii="Arial" w:eastAsia="Times New Roman" w:hAnsi="Arial" w:cs="Arial"/>
                            <w:bCs/>
                            <w:sz w:val="18"/>
                            <w:szCs w:val="18"/>
                            <w:lang w:eastAsia="en-AU"/>
                          </w:rPr>
                          <w:t>112.1</w:t>
                        </w:r>
                      </w:p>
                    </w:tc>
                    <w:tc>
                      <w:tcPr>
                        <w:tcW w:w="500" w:type="pct"/>
                        <w:tcBorders>
                          <w:top w:val="nil"/>
                          <w:left w:val="nil"/>
                          <w:bottom w:val="nil"/>
                          <w:right w:val="nil"/>
                        </w:tcBorders>
                        <w:shd w:val="clear" w:color="auto" w:fill="auto"/>
                        <w:tcMar>
                          <w:right w:w="113" w:type="dxa"/>
                        </w:tcMar>
                        <w:vAlign w:val="center"/>
                      </w:tcPr>
                      <w:p w14:paraId="29739750" w14:textId="756C63CC"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116.2</w:t>
                        </w:r>
                      </w:p>
                    </w:tc>
                    <w:tc>
                      <w:tcPr>
                        <w:tcW w:w="415" w:type="pct"/>
                        <w:tcBorders>
                          <w:top w:val="nil"/>
                          <w:left w:val="nil"/>
                          <w:bottom w:val="nil"/>
                          <w:right w:val="nil"/>
                        </w:tcBorders>
                        <w:shd w:val="clear" w:color="auto" w:fill="auto"/>
                        <w:tcMar>
                          <w:right w:w="113" w:type="dxa"/>
                        </w:tcMar>
                        <w:vAlign w:val="center"/>
                      </w:tcPr>
                      <w:p w14:paraId="52809534" w14:textId="588C35F3"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84.6</w:t>
                        </w:r>
                      </w:p>
                    </w:tc>
                    <w:tc>
                      <w:tcPr>
                        <w:tcW w:w="585" w:type="pct"/>
                        <w:tcBorders>
                          <w:top w:val="nil"/>
                          <w:left w:val="nil"/>
                          <w:bottom w:val="nil"/>
                          <w:right w:val="nil"/>
                        </w:tcBorders>
                        <w:shd w:val="clear" w:color="auto" w:fill="auto"/>
                        <w:tcMar>
                          <w:right w:w="28" w:type="dxa"/>
                        </w:tcMar>
                        <w:vAlign w:val="center"/>
                      </w:tcPr>
                      <w:p w14:paraId="29E8CE20" w14:textId="3B5D118F" w:rsidR="000C5FCB" w:rsidRPr="00C515A8" w:rsidRDefault="000C5FCB" w:rsidP="009916C8">
                        <w:pPr>
                          <w:tabs>
                            <w:tab w:val="left" w:pos="709"/>
                          </w:tabs>
                          <w:spacing w:after="40" w:line="200" w:lineRule="atLeast"/>
                          <w:ind w:left="6"/>
                          <w:jc w:val="right"/>
                          <w:rPr>
                            <w:rFonts w:ascii="Arial" w:eastAsia="Times New Roman" w:hAnsi="Arial" w:cs="Arial"/>
                            <w:bCs/>
                            <w:sz w:val="18"/>
                            <w:szCs w:val="18"/>
                            <w:lang w:eastAsia="en-AU"/>
                          </w:rPr>
                        </w:pPr>
                        <w:r w:rsidRPr="00030B2C">
                          <w:rPr>
                            <w:rFonts w:ascii="Arial" w:eastAsia="Times New Roman" w:hAnsi="Arial" w:cs="Arial"/>
                            <w:bCs/>
                            <w:sz w:val="18"/>
                            <w:szCs w:val="18"/>
                            <w:lang w:eastAsia="en-AU"/>
                          </w:rPr>
                          <w:t>3</w:t>
                        </w:r>
                        <w:r w:rsidR="00E14A44">
                          <w:rPr>
                            <w:rFonts w:ascii="Arial" w:eastAsia="Times New Roman" w:hAnsi="Arial" w:cs="Arial"/>
                            <w:bCs/>
                            <w:sz w:val="18"/>
                            <w:szCs w:val="18"/>
                            <w:lang w:eastAsia="en-AU"/>
                          </w:rPr>
                          <w:t xml:space="preserve"> </w:t>
                        </w:r>
                        <w:r w:rsidRPr="00030B2C">
                          <w:rPr>
                            <w:rFonts w:ascii="Arial" w:eastAsia="Times New Roman" w:hAnsi="Arial" w:cs="Arial"/>
                            <w:bCs/>
                            <w:sz w:val="18"/>
                            <w:szCs w:val="18"/>
                            <w:lang w:eastAsia="en-AU"/>
                          </w:rPr>
                          <w:t>887.9</w:t>
                        </w:r>
                      </w:p>
                    </w:tc>
                  </w:tr>
                  <w:tr w:rsidR="000C5FCB" w14:paraId="2EF28A03" w14:textId="77777777" w:rsidTr="00604CB2">
                    <w:tc>
                      <w:tcPr>
                        <w:tcW w:w="500" w:type="pct"/>
                        <w:shd w:val="clear" w:color="auto" w:fill="auto"/>
                        <w:vAlign w:val="bottom"/>
                      </w:tcPr>
                      <w:p w14:paraId="03E62F75" w14:textId="77777777" w:rsidR="000C5FCB" w:rsidRPr="008120D6" w:rsidRDefault="000C5FCB" w:rsidP="000C5FCB">
                        <w:pPr>
                          <w:spacing w:after="40" w:line="200" w:lineRule="atLeast"/>
                          <w:ind w:left="6" w:right="113"/>
                          <w:jc w:val="right"/>
                          <w:rPr>
                            <w:rFonts w:ascii="Arial" w:hAnsi="Arial" w:cs="Arial"/>
                            <w:bCs/>
                            <w:sz w:val="18"/>
                            <w:szCs w:val="18"/>
                          </w:rPr>
                        </w:pPr>
                        <w:r w:rsidRPr="008120D6">
                          <w:rPr>
                            <w:rFonts w:ascii="Arial" w:hAnsi="Arial" w:cs="Arial"/>
                            <w:bCs/>
                            <w:sz w:val="18"/>
                            <w:szCs w:val="18"/>
                          </w:rPr>
                          <w:t>2013</w:t>
                        </w:r>
                        <w:r w:rsidRPr="008120D6">
                          <w:rPr>
                            <w:rFonts w:ascii="Arial" w:hAnsi="Arial" w:cs="Arial"/>
                            <w:bCs/>
                            <w:sz w:val="18"/>
                            <w:szCs w:val="18"/>
                          </w:rPr>
                          <w:noBreakHyphen/>
                          <w:t>14</w:t>
                        </w:r>
                      </w:p>
                    </w:tc>
                    <w:tc>
                      <w:tcPr>
                        <w:tcW w:w="500" w:type="pct"/>
                        <w:tcBorders>
                          <w:top w:val="nil"/>
                          <w:left w:val="nil"/>
                          <w:right w:val="nil"/>
                        </w:tcBorders>
                        <w:shd w:val="clear" w:color="auto" w:fill="auto"/>
                        <w:tcMar>
                          <w:right w:w="113" w:type="dxa"/>
                        </w:tcMar>
                        <w:vAlign w:val="center"/>
                      </w:tcPr>
                      <w:p w14:paraId="30B746F7" w14:textId="6B3F122D"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w:t>
                        </w:r>
                        <w:r w:rsidR="00E14A44">
                          <w:rPr>
                            <w:rFonts w:ascii="Arial" w:eastAsia="Times New Roman" w:hAnsi="Arial" w:cs="Arial"/>
                            <w:bCs/>
                            <w:sz w:val="18"/>
                            <w:szCs w:val="18"/>
                            <w:lang w:eastAsia="en-AU"/>
                          </w:rPr>
                          <w:t xml:space="preserve"> </w:t>
                        </w:r>
                        <w:r w:rsidRPr="00C515A8">
                          <w:rPr>
                            <w:rFonts w:ascii="Arial" w:eastAsia="Times New Roman" w:hAnsi="Arial" w:cs="Arial"/>
                            <w:bCs/>
                            <w:sz w:val="18"/>
                            <w:szCs w:val="18"/>
                            <w:lang w:eastAsia="en-AU"/>
                          </w:rPr>
                          <w:t>374.7</w:t>
                        </w:r>
                      </w:p>
                    </w:tc>
                    <w:tc>
                      <w:tcPr>
                        <w:tcW w:w="500" w:type="pct"/>
                        <w:tcBorders>
                          <w:top w:val="nil"/>
                          <w:left w:val="nil"/>
                          <w:right w:val="nil"/>
                        </w:tcBorders>
                        <w:shd w:val="clear" w:color="auto" w:fill="auto"/>
                        <w:tcMar>
                          <w:right w:w="113" w:type="dxa"/>
                        </w:tcMar>
                        <w:vAlign w:val="center"/>
                      </w:tcPr>
                      <w:p w14:paraId="022A32B3" w14:textId="1D43AC25"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505.1</w:t>
                        </w:r>
                      </w:p>
                    </w:tc>
                    <w:tc>
                      <w:tcPr>
                        <w:tcW w:w="500" w:type="pct"/>
                        <w:tcBorders>
                          <w:top w:val="nil"/>
                          <w:left w:val="nil"/>
                          <w:right w:val="nil"/>
                        </w:tcBorders>
                        <w:shd w:val="clear" w:color="auto" w:fill="auto"/>
                        <w:tcMar>
                          <w:right w:w="113" w:type="dxa"/>
                        </w:tcMar>
                        <w:vAlign w:val="center"/>
                      </w:tcPr>
                      <w:p w14:paraId="27E79CA6" w14:textId="6DEE2F54"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515.6</w:t>
                        </w:r>
                      </w:p>
                    </w:tc>
                    <w:tc>
                      <w:tcPr>
                        <w:tcW w:w="500" w:type="pct"/>
                        <w:tcBorders>
                          <w:top w:val="nil"/>
                          <w:left w:val="nil"/>
                          <w:right w:val="nil"/>
                        </w:tcBorders>
                        <w:shd w:val="clear" w:color="auto" w:fill="auto"/>
                        <w:tcMar>
                          <w:right w:w="113" w:type="dxa"/>
                        </w:tcMar>
                        <w:vAlign w:val="center"/>
                      </w:tcPr>
                      <w:p w14:paraId="7B7158CE" w14:textId="77965ECC"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754.0</w:t>
                        </w:r>
                      </w:p>
                    </w:tc>
                    <w:tc>
                      <w:tcPr>
                        <w:tcW w:w="500" w:type="pct"/>
                        <w:tcBorders>
                          <w:top w:val="nil"/>
                          <w:left w:val="nil"/>
                          <w:right w:val="nil"/>
                        </w:tcBorders>
                        <w:shd w:val="clear" w:color="auto" w:fill="auto"/>
                        <w:tcMar>
                          <w:right w:w="113" w:type="dxa"/>
                        </w:tcMar>
                        <w:vAlign w:val="center"/>
                      </w:tcPr>
                      <w:p w14:paraId="4668D923" w14:textId="7AD554FA"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423.8</w:t>
                        </w:r>
                      </w:p>
                    </w:tc>
                    <w:tc>
                      <w:tcPr>
                        <w:tcW w:w="500" w:type="pct"/>
                        <w:tcBorders>
                          <w:top w:val="nil"/>
                          <w:left w:val="nil"/>
                          <w:right w:val="nil"/>
                        </w:tcBorders>
                        <w:shd w:val="clear" w:color="auto" w:fill="auto"/>
                        <w:tcMar>
                          <w:right w:w="113" w:type="dxa"/>
                        </w:tcMar>
                        <w:vAlign w:val="center"/>
                      </w:tcPr>
                      <w:p w14:paraId="3F5EE8C2" w14:textId="16E902FF"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148.4</w:t>
                        </w:r>
                      </w:p>
                    </w:tc>
                    <w:tc>
                      <w:tcPr>
                        <w:tcW w:w="500" w:type="pct"/>
                        <w:tcBorders>
                          <w:top w:val="nil"/>
                          <w:left w:val="nil"/>
                          <w:right w:val="nil"/>
                        </w:tcBorders>
                        <w:shd w:val="clear" w:color="auto" w:fill="auto"/>
                        <w:tcMar>
                          <w:right w:w="113" w:type="dxa"/>
                        </w:tcMar>
                        <w:vAlign w:val="center"/>
                      </w:tcPr>
                      <w:p w14:paraId="37143A89" w14:textId="0CD85CCA"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115.7</w:t>
                        </w:r>
                      </w:p>
                    </w:tc>
                    <w:tc>
                      <w:tcPr>
                        <w:tcW w:w="415" w:type="pct"/>
                        <w:tcBorders>
                          <w:top w:val="nil"/>
                          <w:left w:val="nil"/>
                          <w:right w:val="nil"/>
                        </w:tcBorders>
                        <w:shd w:val="clear" w:color="auto" w:fill="auto"/>
                        <w:tcMar>
                          <w:right w:w="113" w:type="dxa"/>
                        </w:tcMar>
                        <w:vAlign w:val="center"/>
                      </w:tcPr>
                      <w:p w14:paraId="1E166E5E" w14:textId="5B0F8FC0" w:rsidR="000C5FCB" w:rsidRPr="00C515A8" w:rsidRDefault="000C5FCB" w:rsidP="009916C8">
                        <w:pPr>
                          <w:spacing w:after="40" w:line="200" w:lineRule="atLeast"/>
                          <w:ind w:left="6" w:right="-68"/>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84.9</w:t>
                        </w:r>
                      </w:p>
                    </w:tc>
                    <w:tc>
                      <w:tcPr>
                        <w:tcW w:w="585" w:type="pct"/>
                        <w:tcBorders>
                          <w:top w:val="nil"/>
                          <w:left w:val="nil"/>
                          <w:right w:val="nil"/>
                        </w:tcBorders>
                        <w:shd w:val="clear" w:color="auto" w:fill="auto"/>
                        <w:tcMar>
                          <w:right w:w="28" w:type="dxa"/>
                        </w:tcMar>
                        <w:vAlign w:val="center"/>
                      </w:tcPr>
                      <w:p w14:paraId="5D94C265" w14:textId="4133FD7F" w:rsidR="000C5FCB" w:rsidRPr="00C515A8" w:rsidRDefault="000C5FCB" w:rsidP="009916C8">
                        <w:pPr>
                          <w:tabs>
                            <w:tab w:val="left" w:pos="709"/>
                          </w:tabs>
                          <w:spacing w:after="40" w:line="200" w:lineRule="atLeast"/>
                          <w:ind w:left="6"/>
                          <w:jc w:val="right"/>
                          <w:rPr>
                            <w:rFonts w:ascii="Arial" w:eastAsia="Times New Roman" w:hAnsi="Arial" w:cs="Arial"/>
                            <w:bCs/>
                            <w:sz w:val="18"/>
                            <w:szCs w:val="18"/>
                            <w:lang w:eastAsia="en-AU"/>
                          </w:rPr>
                        </w:pPr>
                        <w:r w:rsidRPr="00C515A8">
                          <w:rPr>
                            <w:rFonts w:ascii="Arial" w:eastAsia="Times New Roman" w:hAnsi="Arial" w:cs="Arial"/>
                            <w:bCs/>
                            <w:sz w:val="18"/>
                            <w:szCs w:val="18"/>
                            <w:lang w:eastAsia="en-AU"/>
                          </w:rPr>
                          <w:t>3</w:t>
                        </w:r>
                        <w:r w:rsidR="00E14A44">
                          <w:rPr>
                            <w:rFonts w:ascii="Arial" w:eastAsia="Times New Roman" w:hAnsi="Arial" w:cs="Arial"/>
                            <w:bCs/>
                            <w:sz w:val="18"/>
                            <w:szCs w:val="18"/>
                            <w:lang w:eastAsia="en-AU"/>
                          </w:rPr>
                          <w:t xml:space="preserve"> </w:t>
                        </w:r>
                        <w:r w:rsidRPr="00C515A8">
                          <w:rPr>
                            <w:rFonts w:ascii="Arial" w:eastAsia="Times New Roman" w:hAnsi="Arial" w:cs="Arial"/>
                            <w:bCs/>
                            <w:sz w:val="18"/>
                            <w:szCs w:val="18"/>
                            <w:lang w:eastAsia="en-AU"/>
                          </w:rPr>
                          <w:t>922.4</w:t>
                        </w:r>
                      </w:p>
                    </w:tc>
                  </w:tr>
                  <w:tr w:rsidR="000C5FCB" w14:paraId="0008319F" w14:textId="77777777" w:rsidTr="00604CB2">
                    <w:tc>
                      <w:tcPr>
                        <w:tcW w:w="500" w:type="pct"/>
                        <w:tcBorders>
                          <w:bottom w:val="single" w:sz="6" w:space="0" w:color="BFBFBF" w:themeColor="background2"/>
                        </w:tcBorders>
                        <w:shd w:val="clear" w:color="auto" w:fill="auto"/>
                        <w:vAlign w:val="bottom"/>
                      </w:tcPr>
                      <w:p w14:paraId="29A56F74" w14:textId="77777777" w:rsidR="000C5FCB" w:rsidRPr="008120D6" w:rsidRDefault="000C5FCB" w:rsidP="000C5FCB">
                        <w:pPr>
                          <w:spacing w:after="40" w:line="200" w:lineRule="atLeast"/>
                          <w:ind w:left="6" w:right="113"/>
                          <w:jc w:val="right"/>
                          <w:rPr>
                            <w:rFonts w:ascii="Arial" w:hAnsi="Arial" w:cs="Arial"/>
                            <w:bCs/>
                            <w:sz w:val="18"/>
                            <w:szCs w:val="18"/>
                          </w:rPr>
                        </w:pPr>
                        <w:r w:rsidRPr="008120D6">
                          <w:rPr>
                            <w:rFonts w:ascii="Arial" w:hAnsi="Arial" w:cs="Arial"/>
                            <w:bCs/>
                            <w:sz w:val="18"/>
                            <w:szCs w:val="18"/>
                          </w:rPr>
                          <w:t>2012</w:t>
                        </w:r>
                        <w:r w:rsidRPr="008120D6">
                          <w:rPr>
                            <w:rFonts w:ascii="Arial" w:hAnsi="Arial" w:cs="Arial"/>
                            <w:bCs/>
                            <w:sz w:val="18"/>
                            <w:szCs w:val="18"/>
                          </w:rPr>
                          <w:noBreakHyphen/>
                          <w:t>13</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4AB1913A" w14:textId="26EA55AE"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1</w:t>
                        </w:r>
                        <w:r w:rsidR="00E14A44">
                          <w:rPr>
                            <w:rFonts w:ascii="Arial" w:eastAsia="Times New Roman" w:hAnsi="Arial" w:cs="Arial"/>
                            <w:bCs/>
                            <w:sz w:val="18"/>
                            <w:szCs w:val="18"/>
                            <w:lang w:eastAsia="en-AU"/>
                          </w:rPr>
                          <w:t xml:space="preserve"> </w:t>
                        </w:r>
                        <w:r w:rsidRPr="00FA49F5">
                          <w:rPr>
                            <w:rFonts w:ascii="Arial" w:eastAsia="Times New Roman" w:hAnsi="Arial" w:cs="Arial"/>
                            <w:bCs/>
                            <w:sz w:val="18"/>
                            <w:szCs w:val="18"/>
                            <w:lang w:eastAsia="en-AU"/>
                          </w:rPr>
                          <w:t>285.2</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191D40FA" w14:textId="6CC304F0"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498.3</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125287AC" w14:textId="17E48F25"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571.8</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032B8497" w14:textId="5B19875B"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809.8</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378A43B0" w14:textId="7C1FE663"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468.3</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4E537E92" w14:textId="2EE7F8BC"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146.7</w:t>
                        </w:r>
                      </w:p>
                    </w:tc>
                    <w:tc>
                      <w:tcPr>
                        <w:tcW w:w="500" w:type="pct"/>
                        <w:tcBorders>
                          <w:top w:val="nil"/>
                          <w:left w:val="nil"/>
                          <w:bottom w:val="single" w:sz="6" w:space="0" w:color="BFBFBF" w:themeColor="background2"/>
                          <w:right w:val="nil"/>
                        </w:tcBorders>
                        <w:shd w:val="clear" w:color="auto" w:fill="auto"/>
                        <w:tcMar>
                          <w:right w:w="113" w:type="dxa"/>
                        </w:tcMar>
                        <w:vAlign w:val="center"/>
                      </w:tcPr>
                      <w:p w14:paraId="742B8A64" w14:textId="2D703DE4"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117.4</w:t>
                        </w:r>
                      </w:p>
                    </w:tc>
                    <w:tc>
                      <w:tcPr>
                        <w:tcW w:w="415" w:type="pct"/>
                        <w:tcBorders>
                          <w:top w:val="nil"/>
                          <w:left w:val="nil"/>
                          <w:bottom w:val="single" w:sz="6" w:space="0" w:color="BFBFBF" w:themeColor="background2"/>
                          <w:right w:val="nil"/>
                        </w:tcBorders>
                        <w:shd w:val="clear" w:color="auto" w:fill="auto"/>
                        <w:tcMar>
                          <w:right w:w="113" w:type="dxa"/>
                        </w:tcMar>
                        <w:vAlign w:val="center"/>
                      </w:tcPr>
                      <w:p w14:paraId="456918FC" w14:textId="1963A36D" w:rsidR="000C5FCB" w:rsidRPr="00AC753F" w:rsidRDefault="000C5FCB" w:rsidP="009916C8">
                        <w:pPr>
                          <w:spacing w:after="40" w:line="200" w:lineRule="atLeast"/>
                          <w:ind w:left="6" w:right="-68"/>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81.4</w:t>
                        </w:r>
                      </w:p>
                    </w:tc>
                    <w:tc>
                      <w:tcPr>
                        <w:tcW w:w="585" w:type="pct"/>
                        <w:tcBorders>
                          <w:top w:val="nil"/>
                          <w:left w:val="nil"/>
                          <w:bottom w:val="single" w:sz="6" w:space="0" w:color="BFBFBF" w:themeColor="background2"/>
                          <w:right w:val="nil"/>
                        </w:tcBorders>
                        <w:shd w:val="clear" w:color="auto" w:fill="auto"/>
                        <w:tcMar>
                          <w:right w:w="28" w:type="dxa"/>
                        </w:tcMar>
                        <w:vAlign w:val="center"/>
                      </w:tcPr>
                      <w:p w14:paraId="6BF062B9" w14:textId="56E865DD" w:rsidR="000C5FCB" w:rsidRPr="00AC753F" w:rsidRDefault="000C5FCB" w:rsidP="009916C8">
                        <w:pPr>
                          <w:tabs>
                            <w:tab w:val="left" w:pos="709"/>
                          </w:tabs>
                          <w:spacing w:after="40" w:line="200" w:lineRule="atLeast"/>
                          <w:ind w:left="6"/>
                          <w:jc w:val="right"/>
                          <w:rPr>
                            <w:rFonts w:ascii="Arial" w:eastAsia="Times New Roman" w:hAnsi="Arial" w:cs="Arial"/>
                            <w:bCs/>
                            <w:sz w:val="18"/>
                            <w:szCs w:val="18"/>
                            <w:lang w:eastAsia="en-AU"/>
                          </w:rPr>
                        </w:pPr>
                        <w:r w:rsidRPr="00FA49F5">
                          <w:rPr>
                            <w:rFonts w:ascii="Arial" w:eastAsia="Times New Roman" w:hAnsi="Arial" w:cs="Arial"/>
                            <w:bCs/>
                            <w:sz w:val="18"/>
                            <w:szCs w:val="18"/>
                            <w:lang w:eastAsia="en-AU"/>
                          </w:rPr>
                          <w:t>3</w:t>
                        </w:r>
                        <w:r w:rsidR="00E14A44">
                          <w:rPr>
                            <w:rFonts w:ascii="Arial" w:eastAsia="Times New Roman" w:hAnsi="Arial" w:cs="Arial"/>
                            <w:bCs/>
                            <w:sz w:val="18"/>
                            <w:szCs w:val="18"/>
                            <w:lang w:eastAsia="en-AU"/>
                          </w:rPr>
                          <w:t xml:space="preserve"> </w:t>
                        </w:r>
                        <w:r w:rsidRPr="00FA49F5">
                          <w:rPr>
                            <w:rFonts w:ascii="Arial" w:eastAsia="Times New Roman" w:hAnsi="Arial" w:cs="Arial"/>
                            <w:bCs/>
                            <w:sz w:val="18"/>
                            <w:szCs w:val="18"/>
                            <w:lang w:eastAsia="en-AU"/>
                          </w:rPr>
                          <w:t>978.9</w:t>
                        </w:r>
                      </w:p>
                    </w:tc>
                  </w:tr>
                </w:tbl>
                <w:p w14:paraId="55644F24" w14:textId="77777777" w:rsidR="000C5FCB" w:rsidRDefault="000C5FCB" w:rsidP="000C5FCB">
                  <w:pPr>
                    <w:pStyle w:val="TableColumnHeading"/>
                    <w:ind w:right="28"/>
                  </w:pPr>
                </w:p>
              </w:tc>
            </w:tr>
          </w:tbl>
          <w:p w14:paraId="2EB6430D" w14:textId="77777777" w:rsidR="000C5FCB" w:rsidRDefault="000C5FCB" w:rsidP="002B10F1">
            <w:pPr>
              <w:pStyle w:val="Box"/>
            </w:pPr>
          </w:p>
        </w:tc>
      </w:tr>
      <w:tr w:rsidR="000C5FCB" w14:paraId="1037F418" w14:textId="77777777" w:rsidTr="0099204A">
        <w:tc>
          <w:tcPr>
            <w:tcW w:w="5000" w:type="pct"/>
            <w:tcBorders>
              <w:top w:val="nil"/>
              <w:left w:val="nil"/>
              <w:bottom w:val="nil"/>
              <w:right w:val="nil"/>
            </w:tcBorders>
            <w:shd w:val="clear" w:color="auto" w:fill="auto"/>
          </w:tcPr>
          <w:p w14:paraId="56B8F265" w14:textId="0AD4E4DB" w:rsidR="000C5FCB" w:rsidRDefault="000C5FCB" w:rsidP="000C5FCB">
            <w:pPr>
              <w:pStyle w:val="Note"/>
              <w:rPr>
                <w:i/>
              </w:rPr>
            </w:pPr>
            <w:r w:rsidRPr="008E77FE">
              <w:rPr>
                <w:rStyle w:val="NoteLabel"/>
              </w:rPr>
              <w:t>a</w:t>
            </w:r>
            <w:r>
              <w:t xml:space="preserve"> See table </w:t>
            </w:r>
            <w:proofErr w:type="spellStart"/>
            <w:r>
              <w:rPr>
                <w:color w:val="000000" w:themeColor="text1"/>
              </w:rPr>
              <w:t>18A</w:t>
            </w:r>
            <w:r>
              <w:t>.1</w:t>
            </w:r>
            <w:proofErr w:type="spellEnd"/>
            <w:r>
              <w:t xml:space="preserve"> for detailed footnotes and caveats.</w:t>
            </w:r>
          </w:p>
        </w:tc>
      </w:tr>
      <w:tr w:rsidR="000C5FCB" w14:paraId="762BD3DD" w14:textId="77777777" w:rsidTr="00A335C3">
        <w:trPr>
          <w:trHeight w:val="278"/>
        </w:trPr>
        <w:tc>
          <w:tcPr>
            <w:tcW w:w="5000" w:type="pct"/>
            <w:tcBorders>
              <w:top w:val="nil"/>
              <w:left w:val="nil"/>
              <w:bottom w:val="nil"/>
              <w:right w:val="nil"/>
            </w:tcBorders>
            <w:shd w:val="clear" w:color="auto" w:fill="auto"/>
          </w:tcPr>
          <w:p w14:paraId="4D9C09AB" w14:textId="6D1E4C22" w:rsidR="000C5FCB" w:rsidRDefault="000C5FCB" w:rsidP="009916C8">
            <w:pPr>
              <w:pStyle w:val="Source"/>
              <w:spacing w:after="80"/>
            </w:pPr>
            <w:r>
              <w:rPr>
                <w:i/>
              </w:rPr>
              <w:t>Source</w:t>
            </w:r>
            <w:r w:rsidRPr="00167F06">
              <w:t xml:space="preserve">: </w:t>
            </w:r>
            <w:r w:rsidRPr="00620779">
              <w:t>State and Territory governments (unpublished); table</w:t>
            </w:r>
            <w:r>
              <w:t>s </w:t>
            </w:r>
            <w:proofErr w:type="spellStart"/>
            <w:r>
              <w:rPr>
                <w:color w:val="000000" w:themeColor="text1"/>
              </w:rPr>
              <w:t>18A</w:t>
            </w:r>
            <w:r>
              <w:t>.1</w:t>
            </w:r>
            <w:proofErr w:type="spellEnd"/>
            <w:r w:rsidRPr="00C2771E">
              <w:rPr>
                <w:color w:val="FF0000"/>
              </w:rPr>
              <w:t xml:space="preserve"> </w:t>
            </w:r>
            <w:r>
              <w:t xml:space="preserve">and </w:t>
            </w:r>
            <w:proofErr w:type="spellStart"/>
            <w:r>
              <w:t>2A.49</w:t>
            </w:r>
            <w:proofErr w:type="spellEnd"/>
            <w:r>
              <w:t>.</w:t>
            </w:r>
          </w:p>
        </w:tc>
      </w:tr>
      <w:tr w:rsidR="000C5FCB" w14:paraId="60708197" w14:textId="77777777" w:rsidTr="002B10F1">
        <w:tc>
          <w:tcPr>
            <w:tcW w:w="5000" w:type="pct"/>
            <w:tcBorders>
              <w:top w:val="nil"/>
              <w:left w:val="nil"/>
              <w:bottom w:val="single" w:sz="6" w:space="0" w:color="78A22F"/>
              <w:right w:val="nil"/>
            </w:tcBorders>
            <w:shd w:val="clear" w:color="auto" w:fill="auto"/>
          </w:tcPr>
          <w:p w14:paraId="0A6BB0F6" w14:textId="77777777" w:rsidR="000C5FCB" w:rsidRDefault="000C5FCB" w:rsidP="002B10F1">
            <w:pPr>
              <w:pStyle w:val="Box"/>
              <w:spacing w:before="0" w:line="120" w:lineRule="exact"/>
            </w:pPr>
          </w:p>
        </w:tc>
      </w:tr>
      <w:tr w:rsidR="000C5FCB" w:rsidRPr="000863A5" w14:paraId="45315160" w14:textId="77777777" w:rsidTr="002B10F1">
        <w:tc>
          <w:tcPr>
            <w:tcW w:w="5000" w:type="pct"/>
            <w:tcBorders>
              <w:top w:val="single" w:sz="6" w:space="0" w:color="78A22F"/>
              <w:left w:val="nil"/>
              <w:bottom w:val="nil"/>
              <w:right w:val="nil"/>
            </w:tcBorders>
          </w:tcPr>
          <w:p w14:paraId="57286ED9" w14:textId="7E1F26CB" w:rsidR="000C5FCB" w:rsidRPr="00626D32" w:rsidRDefault="000C5FCB" w:rsidP="002B10F1">
            <w:pPr>
              <w:pStyle w:val="BoxSpaceBelow"/>
            </w:pPr>
          </w:p>
        </w:tc>
      </w:tr>
    </w:tbl>
    <w:p w14:paraId="78474AE8" w14:textId="77777777" w:rsidR="00587A0C" w:rsidRDefault="001D3C52" w:rsidP="00087119">
      <w:pPr>
        <w:pStyle w:val="Heading3"/>
      </w:pPr>
      <w:r>
        <w:t>Size and scope</w:t>
      </w:r>
    </w:p>
    <w:p w14:paraId="6211916D" w14:textId="714AA97D" w:rsidR="009D6E68" w:rsidRPr="00A461EF" w:rsidRDefault="0046355B" w:rsidP="009D6E68">
      <w:pPr>
        <w:pStyle w:val="BodyText"/>
      </w:pPr>
      <w:r>
        <w:t xml:space="preserve">As at 30 June 2017, nationally there were a total </w:t>
      </w:r>
      <w:r w:rsidRPr="00D51E02">
        <w:t xml:space="preserve">of </w:t>
      </w:r>
      <w:r w:rsidR="005A7CF4" w:rsidRPr="00D51E02">
        <w:t xml:space="preserve">395 691 </w:t>
      </w:r>
      <w:r w:rsidRPr="001C01EC">
        <w:t xml:space="preserve">households and </w:t>
      </w:r>
      <w:r w:rsidR="00F73E9F" w:rsidRPr="001C01EC">
        <w:t xml:space="preserve">417 736 </w:t>
      </w:r>
      <w:r w:rsidRPr="001C01EC">
        <w:t xml:space="preserve">social housing </w:t>
      </w:r>
      <w:r w:rsidR="00C12E21" w:rsidRPr="001C01EC">
        <w:t>dwellings</w:t>
      </w:r>
      <w:r w:rsidR="00AC3C91" w:rsidRPr="001C01EC">
        <w:t xml:space="preserve"> (excl</w:t>
      </w:r>
      <w:r w:rsidR="00AC3C91" w:rsidRPr="00D51E02">
        <w:t xml:space="preserve">uding </w:t>
      </w:r>
      <w:proofErr w:type="spellStart"/>
      <w:r w:rsidR="00AC3C91" w:rsidRPr="00D51E02">
        <w:t>IC</w:t>
      </w:r>
      <w:r w:rsidR="00AC3C91">
        <w:t>H</w:t>
      </w:r>
      <w:proofErr w:type="spellEnd"/>
      <w:r w:rsidR="00AC3C91">
        <w:t xml:space="preserve">) (tables </w:t>
      </w:r>
      <w:proofErr w:type="spellStart"/>
      <w:r w:rsidR="00AC3C91">
        <w:t>18A.3</w:t>
      </w:r>
      <w:proofErr w:type="spellEnd"/>
      <w:r w:rsidR="00065516">
        <w:t>–</w:t>
      </w:r>
      <w:r>
        <w:t>4)</w:t>
      </w:r>
      <w:bookmarkStart w:id="9" w:name="OLE_LINK1"/>
      <w:r>
        <w:rPr>
          <w:rStyle w:val="FootnoteReference"/>
        </w:rPr>
        <w:footnoteReference w:id="3"/>
      </w:r>
      <w:bookmarkEnd w:id="9"/>
      <w:r>
        <w:t>, comprising:</w:t>
      </w:r>
    </w:p>
    <w:p w14:paraId="5704F935" w14:textId="02F4740C" w:rsidR="0046355B" w:rsidRPr="0073755A" w:rsidRDefault="00857908" w:rsidP="00857908">
      <w:pPr>
        <w:pStyle w:val="ListBullet"/>
      </w:pPr>
      <w:bookmarkStart w:id="10" w:name="_GoBack"/>
      <w:bookmarkEnd w:id="10"/>
      <w:r w:rsidRPr="00857908">
        <w:t>310 483 households and 319 913 public housing dwellings</w:t>
      </w:r>
    </w:p>
    <w:p w14:paraId="74D954B2" w14:textId="6CFF459D" w:rsidR="0046355B" w:rsidRDefault="0046355B" w:rsidP="00A74FF4">
      <w:pPr>
        <w:pStyle w:val="ListBullet"/>
      </w:pPr>
      <w:r>
        <w:t xml:space="preserve">9574 households and 14 921 </w:t>
      </w:r>
      <w:proofErr w:type="spellStart"/>
      <w:r>
        <w:t>SOMIH</w:t>
      </w:r>
      <w:proofErr w:type="spellEnd"/>
      <w:r>
        <w:t xml:space="preserve"> </w:t>
      </w:r>
      <w:proofErr w:type="spellStart"/>
      <w:r>
        <w:t>dwellings</w:t>
      </w:r>
      <w:r w:rsidR="00E6664D">
        <w:rPr>
          <w:vertAlign w:val="superscript"/>
        </w:rPr>
        <w:t>3</w:t>
      </w:r>
      <w:proofErr w:type="spellEnd"/>
      <w:r>
        <w:t xml:space="preserve"> — in 2017, </w:t>
      </w:r>
      <w:proofErr w:type="spellStart"/>
      <w:r>
        <w:t>SOMIH</w:t>
      </w:r>
      <w:proofErr w:type="spellEnd"/>
      <w:r>
        <w:t xml:space="preserve"> operated in NSW, Queensland, SA, Tasmania</w:t>
      </w:r>
      <w:r w:rsidR="00B67424">
        <w:t xml:space="preserve"> and</w:t>
      </w:r>
      <w:r>
        <w:t xml:space="preserve"> </w:t>
      </w:r>
      <w:r w:rsidR="00B67424">
        <w:t>the NT</w:t>
      </w:r>
    </w:p>
    <w:p w14:paraId="509326D3" w14:textId="7717C113" w:rsidR="0046355B" w:rsidRDefault="005A7CF4" w:rsidP="00C01F8F">
      <w:pPr>
        <w:pStyle w:val="ListBullet"/>
      </w:pPr>
      <w:r w:rsidRPr="00D51E02">
        <w:t xml:space="preserve">75 634 </w:t>
      </w:r>
      <w:r w:rsidR="0046355B" w:rsidRPr="001C01EC">
        <w:t xml:space="preserve">households and </w:t>
      </w:r>
      <w:r w:rsidR="00C01F8F" w:rsidRPr="001C01EC">
        <w:t xml:space="preserve">82 902 </w:t>
      </w:r>
      <w:r w:rsidR="0046355B" w:rsidRPr="001C01EC">
        <w:t>communi</w:t>
      </w:r>
      <w:r w:rsidR="00C740C4" w:rsidRPr="001C01EC">
        <w:t>ty housing tenancy rental units.</w:t>
      </w:r>
    </w:p>
    <w:p w14:paraId="384557BA" w14:textId="6941C3C5" w:rsidR="0046355B" w:rsidRPr="00DC04F0" w:rsidRDefault="0046355B" w:rsidP="0033604C">
      <w:pPr>
        <w:pStyle w:val="BodyText"/>
        <w:rPr>
          <w:lang w:eastAsia="en-US"/>
        </w:rPr>
      </w:pPr>
      <w:r>
        <w:lastRenderedPageBreak/>
        <w:t xml:space="preserve">In addition, as at 30 June </w:t>
      </w:r>
      <w:r w:rsidR="00635E77" w:rsidRPr="00635E77">
        <w:t xml:space="preserve">2016 (latest available data), </w:t>
      </w:r>
      <w:r>
        <w:t xml:space="preserve">there were </w:t>
      </w:r>
      <w:r w:rsidR="00C14D72">
        <w:t>13</w:t>
      </w:r>
      <w:r w:rsidR="00C64AAA">
        <w:t> </w:t>
      </w:r>
      <w:r w:rsidR="00C14D72">
        <w:t xml:space="preserve">177 households and </w:t>
      </w:r>
      <w:r w:rsidR="002F4416">
        <w:t xml:space="preserve">15 461 </w:t>
      </w:r>
      <w:r>
        <w:t xml:space="preserve">permanent </w:t>
      </w:r>
      <w:proofErr w:type="spellStart"/>
      <w:r>
        <w:t>ICH</w:t>
      </w:r>
      <w:proofErr w:type="spellEnd"/>
      <w:r>
        <w:t xml:space="preserve"> dwellings managed by government funded </w:t>
      </w:r>
      <w:proofErr w:type="spellStart"/>
      <w:r>
        <w:t>ICH</w:t>
      </w:r>
      <w:proofErr w:type="spellEnd"/>
      <w:r>
        <w:t xml:space="preserve"> organisations (table</w:t>
      </w:r>
      <w:r w:rsidR="00E90C0A">
        <w:t>s </w:t>
      </w:r>
      <w:proofErr w:type="spellStart"/>
      <w:r w:rsidR="002F4416">
        <w:t>18A.3</w:t>
      </w:r>
      <w:proofErr w:type="spellEnd"/>
      <w:r w:rsidR="002F4416">
        <w:t xml:space="preserve"> and</w:t>
      </w:r>
      <w:r>
        <w:t xml:space="preserve"> </w:t>
      </w:r>
      <w:proofErr w:type="spellStart"/>
      <w:r>
        <w:t>18A.8</w:t>
      </w:r>
      <w:proofErr w:type="spellEnd"/>
      <w:r>
        <w:t>).</w:t>
      </w:r>
    </w:p>
    <w:p w14:paraId="574343B3" w14:textId="6C9AA4E7" w:rsidR="008741D0" w:rsidRPr="00DC04F0" w:rsidRDefault="0046355B" w:rsidP="0033604C">
      <w:pPr>
        <w:pStyle w:val="BodyText"/>
        <w:rPr>
          <w:lang w:eastAsia="en-US"/>
        </w:rPr>
      </w:pPr>
      <w:r>
        <w:t>While the number of public housing households ha</w:t>
      </w:r>
      <w:r w:rsidR="004A6250">
        <w:t>s</w:t>
      </w:r>
      <w:r>
        <w:t xml:space="preserve"> decr</w:t>
      </w:r>
      <w:r w:rsidR="00096CE8">
        <w:t>eased over the last decade (331 </w:t>
      </w:r>
      <w:r>
        <w:t xml:space="preserve">136 in 2008 to 310 483 in 2017), there has been an increase in the number of households in community housing, </w:t>
      </w:r>
      <w:r w:rsidRPr="00D51E02">
        <w:t xml:space="preserve">from </w:t>
      </w:r>
      <w:r w:rsidR="00153BE4" w:rsidRPr="00D51E02">
        <w:t>35 </w:t>
      </w:r>
      <w:r w:rsidRPr="00D51E02">
        <w:t xml:space="preserve">043 to </w:t>
      </w:r>
      <w:r w:rsidR="00C73AE0" w:rsidRPr="00D51E02">
        <w:t xml:space="preserve">75 634 </w:t>
      </w:r>
      <w:r w:rsidRPr="00D51E02">
        <w:t xml:space="preserve">(table </w:t>
      </w:r>
      <w:proofErr w:type="spellStart"/>
      <w:r w:rsidRPr="00D51E02">
        <w:t>18A.4</w:t>
      </w:r>
      <w:proofErr w:type="spellEnd"/>
      <w:r w:rsidR="00BA6002" w:rsidRPr="00D51E02">
        <w:t xml:space="preserve">). </w:t>
      </w:r>
      <w:r w:rsidR="00267C29" w:rsidRPr="00D51E02">
        <w:t xml:space="preserve">This </w:t>
      </w:r>
      <w:r w:rsidR="00FD79D8" w:rsidRPr="00D51E02">
        <w:t>in p</w:t>
      </w:r>
      <w:r w:rsidR="00267C29" w:rsidRPr="00D51E02">
        <w:t>art reflects transfer of some public housing stock (management and/or title) to the community housing sector</w:t>
      </w:r>
      <w:r w:rsidR="00CC604A" w:rsidRPr="00D51E02">
        <w:t xml:space="preserve"> (table </w:t>
      </w:r>
      <w:proofErr w:type="spellStart"/>
      <w:r w:rsidR="00CC604A" w:rsidRPr="00D51E02">
        <w:t>18A.2</w:t>
      </w:r>
      <w:proofErr w:type="spellEnd"/>
      <w:r w:rsidR="00CC604A" w:rsidRPr="00D51E02">
        <w:t>)</w:t>
      </w:r>
      <w:r w:rsidR="00267C29" w:rsidRPr="00D51E02">
        <w:t>, i</w:t>
      </w:r>
      <w:r w:rsidR="00BA6002" w:rsidRPr="00D51E02">
        <w:t>n line with government policy to expand the role of community housing in the provision of affordable housing</w:t>
      </w:r>
      <w:r w:rsidR="00267C29" w:rsidRPr="00D51E02">
        <w:t>.</w:t>
      </w:r>
      <w:r w:rsidR="00BC654D" w:rsidRPr="00D51E02">
        <w:t xml:space="preserve"> </w:t>
      </w:r>
      <w:r w:rsidR="008741D0">
        <w:t>Community housing organisations are working in partnership with the Australian, State and Territory governments, and the private sector, to increase the supply of affordable housing</w:t>
      </w:r>
      <w:r w:rsidR="00DC04F0">
        <w:t xml:space="preserve"> </w:t>
      </w:r>
      <w:r w:rsidR="00BC654D">
        <w:t>—</w:t>
      </w:r>
      <w:r w:rsidR="008741D0">
        <w:t xml:space="preserve"> many new social housing dwellings are or will be owned or managed by community housing organisations.</w:t>
      </w:r>
    </w:p>
    <w:p w14:paraId="4A890EA8" w14:textId="77777777" w:rsidR="0046355B" w:rsidRDefault="0046355B" w:rsidP="0046355B">
      <w:pPr>
        <w:pStyle w:val="BodyText"/>
      </w:pPr>
      <w:r>
        <w:t>Some forms of community housing also allow tenants to participate in the management of their housing. Notwithstanding their common objectives, community housing programs vary within and across jurisdictions in their administration and the types of accommodation they provide. See section 18.4 for details on t</w:t>
      </w:r>
      <w:r w:rsidR="00F14038">
        <w:t>he models of community housing.</w:t>
      </w:r>
    </w:p>
    <w:p w14:paraId="07041AB3" w14:textId="77777777" w:rsidR="00DB482D" w:rsidRPr="00A10F67" w:rsidRDefault="008E11E4" w:rsidP="007E7F5A">
      <w:pPr>
        <w:pStyle w:val="Heading3"/>
        <w:spacing w:before="480"/>
      </w:pPr>
      <w:r w:rsidRPr="00A10F67">
        <w:t>D</w:t>
      </w:r>
      <w:r w:rsidR="00DB482D" w:rsidRPr="00A10F67">
        <w:t xml:space="preserve">iversity of State and Territory </w:t>
      </w:r>
      <w:r w:rsidR="00F2314A" w:rsidRPr="00A10F67">
        <w:t>g</w:t>
      </w:r>
      <w:r w:rsidR="00981F3C" w:rsidRPr="00A10F67">
        <w:t>overnment social</w:t>
      </w:r>
      <w:r w:rsidR="00535739" w:rsidRPr="00A10F67">
        <w:t xml:space="preserve"> housing</w:t>
      </w:r>
    </w:p>
    <w:p w14:paraId="43810C6F" w14:textId="0C02AF3C" w:rsidR="00DB482D" w:rsidRPr="00DC04F0" w:rsidRDefault="0093345A" w:rsidP="0033604C">
      <w:pPr>
        <w:pStyle w:val="BodyText"/>
        <w:rPr>
          <w:lang w:eastAsia="en-US"/>
        </w:rPr>
      </w:pPr>
      <w:r w:rsidRPr="0093345A">
        <w:t>While State and Territory governments have similar broad objectives for providing social housing, the emphasis each places on an individual objective differs depending on historical precedents and processes for interaction with community sector providers. Private housing markets also vary across jurisdictions. Accordingly, policy responses and associated forms of assistance vary across jurisdictions. It is important to consider the differing levels and types of assistance provided in each State and Territory, their differing urban, regional and rem</w:t>
      </w:r>
      <w:r w:rsidR="00CD1153">
        <w:t>ote area concentrations (tables </w:t>
      </w:r>
      <w:proofErr w:type="spellStart"/>
      <w:r w:rsidRPr="0093345A">
        <w:t>18A.5</w:t>
      </w:r>
      <w:proofErr w:type="spellEnd"/>
      <w:r w:rsidRPr="0093345A">
        <w:t xml:space="preserve">–7), differences in eligibility criteria for the different assistance types and factors affecting waiting lists, when analysing performance information. Some information on the context for public housing, </w:t>
      </w:r>
      <w:proofErr w:type="spellStart"/>
      <w:r w:rsidRPr="0093345A">
        <w:t>SOMIH</w:t>
      </w:r>
      <w:proofErr w:type="spellEnd"/>
      <w:r w:rsidRPr="0093345A">
        <w:t xml:space="preserve"> and community housing is provided in tables </w:t>
      </w:r>
      <w:proofErr w:type="spellStart"/>
      <w:r w:rsidRPr="0093345A">
        <w:t>18A.</w:t>
      </w:r>
      <w:r w:rsidR="00685D41">
        <w:t>48</w:t>
      </w:r>
      <w:proofErr w:type="spellEnd"/>
      <w:r w:rsidRPr="0093345A">
        <w:t>–</w:t>
      </w:r>
      <w:r w:rsidR="00685D41">
        <w:t>50</w:t>
      </w:r>
      <w:r w:rsidRPr="0093345A">
        <w:t>.</w:t>
      </w:r>
    </w:p>
    <w:p w14:paraId="48C6DC22" w14:textId="77777777" w:rsidR="006F3B3B" w:rsidRDefault="006F3B3B" w:rsidP="00956A5B">
      <w:pPr>
        <w:pStyle w:val="Heading4"/>
      </w:pPr>
      <w:r>
        <w:t>Eligibility criteria</w:t>
      </w:r>
      <w:r w:rsidR="00DB20B7">
        <w:t xml:space="preserve"> for access to social housing</w:t>
      </w:r>
    </w:p>
    <w:p w14:paraId="0FF7EE14" w14:textId="77777777" w:rsidR="00E828F1" w:rsidRPr="00DC04F0" w:rsidRDefault="008359DF" w:rsidP="009463C2">
      <w:pPr>
        <w:pStyle w:val="BodyText"/>
        <w:rPr>
          <w:lang w:eastAsia="en-US"/>
        </w:rPr>
      </w:pPr>
      <w:r w:rsidRPr="00521B5D">
        <w:t xml:space="preserve">Eligibility criteria for </w:t>
      </w:r>
      <w:r w:rsidR="00C94783">
        <w:t xml:space="preserve">social housing </w:t>
      </w:r>
      <w:r w:rsidR="00FB23AC">
        <w:t>var</w:t>
      </w:r>
      <w:r w:rsidR="001140AB">
        <w:t xml:space="preserve">y between social housing types and between </w:t>
      </w:r>
      <w:r w:rsidR="004D2864">
        <w:t>jurisdictions</w:t>
      </w:r>
      <w:r w:rsidR="00705789">
        <w:t>.</w:t>
      </w:r>
    </w:p>
    <w:p w14:paraId="3575340E" w14:textId="77777777" w:rsidR="0045744F" w:rsidRDefault="0045744F" w:rsidP="00E828F1">
      <w:pPr>
        <w:pStyle w:val="ListBullet"/>
      </w:pPr>
      <w:r>
        <w:t>P</w:t>
      </w:r>
      <w:r w:rsidR="002C2675">
        <w:t>ublic housing</w:t>
      </w:r>
      <w:r>
        <w:t xml:space="preserve"> —</w:t>
      </w:r>
      <w:r w:rsidR="001140AB">
        <w:t xml:space="preserve"> </w:t>
      </w:r>
      <w:r w:rsidR="000A2123">
        <w:t xml:space="preserve">in most cases, </w:t>
      </w:r>
      <w:r w:rsidR="008359DF" w:rsidRPr="00521B5D">
        <w:t xml:space="preserve">jurisdictions require that applicants </w:t>
      </w:r>
      <w:r w:rsidR="00E101C4">
        <w:t>are</w:t>
      </w:r>
      <w:r w:rsidR="00E101C4" w:rsidRPr="00521B5D">
        <w:t xml:space="preserve"> </w:t>
      </w:r>
      <w:r w:rsidR="008359DF" w:rsidRPr="00521B5D">
        <w:t xml:space="preserve">Australian citizens or permanent residents and </w:t>
      </w:r>
      <w:r w:rsidR="00E101C4">
        <w:t xml:space="preserve">do </w:t>
      </w:r>
      <w:r w:rsidR="008359DF" w:rsidRPr="00521B5D">
        <w:t>not own or part</w:t>
      </w:r>
      <w:r w:rsidR="000E4AD6">
        <w:t>ially</w:t>
      </w:r>
      <w:r w:rsidR="008359DF" w:rsidRPr="00521B5D">
        <w:t xml:space="preserve"> own residential property. All jurisdictions</w:t>
      </w:r>
      <w:r w:rsidR="00475BAB">
        <w:t xml:space="preserve">, except Victoria, </w:t>
      </w:r>
      <w:r w:rsidR="008359DF" w:rsidRPr="00521B5D">
        <w:t xml:space="preserve">require eligible applicants to </w:t>
      </w:r>
      <w:r w:rsidR="00211820">
        <w:t>reside</w:t>
      </w:r>
      <w:r w:rsidR="008359DF" w:rsidRPr="00521B5D">
        <w:t xml:space="preserve"> in the respective State or Territory. </w:t>
      </w:r>
      <w:r w:rsidR="006F3B3B" w:rsidRPr="00521B5D">
        <w:t>Most jurisdictions provide security of tenure after an initial probationary period</w:t>
      </w:r>
      <w:r w:rsidR="00856264">
        <w:t xml:space="preserve"> and m</w:t>
      </w:r>
      <w:r w:rsidR="006F3B3B" w:rsidRPr="00521B5D">
        <w:t>ost jurisdictions have periodic reviews of eligibility</w:t>
      </w:r>
      <w:r>
        <w:t xml:space="preserve"> </w:t>
      </w:r>
      <w:r w:rsidRPr="00521B5D">
        <w:t>(</w:t>
      </w:r>
      <w:r w:rsidR="00594E92">
        <w:t>table </w:t>
      </w:r>
      <w:proofErr w:type="spellStart"/>
      <w:r w:rsidR="004B2834">
        <w:t>1</w:t>
      </w:r>
      <w:r w:rsidR="002C65C4">
        <w:t>8</w:t>
      </w:r>
      <w:r w:rsidR="004B2834">
        <w:t>A.</w:t>
      </w:r>
      <w:r w:rsidR="00AF2FA9">
        <w:t>48</w:t>
      </w:r>
      <w:proofErr w:type="spellEnd"/>
      <w:r w:rsidRPr="00521B5D">
        <w:t>)</w:t>
      </w:r>
      <w:r w:rsidR="00CF5118">
        <w:t>.</w:t>
      </w:r>
    </w:p>
    <w:p w14:paraId="6C5ADF2A" w14:textId="77777777" w:rsidR="0045744F" w:rsidRDefault="006F3B3B" w:rsidP="0045744F">
      <w:pPr>
        <w:pStyle w:val="ListBullet"/>
      </w:pPr>
      <w:proofErr w:type="spellStart"/>
      <w:r w:rsidRPr="00521B5D">
        <w:lastRenderedPageBreak/>
        <w:t>SOMIH</w:t>
      </w:r>
      <w:proofErr w:type="spellEnd"/>
      <w:r w:rsidRPr="00521B5D">
        <w:t xml:space="preserve"> </w:t>
      </w:r>
      <w:r w:rsidR="0045744F">
        <w:t>—</w:t>
      </w:r>
      <w:r w:rsidR="00705789">
        <w:t xml:space="preserve"> </w:t>
      </w:r>
      <w:r w:rsidR="000F2683">
        <w:t xml:space="preserve">criteria </w:t>
      </w:r>
      <w:r w:rsidRPr="00521B5D">
        <w:t>are generally consistent with those for public housing</w:t>
      </w:r>
      <w:r w:rsidR="002F1054">
        <w:t xml:space="preserve"> </w:t>
      </w:r>
      <w:r w:rsidRPr="00521B5D">
        <w:t xml:space="preserve">once an applicant has been confirmed as </w:t>
      </w:r>
      <w:r w:rsidR="00E82838">
        <w:t>Aboriginal and</w:t>
      </w:r>
      <w:r w:rsidR="000F2683">
        <w:t xml:space="preserve">/or </w:t>
      </w:r>
      <w:r w:rsidR="00E82838">
        <w:t>Torres Strait Islander.</w:t>
      </w:r>
      <w:r>
        <w:t xml:space="preserve"> </w:t>
      </w:r>
      <w:r w:rsidRPr="00521B5D">
        <w:t xml:space="preserve">Terms of tenure </w:t>
      </w:r>
      <w:r w:rsidR="00EC0731">
        <w:t xml:space="preserve">for </w:t>
      </w:r>
      <w:proofErr w:type="spellStart"/>
      <w:r w:rsidR="00EC0731">
        <w:t>SOMIH</w:t>
      </w:r>
      <w:proofErr w:type="spellEnd"/>
      <w:r w:rsidR="00EC0731">
        <w:t xml:space="preserve"> </w:t>
      </w:r>
      <w:r w:rsidRPr="00521B5D">
        <w:t>are the same as</w:t>
      </w:r>
      <w:r w:rsidR="005C4ACA">
        <w:t xml:space="preserve"> those for public housing </w:t>
      </w:r>
      <w:r w:rsidR="007509CB">
        <w:t xml:space="preserve">in </w:t>
      </w:r>
      <w:r w:rsidR="00F23BDB">
        <w:t xml:space="preserve">most </w:t>
      </w:r>
      <w:r w:rsidRPr="00521B5D">
        <w:t>jurisdictions</w:t>
      </w:r>
      <w:r w:rsidR="00F40EAE">
        <w:t xml:space="preserve"> (</w:t>
      </w:r>
      <w:r w:rsidR="00B220CD">
        <w:t>table</w:t>
      </w:r>
      <w:r w:rsidR="00B93213">
        <w:t> </w:t>
      </w:r>
      <w:proofErr w:type="spellStart"/>
      <w:r w:rsidR="004B2834">
        <w:t>1</w:t>
      </w:r>
      <w:r w:rsidR="002C65C4">
        <w:t>8</w:t>
      </w:r>
      <w:r w:rsidR="004B2834">
        <w:t>A.</w:t>
      </w:r>
      <w:r w:rsidR="0099777D">
        <w:t>49</w:t>
      </w:r>
      <w:proofErr w:type="spellEnd"/>
      <w:r w:rsidR="0045744F">
        <w:t>)</w:t>
      </w:r>
      <w:r w:rsidRPr="00F23BDB">
        <w:t>.</w:t>
      </w:r>
    </w:p>
    <w:p w14:paraId="7530458A" w14:textId="77777777" w:rsidR="006F3B3B" w:rsidRDefault="0045744F" w:rsidP="0045744F">
      <w:pPr>
        <w:pStyle w:val="ListBullet"/>
      </w:pPr>
      <w:r>
        <w:t>Community housing —</w:t>
      </w:r>
      <w:r w:rsidR="007D1214">
        <w:t xml:space="preserve"> </w:t>
      </w:r>
      <w:r w:rsidR="000F2683">
        <w:t xml:space="preserve">criteria </w:t>
      </w:r>
      <w:r w:rsidR="00FB3260">
        <w:t xml:space="preserve">are </w:t>
      </w:r>
      <w:r w:rsidR="006F3B3B">
        <w:t>generally consistent with those for public housing in each jurisdictio</w:t>
      </w:r>
      <w:r w:rsidR="00856264">
        <w:t>n</w:t>
      </w:r>
      <w:r>
        <w:t xml:space="preserve"> </w:t>
      </w:r>
      <w:r w:rsidRPr="00F40EAE">
        <w:t>(</w:t>
      </w:r>
      <w:r w:rsidR="00B220CD">
        <w:t>table</w:t>
      </w:r>
      <w:r w:rsidR="00B93213">
        <w:t> </w:t>
      </w:r>
      <w:proofErr w:type="spellStart"/>
      <w:r w:rsidR="004B2834">
        <w:t>1</w:t>
      </w:r>
      <w:r w:rsidR="002C65C4">
        <w:t>8</w:t>
      </w:r>
      <w:r w:rsidR="004B2834">
        <w:t>A.</w:t>
      </w:r>
      <w:r w:rsidR="00A20F8D">
        <w:t>50</w:t>
      </w:r>
      <w:proofErr w:type="spellEnd"/>
      <w:r w:rsidRPr="00F40EAE">
        <w:t>).</w:t>
      </w:r>
    </w:p>
    <w:p w14:paraId="57E8C5ED" w14:textId="77777777" w:rsidR="006F3B3B" w:rsidRDefault="00091C9C" w:rsidP="0023172E">
      <w:pPr>
        <w:pStyle w:val="Heading4"/>
        <w:spacing w:before="440"/>
      </w:pPr>
      <w:r>
        <w:t>Factors affecting w</w:t>
      </w:r>
      <w:r w:rsidR="006F3B3B">
        <w:t>aiting lists</w:t>
      </w:r>
    </w:p>
    <w:p w14:paraId="17FE0C9C" w14:textId="77777777" w:rsidR="00685E06" w:rsidRDefault="00856264" w:rsidP="00982CC2">
      <w:pPr>
        <w:pStyle w:val="BodyText"/>
      </w:pPr>
      <w:r w:rsidRPr="00521B5D">
        <w:t xml:space="preserve">State and Territory governments prioritise access to </w:t>
      </w:r>
      <w:r>
        <w:t>social</w:t>
      </w:r>
      <w:r w:rsidR="00595F3A">
        <w:t xml:space="preserve"> housing in ways that</w:t>
      </w:r>
      <w:r w:rsidRPr="00521B5D">
        <w:t xml:space="preserve"> generally reflect </w:t>
      </w:r>
      <w:r w:rsidR="00595F3A">
        <w:t xml:space="preserve">the </w:t>
      </w:r>
      <w:r w:rsidRPr="00521B5D">
        <w:t>urgent need</w:t>
      </w:r>
      <w:r w:rsidR="0015152C">
        <w:t xml:space="preserve"> </w:t>
      </w:r>
      <w:r w:rsidR="00D93EC4">
        <w:t>to a</w:t>
      </w:r>
      <w:r w:rsidR="006C399C">
        <w:t xml:space="preserve">ddress </w:t>
      </w:r>
      <w:r w:rsidRPr="00521B5D">
        <w:t xml:space="preserve">homelessness and </w:t>
      </w:r>
      <w:r w:rsidR="00595F3A">
        <w:t xml:space="preserve">applicants’ </w:t>
      </w:r>
      <w:r w:rsidRPr="00521B5D">
        <w:t>inability to access appropriat</w:t>
      </w:r>
      <w:r w:rsidR="00595F3A">
        <w:t>e private market accommodation.</w:t>
      </w:r>
      <w:r w:rsidR="002C65C4">
        <w:t xml:space="preserve"> </w:t>
      </w:r>
      <w:r w:rsidR="007B2541">
        <w:t>States an</w:t>
      </w:r>
      <w:r w:rsidR="00722372">
        <w:t>d t</w:t>
      </w:r>
      <w:r w:rsidR="007B2541">
        <w:t xml:space="preserve">erritories other than </w:t>
      </w:r>
      <w:r w:rsidR="000E5629" w:rsidRPr="00D51E02">
        <w:t>Victoria</w:t>
      </w:r>
      <w:r w:rsidR="007B2541">
        <w:t xml:space="preserve"> have </w:t>
      </w:r>
      <w:r w:rsidRPr="005E340A">
        <w:t>adopted social housing waiting list</w:t>
      </w:r>
      <w:r w:rsidR="00595F3A">
        <w:t>s that are</w:t>
      </w:r>
      <w:r w:rsidR="00595F3A" w:rsidRPr="00595F3A">
        <w:t xml:space="preserve"> </w:t>
      </w:r>
      <w:r w:rsidR="00595F3A" w:rsidRPr="005E340A">
        <w:t>integrated</w:t>
      </w:r>
      <w:r w:rsidR="00F52417" w:rsidRPr="005E340A">
        <w:t xml:space="preserve"> </w:t>
      </w:r>
      <w:r w:rsidR="00595F3A">
        <w:t>across</w:t>
      </w:r>
      <w:r w:rsidR="00F52417" w:rsidRPr="00982CC2">
        <w:t xml:space="preserve"> </w:t>
      </w:r>
      <w:r w:rsidR="00FF7FA6" w:rsidRPr="00982CC2">
        <w:t xml:space="preserve">public housing, </w:t>
      </w:r>
      <w:proofErr w:type="spellStart"/>
      <w:r w:rsidRPr="00982CC2">
        <w:t>SOMIH</w:t>
      </w:r>
      <w:proofErr w:type="spellEnd"/>
      <w:r w:rsidR="00FF7FA6" w:rsidRPr="00982CC2">
        <w:t xml:space="preserve"> </w:t>
      </w:r>
      <w:r w:rsidR="00393493">
        <w:t xml:space="preserve">(where applicable) </w:t>
      </w:r>
      <w:r w:rsidR="00FF7FA6" w:rsidRPr="00982CC2">
        <w:t>and community housing</w:t>
      </w:r>
      <w:r w:rsidR="000F2683">
        <w:t>.</w:t>
      </w:r>
    </w:p>
    <w:p w14:paraId="08368BA6" w14:textId="6556ECBD" w:rsidR="00171F8A" w:rsidRPr="00DC04F0" w:rsidRDefault="00E37EA8" w:rsidP="00CA10A0">
      <w:pPr>
        <w:pStyle w:val="BodyText"/>
        <w:rPr>
          <w:lang w:eastAsia="en-US"/>
        </w:rPr>
      </w:pPr>
      <w:r w:rsidRPr="00E37EA8">
        <w:t xml:space="preserve">Waiting times for social housing are impacted by the availability of </w:t>
      </w:r>
      <w:r w:rsidR="00836550" w:rsidRPr="00D51E02">
        <w:t xml:space="preserve">suitable </w:t>
      </w:r>
      <w:r w:rsidRPr="00D51E02">
        <w:t>dwellings</w:t>
      </w:r>
      <w:r w:rsidR="00935620">
        <w:t xml:space="preserve">. </w:t>
      </w:r>
      <w:r w:rsidR="0020717E">
        <w:t xml:space="preserve">Nationally </w:t>
      </w:r>
      <w:r w:rsidR="002D5934">
        <w:t xml:space="preserve">at 30 June </w:t>
      </w:r>
      <w:r w:rsidR="0020717E">
        <w:t xml:space="preserve">2017, </w:t>
      </w:r>
      <w:r w:rsidR="0020717E" w:rsidRPr="00C24779">
        <w:rPr>
          <w:color w:val="000000" w:themeColor="text1"/>
        </w:rPr>
        <w:t xml:space="preserve">the proportion of rental stock occupied </w:t>
      </w:r>
      <w:r w:rsidR="0020717E" w:rsidRPr="005E340A">
        <w:rPr>
          <w:color w:val="000000" w:themeColor="text1"/>
        </w:rPr>
        <w:t>was 97.</w:t>
      </w:r>
      <w:r w:rsidR="000774AC">
        <w:rPr>
          <w:color w:val="000000" w:themeColor="text1"/>
        </w:rPr>
        <w:t>1</w:t>
      </w:r>
      <w:r w:rsidR="0020717E" w:rsidRPr="005E340A">
        <w:rPr>
          <w:color w:val="000000" w:themeColor="text1"/>
        </w:rPr>
        <w:t> per cent</w:t>
      </w:r>
      <w:r w:rsidR="0020717E" w:rsidRPr="00C24779">
        <w:rPr>
          <w:color w:val="000000" w:themeColor="text1"/>
        </w:rPr>
        <w:t xml:space="preserve"> for public housing</w:t>
      </w:r>
      <w:r w:rsidR="0020717E" w:rsidRPr="001704AF">
        <w:rPr>
          <w:color w:val="000000" w:themeColor="text1"/>
        </w:rPr>
        <w:t xml:space="preserve">, </w:t>
      </w:r>
      <w:r w:rsidR="002F5F42" w:rsidRPr="00D51E02">
        <w:rPr>
          <w:color w:val="000000" w:themeColor="text1"/>
        </w:rPr>
        <w:t>96.8</w:t>
      </w:r>
      <w:r w:rsidR="00623C31" w:rsidRPr="00D51E02">
        <w:rPr>
          <w:color w:val="000000" w:themeColor="text1"/>
        </w:rPr>
        <w:t xml:space="preserve"> </w:t>
      </w:r>
      <w:r w:rsidR="0020717E" w:rsidRPr="00D51E02">
        <w:rPr>
          <w:color w:val="000000" w:themeColor="text1"/>
        </w:rPr>
        <w:t xml:space="preserve">per </w:t>
      </w:r>
      <w:r w:rsidR="0020717E" w:rsidRPr="00D51E02">
        <w:t xml:space="preserve">cent for </w:t>
      </w:r>
      <w:proofErr w:type="spellStart"/>
      <w:r w:rsidR="0020717E" w:rsidRPr="00D51E02">
        <w:t>SOMIH</w:t>
      </w:r>
      <w:proofErr w:type="spellEnd"/>
      <w:r w:rsidR="0020717E" w:rsidRPr="00D51E02">
        <w:t>, and</w:t>
      </w:r>
      <w:r w:rsidR="0081536E" w:rsidRPr="00D51E02">
        <w:t xml:space="preserve"> </w:t>
      </w:r>
      <w:r w:rsidR="0081536E" w:rsidRPr="001C01EC">
        <w:t>9</w:t>
      </w:r>
      <w:r w:rsidR="00F26606" w:rsidRPr="001C01EC">
        <w:t>5.0</w:t>
      </w:r>
      <w:r w:rsidR="0081536E" w:rsidRPr="001C01EC">
        <w:t xml:space="preserve"> </w:t>
      </w:r>
      <w:r w:rsidR="0020717E" w:rsidRPr="001C01EC">
        <w:t>per cent for community housing</w:t>
      </w:r>
      <w:r w:rsidR="001814CF">
        <w:t xml:space="preserve"> (tables </w:t>
      </w:r>
      <w:proofErr w:type="spellStart"/>
      <w:r w:rsidR="001814CF">
        <w:t>18A.9</w:t>
      </w:r>
      <w:proofErr w:type="spellEnd"/>
      <w:r w:rsidR="001814CF">
        <w:t>–11</w:t>
      </w:r>
      <w:r w:rsidR="009A40D8">
        <w:t>) —</w:t>
      </w:r>
      <w:r w:rsidR="0020717E" w:rsidRPr="00E303A8">
        <w:t xml:space="preserve"> in </w:t>
      </w:r>
      <w:r w:rsidR="0020717E">
        <w:t>2016,</w:t>
      </w:r>
      <w:r w:rsidR="00D62728" w:rsidRPr="00D62728">
        <w:t xml:space="preserve"> 94.6 </w:t>
      </w:r>
      <w:r w:rsidR="0020717E" w:rsidRPr="0020717E">
        <w:t xml:space="preserve">per cent of total </w:t>
      </w:r>
      <w:proofErr w:type="spellStart"/>
      <w:r w:rsidR="0020717E" w:rsidRPr="0020717E">
        <w:t>ICH</w:t>
      </w:r>
      <w:proofErr w:type="spellEnd"/>
      <w:r w:rsidR="0020717E" w:rsidRPr="0020717E">
        <w:t xml:space="preserve"> rental </w:t>
      </w:r>
      <w:r w:rsidR="005D2EEA">
        <w:t>stock was occupied (table </w:t>
      </w:r>
      <w:proofErr w:type="spellStart"/>
      <w:r w:rsidR="001814CF">
        <w:t>18A.12</w:t>
      </w:r>
      <w:proofErr w:type="spellEnd"/>
      <w:r w:rsidR="0020717E" w:rsidRPr="0020717E">
        <w:t>).</w:t>
      </w:r>
      <w:r w:rsidR="0020717E">
        <w:t xml:space="preserve"> </w:t>
      </w:r>
      <w:r w:rsidR="00236428">
        <w:t>Occupancy rate</w:t>
      </w:r>
      <w:r w:rsidR="009A40D8">
        <w:t>s</w:t>
      </w:r>
      <w:r w:rsidR="00236428">
        <w:t xml:space="preserve"> </w:t>
      </w:r>
      <w:r w:rsidR="009A40D8">
        <w:t>are</w:t>
      </w:r>
      <w:r w:rsidR="00236428">
        <w:t xml:space="preserve"> </w:t>
      </w:r>
      <w:r w:rsidR="002D5934">
        <w:t xml:space="preserve">influenced by tenancy </w:t>
      </w:r>
      <w:r w:rsidR="00236428" w:rsidRPr="0020717E">
        <w:t xml:space="preserve">turnover </w:t>
      </w:r>
      <w:r w:rsidR="00236428">
        <w:t>as well as</w:t>
      </w:r>
      <w:r w:rsidR="00236428" w:rsidRPr="0020717E">
        <w:t xml:space="preserve"> </w:t>
      </w:r>
      <w:r w:rsidR="002D5934">
        <w:t xml:space="preserve">by </w:t>
      </w:r>
      <w:r w:rsidR="00236428" w:rsidRPr="0020717E">
        <w:t>housing supply and demand</w:t>
      </w:r>
      <w:r w:rsidR="00236428">
        <w:t xml:space="preserve"> — dwellings that</w:t>
      </w:r>
      <w:r w:rsidR="002D5934">
        <w:t xml:space="preserve"> have, for example,</w:t>
      </w:r>
      <w:r w:rsidR="00236428">
        <w:t xml:space="preserve"> reached the end of their useful life may require major redevelopment or replacement</w:t>
      </w:r>
      <w:r w:rsidR="001B705C">
        <w:t xml:space="preserve"> before be</w:t>
      </w:r>
      <w:r w:rsidR="002D5934">
        <w:t xml:space="preserve">ing </w:t>
      </w:r>
      <w:r w:rsidR="00171F8A">
        <w:t>allocat</w:t>
      </w:r>
      <w:r w:rsidR="00045062">
        <w:t>ed</w:t>
      </w:r>
      <w:r w:rsidR="001B705C">
        <w:t xml:space="preserve"> to a new household.</w:t>
      </w:r>
    </w:p>
    <w:p w14:paraId="2F982404" w14:textId="47C16EB3" w:rsidR="00D93C88" w:rsidRDefault="002D5934" w:rsidP="00D51E02">
      <w:pPr>
        <w:pStyle w:val="BodyText"/>
      </w:pPr>
      <w:r>
        <w:t xml:space="preserve">‘Turnaround time’ is the number of days taken to allocate </w:t>
      </w:r>
      <w:r w:rsidR="00171F8A">
        <w:t xml:space="preserve">a </w:t>
      </w:r>
      <w:r>
        <w:t xml:space="preserve">newly vacated </w:t>
      </w:r>
      <w:r w:rsidR="00171F8A" w:rsidRPr="00D51E02">
        <w:t>dwelling</w:t>
      </w:r>
      <w:r w:rsidRPr="00D51E02">
        <w:t xml:space="preserve"> </w:t>
      </w:r>
      <w:r w:rsidR="00D93C88" w:rsidRPr="00D51E02">
        <w:t>(</w:t>
      </w:r>
      <w:r w:rsidR="00171F8A" w:rsidRPr="00D51E02">
        <w:t xml:space="preserve">that </w:t>
      </w:r>
      <w:r w:rsidR="003219CE" w:rsidRPr="00D51E02">
        <w:t>is</w:t>
      </w:r>
      <w:r w:rsidR="00171F8A" w:rsidRPr="00D51E02">
        <w:t xml:space="preserve"> fit for </w:t>
      </w:r>
      <w:r w:rsidR="00D93C88" w:rsidRPr="00D51E02">
        <w:t>occupation)</w:t>
      </w:r>
      <w:r w:rsidR="00171F8A" w:rsidRPr="00D51E02">
        <w:t xml:space="preserve"> </w:t>
      </w:r>
      <w:r w:rsidRPr="00D51E02">
        <w:t xml:space="preserve">to </w:t>
      </w:r>
      <w:r w:rsidR="00171F8A" w:rsidRPr="00D51E02">
        <w:t xml:space="preserve">a </w:t>
      </w:r>
      <w:r w:rsidRPr="00D51E02">
        <w:t>new household.</w:t>
      </w:r>
      <w:r w:rsidR="00171F8A" w:rsidRPr="00D51E02">
        <w:t xml:space="preserve"> The average turnaround time for vacant public housing and </w:t>
      </w:r>
      <w:proofErr w:type="spellStart"/>
      <w:r w:rsidR="00171F8A" w:rsidRPr="00D51E02">
        <w:t>SOMIH</w:t>
      </w:r>
      <w:proofErr w:type="spellEnd"/>
      <w:r w:rsidR="00171F8A" w:rsidRPr="00D51E02">
        <w:t xml:space="preserve"> stock varied within and across jurisdictions </w:t>
      </w:r>
      <w:r w:rsidR="00672453" w:rsidRPr="00D51E02">
        <w:t>and over time (</w:t>
      </w:r>
      <w:r w:rsidR="0043065D" w:rsidRPr="00D51E02">
        <w:t>tables </w:t>
      </w:r>
      <w:proofErr w:type="spellStart"/>
      <w:r w:rsidR="0043065D" w:rsidRPr="00D51E02">
        <w:t>18A.13</w:t>
      </w:r>
      <w:proofErr w:type="spellEnd"/>
      <w:r w:rsidR="0043065D" w:rsidRPr="00D51E02">
        <w:t>–14</w:t>
      </w:r>
      <w:r w:rsidR="00171F8A" w:rsidRPr="00D51E02">
        <w:t>) —</w:t>
      </w:r>
      <w:r w:rsidR="00171F8A">
        <w:t xml:space="preserve"> noting that data are not </w:t>
      </w:r>
      <w:r w:rsidR="00171F8A" w:rsidRPr="005E340A">
        <w:t xml:space="preserve">comparable </w:t>
      </w:r>
      <w:r w:rsidR="00171F8A">
        <w:t>or</w:t>
      </w:r>
      <w:r w:rsidR="00171F8A" w:rsidRPr="005E340A">
        <w:t xml:space="preserve"> complete across jurisdictions</w:t>
      </w:r>
      <w:r w:rsidR="00171F8A">
        <w:t>.</w:t>
      </w:r>
    </w:p>
    <w:p w14:paraId="789416C1" w14:textId="31AE075A" w:rsidR="002E5C55" w:rsidRPr="0033604C" w:rsidRDefault="00040F38" w:rsidP="0033604C">
      <w:pPr>
        <w:pStyle w:val="Heading2"/>
      </w:pPr>
      <w:bookmarkStart w:id="11" w:name="_Toc459884656"/>
      <w:r w:rsidRPr="0033604C">
        <w:t>18.</w:t>
      </w:r>
      <w:r w:rsidR="007D5A6B">
        <w:rPr>
          <w:noProof/>
        </w:rPr>
        <w:t>2</w:t>
      </w:r>
      <w:r w:rsidRPr="0033604C">
        <w:tab/>
      </w:r>
      <w:bookmarkStart w:id="12" w:name="_Toc314211348"/>
      <w:bookmarkStart w:id="13" w:name="_Toc396143031"/>
      <w:r w:rsidR="002E5C55" w:rsidRPr="0033604C">
        <w:t>Framework of performance indicators</w:t>
      </w:r>
      <w:bookmarkEnd w:id="11"/>
      <w:bookmarkEnd w:id="12"/>
      <w:bookmarkEnd w:id="13"/>
    </w:p>
    <w:p w14:paraId="6439E837" w14:textId="77777777" w:rsidR="001363B3" w:rsidRDefault="00BF734F" w:rsidP="00BD4666">
      <w:pPr>
        <w:pStyle w:val="BodyText"/>
      </w:pPr>
      <w:r w:rsidRPr="00BD4666">
        <w:t xml:space="preserve">The </w:t>
      </w:r>
      <w:r w:rsidR="00EC5DB3">
        <w:t xml:space="preserve">framework of </w:t>
      </w:r>
      <w:r w:rsidRPr="00BD4666">
        <w:t>performance indicator</w:t>
      </w:r>
      <w:r w:rsidR="00EC5DB3">
        <w:t>s reflects</w:t>
      </w:r>
      <w:r w:rsidR="007C084E">
        <w:t xml:space="preserve"> </w:t>
      </w:r>
      <w:r w:rsidR="00256FBB" w:rsidRPr="00256FBB">
        <w:t xml:space="preserve">governments’ objectives for </w:t>
      </w:r>
      <w:r w:rsidRPr="00BD4666">
        <w:t>social housing</w:t>
      </w:r>
      <w:r w:rsidR="00274E55">
        <w:t xml:space="preserve"> delivered under the NAHA</w:t>
      </w:r>
      <w:r w:rsidR="004679A4">
        <w:t xml:space="preserve"> (box</w:t>
      </w:r>
      <w:r w:rsidR="007D1214">
        <w:t> </w:t>
      </w:r>
      <w:r w:rsidR="004679A4">
        <w:t>1</w:t>
      </w:r>
      <w:r w:rsidR="00BB5630">
        <w:t>8</w:t>
      </w:r>
      <w:r w:rsidR="00790CB2">
        <w:t>.</w:t>
      </w:r>
      <w:r w:rsidR="00E17E01">
        <w:t>2</w:t>
      </w:r>
      <w:r w:rsidR="00154CCB">
        <w:t>).</w:t>
      </w:r>
    </w:p>
    <w:p w14:paraId="29CAAEBD" w14:textId="77777777" w:rsidR="00E21E82" w:rsidRPr="00BD4666" w:rsidRDefault="00E21E82" w:rsidP="00BD4666">
      <w:pPr>
        <w:pStyle w:val="BodyText"/>
      </w:pPr>
    </w:p>
    <w:p w14:paraId="1C8E7ACC" w14:textId="4D7858B6" w:rsidR="00E00B00" w:rsidRDefault="00E00B00" w:rsidP="00D51E0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00B00" w14:paraId="090EBB66" w14:textId="77777777" w:rsidTr="00E21E82">
        <w:tc>
          <w:tcPr>
            <w:tcW w:w="5000" w:type="pct"/>
            <w:tcBorders>
              <w:top w:val="single" w:sz="6" w:space="0" w:color="78A22F"/>
              <w:left w:val="nil"/>
              <w:bottom w:val="nil"/>
              <w:right w:val="nil"/>
            </w:tcBorders>
            <w:shd w:val="clear" w:color="auto" w:fill="F2F2F2" w:themeFill="background1" w:themeFillShade="F2"/>
          </w:tcPr>
          <w:p w14:paraId="21099E68" w14:textId="213E77D9" w:rsidR="00E00B00" w:rsidRDefault="001363B3" w:rsidP="00BB5630">
            <w:pPr>
              <w:pStyle w:val="BoxTitle"/>
            </w:pPr>
            <w:r>
              <w:rPr>
                <w:b w:val="0"/>
              </w:rPr>
              <w:t>Box 1</w:t>
            </w:r>
            <w:r w:rsidR="00BB5630">
              <w:rPr>
                <w:b w:val="0"/>
              </w:rPr>
              <w:t>8</w:t>
            </w:r>
            <w:r>
              <w:rPr>
                <w:b w:val="0"/>
              </w:rPr>
              <w:t>.</w:t>
            </w:r>
            <w:r w:rsidR="007D5A6B">
              <w:rPr>
                <w:b w:val="0"/>
                <w:noProof/>
              </w:rPr>
              <w:t>2</w:t>
            </w:r>
            <w:r w:rsidR="00E00B00">
              <w:tab/>
            </w:r>
            <w:r w:rsidR="00CD7D8C">
              <w:t xml:space="preserve">Objectives for </w:t>
            </w:r>
            <w:r w:rsidR="00E00B00" w:rsidRPr="00E00B00">
              <w:t>social housing</w:t>
            </w:r>
          </w:p>
        </w:tc>
      </w:tr>
      <w:tr w:rsidR="00E00B00" w14:paraId="5AE2182E" w14:textId="77777777" w:rsidTr="00E21E82">
        <w:trPr>
          <w:cantSplit/>
        </w:trPr>
        <w:tc>
          <w:tcPr>
            <w:tcW w:w="5000" w:type="pct"/>
            <w:tcBorders>
              <w:top w:val="nil"/>
              <w:left w:val="nil"/>
              <w:bottom w:val="nil"/>
              <w:right w:val="nil"/>
            </w:tcBorders>
            <w:shd w:val="clear" w:color="auto" w:fill="F2F2F2" w:themeFill="background1" w:themeFillShade="F2"/>
          </w:tcPr>
          <w:p w14:paraId="1537F3B3" w14:textId="77777777" w:rsidR="00B1725D" w:rsidRDefault="00B1725D" w:rsidP="00B1725D">
            <w:pPr>
              <w:pStyle w:val="Box"/>
            </w:pPr>
            <w:r>
              <w:t>The social housing services system aims to provide low income people who do not have alternative suitable housing options with access to social housing assistance that supports their wellbeing and contributes to their social and economic participation. Some forms of social housing aim specifically to contribute to Aboriginal and Torres Strait Islander community wellbeing through improved housing outcomes, particularly in remote areas and discrete communities. The social housing services system seeks to achieve these aims through the provision of services that are:</w:t>
            </w:r>
          </w:p>
          <w:p w14:paraId="1E8CE3FC" w14:textId="77777777" w:rsidR="00B1725D" w:rsidRDefault="00B1725D" w:rsidP="005672DE">
            <w:pPr>
              <w:pStyle w:val="BoxListBullet"/>
            </w:pPr>
            <w:r>
              <w:t>timely and affordable</w:t>
            </w:r>
          </w:p>
          <w:p w14:paraId="1E12F8BD" w14:textId="77777777" w:rsidR="00B1725D" w:rsidRDefault="00B1725D" w:rsidP="005672DE">
            <w:pPr>
              <w:pStyle w:val="BoxListBullet"/>
            </w:pPr>
            <w:r>
              <w:t>safe</w:t>
            </w:r>
          </w:p>
          <w:p w14:paraId="58DD3B5B" w14:textId="7B1E827B" w:rsidR="00B1725D" w:rsidRDefault="00B1725D" w:rsidP="005672DE">
            <w:pPr>
              <w:pStyle w:val="BoxListBullet"/>
            </w:pPr>
            <w:r>
              <w:t>appropriate, meeting the needs of individual households</w:t>
            </w:r>
          </w:p>
          <w:p w14:paraId="3A3B03F3" w14:textId="77777777" w:rsidR="00B1725D" w:rsidRDefault="00B1725D" w:rsidP="005672DE">
            <w:pPr>
              <w:pStyle w:val="BoxListBullet"/>
            </w:pPr>
            <w:r>
              <w:t>high quality</w:t>
            </w:r>
          </w:p>
          <w:p w14:paraId="05135EB8" w14:textId="77777777" w:rsidR="00B1725D" w:rsidRDefault="00B1725D" w:rsidP="005672DE">
            <w:pPr>
              <w:pStyle w:val="BoxListBullet"/>
            </w:pPr>
            <w:r>
              <w:t>sustainable.</w:t>
            </w:r>
          </w:p>
          <w:p w14:paraId="5325595D" w14:textId="77777777" w:rsidR="00B1725D" w:rsidRDefault="00B1725D" w:rsidP="00B1725D">
            <w:pPr>
              <w:pStyle w:val="Box"/>
            </w:pPr>
            <w:r>
              <w:t>Governments aim for social housing services to meet these objectives in an equitable and efficient manner.</w:t>
            </w:r>
          </w:p>
        </w:tc>
      </w:tr>
      <w:tr w:rsidR="00E00B00" w14:paraId="0FB325E8" w14:textId="77777777" w:rsidTr="00E21E82">
        <w:trPr>
          <w:cantSplit/>
        </w:trPr>
        <w:tc>
          <w:tcPr>
            <w:tcW w:w="5000" w:type="pct"/>
            <w:tcBorders>
              <w:top w:val="nil"/>
              <w:left w:val="nil"/>
              <w:bottom w:val="single" w:sz="6" w:space="0" w:color="78A22F"/>
              <w:right w:val="nil"/>
            </w:tcBorders>
            <w:shd w:val="clear" w:color="auto" w:fill="F2F2F2" w:themeFill="background1" w:themeFillShade="F2"/>
          </w:tcPr>
          <w:p w14:paraId="2EC67CEC" w14:textId="77777777" w:rsidR="00E00B00" w:rsidRDefault="00E00B00">
            <w:pPr>
              <w:pStyle w:val="Box"/>
              <w:spacing w:before="0" w:line="120" w:lineRule="exact"/>
            </w:pPr>
          </w:p>
        </w:tc>
      </w:tr>
      <w:tr w:rsidR="00E00B00" w:rsidRPr="000863A5" w14:paraId="37395597" w14:textId="77777777" w:rsidTr="00E21E82">
        <w:tc>
          <w:tcPr>
            <w:tcW w:w="5000" w:type="pct"/>
            <w:tcBorders>
              <w:top w:val="single" w:sz="6" w:space="0" w:color="78A22F"/>
              <w:left w:val="nil"/>
              <w:bottom w:val="nil"/>
              <w:right w:val="nil"/>
            </w:tcBorders>
          </w:tcPr>
          <w:p w14:paraId="66C1E349" w14:textId="77777777" w:rsidR="00E00B00" w:rsidRPr="00626D32" w:rsidRDefault="00E00B00" w:rsidP="00334F07">
            <w:pPr>
              <w:pStyle w:val="BoxSpaceBelow"/>
            </w:pPr>
          </w:p>
        </w:tc>
      </w:tr>
    </w:tbl>
    <w:p w14:paraId="2D95552D" w14:textId="77777777" w:rsidR="0010391F" w:rsidRDefault="00274E55" w:rsidP="005B64EC">
      <w:pPr>
        <w:pStyle w:val="BodyText"/>
      </w:pPr>
      <w:r>
        <w:t xml:space="preserve">The </w:t>
      </w:r>
      <w:r w:rsidR="00554C1C">
        <w:t xml:space="preserve">performance indicator </w:t>
      </w:r>
      <w:r>
        <w:t xml:space="preserve">framework </w:t>
      </w:r>
      <w:r w:rsidR="00EC5DB3">
        <w:t xml:space="preserve">provides information on equity, efficiency and effectiveness, and distinguishes the outputs and outcomes of social housing </w:t>
      </w:r>
      <w:r w:rsidR="0010391F">
        <w:t xml:space="preserve">services </w:t>
      </w:r>
      <w:r w:rsidR="00EC5DB3">
        <w:t>(figure</w:t>
      </w:r>
      <w:r w:rsidR="007D1214">
        <w:t> </w:t>
      </w:r>
      <w:r w:rsidR="0001777A">
        <w:t>18</w:t>
      </w:r>
      <w:r w:rsidR="00EC5DB3">
        <w:t>.</w:t>
      </w:r>
      <w:r w:rsidR="00D439BE">
        <w:t>1</w:t>
      </w:r>
      <w:r w:rsidR="00EC5DB3">
        <w:t>).</w:t>
      </w:r>
    </w:p>
    <w:p w14:paraId="54F17896" w14:textId="50537030" w:rsidR="00E00B00" w:rsidRDefault="0010391F" w:rsidP="005B64EC">
      <w:pPr>
        <w:pStyle w:val="BodyText"/>
      </w:pPr>
      <w:r>
        <w:t>T</w:t>
      </w:r>
      <w:r w:rsidR="00EC5DB3">
        <w:t xml:space="preserve">he </w:t>
      </w:r>
      <w:r w:rsidR="002325A4">
        <w:t xml:space="preserve">performance indicator </w:t>
      </w:r>
      <w:r w:rsidR="00EC5DB3">
        <w:t>framework shows which</w:t>
      </w:r>
      <w:r w:rsidR="00274E55">
        <w:t xml:space="preserve"> data are comparable </w:t>
      </w:r>
      <w:r w:rsidR="00EE667D">
        <w:t xml:space="preserve">and complete </w:t>
      </w:r>
      <w:r w:rsidR="00DB2939">
        <w:br/>
      </w:r>
      <w:r w:rsidR="00274E55">
        <w:t xml:space="preserve">in the </w:t>
      </w:r>
      <w:r w:rsidR="006B3A24">
        <w:t>201</w:t>
      </w:r>
      <w:r w:rsidR="007A7AF0">
        <w:t>8</w:t>
      </w:r>
      <w:r w:rsidR="006B3A24">
        <w:t> </w:t>
      </w:r>
      <w:r w:rsidR="00BD4666" w:rsidRPr="00BD4666">
        <w:t>Repor</w:t>
      </w:r>
      <w:r w:rsidR="00274E55">
        <w:t>t</w:t>
      </w:r>
      <w:r w:rsidR="00857A36">
        <w:t xml:space="preserve">. </w:t>
      </w:r>
      <w:r w:rsidR="00EE667D" w:rsidRPr="00EE667D">
        <w:t xml:space="preserve">For data that are not considered directly comparable, text includes relevant caveats and supporting commentary. </w:t>
      </w:r>
      <w:r w:rsidR="004F15B5" w:rsidRPr="004F15B5">
        <w:t>Chapter</w:t>
      </w:r>
      <w:r w:rsidR="00B93213">
        <w:t> </w:t>
      </w:r>
      <w:r w:rsidR="004F15B5" w:rsidRPr="004F15B5">
        <w:t>1 discusses data comparability, data completeness and information on data quality from</w:t>
      </w:r>
      <w:r w:rsidR="00EE667D">
        <w:t xml:space="preserve"> a Report</w:t>
      </w:r>
      <w:r w:rsidR="00EE667D">
        <w:noBreakHyphen/>
      </w:r>
      <w:r w:rsidR="004F15B5" w:rsidRPr="004F15B5">
        <w:t>wide perspective</w:t>
      </w:r>
      <w:r w:rsidR="00274E55">
        <w:t>.</w:t>
      </w:r>
      <w:r w:rsidR="00EC5DB3">
        <w:t xml:space="preserve"> </w:t>
      </w:r>
      <w:r w:rsidR="00274E55">
        <w:t>In addition to section</w:t>
      </w:r>
      <w:r w:rsidR="007D1214">
        <w:t> </w:t>
      </w:r>
      <w:r w:rsidR="00274E55">
        <w:t>1</w:t>
      </w:r>
      <w:r w:rsidR="002A293E">
        <w:t>8</w:t>
      </w:r>
      <w:r w:rsidR="00274E55">
        <w:t>.1</w:t>
      </w:r>
      <w:r w:rsidR="00286A74">
        <w:t>,</w:t>
      </w:r>
      <w:r w:rsidR="00274E55" w:rsidRPr="00274E55">
        <w:t xml:space="preserve"> the Report’s </w:t>
      </w:r>
      <w:r w:rsidR="009264FC">
        <w:t>s</w:t>
      </w:r>
      <w:r w:rsidR="00274E55" w:rsidRPr="00274E55">
        <w:t xml:space="preserve">tatistical context chapter </w:t>
      </w:r>
      <w:r w:rsidR="002C65C4">
        <w:t>(chapter</w:t>
      </w:r>
      <w:r w:rsidR="00B93213">
        <w:t> </w:t>
      </w:r>
      <w:r w:rsidR="002C65C4">
        <w:t xml:space="preserve">2) </w:t>
      </w:r>
      <w:r w:rsidR="00274E55" w:rsidRPr="00274E55">
        <w:t>contains data that may assist in interpreting the performance indicators</w:t>
      </w:r>
      <w:r w:rsidR="006F7A0C">
        <w:t xml:space="preserve"> presented in this chapter.</w:t>
      </w:r>
      <w:r w:rsidR="009D6A80" w:rsidRPr="009D6A80">
        <w:t xml:space="preserve"> Chapters 1 and 2 are available from the website at </w:t>
      </w:r>
      <w:proofErr w:type="spellStart"/>
      <w:r w:rsidR="009D6A80" w:rsidRPr="009D6A80">
        <w:t>www.pc.gov.au</w:t>
      </w:r>
      <w:proofErr w:type="spellEnd"/>
      <w:r w:rsidR="009D6A80" w:rsidRPr="009D6A80">
        <w:t>/</w:t>
      </w:r>
      <w:proofErr w:type="spellStart"/>
      <w:r w:rsidR="009D6A80" w:rsidRPr="009D6A80">
        <w:t>rogs</w:t>
      </w:r>
      <w:proofErr w:type="spellEnd"/>
      <w:r w:rsidR="009D6A80" w:rsidRPr="009D6A80">
        <w:t>/2018.</w:t>
      </w:r>
    </w:p>
    <w:p w14:paraId="4EABF925" w14:textId="77777777" w:rsidR="00EE5B49" w:rsidRDefault="00DA6812" w:rsidP="005B64EC">
      <w:pPr>
        <w:pStyle w:val="BodyText"/>
        <w:rPr>
          <w:rFonts w:eastAsia="Calibri"/>
          <w:color w:val="000000" w:themeColor="text1"/>
          <w:lang w:eastAsia="en-US"/>
        </w:rPr>
      </w:pPr>
      <w:r w:rsidRPr="00ED71CE">
        <w:rPr>
          <w:rFonts w:eastAsia="Calibri"/>
          <w:color w:val="000000" w:themeColor="text1"/>
          <w:lang w:eastAsia="en-US"/>
        </w:rPr>
        <w:t xml:space="preserve">Improvements to performance reporting for </w:t>
      </w:r>
      <w:r w:rsidR="00D65941">
        <w:rPr>
          <w:rFonts w:eastAsia="Calibri"/>
          <w:color w:val="000000" w:themeColor="text1"/>
          <w:lang w:eastAsia="en-US"/>
        </w:rPr>
        <w:t>social h</w:t>
      </w:r>
      <w:r w:rsidR="009A0E86">
        <w:rPr>
          <w:rFonts w:eastAsia="Calibri"/>
          <w:color w:val="000000" w:themeColor="text1"/>
          <w:lang w:eastAsia="en-US"/>
        </w:rPr>
        <w:t>ousing</w:t>
      </w:r>
      <w:r>
        <w:rPr>
          <w:rFonts w:eastAsia="Calibri"/>
          <w:color w:val="000000" w:themeColor="text1"/>
          <w:lang w:eastAsia="en-US"/>
        </w:rPr>
        <w:t xml:space="preserve"> services</w:t>
      </w:r>
      <w:r w:rsidRPr="00ED71CE">
        <w:rPr>
          <w:rFonts w:eastAsia="Calibri"/>
          <w:color w:val="000000" w:themeColor="text1"/>
          <w:lang w:eastAsia="en-US"/>
        </w:rPr>
        <w:t xml:space="preserve"> are ongoing and include identifying </w:t>
      </w:r>
      <w:r w:rsidR="00705A21" w:rsidRPr="00705A21">
        <w:rPr>
          <w:rFonts w:eastAsia="Calibri"/>
          <w:color w:val="000000" w:themeColor="text1"/>
          <w:lang w:eastAsia="en-US"/>
        </w:rPr>
        <w:t>data sources to fill gaps in reporting for performance indicators and measures</w:t>
      </w:r>
      <w:r w:rsidRPr="00ED71CE">
        <w:rPr>
          <w:rFonts w:eastAsia="Calibri"/>
          <w:color w:val="000000" w:themeColor="text1"/>
          <w:lang w:eastAsia="en-US"/>
        </w:rPr>
        <w:t xml:space="preserve">, </w:t>
      </w:r>
      <w:r w:rsidR="00A816AA">
        <w:rPr>
          <w:rFonts w:eastAsia="Calibri"/>
          <w:color w:val="000000" w:themeColor="text1"/>
          <w:lang w:eastAsia="en-US"/>
        </w:rPr>
        <w:t xml:space="preserve">and </w:t>
      </w:r>
      <w:r w:rsidRPr="00ED71CE">
        <w:rPr>
          <w:rFonts w:eastAsia="Calibri"/>
          <w:color w:val="000000" w:themeColor="text1"/>
          <w:lang w:eastAsia="en-US"/>
        </w:rPr>
        <w:t>improving the comparability and completeness of data</w:t>
      </w:r>
      <w:r w:rsidR="0069149B" w:rsidRPr="0069149B">
        <w:rPr>
          <w:rFonts w:eastAsia="Calibri"/>
          <w:color w:val="000000" w:themeColor="text1"/>
          <w:lang w:eastAsia="en-US"/>
        </w:rPr>
        <w:t>.</w:t>
      </w:r>
    </w:p>
    <w:p w14:paraId="3681D470" w14:textId="77777777" w:rsidR="00DA6812" w:rsidRDefault="00DA6812" w:rsidP="00DA6812">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E00B00" w14:paraId="2A33D3EF" w14:textId="77777777" w:rsidTr="00E21E82">
        <w:tc>
          <w:tcPr>
            <w:tcW w:w="8789" w:type="dxa"/>
            <w:tcBorders>
              <w:top w:val="single" w:sz="6" w:space="0" w:color="78A22F"/>
              <w:left w:val="nil"/>
              <w:bottom w:val="nil"/>
              <w:right w:val="nil"/>
            </w:tcBorders>
            <w:shd w:val="clear" w:color="auto" w:fill="auto"/>
          </w:tcPr>
          <w:p w14:paraId="2DBF97EB" w14:textId="79C0F2D0" w:rsidR="00E00B00" w:rsidRPr="00DC2E7E" w:rsidRDefault="00E00B00" w:rsidP="00343212">
            <w:pPr>
              <w:pStyle w:val="FigureTitle"/>
              <w:rPr>
                <w:rStyle w:val="DraftingNote"/>
                <w:b/>
                <w:color w:val="auto"/>
                <w:sz w:val="22"/>
                <w:u w:val="none"/>
              </w:rPr>
            </w:pPr>
            <w:r w:rsidRPr="00784A05">
              <w:rPr>
                <w:b w:val="0"/>
              </w:rPr>
              <w:t xml:space="preserve">Figure </w:t>
            </w:r>
            <w:r w:rsidR="00343212">
              <w:rPr>
                <w:b w:val="0"/>
              </w:rPr>
              <w:t>18.</w:t>
            </w:r>
            <w:r w:rsidR="007D5A6B">
              <w:rPr>
                <w:b w:val="0"/>
                <w:noProof/>
              </w:rPr>
              <w:t>1</w:t>
            </w:r>
            <w:r>
              <w:tab/>
            </w:r>
            <w:r w:rsidRPr="00E00B00">
              <w:t>Social housing performance indicator framewor</w:t>
            </w:r>
            <w:r>
              <w:t>k</w:t>
            </w:r>
          </w:p>
        </w:tc>
      </w:tr>
      <w:tr w:rsidR="00E00B00" w14:paraId="0728DCB4" w14:textId="77777777" w:rsidTr="00E21E82">
        <w:tc>
          <w:tcPr>
            <w:tcW w:w="8789" w:type="dxa"/>
            <w:tcBorders>
              <w:top w:val="nil"/>
              <w:left w:val="nil"/>
              <w:bottom w:val="nil"/>
              <w:right w:val="nil"/>
            </w:tcBorders>
            <w:shd w:val="clear" w:color="auto" w:fill="auto"/>
            <w:tcMar>
              <w:top w:w="28" w:type="dxa"/>
              <w:bottom w:w="28" w:type="dxa"/>
            </w:tcMar>
          </w:tcPr>
          <w:p w14:paraId="21564F31" w14:textId="406C8BAF" w:rsidR="00E00B00" w:rsidRDefault="00E21E82" w:rsidP="00E21E82">
            <w:pPr>
              <w:jc w:val="center"/>
            </w:pPr>
            <w:r w:rsidRPr="00E21E82">
              <w:rPr>
                <w:noProof/>
                <w:lang w:eastAsia="en-AU"/>
              </w:rPr>
              <w:drawing>
                <wp:inline distT="0" distB="0" distL="0" distR="0" wp14:anchorId="6BEE0495" wp14:editId="49AA8908">
                  <wp:extent cx="5396230" cy="4814570"/>
                  <wp:effectExtent l="0" t="0" r="0" b="0"/>
                  <wp:docPr id="19" name="Picture 19" descr="More details can be found within the text surrounding this image." title="Figure 18.1 Social housing performance indicato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4814570"/>
                          </a:xfrm>
                          <a:prstGeom prst="rect">
                            <a:avLst/>
                          </a:prstGeom>
                          <a:noFill/>
                          <a:ln>
                            <a:noFill/>
                          </a:ln>
                        </pic:spPr>
                      </pic:pic>
                    </a:graphicData>
                  </a:graphic>
                </wp:inline>
              </w:drawing>
            </w:r>
          </w:p>
        </w:tc>
      </w:tr>
      <w:tr w:rsidR="00E00B00" w:rsidRPr="000863A5" w14:paraId="46F14D3B" w14:textId="77777777" w:rsidTr="00E21E82">
        <w:tc>
          <w:tcPr>
            <w:tcW w:w="8789" w:type="dxa"/>
            <w:tcBorders>
              <w:top w:val="single" w:sz="6" w:space="0" w:color="78A22F"/>
              <w:left w:val="nil"/>
              <w:bottom w:val="nil"/>
              <w:right w:val="nil"/>
            </w:tcBorders>
          </w:tcPr>
          <w:p w14:paraId="45A786F5" w14:textId="77777777" w:rsidR="00E00B00" w:rsidRPr="00626D32" w:rsidRDefault="00E00B00" w:rsidP="00334F07">
            <w:pPr>
              <w:pStyle w:val="BoxSpaceBelow"/>
            </w:pPr>
          </w:p>
        </w:tc>
      </w:tr>
    </w:tbl>
    <w:p w14:paraId="322C9D50" w14:textId="5E59CFF1" w:rsidR="00092D60" w:rsidRDefault="00040F38" w:rsidP="00092D60">
      <w:pPr>
        <w:pStyle w:val="Heading2"/>
      </w:pPr>
      <w:bookmarkStart w:id="14" w:name="_Toc314211349"/>
      <w:bookmarkStart w:id="15" w:name="_Toc396143032"/>
      <w:bookmarkStart w:id="16" w:name="_Toc459884657"/>
      <w:bookmarkStart w:id="17" w:name="_Toc210006653"/>
      <w:bookmarkStart w:id="18" w:name="_Toc210006655"/>
      <w:r>
        <w:t>18.</w:t>
      </w:r>
      <w:r w:rsidR="007D5A6B">
        <w:rPr>
          <w:noProof/>
        </w:rPr>
        <w:t>3</w:t>
      </w:r>
      <w:r>
        <w:tab/>
      </w:r>
      <w:r w:rsidR="00092D60">
        <w:t>Key performance indicator results</w:t>
      </w:r>
      <w:bookmarkEnd w:id="14"/>
      <w:bookmarkEnd w:id="15"/>
      <w:bookmarkEnd w:id="16"/>
    </w:p>
    <w:p w14:paraId="749BC779" w14:textId="77777777" w:rsidR="000A063D" w:rsidRDefault="00F73FEE" w:rsidP="000A063D">
      <w:pPr>
        <w:pStyle w:val="BodyText"/>
      </w:pPr>
      <w:r>
        <w:t>Different delivery contexts, locations and types of clients can affect the equity, effectiveness and efficiency of social housing services.</w:t>
      </w:r>
    </w:p>
    <w:p w14:paraId="17405CC1" w14:textId="77777777" w:rsidR="0065490B" w:rsidRPr="009E5CE0" w:rsidRDefault="0065490B" w:rsidP="0065490B">
      <w:pPr>
        <w:pStyle w:val="Heading3"/>
      </w:pPr>
      <w:r w:rsidRPr="00C4061D">
        <w:t>Outputs</w:t>
      </w:r>
    </w:p>
    <w:p w14:paraId="1B330BE4" w14:textId="77777777" w:rsidR="0065490B" w:rsidRPr="009E5CE0" w:rsidRDefault="0065490B" w:rsidP="0065490B">
      <w:pPr>
        <w:pStyle w:val="BodyText"/>
        <w:rPr>
          <w:color w:val="000000" w:themeColor="text1"/>
        </w:rPr>
      </w:pPr>
      <w:r w:rsidRPr="009E5CE0">
        <w:rPr>
          <w:color w:val="000000" w:themeColor="text1"/>
        </w:rPr>
        <w:t>Outputs are the services delivered (while outcomes are the impact of these services on the status of an individual or group) (see chapter</w:t>
      </w:r>
      <w:r w:rsidR="007D1214">
        <w:rPr>
          <w:color w:val="000000" w:themeColor="text1"/>
        </w:rPr>
        <w:t> </w:t>
      </w:r>
      <w:r w:rsidRPr="009E5CE0">
        <w:rPr>
          <w:color w:val="000000" w:themeColor="text1"/>
        </w:rPr>
        <w:t>1).</w:t>
      </w:r>
      <w:r>
        <w:rPr>
          <w:color w:val="000000" w:themeColor="text1"/>
        </w:rPr>
        <w:t xml:space="preserve"> Output information is also critical for equitable, efficient and effective management of government services.</w:t>
      </w:r>
    </w:p>
    <w:p w14:paraId="105BF103" w14:textId="77777777" w:rsidR="00C0136B" w:rsidRPr="00E00B00" w:rsidRDefault="009640BD" w:rsidP="0065490B">
      <w:pPr>
        <w:pStyle w:val="Heading3"/>
      </w:pPr>
      <w:r>
        <w:lastRenderedPageBreak/>
        <w:t>Equity</w:t>
      </w:r>
    </w:p>
    <w:p w14:paraId="3239C8FF" w14:textId="77777777" w:rsidR="001477AD" w:rsidRPr="00F34CB2" w:rsidRDefault="00EC5DB3" w:rsidP="006B692D">
      <w:pPr>
        <w:pStyle w:val="Heading4"/>
      </w:pPr>
      <w:r>
        <w:t xml:space="preserve">Access — </w:t>
      </w:r>
      <w:r w:rsidR="001477AD" w:rsidRPr="00F34CB2">
        <w:t>Priority access to those in greatest need</w:t>
      </w:r>
    </w:p>
    <w:p w14:paraId="6DE0AE5C" w14:textId="77777777" w:rsidR="001477AD" w:rsidRDefault="001477AD" w:rsidP="00796AC0">
      <w:pPr>
        <w:pStyle w:val="BodyText"/>
        <w:spacing w:before="120"/>
      </w:pPr>
      <w:r>
        <w:t>‘Priority access to those in greatest need’ is a</w:t>
      </w:r>
      <w:r w:rsidR="006B3A24">
        <w:t xml:space="preserve"> proxy</w:t>
      </w:r>
      <w:r>
        <w:t xml:space="preserve"> indicator of governments’ objective to provide </w:t>
      </w:r>
      <w:r w:rsidR="00007225">
        <w:t xml:space="preserve">services </w:t>
      </w:r>
      <w:r w:rsidR="00790CB2">
        <w:t>in an equitable manner (box 18.</w:t>
      </w:r>
      <w:r w:rsidR="007822A1">
        <w:t>3</w:t>
      </w:r>
      <w:r w:rsidR="006F7A0C">
        <w:t>).</w:t>
      </w:r>
    </w:p>
    <w:p w14:paraId="5F8DE373" w14:textId="1CF016FC" w:rsidR="00956E84" w:rsidRDefault="00956E84" w:rsidP="001363B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56E84" w14:paraId="1302BA7C" w14:textId="77777777" w:rsidTr="00E21E82">
        <w:tc>
          <w:tcPr>
            <w:tcW w:w="5000" w:type="pct"/>
            <w:tcBorders>
              <w:top w:val="single" w:sz="6" w:space="0" w:color="78A22F"/>
              <w:left w:val="nil"/>
              <w:bottom w:val="nil"/>
              <w:right w:val="nil"/>
            </w:tcBorders>
            <w:shd w:val="clear" w:color="auto" w:fill="F2F2F2" w:themeFill="background1" w:themeFillShade="F2"/>
          </w:tcPr>
          <w:p w14:paraId="615B9F7F" w14:textId="0F5DE981" w:rsidR="00956E84" w:rsidRDefault="001363B3" w:rsidP="00BB5630">
            <w:pPr>
              <w:pStyle w:val="BoxTitle"/>
            </w:pPr>
            <w:r>
              <w:rPr>
                <w:b w:val="0"/>
              </w:rPr>
              <w:t>Box 1</w:t>
            </w:r>
            <w:r w:rsidR="00BB5630">
              <w:rPr>
                <w:b w:val="0"/>
              </w:rPr>
              <w:t>8</w:t>
            </w:r>
            <w:r>
              <w:rPr>
                <w:b w:val="0"/>
              </w:rPr>
              <w:t>.</w:t>
            </w:r>
            <w:r w:rsidR="007D5A6B">
              <w:rPr>
                <w:b w:val="0"/>
                <w:noProof/>
              </w:rPr>
              <w:t>3</w:t>
            </w:r>
            <w:r w:rsidR="00956E84">
              <w:tab/>
            </w:r>
            <w:r w:rsidR="00956E84" w:rsidRPr="00956E84">
              <w:t>Priority access to those in greatest need</w:t>
            </w:r>
          </w:p>
        </w:tc>
      </w:tr>
      <w:tr w:rsidR="00CF24D7" w14:paraId="38058F31" w14:textId="77777777" w:rsidTr="00E21E82">
        <w:trPr>
          <w:cantSplit/>
        </w:trPr>
        <w:tc>
          <w:tcPr>
            <w:tcW w:w="5000" w:type="pct"/>
            <w:tcBorders>
              <w:top w:val="nil"/>
              <w:left w:val="nil"/>
              <w:bottom w:val="nil"/>
              <w:right w:val="nil"/>
            </w:tcBorders>
            <w:shd w:val="clear" w:color="auto" w:fill="F2F2F2" w:themeFill="background1" w:themeFillShade="F2"/>
          </w:tcPr>
          <w:p w14:paraId="6AB8D760" w14:textId="77777777" w:rsidR="00CF24D7" w:rsidRDefault="00CF24D7" w:rsidP="00A466D6">
            <w:pPr>
              <w:pStyle w:val="Box"/>
            </w:pPr>
            <w:r w:rsidRPr="00956E84">
              <w:t>‘Priority access to those in greatest need’ is defined</w:t>
            </w:r>
            <w:r>
              <w:t xml:space="preserve"> </w:t>
            </w:r>
            <w:r w:rsidR="00D15C5C">
              <w:t xml:space="preserve">as </w:t>
            </w:r>
            <w:r w:rsidRPr="00956E84">
              <w:t xml:space="preserve">the proportion of new </w:t>
            </w:r>
            <w:r>
              <w:t xml:space="preserve">housing </w:t>
            </w:r>
            <w:r w:rsidRPr="00956E84">
              <w:t>allocations that were to households in greatest need</w:t>
            </w:r>
            <w:r w:rsidR="00D15C5C">
              <w:t>.</w:t>
            </w:r>
          </w:p>
          <w:p w14:paraId="502B5DC8" w14:textId="77777777" w:rsidR="00CF24D7" w:rsidRDefault="00CF24D7" w:rsidP="00CF24D7">
            <w:pPr>
              <w:pStyle w:val="Box"/>
            </w:pPr>
            <w:r w:rsidRPr="00956E84">
              <w:t xml:space="preserve">Greatest need households are defined as households that at the time of allocation are homeless, in housing inappropriate to </w:t>
            </w:r>
            <w:r w:rsidRPr="005E340A">
              <w:t>their needs, in housing that is adversely affecting their health or placing their life and safety at risk, or</w:t>
            </w:r>
            <w:r>
              <w:t>,</w:t>
            </w:r>
            <w:r w:rsidRPr="005E340A">
              <w:t xml:space="preserve"> have very</w:t>
            </w:r>
            <w:r w:rsidRPr="00956E84">
              <w:t xml:space="preserve"> high rental housing costs.</w:t>
            </w:r>
          </w:p>
          <w:p w14:paraId="2AB9AEAE" w14:textId="77777777" w:rsidR="00CF24D7" w:rsidRPr="00956E84" w:rsidRDefault="00CF24D7" w:rsidP="00CF24D7">
            <w:pPr>
              <w:pStyle w:val="Box"/>
            </w:pPr>
            <w:r>
              <w:t xml:space="preserve">This is a </w:t>
            </w:r>
            <w:r w:rsidRPr="00A87197">
              <w:t>partial proxy</w:t>
            </w:r>
            <w:r>
              <w:t xml:space="preserve"> indicator as information is not provided about the proportion of households on the waiting list that are ‘greatest need’ households</w:t>
            </w:r>
            <w:r w:rsidR="00CD74E8" w:rsidRPr="00CD74E8">
              <w:t>. A high or increasing proportion, particularly for short timeframes, may indicate a high degree of access for those households in greatest need</w:t>
            </w:r>
            <w:r w:rsidRPr="00956E84">
              <w:t>.</w:t>
            </w:r>
          </w:p>
          <w:p w14:paraId="306F07B4" w14:textId="77777777" w:rsidR="00CF24D7" w:rsidRPr="00956E84" w:rsidRDefault="00CF24D7" w:rsidP="00CF24D7">
            <w:pPr>
              <w:pStyle w:val="Box"/>
            </w:pPr>
            <w:r w:rsidRPr="00956E84">
              <w:t xml:space="preserve">Data for this </w:t>
            </w:r>
            <w:r w:rsidR="00CD74E8">
              <w:t>measure</w:t>
            </w:r>
            <w:r w:rsidRPr="00956E84">
              <w:t xml:space="preserve"> are reported for public housing, </w:t>
            </w:r>
            <w:proofErr w:type="spellStart"/>
            <w:r w:rsidRPr="00956E84">
              <w:t>SOMIH</w:t>
            </w:r>
            <w:proofErr w:type="spellEnd"/>
            <w:r w:rsidRPr="00956E84">
              <w:t xml:space="preserve"> and community housing</w:t>
            </w:r>
            <w:r>
              <w:t xml:space="preserve"> and</w:t>
            </w:r>
            <w:r w:rsidRPr="00956E84">
              <w:t xml:space="preserve"> are:</w:t>
            </w:r>
          </w:p>
          <w:p w14:paraId="2E874A9A" w14:textId="77777777" w:rsidR="00CF24D7" w:rsidRPr="00690765" w:rsidRDefault="00CF24D7" w:rsidP="00690765">
            <w:pPr>
              <w:pStyle w:val="BoxListBullet"/>
            </w:pPr>
            <w:r w:rsidRPr="00690765">
              <w:t>comparable (subject to caveats) within some jurisdictions over time but are not comparable across jurisdictions or over time for other jurisdictions (see caveats in attachment tables for specific jurisdictions)</w:t>
            </w:r>
          </w:p>
          <w:p w14:paraId="1745B0FE" w14:textId="77777777" w:rsidR="00CF24D7" w:rsidRPr="00690765" w:rsidRDefault="00CF24D7" w:rsidP="00690765">
            <w:pPr>
              <w:pStyle w:val="BoxListBullet"/>
            </w:pPr>
            <w:r w:rsidRPr="00690765">
              <w:t xml:space="preserve">not comparable across public housing, </w:t>
            </w:r>
            <w:proofErr w:type="spellStart"/>
            <w:r w:rsidRPr="00690765">
              <w:t>SOMIH</w:t>
            </w:r>
            <w:proofErr w:type="spellEnd"/>
            <w:r w:rsidRPr="00690765">
              <w:t xml:space="preserve"> and community housing</w:t>
            </w:r>
          </w:p>
          <w:p w14:paraId="67A3B8D8" w14:textId="37957EC7" w:rsidR="00CF24D7" w:rsidRPr="00690765" w:rsidRDefault="00CF24D7" w:rsidP="00690765">
            <w:pPr>
              <w:pStyle w:val="BoxListBullet"/>
            </w:pPr>
            <w:r w:rsidRPr="00690765">
              <w:t xml:space="preserve">complete for public housing for the current reporting period (subject to caveats). All required </w:t>
            </w:r>
            <w:r w:rsidR="007959DF" w:rsidRPr="00690765">
              <w:t>2016</w:t>
            </w:r>
            <w:r w:rsidR="00DC04F0">
              <w:noBreakHyphen/>
            </w:r>
            <w:r w:rsidR="007959DF" w:rsidRPr="00690765">
              <w:t>17</w:t>
            </w:r>
            <w:r w:rsidRPr="00690765">
              <w:t xml:space="preserve"> data are available for</w:t>
            </w:r>
            <w:r w:rsidR="00CD74E8" w:rsidRPr="00690765">
              <w:t xml:space="preserve"> all jurisdictions</w:t>
            </w:r>
          </w:p>
          <w:p w14:paraId="0EF715A2" w14:textId="51D1276C" w:rsidR="00CF24D7" w:rsidRPr="00956E84" w:rsidRDefault="00CF24D7" w:rsidP="00690765">
            <w:pPr>
              <w:pStyle w:val="BoxListBullet"/>
            </w:pPr>
            <w:r w:rsidRPr="00690765">
              <w:t xml:space="preserve">incomplete for </w:t>
            </w:r>
            <w:proofErr w:type="spellStart"/>
            <w:r w:rsidRPr="00690765">
              <w:t>SOMIH</w:t>
            </w:r>
            <w:proofErr w:type="spellEnd"/>
            <w:r w:rsidRPr="00690765">
              <w:t xml:space="preserve"> </w:t>
            </w:r>
            <w:r w:rsidR="00FF1C53" w:rsidRPr="00690765">
              <w:t xml:space="preserve">and community housing </w:t>
            </w:r>
            <w:r w:rsidRPr="00690765">
              <w:t xml:space="preserve">for the current reporting period. All required </w:t>
            </w:r>
            <w:r w:rsidR="007959DF" w:rsidRPr="00690765">
              <w:t>2016</w:t>
            </w:r>
            <w:r w:rsidR="00DC04F0">
              <w:noBreakHyphen/>
            </w:r>
            <w:r w:rsidR="007959DF" w:rsidRPr="00690765">
              <w:t>17</w:t>
            </w:r>
            <w:r w:rsidR="00571784" w:rsidRPr="00690765">
              <w:t xml:space="preserve"> </w:t>
            </w:r>
            <w:r w:rsidRPr="00690765">
              <w:t xml:space="preserve">data are not available for </w:t>
            </w:r>
            <w:r w:rsidR="00D93E07" w:rsidRPr="00690765">
              <w:t>the NT</w:t>
            </w:r>
            <w:r w:rsidRPr="00690765">
              <w:t>.</w:t>
            </w:r>
          </w:p>
        </w:tc>
      </w:tr>
      <w:tr w:rsidR="00882EA8" w14:paraId="3505838A" w14:textId="77777777" w:rsidTr="00E21E82">
        <w:trPr>
          <w:cantSplit/>
        </w:trPr>
        <w:tc>
          <w:tcPr>
            <w:tcW w:w="5000" w:type="pct"/>
            <w:tcBorders>
              <w:top w:val="nil"/>
              <w:left w:val="nil"/>
              <w:bottom w:val="single" w:sz="6" w:space="0" w:color="78A22F"/>
              <w:right w:val="nil"/>
            </w:tcBorders>
            <w:shd w:val="clear" w:color="auto" w:fill="F2F2F2" w:themeFill="background1" w:themeFillShade="F2"/>
          </w:tcPr>
          <w:p w14:paraId="48530C23" w14:textId="77777777" w:rsidR="00882EA8" w:rsidRDefault="00882EA8" w:rsidP="009C4A72">
            <w:pPr>
              <w:pStyle w:val="Box"/>
              <w:spacing w:before="0" w:line="120" w:lineRule="exact"/>
            </w:pPr>
          </w:p>
        </w:tc>
      </w:tr>
      <w:tr w:rsidR="00882EA8" w:rsidRPr="000863A5" w14:paraId="611EA07F" w14:textId="77777777" w:rsidTr="00E21E82">
        <w:tc>
          <w:tcPr>
            <w:tcW w:w="5000" w:type="pct"/>
            <w:tcBorders>
              <w:top w:val="single" w:sz="6" w:space="0" w:color="78A22F"/>
              <w:left w:val="nil"/>
              <w:bottom w:val="nil"/>
              <w:right w:val="nil"/>
            </w:tcBorders>
          </w:tcPr>
          <w:p w14:paraId="2F942365" w14:textId="77777777" w:rsidR="00882EA8" w:rsidRPr="00626D32" w:rsidRDefault="00882EA8" w:rsidP="009C4A72">
            <w:pPr>
              <w:pStyle w:val="BoxSpaceBelow"/>
            </w:pPr>
          </w:p>
        </w:tc>
      </w:tr>
    </w:tbl>
    <w:p w14:paraId="6F001AED" w14:textId="048A07DA" w:rsidR="009D62A9" w:rsidRDefault="00841836" w:rsidP="009174C8">
      <w:pPr>
        <w:pStyle w:val="BodyText"/>
        <w:spacing w:before="200"/>
        <w:rPr>
          <w:color w:val="000000" w:themeColor="text1"/>
        </w:rPr>
      </w:pPr>
      <w:r w:rsidRPr="0072137D">
        <w:rPr>
          <w:color w:val="000000" w:themeColor="text1"/>
        </w:rPr>
        <w:t>Nationally</w:t>
      </w:r>
      <w:r w:rsidR="00C97A52" w:rsidRPr="0072137D">
        <w:rPr>
          <w:color w:val="000000" w:themeColor="text1"/>
        </w:rPr>
        <w:t xml:space="preserve"> in</w:t>
      </w:r>
      <w:r w:rsidR="00D23765">
        <w:rPr>
          <w:color w:val="000000" w:themeColor="text1"/>
        </w:rPr>
        <w:t xml:space="preserve"> </w:t>
      </w:r>
      <w:r w:rsidR="00746442">
        <w:rPr>
          <w:color w:val="000000" w:themeColor="text1"/>
        </w:rPr>
        <w:t>2016</w:t>
      </w:r>
      <w:r w:rsidR="00DC04F0">
        <w:rPr>
          <w:color w:val="000000" w:themeColor="text1"/>
        </w:rPr>
        <w:noBreakHyphen/>
      </w:r>
      <w:r w:rsidR="00746442">
        <w:rPr>
          <w:color w:val="000000" w:themeColor="text1"/>
        </w:rPr>
        <w:t>17</w:t>
      </w:r>
      <w:r w:rsidR="00D23765" w:rsidRPr="00A17C2C">
        <w:rPr>
          <w:color w:val="000000" w:themeColor="text1"/>
        </w:rPr>
        <w:t xml:space="preserve">, </w:t>
      </w:r>
      <w:r w:rsidR="00485226">
        <w:rPr>
          <w:color w:val="000000" w:themeColor="text1"/>
        </w:rPr>
        <w:t>74.3</w:t>
      </w:r>
      <w:r w:rsidR="004740F2" w:rsidRPr="00A17C2C">
        <w:rPr>
          <w:color w:val="000000" w:themeColor="text1"/>
        </w:rPr>
        <w:t> </w:t>
      </w:r>
      <w:r w:rsidRPr="00A17C2C">
        <w:rPr>
          <w:color w:val="000000" w:themeColor="text1"/>
        </w:rPr>
        <w:t>per</w:t>
      </w:r>
      <w:r w:rsidR="004740F2" w:rsidRPr="00A17C2C">
        <w:rPr>
          <w:color w:val="000000" w:themeColor="text1"/>
        </w:rPr>
        <w:t> </w:t>
      </w:r>
      <w:r w:rsidRPr="00A17C2C">
        <w:rPr>
          <w:color w:val="000000" w:themeColor="text1"/>
        </w:rPr>
        <w:t>cent of new</w:t>
      </w:r>
      <w:r w:rsidR="00310447" w:rsidRPr="00A17C2C">
        <w:rPr>
          <w:color w:val="000000" w:themeColor="text1"/>
        </w:rPr>
        <w:t xml:space="preserve"> public housing</w:t>
      </w:r>
      <w:r w:rsidRPr="00A17C2C">
        <w:rPr>
          <w:color w:val="000000" w:themeColor="text1"/>
        </w:rPr>
        <w:t xml:space="preserve"> </w:t>
      </w:r>
      <w:r w:rsidRPr="00D51E02">
        <w:rPr>
          <w:color w:val="000000" w:themeColor="text1"/>
        </w:rPr>
        <w:t>allocations,</w:t>
      </w:r>
      <w:r w:rsidR="00D23765" w:rsidRPr="00D51E02">
        <w:rPr>
          <w:color w:val="000000" w:themeColor="text1"/>
        </w:rPr>
        <w:t xml:space="preserve"> </w:t>
      </w:r>
      <w:r w:rsidR="009C34CC" w:rsidRPr="00D51E02">
        <w:rPr>
          <w:color w:val="000000" w:themeColor="text1"/>
        </w:rPr>
        <w:t>58.8</w:t>
      </w:r>
      <w:r w:rsidR="00973B10" w:rsidRPr="00D51E02">
        <w:rPr>
          <w:color w:val="000000" w:themeColor="text1"/>
        </w:rPr>
        <w:t xml:space="preserve"> </w:t>
      </w:r>
      <w:r w:rsidRPr="00D51E02">
        <w:rPr>
          <w:color w:val="000000" w:themeColor="text1"/>
        </w:rPr>
        <w:t>per cent</w:t>
      </w:r>
      <w:r w:rsidR="001F735C" w:rsidRPr="00D51E02">
        <w:rPr>
          <w:color w:val="000000" w:themeColor="text1"/>
        </w:rPr>
        <w:t xml:space="preserve"> </w:t>
      </w:r>
      <w:r w:rsidRPr="00D51E02">
        <w:rPr>
          <w:color w:val="000000" w:themeColor="text1"/>
        </w:rPr>
        <w:t xml:space="preserve">of </w:t>
      </w:r>
      <w:r w:rsidR="004D0537" w:rsidRPr="00D51E02">
        <w:rPr>
          <w:color w:val="000000" w:themeColor="text1"/>
        </w:rPr>
        <w:t xml:space="preserve">new </w:t>
      </w:r>
      <w:proofErr w:type="spellStart"/>
      <w:r w:rsidR="004D0537" w:rsidRPr="00D51E02">
        <w:rPr>
          <w:color w:val="000000" w:themeColor="text1"/>
        </w:rPr>
        <w:t>SOMIH</w:t>
      </w:r>
      <w:proofErr w:type="spellEnd"/>
      <w:r w:rsidR="004D0537" w:rsidRPr="00D51E02">
        <w:rPr>
          <w:color w:val="000000" w:themeColor="text1"/>
        </w:rPr>
        <w:t xml:space="preserve"> allocations and</w:t>
      </w:r>
      <w:r w:rsidR="00D02BA9" w:rsidRPr="00D51E02">
        <w:rPr>
          <w:color w:val="000000" w:themeColor="text1"/>
        </w:rPr>
        <w:t xml:space="preserve"> 86.4 </w:t>
      </w:r>
      <w:r w:rsidR="004D0537" w:rsidRPr="00D51E02">
        <w:rPr>
          <w:color w:val="000000" w:themeColor="text1"/>
        </w:rPr>
        <w:t>per cent of new community housin</w:t>
      </w:r>
      <w:r w:rsidR="004D0537" w:rsidRPr="004D0537">
        <w:rPr>
          <w:color w:val="000000" w:themeColor="text1"/>
        </w:rPr>
        <w:t xml:space="preserve">g allocations were to </w:t>
      </w:r>
      <w:r w:rsidRPr="008F2728">
        <w:rPr>
          <w:color w:val="000000" w:themeColor="text1"/>
        </w:rPr>
        <w:t xml:space="preserve">those </w:t>
      </w:r>
      <w:r w:rsidR="00D34399" w:rsidRPr="008F2728">
        <w:rPr>
          <w:color w:val="000000" w:themeColor="text1"/>
        </w:rPr>
        <w:t xml:space="preserve">households </w:t>
      </w:r>
      <w:r w:rsidRPr="008F2728">
        <w:rPr>
          <w:color w:val="000000" w:themeColor="text1"/>
        </w:rPr>
        <w:t>in greatest need</w:t>
      </w:r>
      <w:r w:rsidR="009D62A9">
        <w:rPr>
          <w:color w:val="000000" w:themeColor="text1"/>
        </w:rPr>
        <w:t xml:space="preserve"> </w:t>
      </w:r>
      <w:r w:rsidR="0001777A">
        <w:rPr>
          <w:color w:val="000000" w:themeColor="text1"/>
        </w:rPr>
        <w:t>(figure 18</w:t>
      </w:r>
      <w:r w:rsidR="00F76C54" w:rsidRPr="008F2728">
        <w:rPr>
          <w:color w:val="000000" w:themeColor="text1"/>
        </w:rPr>
        <w:t>.</w:t>
      </w:r>
      <w:r w:rsidR="00452E18">
        <w:rPr>
          <w:color w:val="000000" w:themeColor="text1"/>
        </w:rPr>
        <w:t>2</w:t>
      </w:r>
      <w:r w:rsidR="00F76C54" w:rsidRPr="008F2728">
        <w:rPr>
          <w:color w:val="000000" w:themeColor="text1"/>
        </w:rPr>
        <w:t>)</w:t>
      </w:r>
      <w:r w:rsidR="00F76C54">
        <w:rPr>
          <w:color w:val="000000" w:themeColor="text1"/>
        </w:rPr>
        <w:t>.</w:t>
      </w:r>
    </w:p>
    <w:p w14:paraId="7215DA6D" w14:textId="77777777" w:rsidR="00826627" w:rsidRPr="00DC04F0" w:rsidRDefault="00826627" w:rsidP="00826627">
      <w:pPr>
        <w:pStyle w:val="BodyText"/>
        <w:rPr>
          <w:lang w:eastAsia="en-US"/>
        </w:rPr>
      </w:pPr>
      <w:r>
        <w:t>O</w:t>
      </w:r>
      <w:r w:rsidRPr="00EF7E3C">
        <w:t xml:space="preserve">f all households allocated public housing within three months, </w:t>
      </w:r>
      <w:r w:rsidR="00690765">
        <w:t>89.4 </w:t>
      </w:r>
      <w:r w:rsidRPr="00EF7E3C">
        <w:t xml:space="preserve">per cent were households in greatest </w:t>
      </w:r>
      <w:r w:rsidRPr="00D51E02">
        <w:t>need (table </w:t>
      </w:r>
      <w:proofErr w:type="spellStart"/>
      <w:r w:rsidRPr="00D51E02">
        <w:t>18A.</w:t>
      </w:r>
      <w:r w:rsidR="003322E6" w:rsidRPr="00D51E02">
        <w:t>15</w:t>
      </w:r>
      <w:proofErr w:type="spellEnd"/>
      <w:r w:rsidRPr="00D51E02">
        <w:t xml:space="preserve">). For households allocated </w:t>
      </w:r>
      <w:proofErr w:type="spellStart"/>
      <w:r w:rsidRPr="00D51E02">
        <w:t>SOMIH</w:t>
      </w:r>
      <w:proofErr w:type="spellEnd"/>
      <w:r w:rsidRPr="00D51E02">
        <w:t xml:space="preserve"> within three months, this proportion was 78.</w:t>
      </w:r>
      <w:r w:rsidR="00E72EAF" w:rsidRPr="00D51E02">
        <w:t>5</w:t>
      </w:r>
      <w:r w:rsidR="00690765" w:rsidRPr="00D51E02">
        <w:t> </w:t>
      </w:r>
      <w:r w:rsidR="003322E6" w:rsidRPr="00D51E02">
        <w:t>per</w:t>
      </w:r>
      <w:r w:rsidR="003322E6">
        <w:t xml:space="preserve"> cent (table </w:t>
      </w:r>
      <w:proofErr w:type="spellStart"/>
      <w:r w:rsidR="003322E6">
        <w:t>18A.16</w:t>
      </w:r>
      <w:proofErr w:type="spellEnd"/>
      <w:r w:rsidRPr="00EF7E3C">
        <w:t>). Data for othe</w:t>
      </w:r>
      <w:r w:rsidR="003322E6">
        <w:t>r timeframes are in tables </w:t>
      </w:r>
      <w:proofErr w:type="spellStart"/>
      <w:r w:rsidR="003322E6">
        <w:t>18A.15</w:t>
      </w:r>
      <w:proofErr w:type="spellEnd"/>
      <w:r w:rsidR="003322E6">
        <w:t>–16</w:t>
      </w:r>
      <w:r w:rsidRPr="00EF7E3C">
        <w:t>.</w:t>
      </w:r>
    </w:p>
    <w:p w14:paraId="4B6969D4" w14:textId="638E9A1B" w:rsidR="00826627" w:rsidRPr="00DC04F0" w:rsidRDefault="00826627" w:rsidP="00826627">
      <w:pPr>
        <w:pStyle w:val="BodyText"/>
        <w:rPr>
          <w:lang w:eastAsia="en-US"/>
        </w:rPr>
      </w:pPr>
      <w:r>
        <w:t xml:space="preserve">Households that are in greatest need are more likely to have members with special needs, and there may be overlap between special needs and greatest need </w:t>
      </w:r>
      <w:r w:rsidRPr="00D51E02">
        <w:t>groups (</w:t>
      </w:r>
      <w:proofErr w:type="spellStart"/>
      <w:r w:rsidRPr="00D51E02">
        <w:t>AIHW</w:t>
      </w:r>
      <w:proofErr w:type="spellEnd"/>
      <w:r w:rsidRPr="00D51E02">
        <w:t xml:space="preserve"> 201</w:t>
      </w:r>
      <w:r w:rsidR="004E45D3" w:rsidRPr="00D51E02">
        <w:t>7</w:t>
      </w:r>
      <w:r w:rsidRPr="00D51E02">
        <w:t>).</w:t>
      </w:r>
    </w:p>
    <w:p w14:paraId="260DC8F4" w14:textId="5F3EDCA8" w:rsidR="00D95E06" w:rsidRDefault="00D95E06" w:rsidP="00936F99">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D95E06" w14:paraId="12552364" w14:textId="77777777" w:rsidTr="00E21E82">
        <w:trPr>
          <w:tblHeader/>
        </w:trPr>
        <w:tc>
          <w:tcPr>
            <w:tcW w:w="8789" w:type="dxa"/>
            <w:tcBorders>
              <w:top w:val="single" w:sz="6" w:space="0" w:color="78A22F"/>
              <w:left w:val="nil"/>
              <w:bottom w:val="nil"/>
              <w:right w:val="nil"/>
            </w:tcBorders>
            <w:shd w:val="clear" w:color="auto" w:fill="auto"/>
          </w:tcPr>
          <w:p w14:paraId="79E2F16F" w14:textId="2160A95C" w:rsidR="00D95E06" w:rsidRPr="00176D3F" w:rsidRDefault="00D95E06" w:rsidP="00D95E06">
            <w:pPr>
              <w:pStyle w:val="FigureTitle"/>
            </w:pPr>
            <w:r w:rsidRPr="00784A05">
              <w:rPr>
                <w:b w:val="0"/>
              </w:rPr>
              <w:t xml:space="preserve">Figure </w:t>
            </w:r>
            <w:r>
              <w:rPr>
                <w:b w:val="0"/>
              </w:rPr>
              <w:t>18.</w:t>
            </w:r>
            <w:r w:rsidR="007D5A6B">
              <w:rPr>
                <w:b w:val="0"/>
                <w:noProof/>
              </w:rPr>
              <w:t>2</w:t>
            </w:r>
            <w:r>
              <w:tab/>
              <w:t>Proportion of n</w:t>
            </w:r>
            <w:r w:rsidRPr="00956E84">
              <w:t xml:space="preserve">ew allocations to </w:t>
            </w:r>
            <w:r>
              <w:t>households</w:t>
            </w:r>
            <w:r w:rsidRPr="00956E84">
              <w:t xml:space="preserve"> in greatest need</w:t>
            </w:r>
            <w:r w:rsidRPr="00956E84">
              <w:rPr>
                <w:rStyle w:val="NoteLabel"/>
                <w:b/>
              </w:rPr>
              <w:t>a</w:t>
            </w:r>
          </w:p>
        </w:tc>
      </w:tr>
      <w:tr w:rsidR="00D95E06" w14:paraId="474B27D8" w14:textId="77777777" w:rsidTr="00E21E8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D95E06" w:rsidRPr="00B1465D" w14:paraId="1B8DA95F" w14:textId="77777777" w:rsidTr="00932176">
              <w:trPr>
                <w:tblHeader/>
                <w:jc w:val="center"/>
              </w:trPr>
              <w:tc>
                <w:tcPr>
                  <w:tcW w:w="8504" w:type="dxa"/>
                  <w:tcBorders>
                    <w:top w:val="nil"/>
                    <w:bottom w:val="nil"/>
                  </w:tcBorders>
                </w:tcPr>
                <w:p w14:paraId="673B74BD" w14:textId="77777777" w:rsidR="00596C02" w:rsidRDefault="00596C02" w:rsidP="00F87A6E">
                  <w:pPr>
                    <w:pStyle w:val="Figure"/>
                    <w:spacing w:after="60"/>
                    <w:rPr>
                      <w:rFonts w:ascii="Arial" w:hAnsi="Arial" w:cs="Arial"/>
                      <w:b/>
                      <w:sz w:val="20"/>
                    </w:rPr>
                  </w:pPr>
                  <w:r w:rsidRPr="00E87C8E">
                    <w:rPr>
                      <w:rFonts w:ascii="Arial" w:hAnsi="Arial" w:cs="Arial"/>
                      <w:b/>
                      <w:sz w:val="20"/>
                    </w:rPr>
                    <w:t xml:space="preserve">Public </w:t>
                  </w:r>
                  <w:r>
                    <w:rPr>
                      <w:rFonts w:ascii="Arial" w:hAnsi="Arial" w:cs="Arial"/>
                      <w:b/>
                      <w:sz w:val="20"/>
                    </w:rPr>
                    <w:t>housing</w:t>
                  </w:r>
                </w:p>
                <w:p w14:paraId="6EFA6673" w14:textId="77777777" w:rsidR="00D95E06" w:rsidRDefault="00932176" w:rsidP="00936F99">
                  <w:pPr>
                    <w:pStyle w:val="Figure"/>
                    <w:spacing w:before="60" w:after="60"/>
                    <w:rPr>
                      <w:rFonts w:ascii="Arial" w:hAnsi="Arial" w:cs="Arial"/>
                      <w:sz w:val="18"/>
                      <w:szCs w:val="18"/>
                    </w:rPr>
                  </w:pPr>
                  <w:r>
                    <w:rPr>
                      <w:noProof/>
                    </w:rPr>
                    <w:drawing>
                      <wp:inline distT="0" distB="0" distL="0" distR="0" wp14:anchorId="6D6956EA" wp14:editId="441898D7">
                        <wp:extent cx="5262880" cy="1720215"/>
                        <wp:effectExtent l="0" t="0" r="0" b="0"/>
                        <wp:docPr id="32" name="Chart 32" descr="Public housing&#10;&#10;More details can be found within the text surrounding this image." title="Figure 18.2 Proportion of new allocations to households in greatest need"/>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394A48" w14:textId="77777777" w:rsidR="00596C02" w:rsidRDefault="00596C02" w:rsidP="00936F99">
                  <w:pPr>
                    <w:pStyle w:val="Figure"/>
                    <w:spacing w:before="60" w:after="60"/>
                    <w:rPr>
                      <w:rStyle w:val="NoteLabel"/>
                    </w:rPr>
                  </w:pPr>
                  <w:proofErr w:type="spellStart"/>
                  <w:r w:rsidRPr="0047327D">
                    <w:rPr>
                      <w:rFonts w:ascii="Arial" w:hAnsi="Arial" w:cs="Arial"/>
                      <w:b/>
                      <w:sz w:val="20"/>
                    </w:rPr>
                    <w:t>SOMIH</w:t>
                  </w:r>
                  <w:proofErr w:type="spellEnd"/>
                  <w:r w:rsidRPr="001F735C">
                    <w:rPr>
                      <w:rStyle w:val="NoteLabel"/>
                    </w:rPr>
                    <w:t>b</w:t>
                  </w:r>
                </w:p>
                <w:p w14:paraId="0BE3736B" w14:textId="77777777" w:rsidR="00596C02" w:rsidRDefault="009C34CC" w:rsidP="00936F99">
                  <w:pPr>
                    <w:pStyle w:val="Figure"/>
                    <w:spacing w:before="60" w:after="60"/>
                    <w:rPr>
                      <w:rFonts w:ascii="Arial" w:hAnsi="Arial" w:cs="Arial"/>
                      <w:sz w:val="18"/>
                      <w:szCs w:val="18"/>
                    </w:rPr>
                  </w:pPr>
                  <w:r w:rsidRPr="00D51E02">
                    <w:rPr>
                      <w:noProof/>
                    </w:rPr>
                    <w:drawing>
                      <wp:inline distT="0" distB="0" distL="0" distR="0" wp14:anchorId="5D115525" wp14:editId="7D3BB269">
                        <wp:extent cx="5262880" cy="1706880"/>
                        <wp:effectExtent l="0" t="0" r="0" b="7620"/>
                        <wp:docPr id="30" name="Chart 30" descr="SOMIH&#10;&#10;More details can be found within the text surrounding this image." title="Figure 18.2 Proportion of new allocations to households in greatest ne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CF7962" w14:textId="5C80A60A" w:rsidR="00596C02" w:rsidRDefault="00596C02" w:rsidP="001C01EC">
                  <w:pPr>
                    <w:pStyle w:val="Figure"/>
                    <w:spacing w:after="60"/>
                  </w:pPr>
                  <w:r w:rsidRPr="00F7685E">
                    <w:rPr>
                      <w:rFonts w:ascii="Arial" w:hAnsi="Arial" w:cs="Arial"/>
                      <w:b/>
                      <w:sz w:val="20"/>
                    </w:rPr>
                    <w:t>Community housing</w:t>
                  </w:r>
                  <w:r w:rsidRPr="00F7685E">
                    <w:rPr>
                      <w:rStyle w:val="NoteLabel"/>
                      <w:rFonts w:cs="Arial"/>
                      <w:sz w:val="20"/>
                    </w:rPr>
                    <w:t>c</w:t>
                  </w:r>
                </w:p>
                <w:p w14:paraId="45707034" w14:textId="77777777" w:rsidR="00762602" w:rsidRDefault="00A072EA" w:rsidP="001C01EC">
                  <w:pPr>
                    <w:pStyle w:val="Figure"/>
                    <w:spacing w:after="60"/>
                  </w:pPr>
                  <w:r w:rsidRPr="00D51E02">
                    <w:rPr>
                      <w:noProof/>
                    </w:rPr>
                    <w:drawing>
                      <wp:inline distT="0" distB="0" distL="0" distR="0" wp14:anchorId="7596E486" wp14:editId="1F1FF2E7">
                        <wp:extent cx="5262880" cy="1720215"/>
                        <wp:effectExtent l="0" t="0" r="0" b="0"/>
                        <wp:docPr id="14" name="Chart 14" descr="Community housing&#10;&#10;More details can be found within the text surrounding this image." title="Figure 18.2 Proportion of new allocations to households in greatest ne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8D5F4C" w14:textId="77777777" w:rsidR="00596C02" w:rsidRPr="00B1465D" w:rsidRDefault="00762602" w:rsidP="00936F99">
                  <w:pPr>
                    <w:pStyle w:val="Figure"/>
                    <w:spacing w:before="60" w:after="60"/>
                    <w:rPr>
                      <w:rFonts w:ascii="Arial" w:hAnsi="Arial" w:cs="Arial"/>
                      <w:sz w:val="18"/>
                      <w:szCs w:val="18"/>
                    </w:rPr>
                  </w:pPr>
                  <w:r>
                    <w:rPr>
                      <w:noProof/>
                    </w:rPr>
                    <w:drawing>
                      <wp:inline distT="0" distB="0" distL="0" distR="0" wp14:anchorId="32969344" wp14:editId="12723985">
                        <wp:extent cx="5262880" cy="150495"/>
                        <wp:effectExtent l="0" t="0" r="0" b="1905"/>
                        <wp:docPr id="41" name="Picture 8" descr="Legend to Figure 18.2&#10;&#10;Green = 2012-13 to 2015-16&#10;Blue = 2016-17&#10;&#10;More details can be found within the text surrounding this image." title="Figure 18.2 Proportion of new allocations to households in greatest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t="91165" b="3329"/>
                                <a:stretch/>
                              </pic:blipFill>
                              <pic:spPr>
                                <a:xfrm>
                                  <a:off x="0" y="0"/>
                                  <a:ext cx="5262880" cy="150495"/>
                                </a:xfrm>
                                <a:prstGeom prst="rect">
                                  <a:avLst/>
                                </a:prstGeom>
                              </pic:spPr>
                            </pic:pic>
                          </a:graphicData>
                        </a:graphic>
                      </wp:inline>
                    </w:drawing>
                  </w:r>
                </w:p>
              </w:tc>
            </w:tr>
          </w:tbl>
          <w:p w14:paraId="24A77549" w14:textId="77777777" w:rsidR="00D95E06" w:rsidRDefault="00D95E06" w:rsidP="00936F99">
            <w:pPr>
              <w:pStyle w:val="Figure"/>
            </w:pPr>
          </w:p>
        </w:tc>
      </w:tr>
      <w:tr w:rsidR="00D95E06" w:rsidRPr="00176D3F" w14:paraId="3DD993EF" w14:textId="77777777" w:rsidTr="00E21E82">
        <w:tc>
          <w:tcPr>
            <w:tcW w:w="8789" w:type="dxa"/>
            <w:tcBorders>
              <w:top w:val="nil"/>
              <w:left w:val="nil"/>
              <w:bottom w:val="nil"/>
              <w:right w:val="nil"/>
            </w:tcBorders>
            <w:shd w:val="clear" w:color="auto" w:fill="auto"/>
          </w:tcPr>
          <w:p w14:paraId="29445765" w14:textId="69706283" w:rsidR="00D95E06" w:rsidRPr="00176D3F" w:rsidRDefault="003B27B6" w:rsidP="005D2EEA">
            <w:pPr>
              <w:pStyle w:val="Note"/>
            </w:pPr>
            <w:r>
              <w:rPr>
                <w:rStyle w:val="NoteLabel"/>
              </w:rPr>
              <w:t>a</w:t>
            </w:r>
            <w:r>
              <w:t xml:space="preserve"> See box 18.</w:t>
            </w:r>
            <w:r w:rsidR="007A19C4">
              <w:t>3</w:t>
            </w:r>
            <w:r>
              <w:t xml:space="preserve"> and tables </w:t>
            </w:r>
            <w:proofErr w:type="spellStart"/>
            <w:r>
              <w:t>18A.</w:t>
            </w:r>
            <w:r w:rsidR="003322E6">
              <w:t>15</w:t>
            </w:r>
            <w:proofErr w:type="spellEnd"/>
            <w:r w:rsidR="003322E6">
              <w:t>–17</w:t>
            </w:r>
            <w:r>
              <w:t xml:space="preserve"> for detailed definitions, footnotes and caveats. </w:t>
            </w:r>
            <w:r w:rsidRPr="001F735C">
              <w:rPr>
                <w:rStyle w:val="NoteLabel"/>
              </w:rPr>
              <w:t>b</w:t>
            </w:r>
            <w:r>
              <w:rPr>
                <w:rStyle w:val="NoteLabel"/>
              </w:rPr>
              <w:t xml:space="preserve"> </w:t>
            </w:r>
            <w:r w:rsidRPr="001F735C">
              <w:t>Data</w:t>
            </w:r>
            <w:r>
              <w:t xml:space="preserve"> are not available for Tasmania.</w:t>
            </w:r>
            <w:r w:rsidRPr="00D51E02">
              <w:t xml:space="preserve"> </w:t>
            </w:r>
            <w:r w:rsidR="005623FD" w:rsidRPr="00D51E02">
              <w:t xml:space="preserve">The </w:t>
            </w:r>
            <w:proofErr w:type="spellStart"/>
            <w:r w:rsidR="00DB1755" w:rsidRPr="00D51E02">
              <w:t>SOMIH</w:t>
            </w:r>
            <w:proofErr w:type="spellEnd"/>
            <w:r w:rsidR="00DB1755" w:rsidRPr="00D51E02">
              <w:t xml:space="preserve"> program in the NT commenced reporting in 2016</w:t>
            </w:r>
            <w:r w:rsidR="00DC04F0">
              <w:noBreakHyphen/>
            </w:r>
            <w:r w:rsidR="00DB1755" w:rsidRPr="00D51E02">
              <w:t>17, but</w:t>
            </w:r>
            <w:r w:rsidR="003219CE" w:rsidRPr="00D51E02">
              <w:t xml:space="preserve"> these</w:t>
            </w:r>
            <w:r w:rsidR="002E7500" w:rsidRPr="00D51E02">
              <w:t xml:space="preserve"> data are not yet available.</w:t>
            </w:r>
            <w:r w:rsidR="005623FD">
              <w:t xml:space="preserve"> </w:t>
            </w:r>
            <w:r>
              <w:rPr>
                <w:rStyle w:val="NoteLabel"/>
              </w:rPr>
              <w:t xml:space="preserve">c </w:t>
            </w:r>
            <w:r>
              <w:t>Data are not available for the NT.</w:t>
            </w:r>
          </w:p>
        </w:tc>
      </w:tr>
      <w:tr w:rsidR="00D95E06" w:rsidRPr="00176D3F" w14:paraId="13D013E8" w14:textId="77777777" w:rsidTr="00E21E82">
        <w:tc>
          <w:tcPr>
            <w:tcW w:w="8789" w:type="dxa"/>
            <w:tcBorders>
              <w:top w:val="nil"/>
              <w:left w:val="nil"/>
              <w:bottom w:val="nil"/>
              <w:right w:val="nil"/>
            </w:tcBorders>
            <w:shd w:val="clear" w:color="auto" w:fill="auto"/>
          </w:tcPr>
          <w:p w14:paraId="5F0D1449" w14:textId="77777777" w:rsidR="00D95E06" w:rsidRPr="00176D3F" w:rsidRDefault="003B27B6" w:rsidP="00E21E82">
            <w:pPr>
              <w:pStyle w:val="Source"/>
              <w:spacing w:after="80"/>
            </w:pPr>
            <w:r>
              <w:rPr>
                <w:i/>
              </w:rPr>
              <w:t>S</w:t>
            </w:r>
            <w:r w:rsidR="00D95E06" w:rsidRPr="00784A05">
              <w:rPr>
                <w:i/>
              </w:rPr>
              <w:t>ource</w:t>
            </w:r>
            <w:r w:rsidR="00D95E06" w:rsidRPr="00176D3F">
              <w:t xml:space="preserve">: </w:t>
            </w:r>
            <w:proofErr w:type="spellStart"/>
            <w:r w:rsidRPr="00346293">
              <w:t>AIHW</w:t>
            </w:r>
            <w:proofErr w:type="spellEnd"/>
            <w:r w:rsidRPr="00346293">
              <w:t xml:space="preserve"> (unpublished) </w:t>
            </w:r>
            <w:r w:rsidRPr="008E1D76">
              <w:t>National Housing Assistance Data Repository</w:t>
            </w:r>
            <w:r>
              <w:t>; tables </w:t>
            </w:r>
            <w:proofErr w:type="spellStart"/>
            <w:r w:rsidR="00CE3358" w:rsidRPr="00CE3358">
              <w:t>18A.</w:t>
            </w:r>
            <w:r w:rsidR="003322E6">
              <w:t>15</w:t>
            </w:r>
            <w:proofErr w:type="spellEnd"/>
            <w:r w:rsidR="00CE3358" w:rsidRPr="00CE3358">
              <w:t>–1</w:t>
            </w:r>
            <w:r w:rsidR="003322E6">
              <w:t>7</w:t>
            </w:r>
            <w:r>
              <w:t>.</w:t>
            </w:r>
          </w:p>
        </w:tc>
      </w:tr>
      <w:tr w:rsidR="00D95E06" w14:paraId="61C85B04" w14:textId="77777777" w:rsidTr="00E21E82">
        <w:tc>
          <w:tcPr>
            <w:tcW w:w="8789" w:type="dxa"/>
            <w:tcBorders>
              <w:top w:val="nil"/>
              <w:left w:val="nil"/>
              <w:bottom w:val="single" w:sz="6" w:space="0" w:color="78A22F"/>
              <w:right w:val="nil"/>
            </w:tcBorders>
            <w:shd w:val="clear" w:color="auto" w:fill="auto"/>
          </w:tcPr>
          <w:p w14:paraId="30986786" w14:textId="77777777" w:rsidR="00D95E06" w:rsidRDefault="00D95E06" w:rsidP="00936F99">
            <w:pPr>
              <w:pStyle w:val="Figurespace"/>
            </w:pPr>
          </w:p>
        </w:tc>
      </w:tr>
      <w:tr w:rsidR="00D95E06" w:rsidRPr="000863A5" w14:paraId="06F54D1E" w14:textId="77777777" w:rsidTr="00E21E82">
        <w:tc>
          <w:tcPr>
            <w:tcW w:w="8789" w:type="dxa"/>
            <w:tcBorders>
              <w:top w:val="single" w:sz="6" w:space="0" w:color="78A22F"/>
              <w:left w:val="nil"/>
              <w:bottom w:val="nil"/>
              <w:right w:val="nil"/>
            </w:tcBorders>
          </w:tcPr>
          <w:p w14:paraId="5E589266" w14:textId="09A408C1" w:rsidR="00D95E06" w:rsidRPr="00626D32" w:rsidRDefault="00D95E06" w:rsidP="00936F99">
            <w:pPr>
              <w:pStyle w:val="BoxSpaceBelow"/>
            </w:pPr>
          </w:p>
        </w:tc>
      </w:tr>
    </w:tbl>
    <w:p w14:paraId="0B9C2742" w14:textId="77777777" w:rsidR="00F76C54" w:rsidRDefault="006F7A0C" w:rsidP="00AF1F34">
      <w:pPr>
        <w:pStyle w:val="Heading4"/>
      </w:pPr>
      <w:r>
        <w:lastRenderedPageBreak/>
        <w:t>Access — Special needs</w:t>
      </w:r>
    </w:p>
    <w:p w14:paraId="009ABAAA" w14:textId="77777777" w:rsidR="00616646" w:rsidRPr="00DC04F0" w:rsidRDefault="00616646" w:rsidP="00616646">
      <w:pPr>
        <w:pStyle w:val="BodyText"/>
        <w:rPr>
          <w:lang w:eastAsia="en-US"/>
        </w:rPr>
      </w:pPr>
      <w:r>
        <w:t xml:space="preserve">Access of ‘special needs’ groups to social housing </w:t>
      </w:r>
      <w:r w:rsidRPr="00A34FFE">
        <w:t>is an indicator of governments’ objective to provide</w:t>
      </w:r>
      <w:r w:rsidR="000A621E">
        <w:t xml:space="preserve"> services in an equitable manner</w:t>
      </w:r>
      <w:r w:rsidRPr="00A34FFE">
        <w:t xml:space="preserve"> </w:t>
      </w:r>
      <w:r w:rsidR="007F2F30">
        <w:t>(box 1</w:t>
      </w:r>
      <w:r w:rsidR="00BB5630">
        <w:t>8</w:t>
      </w:r>
      <w:r w:rsidR="007F2F30">
        <w:t>.</w:t>
      </w:r>
      <w:r w:rsidR="007822A1">
        <w:t>4</w:t>
      </w:r>
      <w:r w:rsidRPr="00A34FFE">
        <w:t>).</w:t>
      </w:r>
    </w:p>
    <w:p w14:paraId="4AF7BB43" w14:textId="74F080EB" w:rsidR="00616646" w:rsidRDefault="00616646" w:rsidP="006166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616646" w14:paraId="1FB91E3F" w14:textId="77777777" w:rsidTr="00E21E82">
        <w:tc>
          <w:tcPr>
            <w:tcW w:w="5000" w:type="pct"/>
            <w:tcBorders>
              <w:top w:val="single" w:sz="6" w:space="0" w:color="78A22F"/>
              <w:left w:val="nil"/>
              <w:bottom w:val="nil"/>
              <w:right w:val="nil"/>
            </w:tcBorders>
            <w:shd w:val="clear" w:color="auto" w:fill="F2F2F2" w:themeFill="background1" w:themeFillShade="F2"/>
          </w:tcPr>
          <w:p w14:paraId="1CD7D954" w14:textId="45ACCC6C" w:rsidR="00616646" w:rsidRDefault="001363B3" w:rsidP="00BB5630">
            <w:pPr>
              <w:pStyle w:val="BoxTitle"/>
            </w:pPr>
            <w:r>
              <w:rPr>
                <w:b w:val="0"/>
              </w:rPr>
              <w:t>Box 1</w:t>
            </w:r>
            <w:r w:rsidR="00BB5630">
              <w:rPr>
                <w:b w:val="0"/>
              </w:rPr>
              <w:t>8</w:t>
            </w:r>
            <w:r>
              <w:rPr>
                <w:b w:val="0"/>
              </w:rPr>
              <w:t>.</w:t>
            </w:r>
            <w:r w:rsidR="007D5A6B">
              <w:rPr>
                <w:b w:val="0"/>
                <w:noProof/>
              </w:rPr>
              <w:t>4</w:t>
            </w:r>
            <w:r w:rsidR="00BF121A">
              <w:tab/>
              <w:t>S</w:t>
            </w:r>
            <w:r w:rsidR="00616646">
              <w:t xml:space="preserve">pecial needs </w:t>
            </w:r>
          </w:p>
        </w:tc>
      </w:tr>
      <w:tr w:rsidR="00616646" w14:paraId="608D9AE3" w14:textId="77777777" w:rsidTr="00E21E82">
        <w:trPr>
          <w:cantSplit/>
        </w:trPr>
        <w:tc>
          <w:tcPr>
            <w:tcW w:w="5000" w:type="pct"/>
            <w:tcBorders>
              <w:top w:val="nil"/>
              <w:left w:val="nil"/>
              <w:bottom w:val="nil"/>
              <w:right w:val="nil"/>
            </w:tcBorders>
            <w:shd w:val="clear" w:color="auto" w:fill="F2F2F2" w:themeFill="background1" w:themeFillShade="F2"/>
          </w:tcPr>
          <w:p w14:paraId="1BCA093E" w14:textId="77777777" w:rsidR="00FA0E96" w:rsidRPr="000A5330" w:rsidRDefault="00F76C54" w:rsidP="000A5330">
            <w:pPr>
              <w:pStyle w:val="Box"/>
            </w:pPr>
            <w:r w:rsidRPr="000A5330">
              <w:t>‘</w:t>
            </w:r>
            <w:r w:rsidR="00BF121A" w:rsidRPr="000A5330">
              <w:t>S</w:t>
            </w:r>
            <w:r w:rsidR="00616646" w:rsidRPr="000A5330">
              <w:t>pecial needs</w:t>
            </w:r>
            <w:r w:rsidRPr="000A5330">
              <w:t>’</w:t>
            </w:r>
            <w:r w:rsidR="00616646" w:rsidRPr="000A5330">
              <w:t xml:space="preserve"> is defined as the proportion of new tenancies allocated to households with special needs</w:t>
            </w:r>
            <w:r w:rsidR="004E07D1" w:rsidRPr="000A5330">
              <w:t>.</w:t>
            </w:r>
          </w:p>
          <w:p w14:paraId="30D14566" w14:textId="77777777" w:rsidR="004E07D1" w:rsidRPr="000A5330" w:rsidRDefault="004E07D1" w:rsidP="000A5330">
            <w:pPr>
              <w:pStyle w:val="Box"/>
            </w:pPr>
            <w:r w:rsidRPr="000A5330">
              <w:t>Special needs households are defined as households that at the time of allocation have:</w:t>
            </w:r>
          </w:p>
          <w:p w14:paraId="67602488" w14:textId="77777777" w:rsidR="004E07D1" w:rsidRPr="000A5330" w:rsidRDefault="004E07D1" w:rsidP="000A5330">
            <w:pPr>
              <w:pStyle w:val="BoxListBullet"/>
            </w:pPr>
            <w:r w:rsidRPr="000A5330">
              <w:t xml:space="preserve">for public housing and </w:t>
            </w:r>
            <w:r w:rsidR="002017CC" w:rsidRPr="000A5330">
              <w:t xml:space="preserve">community housing </w:t>
            </w:r>
            <w:r w:rsidRPr="000A5330">
              <w:t xml:space="preserve">— a </w:t>
            </w:r>
            <w:r w:rsidR="00DA532F" w:rsidRPr="000A5330">
              <w:t xml:space="preserve">household </w:t>
            </w:r>
            <w:r w:rsidRPr="000A5330">
              <w:t xml:space="preserve">member with disability, a main tenant </w:t>
            </w:r>
            <w:r w:rsidR="00DA532F" w:rsidRPr="000A5330">
              <w:t>aged 24 years or under</w:t>
            </w:r>
            <w:r w:rsidRPr="000A5330">
              <w:t xml:space="preserve">, a main tenant aged 75 </w:t>
            </w:r>
            <w:r w:rsidR="00FC1962" w:rsidRPr="000A5330">
              <w:t xml:space="preserve">years </w:t>
            </w:r>
            <w:r w:rsidRPr="000A5330">
              <w:t xml:space="preserve">or over, </w:t>
            </w:r>
            <w:r w:rsidR="00252DF3" w:rsidRPr="000A5330">
              <w:t>and/</w:t>
            </w:r>
            <w:r w:rsidRPr="000A5330">
              <w:t xml:space="preserve">or </w:t>
            </w:r>
            <w:r w:rsidR="00252DF3" w:rsidRPr="000A5330">
              <w:t>satisfy the Aboriginal and Torres Strait Islander household definition</w:t>
            </w:r>
          </w:p>
          <w:p w14:paraId="6E66645F" w14:textId="77777777" w:rsidR="004E07D1" w:rsidRPr="000A5330" w:rsidRDefault="004E07D1" w:rsidP="000A5330">
            <w:pPr>
              <w:pStyle w:val="BoxListBullet"/>
            </w:pPr>
            <w:r w:rsidRPr="000A5330">
              <w:t xml:space="preserve">for </w:t>
            </w:r>
            <w:proofErr w:type="spellStart"/>
            <w:r w:rsidR="002017CC" w:rsidRPr="000A5330">
              <w:t>SOMIH</w:t>
            </w:r>
            <w:proofErr w:type="spellEnd"/>
            <w:r w:rsidR="002017CC" w:rsidRPr="000A5330">
              <w:t xml:space="preserve"> </w:t>
            </w:r>
            <w:r w:rsidRPr="000A5330">
              <w:t>— a household member with disability</w:t>
            </w:r>
            <w:r w:rsidR="00710A2E" w:rsidRPr="000A5330">
              <w:t>,</w:t>
            </w:r>
            <w:r w:rsidRPr="000A5330">
              <w:t xml:space="preserve"> a principa</w:t>
            </w:r>
            <w:r w:rsidR="00710A2E" w:rsidRPr="000A5330">
              <w:t xml:space="preserve">l tenant aged </w:t>
            </w:r>
            <w:r w:rsidR="002017CC" w:rsidRPr="000A5330">
              <w:t xml:space="preserve">24 years or under </w:t>
            </w:r>
            <w:r w:rsidR="00710A2E" w:rsidRPr="000A5330">
              <w:t>and/or a principal tenant aged 50 years or over.</w:t>
            </w:r>
          </w:p>
          <w:p w14:paraId="69259116" w14:textId="77777777" w:rsidR="00616646" w:rsidRPr="000A5330" w:rsidRDefault="00616646" w:rsidP="000A5330">
            <w:pPr>
              <w:pStyle w:val="Box"/>
            </w:pPr>
            <w:r w:rsidRPr="000A5330">
              <w:t>The proportion of new tenancies with special needs is reported as a proxy for measuring all households with special needs.</w:t>
            </w:r>
            <w:r w:rsidR="00FC5170" w:rsidRPr="000A5330">
              <w:t xml:space="preserve"> </w:t>
            </w:r>
            <w:r w:rsidRPr="000A5330">
              <w:t xml:space="preserve">A high or increasing proportion indicates high </w:t>
            </w:r>
            <w:r w:rsidR="004E07D1" w:rsidRPr="000A5330">
              <w:t xml:space="preserve">or increasing </w:t>
            </w:r>
            <w:r w:rsidRPr="000A5330">
              <w:t>access by special needs households.</w:t>
            </w:r>
          </w:p>
          <w:p w14:paraId="613BED81" w14:textId="77777777" w:rsidR="00616646" w:rsidRPr="000A5330" w:rsidRDefault="00616646" w:rsidP="000A5330">
            <w:pPr>
              <w:pStyle w:val="Box"/>
            </w:pPr>
            <w:r w:rsidRPr="000A5330">
              <w:t xml:space="preserve">Data for this </w:t>
            </w:r>
            <w:r w:rsidR="00945100" w:rsidRPr="000A5330">
              <w:t>measure</w:t>
            </w:r>
            <w:r w:rsidRPr="000A5330">
              <w:t xml:space="preserve"> are reported for public housing, </w:t>
            </w:r>
            <w:proofErr w:type="spellStart"/>
            <w:r w:rsidRPr="000A5330">
              <w:t>SOMIH</w:t>
            </w:r>
            <w:proofErr w:type="spellEnd"/>
            <w:r w:rsidRPr="000A5330">
              <w:t xml:space="preserve"> and community housing</w:t>
            </w:r>
            <w:r w:rsidR="004926F8" w:rsidRPr="000A5330">
              <w:t xml:space="preserve"> and are:</w:t>
            </w:r>
          </w:p>
          <w:p w14:paraId="53135903" w14:textId="77777777" w:rsidR="00616646" w:rsidRPr="000A5330" w:rsidRDefault="00616646" w:rsidP="000A5330">
            <w:pPr>
              <w:pStyle w:val="BoxListBullet"/>
            </w:pPr>
            <w:r w:rsidRPr="000A5330">
              <w:t>comparable (subject to caveats) within some jurisdictions over time but are not comparable across jurisdictions or over time for other jurisdictions (see caveats in attachment tables for specific jurisdictions)</w:t>
            </w:r>
          </w:p>
          <w:p w14:paraId="284A9831" w14:textId="77777777" w:rsidR="00616646" w:rsidRPr="000A5330" w:rsidRDefault="00616646" w:rsidP="000A5330">
            <w:pPr>
              <w:pStyle w:val="BoxListBullet"/>
            </w:pPr>
            <w:r w:rsidRPr="000A5330">
              <w:t xml:space="preserve">not comparable across public housing, </w:t>
            </w:r>
            <w:proofErr w:type="spellStart"/>
            <w:r w:rsidRPr="000A5330">
              <w:t>SOMIH</w:t>
            </w:r>
            <w:proofErr w:type="spellEnd"/>
            <w:r w:rsidRPr="000A5330">
              <w:t xml:space="preserve"> and community housing</w:t>
            </w:r>
          </w:p>
          <w:p w14:paraId="50BD49F2" w14:textId="2CB3B5BB" w:rsidR="00205635" w:rsidRPr="000A5330" w:rsidRDefault="00616646" w:rsidP="000A5330">
            <w:pPr>
              <w:pStyle w:val="BoxListBullet"/>
            </w:pPr>
            <w:r w:rsidRPr="000A5330">
              <w:t>complete for public housing for the current reporting period (subjec</w:t>
            </w:r>
            <w:r w:rsidR="00D578CD" w:rsidRPr="000A5330">
              <w:t xml:space="preserve">t to caveats). All required </w:t>
            </w:r>
            <w:r w:rsidR="00746442" w:rsidRPr="000A5330">
              <w:t>2016</w:t>
            </w:r>
            <w:r w:rsidR="00DC04F0" w:rsidRPr="000A5330">
              <w:noBreakHyphen/>
            </w:r>
            <w:r w:rsidR="00746442" w:rsidRPr="000A5330">
              <w:t>17</w:t>
            </w:r>
            <w:r w:rsidR="00707A4D" w:rsidRPr="000A5330">
              <w:t> </w:t>
            </w:r>
            <w:r w:rsidRPr="000A5330">
              <w:t>data are available for all jurisdictions providing the service</w:t>
            </w:r>
          </w:p>
          <w:p w14:paraId="08CAA0F5" w14:textId="593F6FF7" w:rsidR="00616646" w:rsidRPr="00205635" w:rsidRDefault="00616646" w:rsidP="000A5330">
            <w:pPr>
              <w:pStyle w:val="BoxListBullet"/>
            </w:pPr>
            <w:r w:rsidRPr="000A5330">
              <w:t xml:space="preserve">incomplete for </w:t>
            </w:r>
            <w:proofErr w:type="spellStart"/>
            <w:r w:rsidR="00F90AE3" w:rsidRPr="000A5330">
              <w:t>SOMIH</w:t>
            </w:r>
            <w:proofErr w:type="spellEnd"/>
            <w:r w:rsidR="00F90AE3" w:rsidRPr="000A5330">
              <w:t xml:space="preserve"> and </w:t>
            </w:r>
            <w:r w:rsidRPr="000A5330">
              <w:t>community housing for the current rep</w:t>
            </w:r>
            <w:r w:rsidR="00D578CD" w:rsidRPr="000A5330">
              <w:t>orting period. All required</w:t>
            </w:r>
            <w:r w:rsidR="00313B53" w:rsidRPr="000A5330">
              <w:t xml:space="preserve"> </w:t>
            </w:r>
            <w:r w:rsidR="00746442" w:rsidRPr="000A5330">
              <w:t>2016</w:t>
            </w:r>
            <w:r w:rsidR="00DC04F0" w:rsidRPr="000A5330">
              <w:noBreakHyphen/>
            </w:r>
            <w:r w:rsidR="00746442" w:rsidRPr="000A5330">
              <w:t>17</w:t>
            </w:r>
            <w:r w:rsidR="00313B53" w:rsidRPr="000A5330">
              <w:t xml:space="preserve"> data</w:t>
            </w:r>
            <w:r w:rsidR="00D578CD" w:rsidRPr="000A5330">
              <w:t xml:space="preserve"> </w:t>
            </w:r>
            <w:r w:rsidRPr="000A5330">
              <w:t xml:space="preserve">are not available for the </w:t>
            </w:r>
            <w:r w:rsidR="00F76C54" w:rsidRPr="000A5330">
              <w:t>NT</w:t>
            </w:r>
            <w:r w:rsidRPr="000A5330">
              <w:t>.</w:t>
            </w:r>
            <w:r w:rsidR="005D1E07" w:rsidRPr="000A5330">
              <w:t xml:space="preserve"> </w:t>
            </w:r>
          </w:p>
        </w:tc>
      </w:tr>
      <w:tr w:rsidR="00616646" w14:paraId="3334AC81" w14:textId="77777777" w:rsidTr="00E21E82">
        <w:trPr>
          <w:cantSplit/>
        </w:trPr>
        <w:tc>
          <w:tcPr>
            <w:tcW w:w="5000" w:type="pct"/>
            <w:tcBorders>
              <w:top w:val="nil"/>
              <w:left w:val="nil"/>
              <w:bottom w:val="single" w:sz="6" w:space="0" w:color="78A22F"/>
              <w:right w:val="nil"/>
            </w:tcBorders>
            <w:shd w:val="clear" w:color="auto" w:fill="F2F2F2" w:themeFill="background1" w:themeFillShade="F2"/>
          </w:tcPr>
          <w:p w14:paraId="337BE609" w14:textId="77777777" w:rsidR="00616646" w:rsidRDefault="00616646" w:rsidP="00751BC3">
            <w:pPr>
              <w:pStyle w:val="Box"/>
              <w:spacing w:before="0" w:line="120" w:lineRule="exact"/>
            </w:pPr>
          </w:p>
        </w:tc>
      </w:tr>
    </w:tbl>
    <w:p w14:paraId="06CAA46A" w14:textId="77777777" w:rsidR="00616646" w:rsidRDefault="00616646" w:rsidP="00616646">
      <w:pPr>
        <w:pStyle w:val="BodyText"/>
      </w:pPr>
      <w:r>
        <w:t>The proportion of new housing tenancies allocated to households with special needs varies across the forms of social housing, acro</w:t>
      </w:r>
      <w:r w:rsidR="006F7A0C">
        <w:t>ss jurisdictions and over time.</w:t>
      </w:r>
    </w:p>
    <w:p w14:paraId="271217ED" w14:textId="1D3392AD" w:rsidR="000C5700" w:rsidRDefault="000C5700" w:rsidP="000C5700">
      <w:pPr>
        <w:pStyle w:val="BodyText"/>
      </w:pPr>
      <w:r>
        <w:t xml:space="preserve">Nationally in </w:t>
      </w:r>
      <w:r w:rsidR="00746442">
        <w:t>2016</w:t>
      </w:r>
      <w:r w:rsidR="00DC04F0">
        <w:noBreakHyphen/>
      </w:r>
      <w:r w:rsidR="00746442">
        <w:t>17</w:t>
      </w:r>
      <w:r>
        <w:t>, the proportion of new tenancies allocated to household</w:t>
      </w:r>
      <w:r w:rsidR="00F04CC8">
        <w:t>s</w:t>
      </w:r>
      <w:r>
        <w:t xml:space="preserve"> with special needs </w:t>
      </w:r>
      <w:r w:rsidRPr="00A17C2C">
        <w:t>was</w:t>
      </w:r>
      <w:r w:rsidRPr="00A17C2C">
        <w:rPr>
          <w:color w:val="000000" w:themeColor="text1"/>
        </w:rPr>
        <w:t xml:space="preserve"> 61.</w:t>
      </w:r>
      <w:r w:rsidR="006631CD" w:rsidRPr="00A17C2C">
        <w:rPr>
          <w:color w:val="000000" w:themeColor="text1"/>
        </w:rPr>
        <w:t>5</w:t>
      </w:r>
      <w:r w:rsidRPr="00A17C2C">
        <w:rPr>
          <w:color w:val="000000" w:themeColor="text1"/>
        </w:rPr>
        <w:t xml:space="preserve"> per cent for public housing</w:t>
      </w:r>
      <w:r w:rsidR="00711C27">
        <w:rPr>
          <w:color w:val="000000" w:themeColor="text1"/>
        </w:rPr>
        <w:t>,</w:t>
      </w:r>
      <w:r w:rsidRPr="00A17C2C">
        <w:rPr>
          <w:color w:val="000000" w:themeColor="text1"/>
        </w:rPr>
        <w:t xml:space="preserve"> </w:t>
      </w:r>
      <w:r w:rsidR="00EC41CC">
        <w:rPr>
          <w:color w:val="000000" w:themeColor="text1"/>
        </w:rPr>
        <w:t xml:space="preserve">45.9 </w:t>
      </w:r>
      <w:r w:rsidR="0006748A" w:rsidRPr="00A17C2C">
        <w:rPr>
          <w:color w:val="000000" w:themeColor="text1"/>
        </w:rPr>
        <w:t xml:space="preserve">per cent </w:t>
      </w:r>
      <w:r w:rsidR="00205635">
        <w:rPr>
          <w:color w:val="000000" w:themeColor="text1"/>
        </w:rPr>
        <w:t xml:space="preserve">for </w:t>
      </w:r>
      <w:proofErr w:type="spellStart"/>
      <w:r w:rsidR="00205635">
        <w:rPr>
          <w:color w:val="000000" w:themeColor="text1"/>
        </w:rPr>
        <w:t>SOMIH</w:t>
      </w:r>
      <w:proofErr w:type="spellEnd"/>
      <w:r w:rsidR="00205635">
        <w:rPr>
          <w:color w:val="000000" w:themeColor="text1"/>
        </w:rPr>
        <w:t xml:space="preserve"> </w:t>
      </w:r>
      <w:r w:rsidR="0006748A" w:rsidRPr="00D51E02">
        <w:t>and</w:t>
      </w:r>
      <w:r w:rsidR="00F141C2" w:rsidRPr="00D51E02">
        <w:rPr>
          <w:rStyle w:val="BodyTextChar"/>
        </w:rPr>
        <w:t xml:space="preserve"> 56.2</w:t>
      </w:r>
      <w:r w:rsidRPr="00D51E02">
        <w:t xml:space="preserve"> per</w:t>
      </w:r>
      <w:r w:rsidRPr="00A17C2C">
        <w:t xml:space="preserve"> cent for community housing</w:t>
      </w:r>
      <w:r w:rsidR="0006748A" w:rsidRPr="00A17C2C">
        <w:t xml:space="preserve"> </w:t>
      </w:r>
      <w:r w:rsidR="00343212">
        <w:t>(figure 18.</w:t>
      </w:r>
      <w:r w:rsidR="00F46498">
        <w:t>3</w:t>
      </w:r>
      <w:r w:rsidRPr="000C5700">
        <w:t>).</w:t>
      </w:r>
    </w:p>
    <w:p w14:paraId="7C2CB962" w14:textId="77777777" w:rsidR="00616646" w:rsidRDefault="00616646" w:rsidP="0061664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FFFFF" w:themeFill="background1"/>
        <w:tblCellMar>
          <w:left w:w="142" w:type="dxa"/>
          <w:right w:w="142" w:type="dxa"/>
        </w:tblCellMar>
        <w:tblLook w:val="0000" w:firstRow="0" w:lastRow="0" w:firstColumn="0" w:lastColumn="0" w:noHBand="0" w:noVBand="0"/>
      </w:tblPr>
      <w:tblGrid>
        <w:gridCol w:w="8789"/>
      </w:tblGrid>
      <w:tr w:rsidR="00616646" w14:paraId="1A316CA8" w14:textId="77777777" w:rsidTr="00E21E82">
        <w:tc>
          <w:tcPr>
            <w:tcW w:w="5000" w:type="pct"/>
            <w:tcBorders>
              <w:top w:val="single" w:sz="6" w:space="0" w:color="78A22F"/>
              <w:left w:val="nil"/>
              <w:bottom w:val="nil"/>
              <w:right w:val="nil"/>
            </w:tcBorders>
            <w:shd w:val="clear" w:color="auto" w:fill="FFFFFF" w:themeFill="background1"/>
          </w:tcPr>
          <w:p w14:paraId="5AD0E015" w14:textId="1ABB1C6C" w:rsidR="00616646" w:rsidRPr="00176D3F" w:rsidRDefault="00616646" w:rsidP="00343212">
            <w:pPr>
              <w:pStyle w:val="FigureTitle"/>
            </w:pPr>
            <w:r w:rsidRPr="00FD1E41">
              <w:rPr>
                <w:b w:val="0"/>
              </w:rPr>
              <w:t xml:space="preserve">Figure </w:t>
            </w:r>
            <w:r w:rsidR="00343212">
              <w:rPr>
                <w:b w:val="0"/>
              </w:rPr>
              <w:t>18.</w:t>
            </w:r>
            <w:r w:rsidR="007D5A6B">
              <w:rPr>
                <w:b w:val="0"/>
                <w:noProof/>
              </w:rPr>
              <w:t>3</w:t>
            </w:r>
            <w:r>
              <w:tab/>
            </w:r>
            <w:r w:rsidRPr="00E00B00">
              <w:t>New tenancies allocated to households with special needs</w:t>
            </w:r>
            <w:r w:rsidRPr="00E00B00">
              <w:rPr>
                <w:rStyle w:val="NoteLabel"/>
                <w:b/>
              </w:rPr>
              <w:t>a</w:t>
            </w:r>
            <w:r w:rsidR="00C81175">
              <w:rPr>
                <w:rStyle w:val="NoteLabel"/>
                <w:b/>
              </w:rPr>
              <w:t>, b</w:t>
            </w:r>
            <w:r w:rsidRPr="00E00B00">
              <w:t xml:space="preserve"> </w:t>
            </w:r>
          </w:p>
        </w:tc>
      </w:tr>
      <w:tr w:rsidR="00616646" w14:paraId="6F51E085" w14:textId="77777777" w:rsidTr="00E21E82">
        <w:trPr>
          <w:trHeight w:val="10104"/>
        </w:trPr>
        <w:tc>
          <w:tcPr>
            <w:tcW w:w="5000" w:type="pct"/>
            <w:tcBorders>
              <w:top w:val="nil"/>
              <w:left w:val="nil"/>
              <w:bottom w:val="nil"/>
              <w:right w:val="nil"/>
            </w:tcBorders>
            <w:shd w:val="clear" w:color="auto" w:fill="FFFFFF" w:themeFill="background1"/>
            <w:tcMar>
              <w:top w:w="28" w:type="dxa"/>
              <w:bottom w:w="28" w:type="dxa"/>
            </w:tcMar>
          </w:tcPr>
          <w:tbl>
            <w:tblPr>
              <w:tblW w:w="0" w:type="auto"/>
              <w:tblCellMar>
                <w:top w:w="28" w:type="dxa"/>
              </w:tblCellMar>
              <w:tblLook w:val="0000" w:firstRow="0" w:lastRow="0" w:firstColumn="0" w:lastColumn="0" w:noHBand="0" w:noVBand="0"/>
            </w:tblPr>
            <w:tblGrid>
              <w:gridCol w:w="8505"/>
            </w:tblGrid>
            <w:tr w:rsidR="00616646" w14:paraId="0018FCB6" w14:textId="77777777" w:rsidTr="00DA7468">
              <w:trPr>
                <w:trHeight w:val="9948"/>
              </w:trPr>
              <w:tc>
                <w:tcPr>
                  <w:tcW w:w="8505" w:type="dxa"/>
                </w:tcPr>
                <w:p w14:paraId="75223980" w14:textId="77777777" w:rsidR="005141A8" w:rsidRDefault="00616646" w:rsidP="006802B4">
                  <w:pPr>
                    <w:pStyle w:val="Figure"/>
                    <w:spacing w:after="60"/>
                    <w:rPr>
                      <w:noProof/>
                    </w:rPr>
                  </w:pPr>
                  <w:r w:rsidRPr="00962A05">
                    <w:rPr>
                      <w:rFonts w:ascii="Arial" w:hAnsi="Arial" w:cs="Arial"/>
                      <w:b/>
                      <w:sz w:val="20"/>
                    </w:rPr>
                    <w:t>Public housing</w:t>
                  </w:r>
                  <w:r w:rsidR="004E53A3">
                    <w:rPr>
                      <w:rFonts w:ascii="Arial" w:hAnsi="Arial" w:cs="Arial"/>
                      <w:b/>
                      <w:sz w:val="20"/>
                    </w:rPr>
                    <w:br/>
                  </w:r>
                  <w:r w:rsidR="005141A8">
                    <w:rPr>
                      <w:noProof/>
                    </w:rPr>
                    <w:drawing>
                      <wp:inline distT="0" distB="0" distL="0" distR="0" wp14:anchorId="17BB893B" wp14:editId="184D78C2">
                        <wp:extent cx="5400000" cy="1765075"/>
                        <wp:effectExtent l="0" t="0" r="0" b="6985"/>
                        <wp:docPr id="24" name="Chart 24" descr="Public housing&#10;&#10;More details can be found within the text surrounding this image." title="Figure 18.3 New tenancies allocated to households with special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roofErr w:type="spellStart"/>
                  <w:r>
                    <w:rPr>
                      <w:rFonts w:ascii="Arial" w:hAnsi="Arial" w:cs="Arial"/>
                      <w:b/>
                      <w:sz w:val="20"/>
                    </w:rPr>
                    <w:t>SOMIH</w:t>
                  </w:r>
                  <w:proofErr w:type="spellEnd"/>
                  <w:r w:rsidR="004E53A3">
                    <w:rPr>
                      <w:rFonts w:ascii="Arial" w:hAnsi="Arial" w:cs="Arial"/>
                      <w:b/>
                      <w:sz w:val="20"/>
                    </w:rPr>
                    <w:br/>
                  </w:r>
                  <w:r w:rsidR="000F47EB">
                    <w:rPr>
                      <w:noProof/>
                    </w:rPr>
                    <w:drawing>
                      <wp:inline distT="0" distB="0" distL="0" distR="0" wp14:anchorId="749FCFC2" wp14:editId="1F280D06">
                        <wp:extent cx="5424960" cy="1862865"/>
                        <wp:effectExtent l="0" t="0" r="4445" b="4445"/>
                        <wp:docPr id="4" name="Chart 4" descr="SOMIH&#10;&#10;More details can be found within the text surrounding this image." title="Figure 18.3 New tenancies allocated to households with special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E29B0" w:rsidRPr="00F30D29">
                    <w:rPr>
                      <w:b/>
                    </w:rPr>
                    <w:t xml:space="preserve"> </w:t>
                  </w:r>
                  <w:r w:rsidRPr="00F7685E">
                    <w:rPr>
                      <w:rFonts w:ascii="Arial" w:hAnsi="Arial" w:cs="Arial"/>
                      <w:b/>
                      <w:sz w:val="20"/>
                    </w:rPr>
                    <w:t>Community housing</w:t>
                  </w:r>
                </w:p>
                <w:p w14:paraId="1FDE03EB" w14:textId="77777777" w:rsidR="00616646" w:rsidRDefault="00DA7468" w:rsidP="006802B4">
                  <w:pPr>
                    <w:pStyle w:val="Figure"/>
                    <w:spacing w:after="60"/>
                    <w:rPr>
                      <w:rStyle w:val="NoteLabel"/>
                    </w:rPr>
                  </w:pPr>
                  <w:r>
                    <w:rPr>
                      <w:noProof/>
                    </w:rPr>
                    <w:drawing>
                      <wp:inline distT="0" distB="0" distL="0" distR="0" wp14:anchorId="63CD60C6" wp14:editId="223F04FD">
                        <wp:extent cx="5364000" cy="1765075"/>
                        <wp:effectExtent l="0" t="0" r="8255" b="6985"/>
                        <wp:docPr id="8" name="Chart 8" descr="Community housing&#10;&#10;More details can be found within the text surrounding this image." title="Figure 18.3 New tenancies allocated to households with special ne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04E6DA" w14:textId="23491375" w:rsidR="00331AC7" w:rsidRPr="00DD2735" w:rsidRDefault="00331AC7" w:rsidP="006802B4">
                  <w:pPr>
                    <w:pStyle w:val="Figure"/>
                    <w:spacing w:after="60"/>
                    <w:rPr>
                      <w:rStyle w:val="NoteLabel"/>
                    </w:rPr>
                  </w:pPr>
                  <w:r>
                    <w:rPr>
                      <w:noProof/>
                    </w:rPr>
                    <w:drawing>
                      <wp:inline distT="0" distB="0" distL="0" distR="0" wp14:anchorId="457C351D" wp14:editId="52DF36E1">
                        <wp:extent cx="5553937" cy="158750"/>
                        <wp:effectExtent l="0" t="0" r="8890" b="0"/>
                        <wp:docPr id="9" name="Picture 8" descr="Legend to figure 18.3 &#10;&#10;Green = 2012-13 to 2015-16&#10;Blue = 2016-17&#10;&#10;More details can be found within the text surrounding this image." title="Figure 18.3 New tenancies allocated to households with speci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t="91165" b="3329"/>
                                <a:stretch/>
                              </pic:blipFill>
                              <pic:spPr>
                                <a:xfrm>
                                  <a:off x="0" y="0"/>
                                  <a:ext cx="5553937" cy="158750"/>
                                </a:xfrm>
                                <a:prstGeom prst="rect">
                                  <a:avLst/>
                                </a:prstGeom>
                              </pic:spPr>
                            </pic:pic>
                          </a:graphicData>
                        </a:graphic>
                      </wp:inline>
                    </w:drawing>
                  </w:r>
                </w:p>
              </w:tc>
            </w:tr>
          </w:tbl>
          <w:p w14:paraId="59A3787B" w14:textId="77777777" w:rsidR="00616646" w:rsidRDefault="00616646" w:rsidP="00751BC3">
            <w:pPr>
              <w:pStyle w:val="Figure"/>
            </w:pPr>
          </w:p>
        </w:tc>
      </w:tr>
      <w:tr w:rsidR="00616646" w:rsidRPr="00176D3F" w14:paraId="53E5EC8C" w14:textId="77777777" w:rsidTr="00E21E82">
        <w:tc>
          <w:tcPr>
            <w:tcW w:w="5000" w:type="pct"/>
            <w:tcBorders>
              <w:top w:val="nil"/>
              <w:left w:val="nil"/>
              <w:bottom w:val="nil"/>
              <w:right w:val="nil"/>
            </w:tcBorders>
            <w:shd w:val="clear" w:color="auto" w:fill="FFFFFF" w:themeFill="background1"/>
          </w:tcPr>
          <w:p w14:paraId="331F53FD" w14:textId="2605D757" w:rsidR="00616646" w:rsidRPr="0033604C" w:rsidRDefault="00616646" w:rsidP="0033604C">
            <w:pPr>
              <w:pStyle w:val="Note"/>
              <w:rPr>
                <w:rStyle w:val="DraftingNote"/>
                <w:b w:val="0"/>
                <w:color w:val="auto"/>
                <w:sz w:val="18"/>
                <w:u w:val="none"/>
              </w:rPr>
            </w:pPr>
            <w:r>
              <w:rPr>
                <w:rStyle w:val="NoteLabel"/>
              </w:rPr>
              <w:t>a</w:t>
            </w:r>
            <w:r>
              <w:t xml:space="preserve"> </w:t>
            </w:r>
            <w:r w:rsidR="007F2F30">
              <w:t>See box</w:t>
            </w:r>
            <w:r w:rsidR="007D1214">
              <w:t> </w:t>
            </w:r>
            <w:r w:rsidR="007F2F30">
              <w:t>1</w:t>
            </w:r>
            <w:r w:rsidR="00BB5630">
              <w:t>8</w:t>
            </w:r>
            <w:r w:rsidR="007F2F30">
              <w:t>.</w:t>
            </w:r>
            <w:r w:rsidR="007822A1">
              <w:t>4</w:t>
            </w:r>
            <w:r w:rsidR="004E0A44">
              <w:t xml:space="preserve"> and </w:t>
            </w:r>
            <w:r w:rsidR="007E29B0">
              <w:t>tables</w:t>
            </w:r>
            <w:r w:rsidR="007D1214">
              <w:t> </w:t>
            </w:r>
            <w:proofErr w:type="spellStart"/>
            <w:r w:rsidR="003B2986">
              <w:t>18A.1</w:t>
            </w:r>
            <w:r w:rsidR="003322E6">
              <w:t>8</w:t>
            </w:r>
            <w:proofErr w:type="spellEnd"/>
            <w:r w:rsidR="00CB3249">
              <w:t>–</w:t>
            </w:r>
            <w:r w:rsidR="003322E6">
              <w:t>20</w:t>
            </w:r>
            <w:r w:rsidR="004E0A44">
              <w:t xml:space="preserve"> </w:t>
            </w:r>
            <w:r w:rsidR="00AC0EFD">
              <w:t xml:space="preserve">for detailed definitions, footnotes and </w:t>
            </w:r>
            <w:r w:rsidR="00AC0EFD" w:rsidRPr="00D51E02">
              <w:t>caveats.</w:t>
            </w:r>
            <w:r w:rsidR="00CF3A18" w:rsidRPr="00D51E02">
              <w:t> </w:t>
            </w:r>
            <w:r w:rsidR="00F30D29" w:rsidRPr="00D51E02">
              <w:rPr>
                <w:rStyle w:val="NoteLabel"/>
              </w:rPr>
              <w:t>b</w:t>
            </w:r>
            <w:r w:rsidR="00CF3A18" w:rsidRPr="00D51E02">
              <w:rPr>
                <w:rStyle w:val="NoteLabel"/>
              </w:rPr>
              <w:t> </w:t>
            </w:r>
            <w:r w:rsidR="00AC2FE6" w:rsidRPr="00D51E02">
              <w:t xml:space="preserve">The </w:t>
            </w:r>
            <w:proofErr w:type="spellStart"/>
            <w:r w:rsidR="00AC2FE6" w:rsidRPr="00D51E02">
              <w:t>SOMIH</w:t>
            </w:r>
            <w:proofErr w:type="spellEnd"/>
            <w:r w:rsidR="00AC2FE6" w:rsidRPr="00D51E02">
              <w:t xml:space="preserve"> program in the NT commenced reporting in 2016</w:t>
            </w:r>
            <w:r w:rsidR="00DC04F0">
              <w:noBreakHyphen/>
            </w:r>
            <w:r w:rsidR="00AC2FE6" w:rsidRPr="00D51E02">
              <w:t>17, but these data are not yet availabl</w:t>
            </w:r>
            <w:r w:rsidR="00634C77" w:rsidRPr="00D51E02">
              <w:t>e</w:t>
            </w:r>
            <w:r w:rsidR="00756A32" w:rsidRPr="00D51E02">
              <w:t>.</w:t>
            </w:r>
            <w:r w:rsidR="00756A32">
              <w:t xml:space="preserve"> </w:t>
            </w:r>
            <w:r w:rsidR="00C81175">
              <w:t>Community housing d</w:t>
            </w:r>
            <w:r w:rsidR="00756A32">
              <w:t>ata are not available for the NT.</w:t>
            </w:r>
          </w:p>
        </w:tc>
      </w:tr>
      <w:tr w:rsidR="00616646" w:rsidRPr="00176D3F" w14:paraId="2F838B00" w14:textId="77777777" w:rsidTr="00E21E82">
        <w:tc>
          <w:tcPr>
            <w:tcW w:w="5000" w:type="pct"/>
            <w:tcBorders>
              <w:top w:val="nil"/>
              <w:left w:val="nil"/>
              <w:bottom w:val="nil"/>
              <w:right w:val="nil"/>
            </w:tcBorders>
            <w:shd w:val="clear" w:color="auto" w:fill="FFFFFF" w:themeFill="background1"/>
          </w:tcPr>
          <w:p w14:paraId="36B09652" w14:textId="77777777" w:rsidR="00616646" w:rsidRPr="00176D3F" w:rsidRDefault="00616646" w:rsidP="00E21E82">
            <w:pPr>
              <w:pStyle w:val="Source"/>
              <w:spacing w:after="80"/>
            </w:pPr>
            <w:r>
              <w:rPr>
                <w:i/>
              </w:rPr>
              <w:t>Source</w:t>
            </w:r>
            <w:r w:rsidRPr="00176D3F">
              <w:t xml:space="preserve">: </w:t>
            </w:r>
            <w:proofErr w:type="spellStart"/>
            <w:r w:rsidRPr="00E00B00">
              <w:t>AIHW</w:t>
            </w:r>
            <w:proofErr w:type="spellEnd"/>
            <w:r w:rsidRPr="00E00B00">
              <w:t xml:space="preserve"> (unpublished</w:t>
            </w:r>
            <w:r>
              <w:t xml:space="preserve">) </w:t>
            </w:r>
            <w:r w:rsidRPr="008E1D76">
              <w:t>National Housing Assistance Data Repository</w:t>
            </w:r>
            <w:r w:rsidR="00BB38DF" w:rsidRPr="00E609C2">
              <w:t>;</w:t>
            </w:r>
            <w:r w:rsidR="00BB38DF">
              <w:rPr>
                <w:i/>
              </w:rPr>
              <w:t xml:space="preserve"> </w:t>
            </w:r>
            <w:r w:rsidR="00BB38DF" w:rsidRPr="00BB38DF">
              <w:t>tables</w:t>
            </w:r>
            <w:r w:rsidR="007D1214">
              <w:rPr>
                <w:i/>
              </w:rPr>
              <w:t> </w:t>
            </w:r>
            <w:proofErr w:type="spellStart"/>
            <w:r w:rsidR="003B2986">
              <w:t>18A.1</w:t>
            </w:r>
            <w:r w:rsidR="003322E6">
              <w:t>8</w:t>
            </w:r>
            <w:proofErr w:type="spellEnd"/>
            <w:r w:rsidR="00BB38DF">
              <w:t>–</w:t>
            </w:r>
            <w:r w:rsidR="003322E6">
              <w:t>20</w:t>
            </w:r>
            <w:r w:rsidRPr="00E00B00">
              <w:t>.</w:t>
            </w:r>
          </w:p>
        </w:tc>
      </w:tr>
      <w:tr w:rsidR="00616646" w14:paraId="7790664D" w14:textId="77777777" w:rsidTr="00E21E82">
        <w:tc>
          <w:tcPr>
            <w:tcW w:w="5000" w:type="pct"/>
            <w:tcBorders>
              <w:top w:val="nil"/>
              <w:left w:val="nil"/>
              <w:bottom w:val="single" w:sz="6" w:space="0" w:color="78A22F"/>
              <w:right w:val="nil"/>
            </w:tcBorders>
            <w:shd w:val="clear" w:color="auto" w:fill="FFFFFF" w:themeFill="background1"/>
          </w:tcPr>
          <w:p w14:paraId="64785637" w14:textId="77777777" w:rsidR="00616646" w:rsidRDefault="00616646" w:rsidP="00751BC3">
            <w:pPr>
              <w:pStyle w:val="Figurespace"/>
            </w:pPr>
          </w:p>
        </w:tc>
      </w:tr>
      <w:tr w:rsidR="00616646" w:rsidRPr="000863A5" w14:paraId="2BB4F8DB" w14:textId="77777777" w:rsidTr="00E21E82">
        <w:tc>
          <w:tcPr>
            <w:tcW w:w="5000" w:type="pct"/>
            <w:tcBorders>
              <w:top w:val="single" w:sz="6" w:space="0" w:color="78A22F"/>
              <w:left w:val="nil"/>
              <w:bottom w:val="nil"/>
              <w:right w:val="nil"/>
            </w:tcBorders>
            <w:shd w:val="clear" w:color="auto" w:fill="FFFFFF" w:themeFill="background1"/>
          </w:tcPr>
          <w:p w14:paraId="79B18E82" w14:textId="77777777" w:rsidR="00616646" w:rsidRPr="00626D32" w:rsidRDefault="00616646" w:rsidP="00751BC3">
            <w:pPr>
              <w:pStyle w:val="BoxSpaceBelow"/>
            </w:pPr>
          </w:p>
        </w:tc>
      </w:tr>
    </w:tbl>
    <w:p w14:paraId="58BBA520" w14:textId="77777777" w:rsidR="009A5130" w:rsidRPr="003770C0" w:rsidRDefault="00457EC9" w:rsidP="00457EC9">
      <w:pPr>
        <w:pStyle w:val="Heading3"/>
      </w:pPr>
      <w:r>
        <w:lastRenderedPageBreak/>
        <w:t>Effectiveness</w:t>
      </w:r>
    </w:p>
    <w:p w14:paraId="31BAA5FA" w14:textId="77777777" w:rsidR="00752966" w:rsidRDefault="00752966" w:rsidP="00752966">
      <w:pPr>
        <w:pStyle w:val="Heading4"/>
      </w:pPr>
      <w:r>
        <w:t>Access — Affordability</w:t>
      </w:r>
    </w:p>
    <w:p w14:paraId="607E2A21" w14:textId="77777777" w:rsidR="00BF6E24" w:rsidRDefault="00BF6E24" w:rsidP="00BF6E24">
      <w:pPr>
        <w:pStyle w:val="BodyText"/>
      </w:pPr>
      <w:r w:rsidRPr="00DA73E5">
        <w:t xml:space="preserve">‘Affordability’ is an indicator of governments’ objective to provide </w:t>
      </w:r>
      <w:r w:rsidR="00131C1E">
        <w:t xml:space="preserve">services that are </w:t>
      </w:r>
      <w:r w:rsidRPr="00DA73E5">
        <w:t>affordable (box</w:t>
      </w:r>
      <w:r>
        <w:t> 18.</w:t>
      </w:r>
      <w:r w:rsidR="004D7739">
        <w:t>5</w:t>
      </w:r>
      <w:r w:rsidRPr="00DA73E5">
        <w:t>).</w:t>
      </w:r>
    </w:p>
    <w:p w14:paraId="63232AAC" w14:textId="77777777" w:rsidR="006E571B" w:rsidRDefault="006E571B" w:rsidP="006E571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82E50" w14:paraId="5AA12C3B" w14:textId="77777777" w:rsidTr="00E21E82">
        <w:tc>
          <w:tcPr>
            <w:tcW w:w="5000" w:type="pct"/>
            <w:tcBorders>
              <w:top w:val="single" w:sz="6" w:space="0" w:color="78A22F"/>
              <w:left w:val="nil"/>
              <w:bottom w:val="nil"/>
              <w:right w:val="nil"/>
            </w:tcBorders>
            <w:shd w:val="clear" w:color="auto" w:fill="F2F2F2" w:themeFill="background1" w:themeFillShade="F2"/>
          </w:tcPr>
          <w:p w14:paraId="5728FDE5" w14:textId="799587A3" w:rsidR="00F82E50" w:rsidRDefault="00790CB2" w:rsidP="00790CB2">
            <w:pPr>
              <w:pStyle w:val="BoxTitle"/>
            </w:pPr>
            <w:r>
              <w:rPr>
                <w:b w:val="0"/>
              </w:rPr>
              <w:t>Box 18.</w:t>
            </w:r>
            <w:r w:rsidR="007D5A6B">
              <w:rPr>
                <w:b w:val="0"/>
                <w:noProof/>
              </w:rPr>
              <w:t>5</w:t>
            </w:r>
            <w:r w:rsidR="00F82E50">
              <w:tab/>
            </w:r>
            <w:r w:rsidR="00F82E50" w:rsidRPr="00E66BE3">
              <w:t>Affordability</w:t>
            </w:r>
          </w:p>
        </w:tc>
      </w:tr>
      <w:tr w:rsidR="00F82E50" w14:paraId="089968C1" w14:textId="77777777" w:rsidTr="00E21E82">
        <w:trPr>
          <w:cantSplit/>
        </w:trPr>
        <w:tc>
          <w:tcPr>
            <w:tcW w:w="5000" w:type="pct"/>
            <w:tcBorders>
              <w:top w:val="nil"/>
              <w:left w:val="nil"/>
              <w:bottom w:val="nil"/>
              <w:right w:val="nil"/>
            </w:tcBorders>
            <w:shd w:val="clear" w:color="auto" w:fill="F2F2F2" w:themeFill="background1" w:themeFillShade="F2"/>
          </w:tcPr>
          <w:p w14:paraId="742ABECE" w14:textId="77777777" w:rsidR="00F82E50" w:rsidRDefault="00F82E50" w:rsidP="00F82E50">
            <w:pPr>
              <w:pStyle w:val="Box"/>
            </w:pPr>
            <w:r w:rsidRPr="0022319C">
              <w:t xml:space="preserve">‘Affordability’ is defined as </w:t>
            </w:r>
            <w:r w:rsidR="009F7DE6">
              <w:t>the financial capacity of low income households in</w:t>
            </w:r>
            <w:r w:rsidR="009F7DE6" w:rsidRPr="0022319C">
              <w:t xml:space="preserve"> </w:t>
            </w:r>
            <w:r>
              <w:t xml:space="preserve">social housing </w:t>
            </w:r>
            <w:r w:rsidRPr="0022319C">
              <w:t xml:space="preserve">to </w:t>
            </w:r>
            <w:r w:rsidR="009F7DE6">
              <w:t xml:space="preserve">meet rental costs. It is </w:t>
            </w:r>
            <w:r>
              <w:t xml:space="preserve">measured as the proportion of </w:t>
            </w:r>
            <w:r w:rsidRPr="00131C1E">
              <w:t>low income social housing households in rental stress</w:t>
            </w:r>
            <w:r w:rsidR="006E571B">
              <w:t>,</w:t>
            </w:r>
            <w:r>
              <w:t xml:space="preserve"> where:</w:t>
            </w:r>
          </w:p>
          <w:p w14:paraId="26E6C9D7" w14:textId="77777777" w:rsidR="00746442" w:rsidRDefault="00F82E50" w:rsidP="00F875A1">
            <w:pPr>
              <w:pStyle w:val="BoxListBullet"/>
            </w:pPr>
            <w:r>
              <w:t xml:space="preserve">‘rental stress’ is defined as </w:t>
            </w:r>
            <w:r w:rsidRPr="0022319C">
              <w:t xml:space="preserve">spending more than 30 per cent of </w:t>
            </w:r>
            <w:r w:rsidR="00DF3C39" w:rsidRPr="0022319C">
              <w:t xml:space="preserve">gross </w:t>
            </w:r>
            <w:r>
              <w:t>household</w:t>
            </w:r>
            <w:r w:rsidRPr="0022319C">
              <w:t xml:space="preserve"> income </w:t>
            </w:r>
            <w:r w:rsidR="00746442">
              <w:t xml:space="preserve">(excluding </w:t>
            </w:r>
            <w:proofErr w:type="spellStart"/>
            <w:r w:rsidR="00746442">
              <w:t>CRA</w:t>
            </w:r>
            <w:proofErr w:type="spellEnd"/>
            <w:r w:rsidR="00746442">
              <w:t xml:space="preserve">) </w:t>
            </w:r>
            <w:r w:rsidRPr="0022319C">
              <w:t>on rent</w:t>
            </w:r>
          </w:p>
          <w:p w14:paraId="7EDA113F" w14:textId="77777777" w:rsidR="00F82E50" w:rsidRPr="0022319C" w:rsidRDefault="00F82E50" w:rsidP="00F875A1">
            <w:pPr>
              <w:pStyle w:val="BoxListBullet"/>
            </w:pPr>
            <w:r w:rsidRPr="0022319C">
              <w:t xml:space="preserve">low income households are defined as those in the bottom 40 per cent of </w:t>
            </w:r>
            <w:proofErr w:type="spellStart"/>
            <w:r w:rsidRPr="0022319C">
              <w:t>equivalised</w:t>
            </w:r>
            <w:proofErr w:type="spellEnd"/>
            <w:r w:rsidRPr="0022319C">
              <w:t xml:space="preserve"> gross household </w:t>
            </w:r>
            <w:r w:rsidRPr="00A17C2C">
              <w:t>income</w:t>
            </w:r>
            <w:r w:rsidR="00B46FE0" w:rsidRPr="00A17C2C">
              <w:t xml:space="preserve"> (see section</w:t>
            </w:r>
            <w:r w:rsidR="00B93213">
              <w:t> </w:t>
            </w:r>
            <w:r w:rsidR="00B46FE0" w:rsidRPr="00A17C2C">
              <w:t>18.4 for further detail)</w:t>
            </w:r>
            <w:r w:rsidRPr="00A17C2C">
              <w:t>. Low income households are more likely to be adversely affected by relatively high housing costs</w:t>
            </w:r>
            <w:r w:rsidRPr="00B41140">
              <w:t xml:space="preserve"> than households with higher disposable incomes (Yates and Gabriel 2006; Yates and Milligan 2007)</w:t>
            </w:r>
            <w:r w:rsidR="006F7A0C">
              <w:t>.</w:t>
            </w:r>
          </w:p>
          <w:p w14:paraId="0ED49D6B" w14:textId="77777777" w:rsidR="00F82E50" w:rsidRPr="0022319C" w:rsidRDefault="00F82E50" w:rsidP="005A4F93">
            <w:pPr>
              <w:pStyle w:val="Box"/>
            </w:pPr>
            <w:r w:rsidRPr="0022319C">
              <w:t xml:space="preserve">A low or decreasing proportion of </w:t>
            </w:r>
            <w:r>
              <w:t xml:space="preserve">social housing </w:t>
            </w:r>
            <w:r w:rsidRPr="0022319C">
              <w:t xml:space="preserve">households spending more than 30 per cent of their income on rent implies </w:t>
            </w:r>
            <w:r>
              <w:t xml:space="preserve">that social </w:t>
            </w:r>
            <w:r w:rsidRPr="0022319C">
              <w:t xml:space="preserve">housing </w:t>
            </w:r>
            <w:r>
              <w:t xml:space="preserve">is more </w:t>
            </w:r>
            <w:r w:rsidRPr="0022319C">
              <w:t>affordabl</w:t>
            </w:r>
            <w:r>
              <w:t>e</w:t>
            </w:r>
            <w:r w:rsidRPr="0022319C">
              <w:t>.</w:t>
            </w:r>
          </w:p>
          <w:p w14:paraId="0DA7CB58" w14:textId="77777777" w:rsidR="00F82E50" w:rsidRPr="0022319C" w:rsidRDefault="005A11E6" w:rsidP="005A4F93">
            <w:pPr>
              <w:pStyle w:val="Box"/>
            </w:pPr>
            <w:r>
              <w:t xml:space="preserve">Data for this </w:t>
            </w:r>
            <w:r w:rsidR="00C12D32">
              <w:t>measure</w:t>
            </w:r>
            <w:r>
              <w:t xml:space="preserve"> are</w:t>
            </w:r>
            <w:r w:rsidRPr="0022319C">
              <w:t xml:space="preserve"> reported for public housin</w:t>
            </w:r>
            <w:r>
              <w:t xml:space="preserve">g, </w:t>
            </w:r>
            <w:proofErr w:type="spellStart"/>
            <w:r>
              <w:t>SOMIH</w:t>
            </w:r>
            <w:proofErr w:type="spellEnd"/>
            <w:r>
              <w:t xml:space="preserve"> and community housing and are</w:t>
            </w:r>
            <w:r w:rsidR="00F82E50" w:rsidRPr="0022319C">
              <w:t>:</w:t>
            </w:r>
          </w:p>
          <w:p w14:paraId="7930AEA8" w14:textId="77777777" w:rsidR="00F82E50" w:rsidRPr="0022319C" w:rsidRDefault="00F82E50" w:rsidP="00F875A1">
            <w:pPr>
              <w:pStyle w:val="BoxListBullet"/>
            </w:pPr>
            <w:r w:rsidRPr="0022319C">
              <w:t>comparable (subject t</w:t>
            </w:r>
            <w:r w:rsidR="006F7A0C">
              <w:t>o caveats) across jurisdictions</w:t>
            </w:r>
          </w:p>
          <w:p w14:paraId="5BA94C01" w14:textId="77777777" w:rsidR="00F82E50" w:rsidRPr="0022319C" w:rsidRDefault="00F82E50" w:rsidP="00F875A1">
            <w:pPr>
              <w:pStyle w:val="BoxListBullet"/>
            </w:pPr>
            <w:r w:rsidRPr="0022319C">
              <w:t xml:space="preserve">not comparable across public housing, </w:t>
            </w:r>
            <w:proofErr w:type="spellStart"/>
            <w:r w:rsidRPr="0022319C">
              <w:t>SOMIH</w:t>
            </w:r>
            <w:proofErr w:type="spellEnd"/>
            <w:r w:rsidRPr="0022319C">
              <w:t xml:space="preserve"> and community housing</w:t>
            </w:r>
          </w:p>
          <w:p w14:paraId="10BD5C95" w14:textId="53A40DE2" w:rsidR="00D4178D" w:rsidRDefault="00D4178D" w:rsidP="00D51E02">
            <w:pPr>
              <w:pStyle w:val="BoxListBullet"/>
            </w:pPr>
            <w:r w:rsidRPr="00B5171D">
              <w:t>complete</w:t>
            </w:r>
            <w:r w:rsidRPr="0022319C">
              <w:t xml:space="preserve"> for </w:t>
            </w:r>
            <w:r>
              <w:t>public housing</w:t>
            </w:r>
            <w:r w:rsidRPr="0022319C">
              <w:t xml:space="preserve"> </w:t>
            </w:r>
            <w:r>
              <w:t xml:space="preserve">for </w:t>
            </w:r>
            <w:r w:rsidRPr="0022319C">
              <w:t>the current reporting period</w:t>
            </w:r>
            <w:r>
              <w:t xml:space="preserve"> </w:t>
            </w:r>
            <w:r w:rsidRPr="00D4178D">
              <w:t>(subjec</w:t>
            </w:r>
            <w:r w:rsidR="00CE12C5">
              <w:t xml:space="preserve">t to caveats). All required </w:t>
            </w:r>
            <w:r w:rsidR="00D03FA5">
              <w:t>30 June </w:t>
            </w:r>
            <w:r w:rsidR="00CE12C5">
              <w:t>201</w:t>
            </w:r>
            <w:r w:rsidRPr="00D4178D">
              <w:t>7 data are available for all jurisdictions</w:t>
            </w:r>
          </w:p>
          <w:p w14:paraId="08D5AEA3" w14:textId="515A6C88" w:rsidR="00F31504" w:rsidRPr="0022319C" w:rsidRDefault="00F31504" w:rsidP="00D51E02">
            <w:pPr>
              <w:pStyle w:val="BoxListBullet"/>
            </w:pPr>
            <w:r>
              <w:t>in</w:t>
            </w:r>
            <w:r w:rsidR="00F82E50" w:rsidRPr="00B5171D">
              <w:t>complete</w:t>
            </w:r>
            <w:r w:rsidR="00F82E50" w:rsidRPr="0022319C">
              <w:t xml:space="preserve"> for the current reporting period</w:t>
            </w:r>
            <w:r w:rsidR="00D4178D">
              <w:t xml:space="preserve"> </w:t>
            </w:r>
            <w:r w:rsidR="00D4178D" w:rsidRPr="00D3749F">
              <w:t xml:space="preserve">for </w:t>
            </w:r>
            <w:proofErr w:type="spellStart"/>
            <w:r w:rsidR="00D4178D" w:rsidRPr="00D3749F">
              <w:t>SOMIH</w:t>
            </w:r>
            <w:proofErr w:type="spellEnd"/>
            <w:r w:rsidR="00D4178D" w:rsidRPr="00D3749F">
              <w:t xml:space="preserve"> and community housing</w:t>
            </w:r>
            <w:r w:rsidR="00D3749F">
              <w:t xml:space="preserve">. </w:t>
            </w:r>
            <w:r w:rsidR="00F82E50" w:rsidRPr="0022319C">
              <w:t>All required</w:t>
            </w:r>
            <w:r w:rsidR="004F4906">
              <w:t xml:space="preserve"> </w:t>
            </w:r>
            <w:r w:rsidR="00D03FA5">
              <w:t>30 June </w:t>
            </w:r>
            <w:r w:rsidR="00CE12C5">
              <w:t>201</w:t>
            </w:r>
            <w:r w:rsidR="00746442">
              <w:t>7</w:t>
            </w:r>
            <w:r w:rsidR="00CB3249">
              <w:t> </w:t>
            </w:r>
            <w:r w:rsidR="00F82E50" w:rsidRPr="0022319C">
              <w:t xml:space="preserve">data are </w:t>
            </w:r>
            <w:r>
              <w:t xml:space="preserve">not </w:t>
            </w:r>
            <w:r w:rsidR="00F82E50" w:rsidRPr="0022319C">
              <w:t xml:space="preserve">available </w:t>
            </w:r>
            <w:r w:rsidR="002274AD">
              <w:t>for the NT</w:t>
            </w:r>
            <w:r w:rsidR="00D3749F">
              <w:t>.</w:t>
            </w:r>
          </w:p>
        </w:tc>
      </w:tr>
      <w:tr w:rsidR="00FB3CD2" w14:paraId="3E92FA7F" w14:textId="77777777" w:rsidTr="00E21E82">
        <w:tc>
          <w:tcPr>
            <w:tcW w:w="5000" w:type="pct"/>
            <w:tcBorders>
              <w:top w:val="nil"/>
              <w:left w:val="nil"/>
              <w:bottom w:val="single" w:sz="6" w:space="0" w:color="78A22F"/>
              <w:right w:val="nil"/>
            </w:tcBorders>
            <w:shd w:val="clear" w:color="auto" w:fill="F2F2F2"/>
          </w:tcPr>
          <w:p w14:paraId="005456CF" w14:textId="77777777" w:rsidR="00FB3CD2" w:rsidRDefault="00FB3CD2" w:rsidP="002F7229">
            <w:pPr>
              <w:pStyle w:val="Box"/>
              <w:spacing w:before="0" w:line="120" w:lineRule="exact"/>
            </w:pPr>
          </w:p>
        </w:tc>
      </w:tr>
      <w:tr w:rsidR="00FB3CD2" w:rsidRPr="000863A5" w14:paraId="5B701A84" w14:textId="77777777" w:rsidTr="00E21E82">
        <w:tc>
          <w:tcPr>
            <w:tcW w:w="5000" w:type="pct"/>
            <w:tcBorders>
              <w:top w:val="single" w:sz="6" w:space="0" w:color="78A22F"/>
              <w:left w:val="nil"/>
              <w:bottom w:val="nil"/>
              <w:right w:val="nil"/>
            </w:tcBorders>
          </w:tcPr>
          <w:p w14:paraId="27A0B5ED" w14:textId="498EA909" w:rsidR="00FB3CD2" w:rsidRPr="00626D32" w:rsidRDefault="00FB3CD2" w:rsidP="002F7229">
            <w:pPr>
              <w:pStyle w:val="BoxSpaceBelow"/>
            </w:pPr>
          </w:p>
        </w:tc>
      </w:tr>
    </w:tbl>
    <w:p w14:paraId="76B6167D" w14:textId="77777777" w:rsidR="00F82E50" w:rsidRDefault="00F82E50" w:rsidP="00FB3CD2">
      <w:pPr>
        <w:pStyle w:val="BoxSpaceBelow"/>
      </w:pPr>
    </w:p>
    <w:p w14:paraId="42899FC3" w14:textId="77777777" w:rsidR="00BF6E24" w:rsidRDefault="00BF6E24" w:rsidP="00BF6E24">
      <w:pPr>
        <w:pStyle w:val="BodyText"/>
      </w:pPr>
      <w:r w:rsidRPr="00DA73E5">
        <w:t>At 30</w:t>
      </w:r>
      <w:r>
        <w:t> </w:t>
      </w:r>
      <w:r w:rsidRPr="00DA73E5">
        <w:t>June</w:t>
      </w:r>
      <w:r w:rsidR="00924BBC">
        <w:t xml:space="preserve"> 201</w:t>
      </w:r>
      <w:r w:rsidR="00746442">
        <w:t>7</w:t>
      </w:r>
      <w:r>
        <w:t>, the majority of all households in social housing were low income households. Of those in:</w:t>
      </w:r>
    </w:p>
    <w:p w14:paraId="34C2DA7A" w14:textId="77777777" w:rsidR="00BF6E24" w:rsidRPr="00E16A86" w:rsidRDefault="00BF6E24" w:rsidP="00BF6E24">
      <w:pPr>
        <w:pStyle w:val="ListBullet"/>
        <w:rPr>
          <w:color w:val="000000" w:themeColor="text1"/>
        </w:rPr>
      </w:pPr>
      <w:r>
        <w:rPr>
          <w:color w:val="000000" w:themeColor="text1"/>
        </w:rPr>
        <w:t xml:space="preserve">public housing </w:t>
      </w:r>
      <w:r w:rsidRPr="00F109D0">
        <w:rPr>
          <w:rStyle w:val="BodyTextChar"/>
        </w:rPr>
        <w:t>—</w:t>
      </w:r>
      <w:r w:rsidR="00924BBC" w:rsidRPr="00F109D0">
        <w:rPr>
          <w:rStyle w:val="BodyTextChar"/>
        </w:rPr>
        <w:t xml:space="preserve"> 97.</w:t>
      </w:r>
      <w:r w:rsidR="00A80532">
        <w:rPr>
          <w:rStyle w:val="BodyTextChar"/>
        </w:rPr>
        <w:t>5</w:t>
      </w:r>
      <w:r w:rsidRPr="00E16A86">
        <w:rPr>
          <w:color w:val="000000" w:themeColor="text1"/>
        </w:rPr>
        <w:t xml:space="preserve"> per cent </w:t>
      </w:r>
      <w:r>
        <w:rPr>
          <w:color w:val="000000" w:themeColor="text1"/>
        </w:rPr>
        <w:t>were low income households</w:t>
      </w:r>
      <w:r w:rsidRPr="00E16A86">
        <w:rPr>
          <w:color w:val="000000" w:themeColor="text1"/>
        </w:rPr>
        <w:t>, of which</w:t>
      </w:r>
      <w:r w:rsidR="00924BBC">
        <w:rPr>
          <w:color w:val="000000" w:themeColor="text1"/>
        </w:rPr>
        <w:t xml:space="preserve"> 0.</w:t>
      </w:r>
      <w:r w:rsidR="00A80532">
        <w:rPr>
          <w:color w:val="000000" w:themeColor="text1"/>
        </w:rPr>
        <w:t>5</w:t>
      </w:r>
      <w:r w:rsidRPr="00E16A86">
        <w:rPr>
          <w:color w:val="000000" w:themeColor="text1"/>
        </w:rPr>
        <w:t xml:space="preserve"> per cent were </w:t>
      </w:r>
      <w:r w:rsidR="001F098F">
        <w:rPr>
          <w:color w:val="000000" w:themeColor="text1"/>
        </w:rPr>
        <w:t>in rental stress</w:t>
      </w:r>
    </w:p>
    <w:p w14:paraId="32443D9B" w14:textId="77777777" w:rsidR="00AE50B5" w:rsidRPr="00AE50B5" w:rsidRDefault="00BF6E24" w:rsidP="00372376">
      <w:pPr>
        <w:pStyle w:val="ListBullet"/>
      </w:pPr>
      <w:proofErr w:type="spellStart"/>
      <w:r w:rsidRPr="00AE50B5">
        <w:rPr>
          <w:color w:val="000000" w:themeColor="text1"/>
        </w:rPr>
        <w:t>SOMIH</w:t>
      </w:r>
      <w:proofErr w:type="spellEnd"/>
      <w:r w:rsidRPr="00AE50B5">
        <w:rPr>
          <w:color w:val="000000" w:themeColor="text1"/>
        </w:rPr>
        <w:t xml:space="preserve"> </w:t>
      </w:r>
      <w:r w:rsidRPr="00F109D0">
        <w:rPr>
          <w:rStyle w:val="BodyTextChar"/>
        </w:rPr>
        <w:t>—</w:t>
      </w:r>
      <w:r w:rsidR="00924BBC" w:rsidRPr="00F109D0">
        <w:rPr>
          <w:rStyle w:val="BodyTextChar"/>
        </w:rPr>
        <w:t xml:space="preserve"> 94.4</w:t>
      </w:r>
      <w:r w:rsidRPr="00AE50B5">
        <w:rPr>
          <w:color w:val="000000" w:themeColor="text1"/>
        </w:rPr>
        <w:t xml:space="preserve"> per cent were low income households, of which</w:t>
      </w:r>
      <w:r w:rsidR="002414FA" w:rsidRPr="00AE50B5">
        <w:rPr>
          <w:color w:val="000000" w:themeColor="text1"/>
        </w:rPr>
        <w:t xml:space="preserve"> 2</w:t>
      </w:r>
      <w:r w:rsidR="00924BBC" w:rsidRPr="00AE50B5">
        <w:rPr>
          <w:color w:val="000000" w:themeColor="text1"/>
        </w:rPr>
        <w:t>.</w:t>
      </w:r>
      <w:r w:rsidR="002414FA" w:rsidRPr="00AE50B5">
        <w:rPr>
          <w:color w:val="000000" w:themeColor="text1"/>
        </w:rPr>
        <w:t>4</w:t>
      </w:r>
      <w:r w:rsidRPr="00AE50B5">
        <w:rPr>
          <w:color w:val="000000" w:themeColor="text1"/>
        </w:rPr>
        <w:t xml:space="preserve"> per cent were </w:t>
      </w:r>
      <w:r w:rsidR="001F098F" w:rsidRPr="00AE50B5">
        <w:rPr>
          <w:color w:val="000000" w:themeColor="text1"/>
        </w:rPr>
        <w:t>in rental stress</w:t>
      </w:r>
    </w:p>
    <w:p w14:paraId="7EFC417D" w14:textId="77777777" w:rsidR="00BF6E24" w:rsidRDefault="00BF6E24" w:rsidP="00316D3A">
      <w:pPr>
        <w:pStyle w:val="ListBullet"/>
      </w:pPr>
      <w:r w:rsidRPr="0022319C">
        <w:t>community housing —</w:t>
      </w:r>
      <w:r w:rsidR="00316D3A" w:rsidRPr="00316D3A">
        <w:t xml:space="preserve">  </w:t>
      </w:r>
      <w:r w:rsidR="00316D3A" w:rsidRPr="00D51E02">
        <w:t>94.2</w:t>
      </w:r>
      <w:r w:rsidR="00D37155" w:rsidRPr="00A17C2C">
        <w:t> </w:t>
      </w:r>
      <w:r w:rsidRPr="00A17C2C">
        <w:t xml:space="preserve">per cent were low income households, of </w:t>
      </w:r>
      <w:r w:rsidRPr="00D51E02">
        <w:t>which</w:t>
      </w:r>
      <w:r w:rsidR="00316D3A" w:rsidRPr="00D51E02">
        <w:t xml:space="preserve"> 7.2</w:t>
      </w:r>
      <w:r w:rsidR="00316D3A" w:rsidRPr="00316D3A">
        <w:t xml:space="preserve"> </w:t>
      </w:r>
      <w:r w:rsidR="00924BBC">
        <w:t xml:space="preserve">per cent were in rental stress </w:t>
      </w:r>
      <w:r w:rsidRPr="0022319C">
        <w:t>(</w:t>
      </w:r>
      <w:r w:rsidR="00B535DA">
        <w:t>table 18.2</w:t>
      </w:r>
      <w:r w:rsidR="00B535DA" w:rsidRPr="00B535DA">
        <w:t xml:space="preserve"> </w:t>
      </w:r>
      <w:r w:rsidR="00B535DA" w:rsidRPr="0022319C">
        <w:t xml:space="preserve">and </w:t>
      </w:r>
      <w:r w:rsidRPr="0022319C">
        <w:t>tables</w:t>
      </w:r>
      <w:r>
        <w:t> </w:t>
      </w:r>
      <w:proofErr w:type="spellStart"/>
      <w:r w:rsidR="003B2986">
        <w:t>18A.</w:t>
      </w:r>
      <w:r w:rsidR="003322E6">
        <w:t>2</w:t>
      </w:r>
      <w:r w:rsidR="003B2986">
        <w:t>1</w:t>
      </w:r>
      <w:proofErr w:type="spellEnd"/>
      <w:r w:rsidR="00CB0059">
        <w:t>–</w:t>
      </w:r>
      <w:r w:rsidR="00291305">
        <w:t>24</w:t>
      </w:r>
      <w:r w:rsidRPr="0022319C">
        <w:t>).</w:t>
      </w:r>
    </w:p>
    <w:p w14:paraId="2E6964FA" w14:textId="4D97DEA1" w:rsidR="00580511" w:rsidRPr="00DC04F0" w:rsidRDefault="00580511" w:rsidP="001E1CC2">
      <w:pPr>
        <w:pStyle w:val="BodyText"/>
        <w:rPr>
          <w:lang w:eastAsia="en-US"/>
        </w:rPr>
      </w:pPr>
      <w:r>
        <w:t xml:space="preserve">Further </w:t>
      </w:r>
      <w:r w:rsidRPr="00DA73E5">
        <w:t>information on the proportion of income paid in rent by low income households is provided in tables </w:t>
      </w:r>
      <w:proofErr w:type="spellStart"/>
      <w:r w:rsidR="00CE3358">
        <w:t>18A.</w:t>
      </w:r>
      <w:r w:rsidR="002871DB">
        <w:t>22</w:t>
      </w:r>
      <w:proofErr w:type="spellEnd"/>
      <w:r w:rsidR="002871DB">
        <w:t>–24</w:t>
      </w:r>
      <w:r w:rsidRPr="00DA73E5">
        <w:t>.</w:t>
      </w:r>
    </w:p>
    <w:p w14:paraId="1C539B5F" w14:textId="77777777" w:rsidR="00BF6E24" w:rsidRPr="001E1CC2" w:rsidRDefault="00BF6E24" w:rsidP="001E1CC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F6E24" w14:paraId="110D5020" w14:textId="77777777" w:rsidTr="00E21E82">
        <w:tc>
          <w:tcPr>
            <w:tcW w:w="5000" w:type="pct"/>
            <w:tcBorders>
              <w:top w:val="single" w:sz="6" w:space="0" w:color="78A22F" w:themeColor="accent1"/>
              <w:left w:val="nil"/>
              <w:bottom w:val="nil"/>
              <w:right w:val="nil"/>
            </w:tcBorders>
            <w:shd w:val="clear" w:color="auto" w:fill="auto"/>
          </w:tcPr>
          <w:p w14:paraId="4E7C491A" w14:textId="1A9C7219" w:rsidR="00BF6E24" w:rsidRPr="00784A05" w:rsidRDefault="00BF6E24" w:rsidP="009D32FF">
            <w:pPr>
              <w:pStyle w:val="TableTitle"/>
            </w:pPr>
            <w:r>
              <w:rPr>
                <w:b w:val="0"/>
              </w:rPr>
              <w:t>Table 18.</w:t>
            </w:r>
            <w:r w:rsidR="005A0D0E">
              <w:rPr>
                <w:b w:val="0"/>
              </w:rPr>
              <w:t>2</w:t>
            </w:r>
            <w:r>
              <w:tab/>
            </w:r>
            <w:r w:rsidRPr="00543E21">
              <w:t xml:space="preserve">Proportion of low income </w:t>
            </w:r>
            <w:r w:rsidRPr="005E340A">
              <w:t>households in social housing spending more than 30 per cent of their gross income</w:t>
            </w:r>
            <w:r w:rsidRPr="00543E21">
              <w:t xml:space="preserve"> on rent, at 30 June </w:t>
            </w:r>
            <w:r>
              <w:t>(</w:t>
            </w:r>
            <w:r w:rsidRPr="00543E21">
              <w:t>per cent)</w:t>
            </w:r>
            <w:r w:rsidRPr="00543E21">
              <w:rPr>
                <w:rStyle w:val="NoteLabel"/>
                <w:b/>
              </w:rPr>
              <w:t>a</w:t>
            </w:r>
          </w:p>
        </w:tc>
      </w:tr>
      <w:tr w:rsidR="00BF6E24" w14:paraId="7F33818C" w14:textId="77777777" w:rsidTr="00E21E82">
        <w:trPr>
          <w:cantSplit/>
          <w:trHeight w:val="563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54"/>
              <w:gridCol w:w="839"/>
              <w:gridCol w:w="840"/>
              <w:gridCol w:w="840"/>
              <w:gridCol w:w="840"/>
              <w:gridCol w:w="840"/>
              <w:gridCol w:w="840"/>
              <w:gridCol w:w="840"/>
              <w:gridCol w:w="840"/>
              <w:gridCol w:w="832"/>
            </w:tblGrid>
            <w:tr w:rsidR="00BF6E24" w:rsidRPr="00F81A7C" w14:paraId="26A01CB1" w14:textId="77777777" w:rsidTr="004837AA">
              <w:tc>
                <w:tcPr>
                  <w:tcW w:w="560" w:type="pct"/>
                  <w:tcBorders>
                    <w:top w:val="single" w:sz="4" w:space="0" w:color="BFBFBF" w:themeColor="background2"/>
                    <w:bottom w:val="single" w:sz="4" w:space="0" w:color="BFBFBF" w:themeColor="background2"/>
                  </w:tcBorders>
                  <w:shd w:val="clear" w:color="auto" w:fill="auto"/>
                  <w:tcMar>
                    <w:top w:w="28" w:type="dxa"/>
                  </w:tcMar>
                </w:tcPr>
                <w:p w14:paraId="46C7A1C2" w14:textId="77777777" w:rsidR="00BF6E24" w:rsidRPr="00F81A7C" w:rsidRDefault="00BF6E24" w:rsidP="00746E44">
                  <w:pPr>
                    <w:pStyle w:val="TableColumnHeading"/>
                    <w:ind w:left="0" w:right="28"/>
                    <w:jc w:val="left"/>
                    <w:rPr>
                      <w:rFonts w:asciiTheme="majorHAnsi" w:hAnsiTheme="majorHAnsi" w:cstheme="majorHAnsi"/>
                      <w:szCs w:val="18"/>
                    </w:rPr>
                  </w:pPr>
                </w:p>
              </w:tc>
              <w:tc>
                <w:tcPr>
                  <w:tcW w:w="493" w:type="pct"/>
                  <w:tcBorders>
                    <w:top w:val="single" w:sz="4" w:space="0" w:color="BFBFBF" w:themeColor="background2"/>
                    <w:bottom w:val="single" w:sz="4" w:space="0" w:color="BFBFBF" w:themeColor="background2"/>
                  </w:tcBorders>
                  <w:shd w:val="clear" w:color="auto" w:fill="auto"/>
                  <w:tcMar>
                    <w:top w:w="28" w:type="dxa"/>
                    <w:right w:w="113" w:type="dxa"/>
                  </w:tcMar>
                </w:tcPr>
                <w:p w14:paraId="739569EA"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NSW</w:t>
                  </w:r>
                </w:p>
              </w:tc>
              <w:tc>
                <w:tcPr>
                  <w:tcW w:w="494" w:type="pct"/>
                  <w:tcBorders>
                    <w:top w:val="single" w:sz="4" w:space="0" w:color="BFBFBF" w:themeColor="background2"/>
                    <w:bottom w:val="single" w:sz="4" w:space="0" w:color="BFBFBF" w:themeColor="background2"/>
                  </w:tcBorders>
                  <w:tcMar>
                    <w:right w:w="113" w:type="dxa"/>
                  </w:tcMar>
                </w:tcPr>
                <w:p w14:paraId="460D1910"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Vic</w:t>
                  </w:r>
                </w:p>
              </w:tc>
              <w:tc>
                <w:tcPr>
                  <w:tcW w:w="494" w:type="pct"/>
                  <w:tcBorders>
                    <w:top w:val="single" w:sz="4" w:space="0" w:color="BFBFBF" w:themeColor="background2"/>
                    <w:bottom w:val="single" w:sz="4" w:space="0" w:color="BFBFBF" w:themeColor="background2"/>
                  </w:tcBorders>
                  <w:tcMar>
                    <w:right w:w="113" w:type="dxa"/>
                  </w:tcMar>
                </w:tcPr>
                <w:p w14:paraId="7F8759BE"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Qld</w:t>
                  </w:r>
                </w:p>
              </w:tc>
              <w:tc>
                <w:tcPr>
                  <w:tcW w:w="494" w:type="pct"/>
                  <w:tcBorders>
                    <w:top w:val="single" w:sz="4" w:space="0" w:color="BFBFBF" w:themeColor="background2"/>
                    <w:bottom w:val="single" w:sz="4" w:space="0" w:color="BFBFBF" w:themeColor="background2"/>
                  </w:tcBorders>
                  <w:tcMar>
                    <w:right w:w="113" w:type="dxa"/>
                  </w:tcMar>
                </w:tcPr>
                <w:p w14:paraId="068AD38D"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WA</w:t>
                  </w:r>
                </w:p>
              </w:tc>
              <w:tc>
                <w:tcPr>
                  <w:tcW w:w="494" w:type="pct"/>
                  <w:tcBorders>
                    <w:top w:val="single" w:sz="4" w:space="0" w:color="BFBFBF" w:themeColor="background2"/>
                    <w:bottom w:val="single" w:sz="4" w:space="0" w:color="BFBFBF" w:themeColor="background2"/>
                  </w:tcBorders>
                  <w:tcMar>
                    <w:right w:w="113" w:type="dxa"/>
                  </w:tcMar>
                </w:tcPr>
                <w:p w14:paraId="16E26FB6"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SA</w:t>
                  </w:r>
                </w:p>
              </w:tc>
              <w:tc>
                <w:tcPr>
                  <w:tcW w:w="494" w:type="pct"/>
                  <w:tcBorders>
                    <w:top w:val="single" w:sz="4" w:space="0" w:color="BFBFBF" w:themeColor="background2"/>
                    <w:bottom w:val="single" w:sz="4" w:space="0" w:color="BFBFBF" w:themeColor="background2"/>
                  </w:tcBorders>
                  <w:tcMar>
                    <w:right w:w="113" w:type="dxa"/>
                  </w:tcMar>
                </w:tcPr>
                <w:p w14:paraId="07E46865" w14:textId="77777777" w:rsidR="00BF6E24" w:rsidRPr="00F81A7C" w:rsidRDefault="00BF6E24" w:rsidP="00E21E82">
                  <w:pPr>
                    <w:pStyle w:val="TableColumnHeading"/>
                    <w:spacing w:before="140"/>
                    <w:ind w:left="0" w:right="-74"/>
                    <w:rPr>
                      <w:rFonts w:asciiTheme="majorHAnsi" w:hAnsiTheme="majorHAnsi" w:cstheme="majorHAnsi"/>
                      <w:szCs w:val="18"/>
                    </w:rPr>
                  </w:pPr>
                  <w:proofErr w:type="spellStart"/>
                  <w:r w:rsidRPr="00F81A7C">
                    <w:rPr>
                      <w:rFonts w:asciiTheme="majorHAnsi" w:hAnsiTheme="majorHAnsi" w:cstheme="majorHAnsi"/>
                      <w:szCs w:val="18"/>
                    </w:rPr>
                    <w:t>Tas</w:t>
                  </w:r>
                  <w:proofErr w:type="spellEnd"/>
                </w:p>
              </w:tc>
              <w:tc>
                <w:tcPr>
                  <w:tcW w:w="494" w:type="pct"/>
                  <w:tcBorders>
                    <w:top w:val="single" w:sz="4" w:space="0" w:color="BFBFBF" w:themeColor="background2"/>
                    <w:bottom w:val="single" w:sz="4" w:space="0" w:color="BFBFBF" w:themeColor="background2"/>
                  </w:tcBorders>
                  <w:tcMar>
                    <w:right w:w="113" w:type="dxa"/>
                  </w:tcMar>
                </w:tcPr>
                <w:p w14:paraId="6085A4E9"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ACT</w:t>
                  </w:r>
                </w:p>
              </w:tc>
              <w:tc>
                <w:tcPr>
                  <w:tcW w:w="494" w:type="pct"/>
                  <w:tcBorders>
                    <w:top w:val="single" w:sz="4" w:space="0" w:color="BFBFBF" w:themeColor="background2"/>
                    <w:bottom w:val="single" w:sz="4" w:space="0" w:color="BFBFBF" w:themeColor="background2"/>
                  </w:tcBorders>
                  <w:tcMar>
                    <w:right w:w="113" w:type="dxa"/>
                  </w:tcMar>
                </w:tcPr>
                <w:p w14:paraId="02145DA8" w14:textId="77777777" w:rsidR="00BF6E24" w:rsidRPr="00F81A7C" w:rsidRDefault="00BF6E24" w:rsidP="00E21E82">
                  <w:pPr>
                    <w:pStyle w:val="TableColumnHeading"/>
                    <w:spacing w:before="140"/>
                    <w:ind w:left="0" w:right="-74"/>
                    <w:rPr>
                      <w:rFonts w:asciiTheme="majorHAnsi" w:hAnsiTheme="majorHAnsi" w:cstheme="majorHAnsi"/>
                      <w:szCs w:val="18"/>
                    </w:rPr>
                  </w:pPr>
                  <w:r w:rsidRPr="00F81A7C">
                    <w:rPr>
                      <w:rFonts w:asciiTheme="majorHAnsi" w:hAnsiTheme="majorHAnsi" w:cstheme="majorHAnsi"/>
                      <w:szCs w:val="18"/>
                    </w:rPr>
                    <w:t>NT</w:t>
                  </w:r>
                </w:p>
              </w:tc>
              <w:tc>
                <w:tcPr>
                  <w:tcW w:w="489" w:type="pct"/>
                  <w:tcBorders>
                    <w:top w:val="single" w:sz="4" w:space="0" w:color="BFBFBF" w:themeColor="background2"/>
                    <w:bottom w:val="single" w:sz="4" w:space="0" w:color="BFBFBF" w:themeColor="background2"/>
                  </w:tcBorders>
                  <w:shd w:val="clear" w:color="auto" w:fill="auto"/>
                  <w:tcMar>
                    <w:top w:w="28" w:type="dxa"/>
                    <w:right w:w="28" w:type="dxa"/>
                  </w:tcMar>
                </w:tcPr>
                <w:p w14:paraId="6259B5CB" w14:textId="77777777" w:rsidR="00BF6E24" w:rsidRPr="00F81A7C" w:rsidRDefault="00BF6E24" w:rsidP="00E21E82">
                  <w:pPr>
                    <w:pStyle w:val="TableColumnHeading"/>
                    <w:spacing w:before="0" w:after="40"/>
                    <w:ind w:left="0" w:right="0"/>
                    <w:rPr>
                      <w:rStyle w:val="NoteLabel"/>
                      <w:rFonts w:asciiTheme="majorHAnsi" w:hAnsiTheme="majorHAnsi" w:cstheme="majorHAnsi"/>
                      <w:szCs w:val="18"/>
                    </w:rPr>
                  </w:pPr>
                  <w:proofErr w:type="spellStart"/>
                  <w:r w:rsidRPr="00F81A7C">
                    <w:rPr>
                      <w:rFonts w:asciiTheme="majorHAnsi" w:hAnsiTheme="majorHAnsi" w:cstheme="majorHAnsi"/>
                      <w:szCs w:val="18"/>
                    </w:rPr>
                    <w:t>Aust</w:t>
                  </w:r>
                  <w:proofErr w:type="spellEnd"/>
                  <w:r>
                    <w:rPr>
                      <w:rFonts w:asciiTheme="majorHAnsi" w:hAnsiTheme="majorHAnsi" w:cstheme="majorHAnsi"/>
                      <w:szCs w:val="18"/>
                    </w:rPr>
                    <w:t>/</w:t>
                  </w:r>
                  <w:r w:rsidR="00774AF1">
                    <w:rPr>
                      <w:rFonts w:asciiTheme="majorHAnsi" w:hAnsiTheme="majorHAnsi" w:cstheme="majorHAnsi"/>
                      <w:szCs w:val="18"/>
                    </w:rPr>
                    <w:br/>
                  </w:r>
                  <w:r>
                    <w:rPr>
                      <w:rFonts w:asciiTheme="majorHAnsi" w:hAnsiTheme="majorHAnsi" w:cstheme="majorHAnsi"/>
                      <w:szCs w:val="18"/>
                    </w:rPr>
                    <w:t>Total</w:t>
                  </w:r>
                </w:p>
              </w:tc>
            </w:tr>
            <w:tr w:rsidR="00BF6E24" w:rsidRPr="00F81A7C" w14:paraId="3CD6F4B1" w14:textId="77777777" w:rsidTr="00746E44">
              <w:tc>
                <w:tcPr>
                  <w:tcW w:w="5000" w:type="pct"/>
                  <w:gridSpan w:val="10"/>
                  <w:tcBorders>
                    <w:top w:val="single" w:sz="4" w:space="0" w:color="BFBFBF" w:themeColor="background2"/>
                  </w:tcBorders>
                  <w:vAlign w:val="center"/>
                </w:tcPr>
                <w:p w14:paraId="67798B04" w14:textId="77777777" w:rsidR="00BF6E24" w:rsidRPr="006F7A0C" w:rsidRDefault="00BF6E24" w:rsidP="00774AF1">
                  <w:pPr>
                    <w:pStyle w:val="TableColumnHeading"/>
                    <w:spacing w:before="60" w:after="40"/>
                    <w:ind w:left="0" w:right="0"/>
                    <w:jc w:val="left"/>
                    <w:rPr>
                      <w:rStyle w:val="DraftingNote"/>
                      <w:i w:val="0"/>
                      <w:color w:val="auto"/>
                      <w:sz w:val="20"/>
                    </w:rPr>
                  </w:pPr>
                  <w:r w:rsidRPr="00F81A7C">
                    <w:rPr>
                      <w:rFonts w:asciiTheme="majorHAnsi" w:hAnsiTheme="majorHAnsi" w:cstheme="majorHAnsi"/>
                      <w:szCs w:val="18"/>
                    </w:rPr>
                    <w:t>Public housing</w:t>
                  </w:r>
                </w:p>
              </w:tc>
            </w:tr>
            <w:tr w:rsidR="00904925" w:rsidRPr="00F81A7C" w14:paraId="453AE358" w14:textId="77777777" w:rsidTr="00E46CD6">
              <w:tc>
                <w:tcPr>
                  <w:tcW w:w="560" w:type="pct"/>
                  <w:shd w:val="clear" w:color="auto" w:fill="auto"/>
                  <w:vAlign w:val="center"/>
                </w:tcPr>
                <w:p w14:paraId="1D75F4C8" w14:textId="77777777" w:rsidR="00904925" w:rsidRPr="00F81A7C" w:rsidRDefault="00904925" w:rsidP="00904925">
                  <w:pPr>
                    <w:pStyle w:val="TableBodyText"/>
                    <w:ind w:left="0" w:right="0"/>
                    <w:jc w:val="left"/>
                    <w:rPr>
                      <w:rFonts w:asciiTheme="majorHAnsi" w:hAnsiTheme="majorHAnsi" w:cstheme="majorHAnsi"/>
                      <w:szCs w:val="18"/>
                    </w:rPr>
                  </w:pPr>
                  <w:r>
                    <w:rPr>
                      <w:rFonts w:asciiTheme="majorHAnsi" w:hAnsiTheme="majorHAnsi" w:cstheme="majorHAnsi"/>
                      <w:szCs w:val="18"/>
                    </w:rPr>
                    <w:t>2017</w:t>
                  </w:r>
                </w:p>
              </w:tc>
              <w:tc>
                <w:tcPr>
                  <w:tcW w:w="493" w:type="pct"/>
                  <w:tcBorders>
                    <w:top w:val="nil"/>
                    <w:left w:val="nil"/>
                    <w:bottom w:val="nil"/>
                    <w:right w:val="nil"/>
                  </w:tcBorders>
                  <w:shd w:val="clear" w:color="auto" w:fill="auto"/>
                  <w:tcMar>
                    <w:right w:w="113" w:type="dxa"/>
                  </w:tcMar>
                  <w:vAlign w:val="center"/>
                </w:tcPr>
                <w:p w14:paraId="513C6543" w14:textId="654F894E" w:rsidR="00904925" w:rsidRPr="00904925" w:rsidRDefault="00904925" w:rsidP="00E21E82">
                  <w:pPr>
                    <w:pStyle w:val="TableBodyText"/>
                    <w:ind w:left="0" w:right="-57"/>
                  </w:pPr>
                  <w:r w:rsidRPr="00904925">
                    <w:t>1.0</w:t>
                  </w:r>
                </w:p>
              </w:tc>
              <w:tc>
                <w:tcPr>
                  <w:tcW w:w="494" w:type="pct"/>
                  <w:tcBorders>
                    <w:top w:val="nil"/>
                    <w:left w:val="nil"/>
                    <w:bottom w:val="nil"/>
                    <w:right w:val="nil"/>
                  </w:tcBorders>
                  <w:shd w:val="clear" w:color="auto" w:fill="auto"/>
                  <w:tcMar>
                    <w:right w:w="113" w:type="dxa"/>
                  </w:tcMar>
                  <w:vAlign w:val="center"/>
                </w:tcPr>
                <w:p w14:paraId="1505958E" w14:textId="17BCE1B6" w:rsidR="00904925" w:rsidRPr="00904925" w:rsidRDefault="00904925" w:rsidP="00E21E82">
                  <w:pPr>
                    <w:pStyle w:val="TableBodyText"/>
                    <w:ind w:left="0" w:right="-57"/>
                  </w:pPr>
                  <w:r w:rsidRPr="00904925">
                    <w:t>0.5</w:t>
                  </w:r>
                </w:p>
              </w:tc>
              <w:tc>
                <w:tcPr>
                  <w:tcW w:w="494" w:type="pct"/>
                  <w:tcBorders>
                    <w:top w:val="nil"/>
                    <w:left w:val="nil"/>
                    <w:bottom w:val="nil"/>
                    <w:right w:val="nil"/>
                  </w:tcBorders>
                  <w:shd w:val="clear" w:color="auto" w:fill="auto"/>
                  <w:tcMar>
                    <w:right w:w="113" w:type="dxa"/>
                  </w:tcMar>
                  <w:vAlign w:val="center"/>
                </w:tcPr>
                <w:p w14:paraId="124736BD" w14:textId="77777777" w:rsidR="00904925" w:rsidRPr="00904925" w:rsidRDefault="00904925" w:rsidP="00E21E82">
                  <w:pPr>
                    <w:pStyle w:val="TableBodyText"/>
                    <w:ind w:left="0" w:right="-57"/>
                  </w:pPr>
                  <w:r w:rsidRPr="00904925">
                    <w:t>–</w:t>
                  </w:r>
                </w:p>
              </w:tc>
              <w:tc>
                <w:tcPr>
                  <w:tcW w:w="494" w:type="pct"/>
                  <w:tcBorders>
                    <w:top w:val="nil"/>
                    <w:left w:val="nil"/>
                    <w:bottom w:val="nil"/>
                    <w:right w:val="nil"/>
                  </w:tcBorders>
                  <w:shd w:val="clear" w:color="auto" w:fill="auto"/>
                  <w:tcMar>
                    <w:right w:w="113" w:type="dxa"/>
                  </w:tcMar>
                  <w:vAlign w:val="center"/>
                </w:tcPr>
                <w:p w14:paraId="510BB572" w14:textId="604A25E0" w:rsidR="00904925" w:rsidRPr="00904925" w:rsidRDefault="00904925" w:rsidP="00E21E82">
                  <w:pPr>
                    <w:pStyle w:val="TableBodyText"/>
                    <w:ind w:left="0" w:right="-57"/>
                  </w:pPr>
                  <w:r w:rsidRPr="00904925">
                    <w:t>0.4</w:t>
                  </w:r>
                </w:p>
              </w:tc>
              <w:tc>
                <w:tcPr>
                  <w:tcW w:w="494" w:type="pct"/>
                  <w:tcBorders>
                    <w:top w:val="nil"/>
                    <w:left w:val="nil"/>
                    <w:bottom w:val="nil"/>
                    <w:right w:val="nil"/>
                  </w:tcBorders>
                  <w:shd w:val="clear" w:color="auto" w:fill="auto"/>
                  <w:tcMar>
                    <w:right w:w="113" w:type="dxa"/>
                  </w:tcMar>
                  <w:vAlign w:val="center"/>
                </w:tcPr>
                <w:p w14:paraId="493CA683" w14:textId="77777777" w:rsidR="00904925" w:rsidRPr="00904925" w:rsidRDefault="00904925" w:rsidP="00E21E82">
                  <w:pPr>
                    <w:pStyle w:val="TableBodyText"/>
                    <w:ind w:left="0" w:right="-57"/>
                  </w:pPr>
                  <w:r w:rsidRPr="00904925">
                    <w:t>–</w:t>
                  </w:r>
                </w:p>
              </w:tc>
              <w:tc>
                <w:tcPr>
                  <w:tcW w:w="494" w:type="pct"/>
                  <w:tcBorders>
                    <w:top w:val="nil"/>
                    <w:left w:val="nil"/>
                    <w:bottom w:val="nil"/>
                    <w:right w:val="nil"/>
                  </w:tcBorders>
                  <w:shd w:val="clear" w:color="auto" w:fill="auto"/>
                  <w:tcMar>
                    <w:right w:w="113" w:type="dxa"/>
                  </w:tcMar>
                  <w:vAlign w:val="center"/>
                </w:tcPr>
                <w:p w14:paraId="36CCD019" w14:textId="52F1496B" w:rsidR="00904925" w:rsidRPr="00904925" w:rsidRDefault="00904925" w:rsidP="00E21E82">
                  <w:pPr>
                    <w:pStyle w:val="TableBodyText"/>
                    <w:ind w:left="0" w:right="-57"/>
                  </w:pPr>
                  <w:r w:rsidRPr="00904925">
                    <w:t>0.2</w:t>
                  </w:r>
                </w:p>
              </w:tc>
              <w:tc>
                <w:tcPr>
                  <w:tcW w:w="494" w:type="pct"/>
                  <w:tcBorders>
                    <w:top w:val="nil"/>
                    <w:left w:val="nil"/>
                    <w:bottom w:val="nil"/>
                    <w:right w:val="nil"/>
                  </w:tcBorders>
                  <w:shd w:val="clear" w:color="auto" w:fill="auto"/>
                  <w:tcMar>
                    <w:right w:w="113" w:type="dxa"/>
                  </w:tcMar>
                  <w:vAlign w:val="center"/>
                </w:tcPr>
                <w:p w14:paraId="6A58271F" w14:textId="76A0AD43" w:rsidR="00904925" w:rsidRPr="00904925" w:rsidRDefault="00904925" w:rsidP="00E21E82">
                  <w:pPr>
                    <w:pStyle w:val="TableBodyText"/>
                    <w:ind w:left="0" w:right="-57"/>
                  </w:pPr>
                  <w:r w:rsidRPr="00904925">
                    <w:t>0.2</w:t>
                  </w:r>
                </w:p>
              </w:tc>
              <w:tc>
                <w:tcPr>
                  <w:tcW w:w="494" w:type="pct"/>
                  <w:tcBorders>
                    <w:top w:val="nil"/>
                    <w:left w:val="nil"/>
                    <w:bottom w:val="nil"/>
                    <w:right w:val="nil"/>
                  </w:tcBorders>
                  <w:shd w:val="clear" w:color="auto" w:fill="auto"/>
                  <w:tcMar>
                    <w:right w:w="113" w:type="dxa"/>
                  </w:tcMar>
                  <w:vAlign w:val="center"/>
                </w:tcPr>
                <w:p w14:paraId="52E1BA82" w14:textId="331411BB" w:rsidR="00904925" w:rsidRPr="00904925" w:rsidRDefault="00904925" w:rsidP="00E21E82">
                  <w:pPr>
                    <w:pStyle w:val="TableBodyText"/>
                    <w:ind w:left="0" w:right="-57"/>
                  </w:pPr>
                  <w:r w:rsidRPr="00904925">
                    <w:t>3.0</w:t>
                  </w:r>
                </w:p>
              </w:tc>
              <w:tc>
                <w:tcPr>
                  <w:tcW w:w="489" w:type="pct"/>
                  <w:tcBorders>
                    <w:top w:val="nil"/>
                    <w:left w:val="nil"/>
                    <w:bottom w:val="nil"/>
                    <w:right w:val="nil"/>
                  </w:tcBorders>
                  <w:shd w:val="clear" w:color="auto" w:fill="auto"/>
                  <w:tcMar>
                    <w:right w:w="28" w:type="dxa"/>
                  </w:tcMar>
                  <w:vAlign w:val="center"/>
                </w:tcPr>
                <w:p w14:paraId="38BCFCCC" w14:textId="24D07514" w:rsidR="00904925" w:rsidRPr="00904925" w:rsidRDefault="00904925" w:rsidP="00E21E82">
                  <w:pPr>
                    <w:pStyle w:val="TableBodyText"/>
                    <w:ind w:left="0" w:right="0"/>
                  </w:pPr>
                  <w:r w:rsidRPr="00904925">
                    <w:t>0.5</w:t>
                  </w:r>
                </w:p>
              </w:tc>
            </w:tr>
            <w:tr w:rsidR="001E0323" w:rsidRPr="00F81A7C" w14:paraId="4658C872" w14:textId="77777777" w:rsidTr="00E46CD6">
              <w:tc>
                <w:tcPr>
                  <w:tcW w:w="560" w:type="pct"/>
                  <w:shd w:val="clear" w:color="auto" w:fill="auto"/>
                  <w:vAlign w:val="center"/>
                </w:tcPr>
                <w:p w14:paraId="7F307A83" w14:textId="77777777" w:rsidR="001E0323" w:rsidRPr="00F81A7C" w:rsidRDefault="001E0323" w:rsidP="001E0323">
                  <w:pPr>
                    <w:pStyle w:val="TableBodyText"/>
                    <w:ind w:left="0" w:right="0"/>
                    <w:jc w:val="left"/>
                    <w:rPr>
                      <w:rFonts w:asciiTheme="majorHAnsi" w:hAnsiTheme="majorHAnsi" w:cstheme="majorHAnsi"/>
                      <w:szCs w:val="18"/>
                    </w:rPr>
                  </w:pPr>
                  <w:r>
                    <w:rPr>
                      <w:rFonts w:asciiTheme="majorHAnsi" w:hAnsiTheme="majorHAnsi" w:cstheme="majorHAnsi"/>
                      <w:szCs w:val="18"/>
                    </w:rPr>
                    <w:t>2016</w:t>
                  </w:r>
                </w:p>
              </w:tc>
              <w:tc>
                <w:tcPr>
                  <w:tcW w:w="493" w:type="pct"/>
                  <w:shd w:val="clear" w:color="auto" w:fill="auto"/>
                  <w:tcMar>
                    <w:right w:w="113" w:type="dxa"/>
                  </w:tcMar>
                  <w:vAlign w:val="center"/>
                </w:tcPr>
                <w:p w14:paraId="01D8E1BD" w14:textId="5EA62290" w:rsidR="001E0323" w:rsidRPr="0065145D" w:rsidRDefault="001E0323" w:rsidP="00E21E82">
                  <w:pPr>
                    <w:pStyle w:val="TableBodyText"/>
                    <w:ind w:left="0" w:right="-57"/>
                  </w:pPr>
                  <w:r w:rsidRPr="0065145D">
                    <w:t>0.7</w:t>
                  </w:r>
                </w:p>
              </w:tc>
              <w:tc>
                <w:tcPr>
                  <w:tcW w:w="494" w:type="pct"/>
                  <w:shd w:val="clear" w:color="auto" w:fill="auto"/>
                  <w:tcMar>
                    <w:right w:w="113" w:type="dxa"/>
                  </w:tcMar>
                  <w:vAlign w:val="center"/>
                </w:tcPr>
                <w:p w14:paraId="7858C3BB" w14:textId="6AE035E7" w:rsidR="001E0323" w:rsidRPr="0065145D" w:rsidRDefault="001E0323" w:rsidP="00E21E82">
                  <w:pPr>
                    <w:pStyle w:val="TableBodyText"/>
                    <w:ind w:left="0" w:right="-57"/>
                  </w:pPr>
                  <w:r w:rsidRPr="0065145D">
                    <w:t>0.4</w:t>
                  </w:r>
                </w:p>
              </w:tc>
              <w:tc>
                <w:tcPr>
                  <w:tcW w:w="494" w:type="pct"/>
                  <w:shd w:val="clear" w:color="auto" w:fill="auto"/>
                  <w:tcMar>
                    <w:right w:w="113" w:type="dxa"/>
                  </w:tcMar>
                  <w:vAlign w:val="center"/>
                </w:tcPr>
                <w:p w14:paraId="0059E65C" w14:textId="769FFF1C" w:rsidR="001E0323" w:rsidRPr="0065145D" w:rsidRDefault="001E0323" w:rsidP="00E21E82">
                  <w:pPr>
                    <w:pStyle w:val="TableBodyText"/>
                    <w:ind w:left="0" w:right="-57"/>
                  </w:pPr>
                  <w:r w:rsidRPr="0059465A">
                    <w:t>–</w:t>
                  </w:r>
                </w:p>
              </w:tc>
              <w:tc>
                <w:tcPr>
                  <w:tcW w:w="494" w:type="pct"/>
                  <w:shd w:val="clear" w:color="auto" w:fill="auto"/>
                  <w:tcMar>
                    <w:right w:w="113" w:type="dxa"/>
                  </w:tcMar>
                  <w:vAlign w:val="center"/>
                </w:tcPr>
                <w:p w14:paraId="13E7008F" w14:textId="7EDFB5B1" w:rsidR="001E0323" w:rsidRPr="0065145D" w:rsidRDefault="001E0323" w:rsidP="00E21E82">
                  <w:pPr>
                    <w:pStyle w:val="TableBodyText"/>
                    <w:ind w:left="0" w:right="-57"/>
                  </w:pPr>
                  <w:r w:rsidRPr="0065145D">
                    <w:t>2.9</w:t>
                  </w:r>
                </w:p>
              </w:tc>
              <w:tc>
                <w:tcPr>
                  <w:tcW w:w="494" w:type="pct"/>
                  <w:shd w:val="clear" w:color="auto" w:fill="auto"/>
                  <w:tcMar>
                    <w:right w:w="113" w:type="dxa"/>
                  </w:tcMar>
                  <w:vAlign w:val="center"/>
                </w:tcPr>
                <w:p w14:paraId="200D3D14" w14:textId="77777777" w:rsidR="001E0323" w:rsidRPr="0065145D" w:rsidRDefault="001E0323" w:rsidP="00E21E82">
                  <w:pPr>
                    <w:pStyle w:val="TableBodyText"/>
                    <w:ind w:left="0" w:right="-57"/>
                  </w:pPr>
                  <w:r w:rsidRPr="0065145D">
                    <w:t>–</w:t>
                  </w:r>
                </w:p>
              </w:tc>
              <w:tc>
                <w:tcPr>
                  <w:tcW w:w="494" w:type="pct"/>
                  <w:shd w:val="clear" w:color="auto" w:fill="auto"/>
                  <w:tcMar>
                    <w:right w:w="113" w:type="dxa"/>
                  </w:tcMar>
                  <w:vAlign w:val="center"/>
                </w:tcPr>
                <w:p w14:paraId="36ECE2EB" w14:textId="2691FE07" w:rsidR="001E0323" w:rsidRPr="0065145D" w:rsidRDefault="001E0323" w:rsidP="00E21E82">
                  <w:pPr>
                    <w:pStyle w:val="TableBodyText"/>
                    <w:ind w:left="0" w:right="-57"/>
                  </w:pPr>
                  <w:r w:rsidRPr="0065145D">
                    <w:t>0.1</w:t>
                  </w:r>
                </w:p>
              </w:tc>
              <w:tc>
                <w:tcPr>
                  <w:tcW w:w="494" w:type="pct"/>
                  <w:shd w:val="clear" w:color="auto" w:fill="auto"/>
                  <w:tcMar>
                    <w:right w:w="113" w:type="dxa"/>
                  </w:tcMar>
                  <w:vAlign w:val="center"/>
                </w:tcPr>
                <w:p w14:paraId="38CA1555" w14:textId="0F78BF8C" w:rsidR="001E0323" w:rsidRPr="0065145D" w:rsidRDefault="001E0323" w:rsidP="00E21E82">
                  <w:pPr>
                    <w:pStyle w:val="TableBodyText"/>
                    <w:ind w:left="0" w:right="-57"/>
                  </w:pPr>
                  <w:r w:rsidRPr="0065145D">
                    <w:t>0.3</w:t>
                  </w:r>
                </w:p>
              </w:tc>
              <w:tc>
                <w:tcPr>
                  <w:tcW w:w="494" w:type="pct"/>
                  <w:shd w:val="clear" w:color="auto" w:fill="auto"/>
                  <w:tcMar>
                    <w:right w:w="113" w:type="dxa"/>
                  </w:tcMar>
                  <w:vAlign w:val="center"/>
                </w:tcPr>
                <w:p w14:paraId="3BA12E0E" w14:textId="4498A3C8" w:rsidR="001E0323" w:rsidRPr="0065145D" w:rsidRDefault="001E0323" w:rsidP="00E21E82">
                  <w:pPr>
                    <w:pStyle w:val="TableBodyText"/>
                    <w:ind w:left="0" w:right="-57"/>
                  </w:pPr>
                  <w:r w:rsidRPr="0065145D">
                    <w:t>3.5</w:t>
                  </w:r>
                </w:p>
              </w:tc>
              <w:tc>
                <w:tcPr>
                  <w:tcW w:w="489" w:type="pct"/>
                  <w:shd w:val="clear" w:color="auto" w:fill="auto"/>
                  <w:tcMar>
                    <w:right w:w="28" w:type="dxa"/>
                  </w:tcMar>
                  <w:vAlign w:val="center"/>
                </w:tcPr>
                <w:p w14:paraId="31709033" w14:textId="7DCCC185" w:rsidR="001E0323" w:rsidRPr="0065145D" w:rsidRDefault="001E0323" w:rsidP="00E21E82">
                  <w:pPr>
                    <w:pStyle w:val="TableBodyText"/>
                    <w:ind w:left="0" w:right="0"/>
                  </w:pPr>
                  <w:r w:rsidRPr="0065145D">
                    <w:t>0.7</w:t>
                  </w:r>
                </w:p>
              </w:tc>
            </w:tr>
            <w:tr w:rsidR="001E0323" w:rsidRPr="00F81A7C" w14:paraId="0AF9979D" w14:textId="77777777" w:rsidTr="00E46CD6">
              <w:tc>
                <w:tcPr>
                  <w:tcW w:w="560" w:type="pct"/>
                  <w:shd w:val="clear" w:color="auto" w:fill="auto"/>
                  <w:vAlign w:val="center"/>
                </w:tcPr>
                <w:p w14:paraId="570EA809" w14:textId="77777777" w:rsidR="001E0323" w:rsidRPr="00F81A7C" w:rsidRDefault="001E0323" w:rsidP="001E0323">
                  <w:pPr>
                    <w:pStyle w:val="TableBodyText"/>
                    <w:ind w:left="0" w:right="0"/>
                    <w:jc w:val="left"/>
                    <w:rPr>
                      <w:rFonts w:asciiTheme="majorHAnsi" w:hAnsiTheme="majorHAnsi" w:cstheme="majorHAnsi"/>
                      <w:szCs w:val="18"/>
                    </w:rPr>
                  </w:pPr>
                  <w:r>
                    <w:rPr>
                      <w:rFonts w:asciiTheme="majorHAnsi" w:hAnsiTheme="majorHAnsi" w:cstheme="majorHAnsi"/>
                      <w:szCs w:val="18"/>
                    </w:rPr>
                    <w:t>2015</w:t>
                  </w:r>
                </w:p>
              </w:tc>
              <w:tc>
                <w:tcPr>
                  <w:tcW w:w="493" w:type="pct"/>
                  <w:shd w:val="clear" w:color="auto" w:fill="auto"/>
                  <w:tcMar>
                    <w:right w:w="113" w:type="dxa"/>
                  </w:tcMar>
                </w:tcPr>
                <w:p w14:paraId="68514D50" w14:textId="4A130ED2" w:rsidR="001E0323" w:rsidRPr="0059465A" w:rsidRDefault="001E0323" w:rsidP="00E21E82">
                  <w:pPr>
                    <w:pStyle w:val="TableBodyText"/>
                    <w:ind w:left="0" w:right="-57"/>
                  </w:pPr>
                  <w:r>
                    <w:t>0.7</w:t>
                  </w:r>
                </w:p>
              </w:tc>
              <w:tc>
                <w:tcPr>
                  <w:tcW w:w="494" w:type="pct"/>
                  <w:shd w:val="clear" w:color="auto" w:fill="auto"/>
                  <w:tcMar>
                    <w:right w:w="113" w:type="dxa"/>
                  </w:tcMar>
                </w:tcPr>
                <w:p w14:paraId="120FF36C" w14:textId="3DDC868B" w:rsidR="001E0323" w:rsidRPr="0059465A" w:rsidRDefault="001E0323" w:rsidP="00E21E82">
                  <w:pPr>
                    <w:pStyle w:val="TableBodyText"/>
                    <w:ind w:left="0" w:right="-57"/>
                  </w:pPr>
                  <w:r w:rsidRPr="0059465A">
                    <w:t>0.4</w:t>
                  </w:r>
                </w:p>
              </w:tc>
              <w:tc>
                <w:tcPr>
                  <w:tcW w:w="494" w:type="pct"/>
                  <w:shd w:val="clear" w:color="auto" w:fill="auto"/>
                  <w:tcMar>
                    <w:right w:w="113" w:type="dxa"/>
                  </w:tcMar>
                </w:tcPr>
                <w:p w14:paraId="08FA254B" w14:textId="156C0B8B" w:rsidR="001E0323" w:rsidRPr="0059465A" w:rsidRDefault="001E0323" w:rsidP="00E21E82">
                  <w:pPr>
                    <w:pStyle w:val="TableBodyText"/>
                    <w:ind w:left="0" w:right="-57"/>
                  </w:pPr>
                  <w:r w:rsidRPr="0059465A">
                    <w:t>–</w:t>
                  </w:r>
                </w:p>
              </w:tc>
              <w:tc>
                <w:tcPr>
                  <w:tcW w:w="494" w:type="pct"/>
                  <w:shd w:val="clear" w:color="auto" w:fill="auto"/>
                  <w:tcMar>
                    <w:right w:w="113" w:type="dxa"/>
                  </w:tcMar>
                </w:tcPr>
                <w:p w14:paraId="7F75646A" w14:textId="3E2C6FCC" w:rsidR="001E0323" w:rsidRPr="0059465A" w:rsidRDefault="001E0323" w:rsidP="00E21E82">
                  <w:pPr>
                    <w:pStyle w:val="TableBodyText"/>
                    <w:ind w:left="0" w:right="-57"/>
                  </w:pPr>
                  <w:r w:rsidRPr="0059465A">
                    <w:t>1.5</w:t>
                  </w:r>
                </w:p>
              </w:tc>
              <w:tc>
                <w:tcPr>
                  <w:tcW w:w="494" w:type="pct"/>
                  <w:shd w:val="clear" w:color="auto" w:fill="auto"/>
                  <w:tcMar>
                    <w:right w:w="113" w:type="dxa"/>
                  </w:tcMar>
                </w:tcPr>
                <w:p w14:paraId="559A4339" w14:textId="77777777" w:rsidR="001E0323" w:rsidRPr="0059465A" w:rsidRDefault="001E0323" w:rsidP="00E21E82">
                  <w:pPr>
                    <w:pStyle w:val="TableBodyText"/>
                    <w:ind w:left="0" w:right="-57"/>
                  </w:pPr>
                  <w:r w:rsidRPr="0059465A">
                    <w:t>–</w:t>
                  </w:r>
                </w:p>
              </w:tc>
              <w:tc>
                <w:tcPr>
                  <w:tcW w:w="494" w:type="pct"/>
                  <w:shd w:val="clear" w:color="auto" w:fill="auto"/>
                  <w:tcMar>
                    <w:right w:w="113" w:type="dxa"/>
                  </w:tcMar>
                </w:tcPr>
                <w:p w14:paraId="1A11C058" w14:textId="5C72B927"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360CB341" w14:textId="0ADA1C23"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2045A2CD" w14:textId="77777777" w:rsidR="001E0323" w:rsidRPr="0059465A" w:rsidRDefault="001E0323" w:rsidP="00E21E82">
                  <w:pPr>
                    <w:pStyle w:val="TableBodyText"/>
                    <w:ind w:left="0" w:right="-57"/>
                  </w:pPr>
                  <w:r>
                    <w:t>6.6</w:t>
                  </w:r>
                </w:p>
              </w:tc>
              <w:tc>
                <w:tcPr>
                  <w:tcW w:w="489" w:type="pct"/>
                  <w:shd w:val="clear" w:color="auto" w:fill="auto"/>
                  <w:tcMar>
                    <w:right w:w="28" w:type="dxa"/>
                  </w:tcMar>
                </w:tcPr>
                <w:p w14:paraId="2A835250" w14:textId="0CAFF59C" w:rsidR="001E0323" w:rsidRPr="0059465A" w:rsidRDefault="001E0323" w:rsidP="00E21E82">
                  <w:pPr>
                    <w:pStyle w:val="TableBodyText"/>
                    <w:ind w:left="0" w:right="0"/>
                  </w:pPr>
                  <w:r w:rsidRPr="00774AF1">
                    <w:t>0.6</w:t>
                  </w:r>
                </w:p>
              </w:tc>
            </w:tr>
            <w:tr w:rsidR="001E0323" w:rsidRPr="00F81A7C" w14:paraId="6CD226B3" w14:textId="77777777" w:rsidTr="00E46CD6">
              <w:tc>
                <w:tcPr>
                  <w:tcW w:w="560" w:type="pct"/>
                  <w:shd w:val="clear" w:color="auto" w:fill="auto"/>
                  <w:vAlign w:val="center"/>
                </w:tcPr>
                <w:p w14:paraId="243A1FA1" w14:textId="77777777" w:rsidR="001E0323" w:rsidRPr="00F81A7C" w:rsidRDefault="001E0323" w:rsidP="001E0323">
                  <w:pPr>
                    <w:pStyle w:val="TableBodyText"/>
                    <w:ind w:left="0" w:right="0"/>
                    <w:jc w:val="left"/>
                    <w:rPr>
                      <w:rFonts w:asciiTheme="majorHAnsi" w:hAnsiTheme="majorHAnsi" w:cstheme="majorHAnsi"/>
                      <w:szCs w:val="18"/>
                    </w:rPr>
                  </w:pPr>
                  <w:r>
                    <w:rPr>
                      <w:rFonts w:asciiTheme="majorHAnsi" w:hAnsiTheme="majorHAnsi" w:cstheme="majorHAnsi"/>
                      <w:szCs w:val="18"/>
                    </w:rPr>
                    <w:t>2014</w:t>
                  </w:r>
                </w:p>
              </w:tc>
              <w:tc>
                <w:tcPr>
                  <w:tcW w:w="493" w:type="pct"/>
                  <w:shd w:val="clear" w:color="auto" w:fill="auto"/>
                  <w:tcMar>
                    <w:right w:w="113" w:type="dxa"/>
                  </w:tcMar>
                </w:tcPr>
                <w:p w14:paraId="64DC22CD" w14:textId="7E1982D9" w:rsidR="001E0323" w:rsidRPr="0059465A" w:rsidRDefault="001E0323" w:rsidP="00E21E82">
                  <w:pPr>
                    <w:pStyle w:val="TableBodyText"/>
                    <w:ind w:left="0" w:right="-57"/>
                  </w:pPr>
                  <w:r w:rsidRPr="0059465A">
                    <w:t>0.4</w:t>
                  </w:r>
                </w:p>
              </w:tc>
              <w:tc>
                <w:tcPr>
                  <w:tcW w:w="494" w:type="pct"/>
                  <w:shd w:val="clear" w:color="auto" w:fill="auto"/>
                  <w:tcMar>
                    <w:right w:w="113" w:type="dxa"/>
                  </w:tcMar>
                </w:tcPr>
                <w:p w14:paraId="6C2FFEF7" w14:textId="11ACCA24" w:rsidR="001E0323" w:rsidRPr="0059465A" w:rsidRDefault="001E0323" w:rsidP="00E21E82">
                  <w:pPr>
                    <w:pStyle w:val="TableBodyText"/>
                    <w:ind w:left="0" w:right="-57"/>
                  </w:pPr>
                  <w:r w:rsidRPr="0059465A">
                    <w:t>0.3</w:t>
                  </w:r>
                </w:p>
              </w:tc>
              <w:tc>
                <w:tcPr>
                  <w:tcW w:w="494" w:type="pct"/>
                  <w:shd w:val="clear" w:color="auto" w:fill="auto"/>
                  <w:tcMar>
                    <w:right w:w="113" w:type="dxa"/>
                  </w:tcMar>
                </w:tcPr>
                <w:p w14:paraId="08554A89" w14:textId="47C3CEC0"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4B192689" w14:textId="400B1AE6" w:rsidR="001E0323" w:rsidRPr="0059465A" w:rsidRDefault="001E0323" w:rsidP="00E21E82">
                  <w:pPr>
                    <w:pStyle w:val="TableBodyText"/>
                    <w:ind w:left="0" w:right="-57"/>
                  </w:pPr>
                  <w:r w:rsidRPr="0059465A">
                    <w:t>1.4</w:t>
                  </w:r>
                </w:p>
              </w:tc>
              <w:tc>
                <w:tcPr>
                  <w:tcW w:w="494" w:type="pct"/>
                  <w:shd w:val="clear" w:color="auto" w:fill="auto"/>
                  <w:tcMar>
                    <w:right w:w="113" w:type="dxa"/>
                  </w:tcMar>
                </w:tcPr>
                <w:p w14:paraId="1EE83B86" w14:textId="77777777" w:rsidR="001E0323" w:rsidRPr="0059465A" w:rsidRDefault="001E0323" w:rsidP="00E21E82">
                  <w:pPr>
                    <w:pStyle w:val="TableBodyText"/>
                    <w:ind w:left="0" w:right="-57"/>
                  </w:pPr>
                  <w:r w:rsidRPr="0059465A">
                    <w:t>–</w:t>
                  </w:r>
                </w:p>
              </w:tc>
              <w:tc>
                <w:tcPr>
                  <w:tcW w:w="494" w:type="pct"/>
                  <w:shd w:val="clear" w:color="auto" w:fill="auto"/>
                  <w:tcMar>
                    <w:right w:w="113" w:type="dxa"/>
                  </w:tcMar>
                </w:tcPr>
                <w:p w14:paraId="4E4050C8" w14:textId="62DFA3FD"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1467DEFA" w14:textId="6473D021"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6FE1D9E2" w14:textId="2690EB2D" w:rsidR="001E0323" w:rsidRPr="0059465A" w:rsidRDefault="001E0323" w:rsidP="00E21E82">
                  <w:pPr>
                    <w:pStyle w:val="TableBodyText"/>
                    <w:ind w:left="0" w:right="-57"/>
                  </w:pPr>
                  <w:r w:rsidRPr="0059465A">
                    <w:t>6.9</w:t>
                  </w:r>
                </w:p>
              </w:tc>
              <w:tc>
                <w:tcPr>
                  <w:tcW w:w="489" w:type="pct"/>
                  <w:shd w:val="clear" w:color="auto" w:fill="auto"/>
                  <w:tcMar>
                    <w:right w:w="28" w:type="dxa"/>
                  </w:tcMar>
                </w:tcPr>
                <w:p w14:paraId="4670B4BA" w14:textId="73D8E04E" w:rsidR="001E0323" w:rsidRPr="0059465A" w:rsidRDefault="001E0323" w:rsidP="00E21E82">
                  <w:pPr>
                    <w:pStyle w:val="TableBodyText"/>
                    <w:ind w:left="0" w:right="0"/>
                  </w:pPr>
                  <w:r w:rsidRPr="0059465A">
                    <w:t>0.5</w:t>
                  </w:r>
                </w:p>
              </w:tc>
            </w:tr>
            <w:tr w:rsidR="001E0323" w:rsidRPr="00F81A7C" w14:paraId="3C3D4AD2" w14:textId="77777777" w:rsidTr="00E46CD6">
              <w:tc>
                <w:tcPr>
                  <w:tcW w:w="560" w:type="pct"/>
                  <w:shd w:val="clear" w:color="auto" w:fill="auto"/>
                  <w:vAlign w:val="center"/>
                </w:tcPr>
                <w:p w14:paraId="552386C7" w14:textId="77777777" w:rsidR="001E0323" w:rsidRDefault="001E0323" w:rsidP="001E0323">
                  <w:pPr>
                    <w:pStyle w:val="TableBodyText"/>
                    <w:ind w:left="0" w:right="0"/>
                    <w:jc w:val="left"/>
                    <w:rPr>
                      <w:rFonts w:asciiTheme="majorHAnsi" w:hAnsiTheme="majorHAnsi" w:cstheme="majorHAnsi"/>
                      <w:szCs w:val="18"/>
                    </w:rPr>
                  </w:pPr>
                  <w:r>
                    <w:rPr>
                      <w:rFonts w:asciiTheme="majorHAnsi" w:hAnsiTheme="majorHAnsi" w:cstheme="majorHAnsi"/>
                      <w:szCs w:val="18"/>
                    </w:rPr>
                    <w:t>2013</w:t>
                  </w:r>
                </w:p>
              </w:tc>
              <w:tc>
                <w:tcPr>
                  <w:tcW w:w="493" w:type="pct"/>
                  <w:shd w:val="clear" w:color="auto" w:fill="auto"/>
                  <w:tcMar>
                    <w:right w:w="113" w:type="dxa"/>
                  </w:tcMar>
                </w:tcPr>
                <w:p w14:paraId="4EF673E8" w14:textId="4ED03C17" w:rsidR="001E0323" w:rsidRPr="0059465A" w:rsidRDefault="001E0323" w:rsidP="00E21E82">
                  <w:pPr>
                    <w:pStyle w:val="TableBodyText"/>
                    <w:ind w:left="0" w:right="-57"/>
                  </w:pPr>
                  <w:r w:rsidRPr="0059465A">
                    <w:t>0.2</w:t>
                  </w:r>
                </w:p>
              </w:tc>
              <w:tc>
                <w:tcPr>
                  <w:tcW w:w="494" w:type="pct"/>
                  <w:shd w:val="clear" w:color="auto" w:fill="auto"/>
                  <w:tcMar>
                    <w:right w:w="113" w:type="dxa"/>
                  </w:tcMar>
                </w:tcPr>
                <w:p w14:paraId="5FC96F89" w14:textId="3E2F9B08" w:rsidR="001E0323" w:rsidRPr="0059465A" w:rsidRDefault="001E0323" w:rsidP="00E21E82">
                  <w:pPr>
                    <w:pStyle w:val="TableBodyText"/>
                    <w:ind w:left="0" w:right="-57"/>
                  </w:pPr>
                  <w:r w:rsidRPr="0059465A">
                    <w:t>0.4</w:t>
                  </w:r>
                </w:p>
              </w:tc>
              <w:tc>
                <w:tcPr>
                  <w:tcW w:w="494" w:type="pct"/>
                  <w:shd w:val="clear" w:color="auto" w:fill="auto"/>
                  <w:tcMar>
                    <w:right w:w="113" w:type="dxa"/>
                  </w:tcMar>
                </w:tcPr>
                <w:p w14:paraId="4DC8B5F5" w14:textId="24E3C8A7" w:rsidR="001E0323" w:rsidRPr="0059465A" w:rsidRDefault="001E0323" w:rsidP="00E21E82">
                  <w:pPr>
                    <w:pStyle w:val="TableBodyText"/>
                    <w:ind w:left="0" w:right="-57"/>
                  </w:pPr>
                  <w:r w:rsidRPr="0059465A">
                    <w:t>0.2</w:t>
                  </w:r>
                </w:p>
              </w:tc>
              <w:tc>
                <w:tcPr>
                  <w:tcW w:w="494" w:type="pct"/>
                  <w:shd w:val="clear" w:color="auto" w:fill="auto"/>
                  <w:tcMar>
                    <w:right w:w="113" w:type="dxa"/>
                  </w:tcMar>
                </w:tcPr>
                <w:p w14:paraId="27F95405" w14:textId="6E04F307" w:rsidR="001E0323" w:rsidRPr="0059465A" w:rsidRDefault="001E0323" w:rsidP="00E21E82">
                  <w:pPr>
                    <w:pStyle w:val="TableBodyText"/>
                    <w:ind w:left="0" w:right="-57"/>
                  </w:pPr>
                  <w:r w:rsidRPr="0059465A">
                    <w:t>1.5</w:t>
                  </w:r>
                </w:p>
              </w:tc>
              <w:tc>
                <w:tcPr>
                  <w:tcW w:w="494" w:type="pct"/>
                  <w:shd w:val="clear" w:color="auto" w:fill="auto"/>
                  <w:tcMar>
                    <w:right w:w="113" w:type="dxa"/>
                  </w:tcMar>
                </w:tcPr>
                <w:p w14:paraId="2318F964" w14:textId="77777777" w:rsidR="001E0323" w:rsidRPr="0059465A" w:rsidRDefault="001E0323" w:rsidP="00E21E82">
                  <w:pPr>
                    <w:pStyle w:val="TableBodyText"/>
                    <w:ind w:left="0" w:right="-57"/>
                  </w:pPr>
                  <w:r w:rsidRPr="0059465A">
                    <w:t>–</w:t>
                  </w:r>
                </w:p>
              </w:tc>
              <w:tc>
                <w:tcPr>
                  <w:tcW w:w="494" w:type="pct"/>
                  <w:shd w:val="clear" w:color="auto" w:fill="auto"/>
                  <w:tcMar>
                    <w:right w:w="113" w:type="dxa"/>
                  </w:tcMar>
                </w:tcPr>
                <w:p w14:paraId="1024464D" w14:textId="5B6F76E5" w:rsidR="001E0323" w:rsidRPr="0059465A" w:rsidRDefault="001E0323" w:rsidP="00E21E82">
                  <w:pPr>
                    <w:pStyle w:val="TableBodyText"/>
                    <w:ind w:left="0" w:right="-57"/>
                  </w:pPr>
                  <w:r w:rsidRPr="0059465A">
                    <w:t>0.1</w:t>
                  </w:r>
                </w:p>
              </w:tc>
              <w:tc>
                <w:tcPr>
                  <w:tcW w:w="494" w:type="pct"/>
                  <w:shd w:val="clear" w:color="auto" w:fill="auto"/>
                  <w:tcMar>
                    <w:right w:w="113" w:type="dxa"/>
                  </w:tcMar>
                </w:tcPr>
                <w:p w14:paraId="5AA9AAB3" w14:textId="1A53E828" w:rsidR="001E0323" w:rsidRPr="0059465A" w:rsidRDefault="001E0323" w:rsidP="00E21E82">
                  <w:pPr>
                    <w:pStyle w:val="TableBodyText"/>
                    <w:ind w:left="0" w:right="-57"/>
                  </w:pPr>
                  <w:r w:rsidRPr="0059465A">
                    <w:t>0.4</w:t>
                  </w:r>
                </w:p>
              </w:tc>
              <w:tc>
                <w:tcPr>
                  <w:tcW w:w="494" w:type="pct"/>
                  <w:shd w:val="clear" w:color="auto" w:fill="auto"/>
                  <w:tcMar>
                    <w:right w:w="113" w:type="dxa"/>
                  </w:tcMar>
                </w:tcPr>
                <w:p w14:paraId="3A066DBE" w14:textId="72101AFC" w:rsidR="001E0323" w:rsidRPr="0059465A" w:rsidRDefault="001E0323" w:rsidP="00E21E82">
                  <w:pPr>
                    <w:pStyle w:val="TableBodyText"/>
                    <w:ind w:left="0" w:right="-57"/>
                  </w:pPr>
                  <w:r w:rsidRPr="0059465A">
                    <w:t>6.9</w:t>
                  </w:r>
                </w:p>
              </w:tc>
              <w:tc>
                <w:tcPr>
                  <w:tcW w:w="489" w:type="pct"/>
                  <w:shd w:val="clear" w:color="auto" w:fill="auto"/>
                  <w:tcMar>
                    <w:right w:w="28" w:type="dxa"/>
                  </w:tcMar>
                </w:tcPr>
                <w:p w14:paraId="23ACEE43" w14:textId="5B381188" w:rsidR="001E0323" w:rsidRPr="0059465A" w:rsidRDefault="001E0323" w:rsidP="00E21E82">
                  <w:pPr>
                    <w:pStyle w:val="TableBodyText"/>
                    <w:ind w:left="0" w:right="0"/>
                  </w:pPr>
                  <w:r w:rsidRPr="0059465A">
                    <w:t>0.5</w:t>
                  </w:r>
                </w:p>
              </w:tc>
            </w:tr>
            <w:tr w:rsidR="00BF6E24" w:rsidRPr="00F81A7C" w14:paraId="4D838568" w14:textId="77777777" w:rsidTr="00746E44">
              <w:tc>
                <w:tcPr>
                  <w:tcW w:w="5000" w:type="pct"/>
                  <w:gridSpan w:val="10"/>
                  <w:shd w:val="clear" w:color="auto" w:fill="auto"/>
                  <w:vAlign w:val="center"/>
                </w:tcPr>
                <w:p w14:paraId="166C22E6" w14:textId="77777777" w:rsidR="00BF6E24" w:rsidRPr="00F76494" w:rsidRDefault="00BF6E24" w:rsidP="00746E44">
                  <w:pPr>
                    <w:pStyle w:val="TableBodyText"/>
                    <w:jc w:val="left"/>
                    <w:rPr>
                      <w:rFonts w:asciiTheme="majorHAnsi" w:hAnsiTheme="majorHAnsi" w:cstheme="majorHAnsi"/>
                      <w:i/>
                      <w:color w:val="000000" w:themeColor="text1"/>
                      <w:szCs w:val="18"/>
                    </w:rPr>
                  </w:pPr>
                  <w:proofErr w:type="spellStart"/>
                  <w:r w:rsidRPr="00F76494">
                    <w:rPr>
                      <w:rFonts w:asciiTheme="majorHAnsi" w:hAnsiTheme="majorHAnsi" w:cstheme="majorHAnsi"/>
                      <w:i/>
                      <w:color w:val="000000" w:themeColor="text1"/>
                      <w:szCs w:val="18"/>
                    </w:rPr>
                    <w:t>SOMIH</w:t>
                  </w:r>
                  <w:proofErr w:type="spellEnd"/>
                </w:p>
              </w:tc>
            </w:tr>
            <w:tr w:rsidR="002505E1" w:rsidRPr="00F81A7C" w14:paraId="413C4C4C" w14:textId="77777777" w:rsidTr="00E46CD6">
              <w:tc>
                <w:tcPr>
                  <w:tcW w:w="560" w:type="pct"/>
                  <w:shd w:val="clear" w:color="auto" w:fill="auto"/>
                  <w:vAlign w:val="center"/>
                </w:tcPr>
                <w:p w14:paraId="49A1B4EE" w14:textId="77777777" w:rsidR="006F6A26" w:rsidRPr="0033604C" w:rsidRDefault="006F6A26" w:rsidP="006F6A26">
                  <w:pPr>
                    <w:pStyle w:val="TableBodyText"/>
                    <w:ind w:left="0" w:right="0"/>
                    <w:jc w:val="left"/>
                    <w:rPr>
                      <w:rFonts w:asciiTheme="majorHAnsi" w:hAnsiTheme="majorHAnsi" w:cstheme="majorHAnsi"/>
                      <w:szCs w:val="18"/>
                    </w:rPr>
                  </w:pPr>
                  <w:r w:rsidRPr="002505E1">
                    <w:rPr>
                      <w:rFonts w:asciiTheme="majorHAnsi" w:hAnsiTheme="majorHAnsi" w:cstheme="majorHAnsi"/>
                      <w:szCs w:val="18"/>
                    </w:rPr>
                    <w:t>2017</w:t>
                  </w:r>
                </w:p>
              </w:tc>
              <w:tc>
                <w:tcPr>
                  <w:tcW w:w="493" w:type="pct"/>
                  <w:tcBorders>
                    <w:top w:val="nil"/>
                    <w:left w:val="nil"/>
                    <w:bottom w:val="nil"/>
                    <w:right w:val="nil"/>
                  </w:tcBorders>
                  <w:shd w:val="clear" w:color="auto" w:fill="auto"/>
                  <w:tcMar>
                    <w:right w:w="113" w:type="dxa"/>
                  </w:tcMar>
                  <w:vAlign w:val="center"/>
                </w:tcPr>
                <w:p w14:paraId="5BA6F99B" w14:textId="1F58D97A" w:rsidR="006F6A26" w:rsidRPr="009A349A" w:rsidRDefault="006F6A26" w:rsidP="00E21E82">
                  <w:pPr>
                    <w:pStyle w:val="TableBodyText"/>
                    <w:ind w:left="0" w:right="-57"/>
                  </w:pPr>
                  <w:r w:rsidRPr="009A349A">
                    <w:t>5.8</w:t>
                  </w:r>
                </w:p>
              </w:tc>
              <w:tc>
                <w:tcPr>
                  <w:tcW w:w="494" w:type="pct"/>
                  <w:tcBorders>
                    <w:top w:val="nil"/>
                    <w:left w:val="nil"/>
                    <w:bottom w:val="nil"/>
                    <w:right w:val="nil"/>
                  </w:tcBorders>
                  <w:shd w:val="clear" w:color="auto" w:fill="auto"/>
                  <w:tcMar>
                    <w:right w:w="113" w:type="dxa"/>
                  </w:tcMar>
                  <w:vAlign w:val="center"/>
                </w:tcPr>
                <w:p w14:paraId="2FC2A5C6" w14:textId="2D5D947C" w:rsidR="006F6A26" w:rsidRPr="009A349A" w:rsidRDefault="00F57C39" w:rsidP="00E21E82">
                  <w:pPr>
                    <w:pStyle w:val="TableBodyText"/>
                    <w:ind w:left="0" w:right="-57"/>
                  </w:pPr>
                  <w:r w:rsidRPr="0065145D">
                    <w:t>..</w:t>
                  </w:r>
                </w:p>
              </w:tc>
              <w:tc>
                <w:tcPr>
                  <w:tcW w:w="494" w:type="pct"/>
                  <w:tcBorders>
                    <w:top w:val="nil"/>
                    <w:left w:val="nil"/>
                    <w:bottom w:val="nil"/>
                    <w:right w:val="nil"/>
                  </w:tcBorders>
                  <w:shd w:val="clear" w:color="auto" w:fill="auto"/>
                  <w:tcMar>
                    <w:right w:w="113" w:type="dxa"/>
                  </w:tcMar>
                  <w:vAlign w:val="center"/>
                </w:tcPr>
                <w:p w14:paraId="595E5713" w14:textId="77777777" w:rsidR="006F6A26" w:rsidRPr="009A349A" w:rsidRDefault="006F6A26" w:rsidP="00E21E82">
                  <w:pPr>
                    <w:pStyle w:val="TableBodyText"/>
                    <w:ind w:left="0" w:right="-57"/>
                  </w:pPr>
                  <w:r w:rsidRPr="009A349A">
                    <w:t>0.1</w:t>
                  </w:r>
                </w:p>
              </w:tc>
              <w:tc>
                <w:tcPr>
                  <w:tcW w:w="494" w:type="pct"/>
                  <w:shd w:val="clear" w:color="auto" w:fill="auto"/>
                  <w:tcMar>
                    <w:right w:w="113" w:type="dxa"/>
                  </w:tcMar>
                  <w:vAlign w:val="center"/>
                </w:tcPr>
                <w:p w14:paraId="133F4BF2" w14:textId="77777777" w:rsidR="006F6A26" w:rsidRPr="009A349A" w:rsidRDefault="00F57C39" w:rsidP="00E21E82">
                  <w:pPr>
                    <w:pStyle w:val="TableBodyText"/>
                    <w:ind w:left="0" w:right="-57"/>
                  </w:pPr>
                  <w:r w:rsidRPr="0065145D">
                    <w:t>..</w:t>
                  </w:r>
                </w:p>
              </w:tc>
              <w:tc>
                <w:tcPr>
                  <w:tcW w:w="494" w:type="pct"/>
                  <w:shd w:val="clear" w:color="auto" w:fill="auto"/>
                  <w:tcMar>
                    <w:right w:w="113" w:type="dxa"/>
                  </w:tcMar>
                  <w:vAlign w:val="center"/>
                </w:tcPr>
                <w:p w14:paraId="7E5146CC" w14:textId="77777777" w:rsidR="006F6A26" w:rsidRPr="0065145D" w:rsidRDefault="009A349A" w:rsidP="00E21E82">
                  <w:pPr>
                    <w:pStyle w:val="TableBodyText"/>
                    <w:ind w:left="0" w:right="-57"/>
                  </w:pPr>
                  <w:r w:rsidRPr="0065145D">
                    <w:t>–</w:t>
                  </w:r>
                </w:p>
              </w:tc>
              <w:tc>
                <w:tcPr>
                  <w:tcW w:w="494" w:type="pct"/>
                  <w:shd w:val="clear" w:color="auto" w:fill="auto"/>
                  <w:tcMar>
                    <w:right w:w="113" w:type="dxa"/>
                  </w:tcMar>
                  <w:vAlign w:val="center"/>
                </w:tcPr>
                <w:p w14:paraId="0F15EFAE" w14:textId="77777777" w:rsidR="006F6A26" w:rsidRPr="0065145D" w:rsidRDefault="009A349A" w:rsidP="00E21E82">
                  <w:pPr>
                    <w:pStyle w:val="TableBodyText"/>
                    <w:ind w:left="0" w:right="-57"/>
                  </w:pPr>
                  <w:r>
                    <w:t>0.6</w:t>
                  </w:r>
                </w:p>
              </w:tc>
              <w:tc>
                <w:tcPr>
                  <w:tcW w:w="494" w:type="pct"/>
                  <w:shd w:val="clear" w:color="auto" w:fill="auto"/>
                  <w:tcMar>
                    <w:right w:w="113" w:type="dxa"/>
                  </w:tcMar>
                </w:tcPr>
                <w:p w14:paraId="5798AB85" w14:textId="77777777" w:rsidR="006F6A26" w:rsidRPr="00A734D1" w:rsidRDefault="00F57C39" w:rsidP="00E21E82">
                  <w:pPr>
                    <w:pStyle w:val="TableBodyText"/>
                    <w:ind w:left="0" w:right="-57"/>
                  </w:pPr>
                  <w:r w:rsidRPr="0065145D">
                    <w:t>..</w:t>
                  </w:r>
                </w:p>
              </w:tc>
              <w:tc>
                <w:tcPr>
                  <w:tcW w:w="494" w:type="pct"/>
                  <w:shd w:val="clear" w:color="auto" w:fill="auto"/>
                  <w:tcMar>
                    <w:right w:w="113" w:type="dxa"/>
                  </w:tcMar>
                </w:tcPr>
                <w:p w14:paraId="16F8E7D5" w14:textId="77777777" w:rsidR="006F6A26" w:rsidRPr="00A734D1" w:rsidRDefault="006F6A26" w:rsidP="00E21E82">
                  <w:pPr>
                    <w:pStyle w:val="TableBodyText"/>
                    <w:ind w:left="0" w:right="-57"/>
                  </w:pPr>
                  <w:proofErr w:type="spellStart"/>
                  <w:r>
                    <w:t>na</w:t>
                  </w:r>
                  <w:proofErr w:type="spellEnd"/>
                </w:p>
              </w:tc>
              <w:tc>
                <w:tcPr>
                  <w:tcW w:w="489" w:type="pct"/>
                  <w:shd w:val="clear" w:color="auto" w:fill="auto"/>
                  <w:tcMar>
                    <w:right w:w="28" w:type="dxa"/>
                  </w:tcMar>
                  <w:vAlign w:val="center"/>
                </w:tcPr>
                <w:p w14:paraId="65E29A0A" w14:textId="77777777" w:rsidR="006F6A26" w:rsidRPr="0065145D" w:rsidRDefault="009A349A" w:rsidP="00E21E82">
                  <w:pPr>
                    <w:pStyle w:val="TableBodyText"/>
                    <w:ind w:left="0" w:right="0"/>
                  </w:pPr>
                  <w:r>
                    <w:t>2.4</w:t>
                  </w:r>
                </w:p>
              </w:tc>
            </w:tr>
            <w:tr w:rsidR="001E0323" w:rsidRPr="00F81A7C" w14:paraId="2B979824" w14:textId="77777777" w:rsidTr="00E46CD6">
              <w:tc>
                <w:tcPr>
                  <w:tcW w:w="560" w:type="pct"/>
                  <w:shd w:val="clear" w:color="auto" w:fill="auto"/>
                  <w:vAlign w:val="center"/>
                </w:tcPr>
                <w:p w14:paraId="4147D135" w14:textId="77777777" w:rsidR="001E0323" w:rsidRPr="00F81A7C" w:rsidRDefault="001E0323" w:rsidP="001E0323">
                  <w:pPr>
                    <w:pStyle w:val="TableBodyText"/>
                    <w:ind w:left="0" w:right="0"/>
                    <w:jc w:val="left"/>
                    <w:rPr>
                      <w:rFonts w:asciiTheme="majorHAnsi" w:hAnsiTheme="majorHAnsi" w:cstheme="majorHAnsi"/>
                      <w:color w:val="000000" w:themeColor="text1"/>
                      <w:szCs w:val="18"/>
                    </w:rPr>
                  </w:pPr>
                  <w:r>
                    <w:rPr>
                      <w:rFonts w:asciiTheme="majorHAnsi" w:hAnsiTheme="majorHAnsi" w:cstheme="majorHAnsi"/>
                      <w:szCs w:val="18"/>
                    </w:rPr>
                    <w:t>2016</w:t>
                  </w:r>
                </w:p>
              </w:tc>
              <w:tc>
                <w:tcPr>
                  <w:tcW w:w="493" w:type="pct"/>
                  <w:shd w:val="clear" w:color="auto" w:fill="auto"/>
                  <w:tcMar>
                    <w:right w:w="113" w:type="dxa"/>
                  </w:tcMar>
                  <w:vAlign w:val="center"/>
                </w:tcPr>
                <w:p w14:paraId="7B31B0AC" w14:textId="409F80A7" w:rsidR="001E0323" w:rsidRPr="0065145D" w:rsidRDefault="001E0323" w:rsidP="00E21E82">
                  <w:pPr>
                    <w:pStyle w:val="TableBodyText"/>
                    <w:ind w:left="0" w:right="-57"/>
                  </w:pPr>
                  <w:r w:rsidRPr="0065145D">
                    <w:t>0.3</w:t>
                  </w:r>
                </w:p>
              </w:tc>
              <w:tc>
                <w:tcPr>
                  <w:tcW w:w="494" w:type="pct"/>
                  <w:shd w:val="clear" w:color="auto" w:fill="auto"/>
                  <w:tcMar>
                    <w:right w:w="113" w:type="dxa"/>
                  </w:tcMar>
                  <w:vAlign w:val="center"/>
                </w:tcPr>
                <w:p w14:paraId="3C53AF32" w14:textId="77777777" w:rsidR="001E0323" w:rsidRPr="0065145D" w:rsidRDefault="001E0323" w:rsidP="00E21E82">
                  <w:pPr>
                    <w:pStyle w:val="TableBodyText"/>
                    <w:ind w:left="0" w:right="-57"/>
                  </w:pPr>
                  <w:r w:rsidRPr="0065145D">
                    <w:t>..</w:t>
                  </w:r>
                </w:p>
              </w:tc>
              <w:tc>
                <w:tcPr>
                  <w:tcW w:w="494" w:type="pct"/>
                  <w:shd w:val="clear" w:color="auto" w:fill="auto"/>
                  <w:tcMar>
                    <w:right w:w="113" w:type="dxa"/>
                  </w:tcMar>
                  <w:vAlign w:val="center"/>
                </w:tcPr>
                <w:p w14:paraId="7174DC9D" w14:textId="184B10F7" w:rsidR="001E0323" w:rsidRPr="0065145D" w:rsidRDefault="001E0323" w:rsidP="00E21E82">
                  <w:pPr>
                    <w:pStyle w:val="TableBodyText"/>
                    <w:ind w:left="0" w:right="-57"/>
                  </w:pPr>
                  <w:r w:rsidRPr="0065145D">
                    <w:t>0.1</w:t>
                  </w:r>
                </w:p>
              </w:tc>
              <w:tc>
                <w:tcPr>
                  <w:tcW w:w="494" w:type="pct"/>
                  <w:shd w:val="clear" w:color="auto" w:fill="auto"/>
                  <w:tcMar>
                    <w:right w:w="113" w:type="dxa"/>
                  </w:tcMar>
                  <w:vAlign w:val="center"/>
                </w:tcPr>
                <w:p w14:paraId="2B406FDE" w14:textId="77777777" w:rsidR="001E0323" w:rsidRPr="0065145D" w:rsidRDefault="001E0323" w:rsidP="00E21E82">
                  <w:pPr>
                    <w:pStyle w:val="TableBodyText"/>
                    <w:ind w:left="0" w:right="-57"/>
                  </w:pPr>
                  <w:r w:rsidRPr="0065145D">
                    <w:t>..</w:t>
                  </w:r>
                </w:p>
              </w:tc>
              <w:tc>
                <w:tcPr>
                  <w:tcW w:w="494" w:type="pct"/>
                  <w:shd w:val="clear" w:color="auto" w:fill="auto"/>
                  <w:tcMar>
                    <w:right w:w="113" w:type="dxa"/>
                  </w:tcMar>
                  <w:vAlign w:val="center"/>
                </w:tcPr>
                <w:p w14:paraId="621062CD" w14:textId="77777777" w:rsidR="001E0323" w:rsidRPr="0065145D" w:rsidRDefault="001E0323" w:rsidP="00E21E82">
                  <w:pPr>
                    <w:pStyle w:val="TableBodyText"/>
                    <w:ind w:left="0" w:right="-57"/>
                  </w:pPr>
                  <w:r w:rsidRPr="0065145D">
                    <w:t>–</w:t>
                  </w:r>
                </w:p>
              </w:tc>
              <w:tc>
                <w:tcPr>
                  <w:tcW w:w="494" w:type="pct"/>
                  <w:shd w:val="clear" w:color="auto" w:fill="auto"/>
                  <w:tcMar>
                    <w:right w:w="113" w:type="dxa"/>
                  </w:tcMar>
                  <w:vAlign w:val="center"/>
                </w:tcPr>
                <w:p w14:paraId="29AB336E" w14:textId="77777777" w:rsidR="001E0323" w:rsidRPr="0065145D" w:rsidRDefault="001E0323" w:rsidP="00E21E82">
                  <w:pPr>
                    <w:pStyle w:val="TableBodyText"/>
                    <w:ind w:left="0" w:right="-57"/>
                  </w:pPr>
                  <w:r w:rsidRPr="0065145D">
                    <w:t>–</w:t>
                  </w:r>
                </w:p>
              </w:tc>
              <w:tc>
                <w:tcPr>
                  <w:tcW w:w="494" w:type="pct"/>
                  <w:shd w:val="clear" w:color="auto" w:fill="auto"/>
                  <w:tcMar>
                    <w:right w:w="113" w:type="dxa"/>
                  </w:tcMar>
                </w:tcPr>
                <w:p w14:paraId="27E0DE73"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8C2B34C" w14:textId="77777777" w:rsidR="001E0323" w:rsidRPr="00A734D1" w:rsidRDefault="001E0323" w:rsidP="00E21E82">
                  <w:pPr>
                    <w:pStyle w:val="TableBodyText"/>
                    <w:ind w:left="0" w:right="-57"/>
                  </w:pPr>
                  <w:r w:rsidRPr="00A734D1">
                    <w:t>..</w:t>
                  </w:r>
                </w:p>
              </w:tc>
              <w:tc>
                <w:tcPr>
                  <w:tcW w:w="489" w:type="pct"/>
                  <w:shd w:val="clear" w:color="auto" w:fill="auto"/>
                  <w:tcMar>
                    <w:right w:w="28" w:type="dxa"/>
                  </w:tcMar>
                  <w:vAlign w:val="center"/>
                </w:tcPr>
                <w:p w14:paraId="60655C6C" w14:textId="4F9159F0" w:rsidR="001E0323" w:rsidRPr="0065145D" w:rsidRDefault="001E0323" w:rsidP="00E21E82">
                  <w:pPr>
                    <w:pStyle w:val="TableBodyText"/>
                    <w:ind w:left="0" w:right="0"/>
                  </w:pPr>
                  <w:r w:rsidRPr="0065145D">
                    <w:t>0.2</w:t>
                  </w:r>
                </w:p>
              </w:tc>
            </w:tr>
            <w:tr w:rsidR="001E0323" w:rsidRPr="00F81A7C" w14:paraId="5AF4206A" w14:textId="77777777" w:rsidTr="00E46CD6">
              <w:tc>
                <w:tcPr>
                  <w:tcW w:w="560" w:type="pct"/>
                  <w:shd w:val="clear" w:color="auto" w:fill="auto"/>
                  <w:vAlign w:val="center"/>
                </w:tcPr>
                <w:p w14:paraId="71B46F0C" w14:textId="77777777" w:rsidR="001E0323" w:rsidRPr="00F81A7C" w:rsidRDefault="001E0323" w:rsidP="001E0323">
                  <w:pPr>
                    <w:pStyle w:val="TableBodyText"/>
                    <w:ind w:left="0" w:right="0"/>
                    <w:jc w:val="left"/>
                    <w:rPr>
                      <w:rFonts w:asciiTheme="majorHAnsi" w:hAnsiTheme="majorHAnsi" w:cstheme="majorHAnsi"/>
                      <w:color w:val="000000" w:themeColor="text1"/>
                      <w:szCs w:val="18"/>
                    </w:rPr>
                  </w:pPr>
                  <w:r>
                    <w:rPr>
                      <w:rFonts w:asciiTheme="majorHAnsi" w:hAnsiTheme="majorHAnsi" w:cstheme="majorHAnsi"/>
                      <w:szCs w:val="18"/>
                    </w:rPr>
                    <w:t>2015</w:t>
                  </w:r>
                </w:p>
              </w:tc>
              <w:tc>
                <w:tcPr>
                  <w:tcW w:w="493" w:type="pct"/>
                  <w:shd w:val="clear" w:color="auto" w:fill="auto"/>
                  <w:tcMar>
                    <w:right w:w="113" w:type="dxa"/>
                  </w:tcMar>
                </w:tcPr>
                <w:p w14:paraId="321514A0" w14:textId="68843925" w:rsidR="001E0323" w:rsidRPr="00A734D1" w:rsidRDefault="001E0323" w:rsidP="00E21E82">
                  <w:pPr>
                    <w:pStyle w:val="TableBodyText"/>
                    <w:ind w:left="0" w:right="-57"/>
                  </w:pPr>
                  <w:r w:rsidRPr="00A734D1">
                    <w:t>0.</w:t>
                  </w:r>
                  <w:r>
                    <w:t>6</w:t>
                  </w:r>
                </w:p>
              </w:tc>
              <w:tc>
                <w:tcPr>
                  <w:tcW w:w="494" w:type="pct"/>
                  <w:shd w:val="clear" w:color="auto" w:fill="auto"/>
                  <w:tcMar>
                    <w:right w:w="113" w:type="dxa"/>
                  </w:tcMar>
                </w:tcPr>
                <w:p w14:paraId="6DC4FBF0"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390220C5"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21B005B4"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8D77F96"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E469C58"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5E8C9BC"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E90358B" w14:textId="77777777" w:rsidR="001E0323" w:rsidRPr="00A734D1" w:rsidRDefault="001E0323" w:rsidP="00E21E82">
                  <w:pPr>
                    <w:pStyle w:val="TableBodyText"/>
                    <w:ind w:left="0" w:right="-57"/>
                  </w:pPr>
                  <w:r w:rsidRPr="00A734D1">
                    <w:t>..</w:t>
                  </w:r>
                </w:p>
              </w:tc>
              <w:tc>
                <w:tcPr>
                  <w:tcW w:w="489" w:type="pct"/>
                  <w:shd w:val="clear" w:color="auto" w:fill="auto"/>
                  <w:tcMar>
                    <w:right w:w="28" w:type="dxa"/>
                  </w:tcMar>
                </w:tcPr>
                <w:p w14:paraId="7D630642" w14:textId="64DD1D75" w:rsidR="001E0323" w:rsidRPr="00A734D1" w:rsidRDefault="001E0323" w:rsidP="00E21E82">
                  <w:pPr>
                    <w:pStyle w:val="TableBodyText"/>
                    <w:ind w:left="0" w:right="0"/>
                  </w:pPr>
                  <w:r w:rsidRPr="00A734D1">
                    <w:t>0.3</w:t>
                  </w:r>
                </w:p>
              </w:tc>
            </w:tr>
            <w:tr w:rsidR="001E0323" w:rsidRPr="00F81A7C" w14:paraId="0C99314A" w14:textId="77777777" w:rsidTr="00E46CD6">
              <w:tc>
                <w:tcPr>
                  <w:tcW w:w="560" w:type="pct"/>
                  <w:shd w:val="clear" w:color="auto" w:fill="auto"/>
                  <w:vAlign w:val="center"/>
                </w:tcPr>
                <w:p w14:paraId="628C67E2" w14:textId="77777777" w:rsidR="001E0323" w:rsidRPr="00F81A7C" w:rsidRDefault="001E0323" w:rsidP="001E0323">
                  <w:pPr>
                    <w:pStyle w:val="TableBodyText"/>
                    <w:ind w:left="0" w:right="0"/>
                    <w:jc w:val="left"/>
                    <w:rPr>
                      <w:rFonts w:asciiTheme="majorHAnsi" w:hAnsiTheme="majorHAnsi" w:cstheme="majorHAnsi"/>
                      <w:color w:val="000000" w:themeColor="text1"/>
                      <w:szCs w:val="18"/>
                    </w:rPr>
                  </w:pPr>
                  <w:r>
                    <w:rPr>
                      <w:rFonts w:asciiTheme="majorHAnsi" w:hAnsiTheme="majorHAnsi" w:cstheme="majorHAnsi"/>
                      <w:szCs w:val="18"/>
                    </w:rPr>
                    <w:t>2014</w:t>
                  </w:r>
                </w:p>
              </w:tc>
              <w:tc>
                <w:tcPr>
                  <w:tcW w:w="493" w:type="pct"/>
                  <w:shd w:val="clear" w:color="auto" w:fill="auto"/>
                  <w:tcMar>
                    <w:right w:w="113" w:type="dxa"/>
                  </w:tcMar>
                </w:tcPr>
                <w:p w14:paraId="3F7A4017" w14:textId="0F602AD8" w:rsidR="001E0323" w:rsidRPr="00A734D1" w:rsidRDefault="001E0323" w:rsidP="00E21E82">
                  <w:pPr>
                    <w:pStyle w:val="TableBodyText"/>
                    <w:ind w:left="0" w:right="-57"/>
                  </w:pPr>
                  <w:r w:rsidRPr="00A734D1">
                    <w:t>0.5</w:t>
                  </w:r>
                </w:p>
              </w:tc>
              <w:tc>
                <w:tcPr>
                  <w:tcW w:w="494" w:type="pct"/>
                  <w:shd w:val="clear" w:color="auto" w:fill="auto"/>
                  <w:tcMar>
                    <w:right w:w="113" w:type="dxa"/>
                  </w:tcMar>
                </w:tcPr>
                <w:p w14:paraId="4FF976EA"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3053D091" w14:textId="1453E8AC" w:rsidR="001E0323" w:rsidRPr="00A734D1" w:rsidRDefault="001E0323" w:rsidP="00E21E82">
                  <w:pPr>
                    <w:pStyle w:val="TableBodyText"/>
                    <w:ind w:left="0" w:right="-57"/>
                  </w:pPr>
                  <w:r w:rsidRPr="00A734D1">
                    <w:t>0.5</w:t>
                  </w:r>
                </w:p>
              </w:tc>
              <w:tc>
                <w:tcPr>
                  <w:tcW w:w="494" w:type="pct"/>
                  <w:shd w:val="clear" w:color="auto" w:fill="auto"/>
                  <w:tcMar>
                    <w:right w:w="113" w:type="dxa"/>
                  </w:tcMar>
                </w:tcPr>
                <w:p w14:paraId="1A751130"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18210EFE"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4748F4B9"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54E13DDD"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600F2D43" w14:textId="77777777" w:rsidR="001E0323" w:rsidRPr="00A734D1" w:rsidRDefault="001E0323" w:rsidP="00E21E82">
                  <w:pPr>
                    <w:pStyle w:val="TableBodyText"/>
                    <w:ind w:left="0" w:right="-57"/>
                  </w:pPr>
                  <w:r w:rsidRPr="00A734D1">
                    <w:t>..</w:t>
                  </w:r>
                </w:p>
              </w:tc>
              <w:tc>
                <w:tcPr>
                  <w:tcW w:w="489" w:type="pct"/>
                  <w:shd w:val="clear" w:color="auto" w:fill="auto"/>
                  <w:tcMar>
                    <w:right w:w="28" w:type="dxa"/>
                  </w:tcMar>
                </w:tcPr>
                <w:p w14:paraId="41484559" w14:textId="30DA2E8E" w:rsidR="001E0323" w:rsidRPr="00A734D1" w:rsidRDefault="001E0323" w:rsidP="00E21E82">
                  <w:pPr>
                    <w:pStyle w:val="TableBodyText"/>
                    <w:ind w:left="0" w:right="0"/>
                  </w:pPr>
                  <w:r w:rsidRPr="00A734D1">
                    <w:t>0.4</w:t>
                  </w:r>
                </w:p>
              </w:tc>
            </w:tr>
            <w:tr w:rsidR="001E0323" w:rsidRPr="00F81A7C" w14:paraId="75DC348E" w14:textId="77777777" w:rsidTr="00E46CD6">
              <w:tc>
                <w:tcPr>
                  <w:tcW w:w="560" w:type="pct"/>
                  <w:shd w:val="clear" w:color="auto" w:fill="auto"/>
                  <w:vAlign w:val="center"/>
                </w:tcPr>
                <w:p w14:paraId="6C04A212" w14:textId="77777777" w:rsidR="001E0323" w:rsidRDefault="001E0323" w:rsidP="001E0323">
                  <w:pPr>
                    <w:pStyle w:val="TableBodyText"/>
                    <w:ind w:left="0" w:right="0"/>
                    <w:jc w:val="left"/>
                    <w:rPr>
                      <w:rFonts w:asciiTheme="majorHAnsi" w:hAnsiTheme="majorHAnsi" w:cstheme="majorHAnsi"/>
                      <w:color w:val="000000" w:themeColor="text1"/>
                      <w:szCs w:val="18"/>
                    </w:rPr>
                  </w:pPr>
                  <w:r>
                    <w:rPr>
                      <w:rFonts w:asciiTheme="majorHAnsi" w:hAnsiTheme="majorHAnsi" w:cstheme="majorHAnsi"/>
                      <w:szCs w:val="18"/>
                    </w:rPr>
                    <w:t>2013</w:t>
                  </w:r>
                </w:p>
              </w:tc>
              <w:tc>
                <w:tcPr>
                  <w:tcW w:w="493" w:type="pct"/>
                  <w:shd w:val="clear" w:color="auto" w:fill="auto"/>
                  <w:tcMar>
                    <w:right w:w="113" w:type="dxa"/>
                  </w:tcMar>
                </w:tcPr>
                <w:p w14:paraId="08CA839B" w14:textId="45CD6360" w:rsidR="001E0323" w:rsidRPr="00A734D1" w:rsidRDefault="001E0323" w:rsidP="00E21E82">
                  <w:pPr>
                    <w:pStyle w:val="TableBodyText"/>
                    <w:ind w:left="0" w:right="-57"/>
                  </w:pPr>
                  <w:r w:rsidRPr="00A734D1">
                    <w:t>0.5</w:t>
                  </w:r>
                </w:p>
              </w:tc>
              <w:tc>
                <w:tcPr>
                  <w:tcW w:w="494" w:type="pct"/>
                  <w:shd w:val="clear" w:color="auto" w:fill="auto"/>
                  <w:tcMar>
                    <w:right w:w="113" w:type="dxa"/>
                  </w:tcMar>
                </w:tcPr>
                <w:p w14:paraId="5C27768C"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70FBBD43" w14:textId="4F1D64D2" w:rsidR="001E0323" w:rsidRPr="00A734D1" w:rsidRDefault="001E0323" w:rsidP="00E21E82">
                  <w:pPr>
                    <w:pStyle w:val="TableBodyText"/>
                    <w:ind w:left="0" w:right="-57"/>
                  </w:pPr>
                  <w:r w:rsidRPr="00A734D1">
                    <w:t>0.8</w:t>
                  </w:r>
                </w:p>
              </w:tc>
              <w:tc>
                <w:tcPr>
                  <w:tcW w:w="494" w:type="pct"/>
                  <w:shd w:val="clear" w:color="auto" w:fill="auto"/>
                  <w:tcMar>
                    <w:right w:w="113" w:type="dxa"/>
                  </w:tcMar>
                </w:tcPr>
                <w:p w14:paraId="04989C78"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6DB75513"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2D479D8F"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2F7440E8" w14:textId="77777777" w:rsidR="001E0323" w:rsidRPr="00A734D1" w:rsidRDefault="001E0323" w:rsidP="00E21E82">
                  <w:pPr>
                    <w:pStyle w:val="TableBodyText"/>
                    <w:ind w:left="0" w:right="-57"/>
                  </w:pPr>
                  <w:r w:rsidRPr="00A734D1">
                    <w:t>..</w:t>
                  </w:r>
                </w:p>
              </w:tc>
              <w:tc>
                <w:tcPr>
                  <w:tcW w:w="494" w:type="pct"/>
                  <w:shd w:val="clear" w:color="auto" w:fill="auto"/>
                  <w:tcMar>
                    <w:right w:w="113" w:type="dxa"/>
                  </w:tcMar>
                </w:tcPr>
                <w:p w14:paraId="19EAC279" w14:textId="77777777" w:rsidR="001E0323" w:rsidRPr="00A734D1" w:rsidRDefault="001E0323" w:rsidP="00E21E82">
                  <w:pPr>
                    <w:pStyle w:val="TableBodyText"/>
                    <w:ind w:left="0" w:right="-57"/>
                  </w:pPr>
                  <w:r w:rsidRPr="00A734D1">
                    <w:t>..</w:t>
                  </w:r>
                </w:p>
              </w:tc>
              <w:tc>
                <w:tcPr>
                  <w:tcW w:w="489" w:type="pct"/>
                  <w:shd w:val="clear" w:color="auto" w:fill="auto"/>
                  <w:tcMar>
                    <w:right w:w="28" w:type="dxa"/>
                  </w:tcMar>
                </w:tcPr>
                <w:p w14:paraId="5E336CA7" w14:textId="7C0288DD" w:rsidR="001E0323" w:rsidRPr="00A734D1" w:rsidRDefault="001E0323" w:rsidP="00E21E82">
                  <w:pPr>
                    <w:pStyle w:val="TableBodyText"/>
                    <w:ind w:left="0" w:right="0"/>
                  </w:pPr>
                  <w:r w:rsidRPr="00A734D1">
                    <w:t>0.5</w:t>
                  </w:r>
                </w:p>
              </w:tc>
            </w:tr>
            <w:tr w:rsidR="00BF6E24" w:rsidRPr="00F81A7C" w14:paraId="75FBAFEB" w14:textId="77777777" w:rsidTr="00746E44">
              <w:tc>
                <w:tcPr>
                  <w:tcW w:w="5000" w:type="pct"/>
                  <w:gridSpan w:val="10"/>
                  <w:shd w:val="clear" w:color="auto" w:fill="auto"/>
                  <w:vAlign w:val="center"/>
                </w:tcPr>
                <w:p w14:paraId="1BD92F63" w14:textId="77777777" w:rsidR="00BF6E24" w:rsidRPr="00D37155" w:rsidRDefault="00BF6E24" w:rsidP="00746E44">
                  <w:pPr>
                    <w:pStyle w:val="TableBodyText"/>
                    <w:jc w:val="left"/>
                    <w:rPr>
                      <w:rStyle w:val="NoteLabel"/>
                      <w:rFonts w:asciiTheme="majorHAnsi" w:hAnsiTheme="majorHAnsi" w:cstheme="majorHAnsi"/>
                      <w:szCs w:val="18"/>
                    </w:rPr>
                  </w:pPr>
                  <w:r w:rsidRPr="00F76494">
                    <w:rPr>
                      <w:rFonts w:asciiTheme="majorHAnsi" w:hAnsiTheme="majorHAnsi" w:cstheme="majorHAnsi"/>
                      <w:i/>
                      <w:color w:val="000000" w:themeColor="text1"/>
                      <w:szCs w:val="18"/>
                    </w:rPr>
                    <w:t>Community housing</w:t>
                  </w:r>
                </w:p>
              </w:tc>
            </w:tr>
            <w:tr w:rsidR="00865FB5" w:rsidRPr="0022319C" w14:paraId="53B512C3" w14:textId="77777777" w:rsidTr="00E46CD6">
              <w:tc>
                <w:tcPr>
                  <w:tcW w:w="560" w:type="pct"/>
                  <w:shd w:val="clear" w:color="auto" w:fill="auto"/>
                </w:tcPr>
                <w:p w14:paraId="5398CB19" w14:textId="77777777" w:rsidR="00865FB5" w:rsidRPr="0022319C" w:rsidRDefault="00865FB5" w:rsidP="00865FB5">
                  <w:pPr>
                    <w:pStyle w:val="TableBodyText"/>
                    <w:jc w:val="left"/>
                  </w:pPr>
                  <w:r>
                    <w:t>2017</w:t>
                  </w:r>
                </w:p>
              </w:tc>
              <w:tc>
                <w:tcPr>
                  <w:tcW w:w="493" w:type="pct"/>
                  <w:tcBorders>
                    <w:top w:val="nil"/>
                    <w:left w:val="nil"/>
                    <w:bottom w:val="nil"/>
                    <w:right w:val="nil"/>
                  </w:tcBorders>
                  <w:shd w:val="clear" w:color="auto" w:fill="auto"/>
                  <w:tcMar>
                    <w:right w:w="113" w:type="dxa"/>
                  </w:tcMar>
                  <w:vAlign w:val="center"/>
                </w:tcPr>
                <w:p w14:paraId="27B45A52" w14:textId="7903F6CB" w:rsidR="00865FB5" w:rsidRPr="00865FB5" w:rsidRDefault="00865FB5" w:rsidP="00E21E82">
                  <w:pPr>
                    <w:pStyle w:val="TableBodyText"/>
                    <w:ind w:left="0" w:right="-57"/>
                  </w:pPr>
                  <w:r w:rsidRPr="00865FB5">
                    <w:t>5.8</w:t>
                  </w:r>
                </w:p>
              </w:tc>
              <w:tc>
                <w:tcPr>
                  <w:tcW w:w="494" w:type="pct"/>
                  <w:tcBorders>
                    <w:top w:val="nil"/>
                    <w:left w:val="nil"/>
                    <w:bottom w:val="nil"/>
                    <w:right w:val="nil"/>
                  </w:tcBorders>
                  <w:shd w:val="clear" w:color="auto" w:fill="auto"/>
                  <w:tcMar>
                    <w:right w:w="113" w:type="dxa"/>
                  </w:tcMar>
                  <w:vAlign w:val="center"/>
                </w:tcPr>
                <w:p w14:paraId="4CF9C644" w14:textId="66D27E2D" w:rsidR="00865FB5" w:rsidRPr="00865FB5" w:rsidRDefault="00865FB5" w:rsidP="00E21E82">
                  <w:pPr>
                    <w:pStyle w:val="TableBodyText"/>
                    <w:ind w:left="0" w:right="-57"/>
                  </w:pPr>
                  <w:r w:rsidRPr="00865FB5">
                    <w:t>0.5</w:t>
                  </w:r>
                </w:p>
              </w:tc>
              <w:tc>
                <w:tcPr>
                  <w:tcW w:w="494" w:type="pct"/>
                  <w:tcBorders>
                    <w:top w:val="nil"/>
                    <w:left w:val="nil"/>
                    <w:bottom w:val="nil"/>
                    <w:right w:val="nil"/>
                  </w:tcBorders>
                  <w:shd w:val="clear" w:color="auto" w:fill="auto"/>
                  <w:tcMar>
                    <w:right w:w="113" w:type="dxa"/>
                  </w:tcMar>
                  <w:vAlign w:val="center"/>
                </w:tcPr>
                <w:p w14:paraId="25380DAD" w14:textId="02B053B4" w:rsidR="00865FB5" w:rsidRPr="0078633C" w:rsidRDefault="00865FB5" w:rsidP="00E21E82">
                  <w:pPr>
                    <w:pStyle w:val="TableBodyText"/>
                    <w:ind w:left="0" w:right="-57"/>
                  </w:pPr>
                  <w:r w:rsidRPr="0078633C">
                    <w:t>29.2</w:t>
                  </w:r>
                </w:p>
              </w:tc>
              <w:tc>
                <w:tcPr>
                  <w:tcW w:w="494" w:type="pct"/>
                  <w:tcBorders>
                    <w:top w:val="nil"/>
                    <w:left w:val="nil"/>
                    <w:bottom w:val="nil"/>
                    <w:right w:val="nil"/>
                  </w:tcBorders>
                  <w:shd w:val="clear" w:color="auto" w:fill="auto"/>
                  <w:tcMar>
                    <w:right w:w="113" w:type="dxa"/>
                  </w:tcMar>
                  <w:vAlign w:val="center"/>
                </w:tcPr>
                <w:p w14:paraId="727159B2" w14:textId="10ACF649" w:rsidR="00865FB5" w:rsidRPr="00865FB5" w:rsidRDefault="00865FB5" w:rsidP="00E21E82">
                  <w:pPr>
                    <w:pStyle w:val="TableBodyText"/>
                    <w:ind w:left="0" w:right="-57"/>
                  </w:pPr>
                  <w:r w:rsidRPr="00865FB5">
                    <w:t>4.8</w:t>
                  </w:r>
                </w:p>
              </w:tc>
              <w:tc>
                <w:tcPr>
                  <w:tcW w:w="494" w:type="pct"/>
                  <w:tcBorders>
                    <w:top w:val="nil"/>
                    <w:left w:val="nil"/>
                    <w:bottom w:val="nil"/>
                    <w:right w:val="nil"/>
                  </w:tcBorders>
                  <w:shd w:val="clear" w:color="auto" w:fill="auto"/>
                  <w:tcMar>
                    <w:right w:w="113" w:type="dxa"/>
                  </w:tcMar>
                  <w:vAlign w:val="center"/>
                </w:tcPr>
                <w:p w14:paraId="018AF62F" w14:textId="4A3DD019" w:rsidR="00865FB5" w:rsidRPr="00865FB5" w:rsidRDefault="00865FB5" w:rsidP="00E21E82">
                  <w:pPr>
                    <w:pStyle w:val="TableBodyText"/>
                    <w:ind w:left="0" w:right="-57"/>
                  </w:pPr>
                  <w:r w:rsidRPr="00865FB5">
                    <w:t>6.0</w:t>
                  </w:r>
                </w:p>
              </w:tc>
              <w:tc>
                <w:tcPr>
                  <w:tcW w:w="494" w:type="pct"/>
                  <w:tcBorders>
                    <w:top w:val="nil"/>
                    <w:left w:val="nil"/>
                    <w:bottom w:val="nil"/>
                    <w:right w:val="nil"/>
                  </w:tcBorders>
                  <w:shd w:val="clear" w:color="auto" w:fill="auto"/>
                  <w:tcMar>
                    <w:right w:w="113" w:type="dxa"/>
                  </w:tcMar>
                  <w:vAlign w:val="center"/>
                </w:tcPr>
                <w:p w14:paraId="4B130792" w14:textId="0601DED7" w:rsidR="00865FB5" w:rsidRPr="00865FB5" w:rsidRDefault="00865FB5" w:rsidP="00E21E82">
                  <w:pPr>
                    <w:pStyle w:val="TableBodyText"/>
                    <w:ind w:left="0" w:right="-57"/>
                  </w:pPr>
                  <w:r w:rsidRPr="00865FB5">
                    <w:t>14.2</w:t>
                  </w:r>
                </w:p>
              </w:tc>
              <w:tc>
                <w:tcPr>
                  <w:tcW w:w="494" w:type="pct"/>
                  <w:tcBorders>
                    <w:top w:val="nil"/>
                    <w:left w:val="nil"/>
                    <w:bottom w:val="nil"/>
                    <w:right w:val="nil"/>
                  </w:tcBorders>
                  <w:shd w:val="clear" w:color="auto" w:fill="auto"/>
                  <w:tcMar>
                    <w:right w:w="113" w:type="dxa"/>
                  </w:tcMar>
                  <w:vAlign w:val="center"/>
                </w:tcPr>
                <w:p w14:paraId="3416431C" w14:textId="5D46EEBC" w:rsidR="00865FB5" w:rsidRPr="00865FB5" w:rsidRDefault="00865FB5" w:rsidP="00E21E82">
                  <w:pPr>
                    <w:pStyle w:val="TableBodyText"/>
                    <w:ind w:left="0" w:right="-57"/>
                  </w:pPr>
                  <w:r w:rsidRPr="00865FB5">
                    <w:t>10.4</w:t>
                  </w:r>
                </w:p>
              </w:tc>
              <w:tc>
                <w:tcPr>
                  <w:tcW w:w="494" w:type="pct"/>
                  <w:tcBorders>
                    <w:top w:val="nil"/>
                    <w:left w:val="nil"/>
                    <w:bottom w:val="nil"/>
                    <w:right w:val="nil"/>
                  </w:tcBorders>
                  <w:shd w:val="clear" w:color="auto" w:fill="auto"/>
                  <w:tcMar>
                    <w:right w:w="113" w:type="dxa"/>
                  </w:tcMar>
                  <w:vAlign w:val="center"/>
                </w:tcPr>
                <w:p w14:paraId="55194AA9" w14:textId="77777777" w:rsidR="00865FB5" w:rsidRPr="00865FB5" w:rsidRDefault="00865FB5" w:rsidP="00E21E82">
                  <w:pPr>
                    <w:pStyle w:val="TableBodyText"/>
                    <w:ind w:left="0" w:right="-57"/>
                  </w:pPr>
                  <w:proofErr w:type="spellStart"/>
                  <w:r w:rsidRPr="00865FB5">
                    <w:t>na</w:t>
                  </w:r>
                  <w:proofErr w:type="spellEnd"/>
                </w:p>
              </w:tc>
              <w:tc>
                <w:tcPr>
                  <w:tcW w:w="489" w:type="pct"/>
                  <w:tcBorders>
                    <w:top w:val="nil"/>
                    <w:left w:val="nil"/>
                    <w:bottom w:val="nil"/>
                    <w:right w:val="nil"/>
                  </w:tcBorders>
                  <w:shd w:val="clear" w:color="auto" w:fill="auto"/>
                  <w:tcMar>
                    <w:right w:w="28" w:type="dxa"/>
                  </w:tcMar>
                  <w:vAlign w:val="center"/>
                </w:tcPr>
                <w:p w14:paraId="465205CB" w14:textId="3D5DCFB7" w:rsidR="00865FB5" w:rsidRPr="00865FB5" w:rsidRDefault="00865FB5" w:rsidP="00E21E82">
                  <w:pPr>
                    <w:pStyle w:val="TableBodyText"/>
                    <w:ind w:left="0" w:right="0"/>
                  </w:pPr>
                  <w:r w:rsidRPr="00865FB5">
                    <w:t>7.2</w:t>
                  </w:r>
                </w:p>
              </w:tc>
            </w:tr>
            <w:tr w:rsidR="001E0323" w:rsidRPr="00F81A7C" w14:paraId="3012E5DA" w14:textId="77777777" w:rsidTr="0098154D">
              <w:tc>
                <w:tcPr>
                  <w:tcW w:w="560" w:type="pct"/>
                  <w:shd w:val="clear" w:color="auto" w:fill="auto"/>
                  <w:vAlign w:val="center"/>
                </w:tcPr>
                <w:p w14:paraId="649DB0C2" w14:textId="77777777" w:rsidR="001E0323" w:rsidRPr="0022319C" w:rsidRDefault="001E0323" w:rsidP="001E0323">
                  <w:pPr>
                    <w:pStyle w:val="TableBodyText"/>
                    <w:jc w:val="left"/>
                  </w:pPr>
                  <w:r>
                    <w:rPr>
                      <w:rFonts w:asciiTheme="majorHAnsi" w:hAnsiTheme="majorHAnsi" w:cstheme="majorHAnsi"/>
                      <w:szCs w:val="18"/>
                    </w:rPr>
                    <w:t>2016</w:t>
                  </w:r>
                </w:p>
              </w:tc>
              <w:tc>
                <w:tcPr>
                  <w:tcW w:w="493" w:type="pct"/>
                  <w:shd w:val="clear" w:color="auto" w:fill="auto"/>
                  <w:tcMar>
                    <w:right w:w="113" w:type="dxa"/>
                  </w:tcMar>
                </w:tcPr>
                <w:p w14:paraId="1092EE3A" w14:textId="517FB427" w:rsidR="001E0323" w:rsidRPr="007E0C1C" w:rsidRDefault="001E0323" w:rsidP="00E21E82">
                  <w:pPr>
                    <w:pStyle w:val="TableBodyText"/>
                    <w:ind w:left="0" w:right="-57"/>
                  </w:pPr>
                  <w:r w:rsidRPr="007E0C1C">
                    <w:t>3.1</w:t>
                  </w:r>
                </w:p>
              </w:tc>
              <w:tc>
                <w:tcPr>
                  <w:tcW w:w="494" w:type="pct"/>
                  <w:shd w:val="clear" w:color="auto" w:fill="auto"/>
                  <w:tcMar>
                    <w:right w:w="113" w:type="dxa"/>
                  </w:tcMar>
                </w:tcPr>
                <w:p w14:paraId="6FC9E230" w14:textId="77777777" w:rsidR="001E0323" w:rsidRPr="007E0C1C" w:rsidRDefault="001E0323" w:rsidP="00E21E82">
                  <w:pPr>
                    <w:pStyle w:val="TableBodyText"/>
                    <w:ind w:left="0" w:right="-57"/>
                  </w:pPr>
                  <w:r w:rsidRPr="007E0C1C">
                    <w:t>–</w:t>
                  </w:r>
                </w:p>
              </w:tc>
              <w:tc>
                <w:tcPr>
                  <w:tcW w:w="494" w:type="pct"/>
                  <w:shd w:val="clear" w:color="auto" w:fill="auto"/>
                  <w:tcMar>
                    <w:right w:w="113" w:type="dxa"/>
                  </w:tcMar>
                </w:tcPr>
                <w:p w14:paraId="2EF73157" w14:textId="1CDA57D0" w:rsidR="001E0323" w:rsidRPr="007C6179" w:rsidRDefault="00EA1426" w:rsidP="00E21E82">
                  <w:pPr>
                    <w:pStyle w:val="TableBodyText"/>
                    <w:ind w:left="0" w:right="-57"/>
                  </w:pPr>
                  <w:r>
                    <w:t>9.0</w:t>
                  </w:r>
                </w:p>
              </w:tc>
              <w:tc>
                <w:tcPr>
                  <w:tcW w:w="494" w:type="pct"/>
                  <w:shd w:val="clear" w:color="auto" w:fill="auto"/>
                  <w:tcMar>
                    <w:right w:w="113" w:type="dxa"/>
                  </w:tcMar>
                </w:tcPr>
                <w:p w14:paraId="5C2CB1A4" w14:textId="661E5BBD" w:rsidR="001E0323" w:rsidRPr="007C6179" w:rsidRDefault="001E0323" w:rsidP="00E21E82">
                  <w:pPr>
                    <w:pStyle w:val="TableBodyText"/>
                    <w:ind w:left="0" w:right="-57"/>
                  </w:pPr>
                  <w:r w:rsidRPr="007C6179">
                    <w:t>3.0</w:t>
                  </w:r>
                </w:p>
              </w:tc>
              <w:tc>
                <w:tcPr>
                  <w:tcW w:w="494" w:type="pct"/>
                  <w:shd w:val="clear" w:color="auto" w:fill="auto"/>
                  <w:tcMar>
                    <w:right w:w="113" w:type="dxa"/>
                  </w:tcMar>
                </w:tcPr>
                <w:p w14:paraId="39A7D504" w14:textId="15B2005C" w:rsidR="001E0323" w:rsidRPr="007C6179" w:rsidRDefault="001E0323" w:rsidP="00E21E82">
                  <w:pPr>
                    <w:pStyle w:val="TableBodyText"/>
                    <w:ind w:left="0" w:right="-57"/>
                  </w:pPr>
                  <w:r w:rsidRPr="007C6179">
                    <w:t>5.5</w:t>
                  </w:r>
                </w:p>
              </w:tc>
              <w:tc>
                <w:tcPr>
                  <w:tcW w:w="494" w:type="pct"/>
                  <w:shd w:val="clear" w:color="auto" w:fill="auto"/>
                  <w:tcMar>
                    <w:right w:w="113" w:type="dxa"/>
                  </w:tcMar>
                </w:tcPr>
                <w:p w14:paraId="76A3DEA1" w14:textId="558DCE80" w:rsidR="001E0323" w:rsidRPr="007C6179" w:rsidRDefault="001E0323" w:rsidP="00E21E82">
                  <w:pPr>
                    <w:pStyle w:val="TableBodyText"/>
                    <w:ind w:left="0" w:right="-57"/>
                  </w:pPr>
                  <w:r w:rsidRPr="007C6179">
                    <w:t>20.7</w:t>
                  </w:r>
                </w:p>
              </w:tc>
              <w:tc>
                <w:tcPr>
                  <w:tcW w:w="494" w:type="pct"/>
                  <w:shd w:val="clear" w:color="auto" w:fill="auto"/>
                  <w:tcMar>
                    <w:right w:w="113" w:type="dxa"/>
                  </w:tcMar>
                </w:tcPr>
                <w:p w14:paraId="07A0C113" w14:textId="48A9A6A3" w:rsidR="001E0323" w:rsidRPr="007C6179" w:rsidRDefault="001E0323" w:rsidP="00E21E82">
                  <w:pPr>
                    <w:pStyle w:val="TableBodyText"/>
                    <w:ind w:left="0" w:right="-57"/>
                  </w:pPr>
                  <w:r w:rsidRPr="007C6179">
                    <w:t>5.1</w:t>
                  </w:r>
                </w:p>
              </w:tc>
              <w:tc>
                <w:tcPr>
                  <w:tcW w:w="494" w:type="pct"/>
                  <w:shd w:val="clear" w:color="auto" w:fill="auto"/>
                  <w:tcMar>
                    <w:right w:w="113" w:type="dxa"/>
                  </w:tcMar>
                </w:tcPr>
                <w:p w14:paraId="3D1BAFAC" w14:textId="77777777" w:rsidR="001E0323" w:rsidRPr="007C6179" w:rsidRDefault="001E0323" w:rsidP="00E21E82">
                  <w:pPr>
                    <w:pStyle w:val="TableBodyText"/>
                    <w:ind w:left="0" w:right="-57"/>
                  </w:pPr>
                  <w:proofErr w:type="spellStart"/>
                  <w:r w:rsidRPr="007C6179">
                    <w:t>na</w:t>
                  </w:r>
                  <w:proofErr w:type="spellEnd"/>
                </w:p>
              </w:tc>
              <w:tc>
                <w:tcPr>
                  <w:tcW w:w="489" w:type="pct"/>
                  <w:shd w:val="clear" w:color="auto" w:fill="auto"/>
                  <w:tcMar>
                    <w:right w:w="28" w:type="dxa"/>
                  </w:tcMar>
                </w:tcPr>
                <w:p w14:paraId="6A2F350B" w14:textId="5CAC4B37" w:rsidR="001E0323" w:rsidRPr="007C6179" w:rsidRDefault="00EA1426" w:rsidP="00E21E82">
                  <w:pPr>
                    <w:pStyle w:val="TableBodyText"/>
                    <w:ind w:left="0" w:right="0"/>
                  </w:pPr>
                  <w:r>
                    <w:t>4.3</w:t>
                  </w:r>
                </w:p>
              </w:tc>
            </w:tr>
            <w:tr w:rsidR="001E0323" w:rsidRPr="00F81A7C" w14:paraId="36CD9F03" w14:textId="77777777" w:rsidTr="00E46CD6">
              <w:tc>
                <w:tcPr>
                  <w:tcW w:w="560" w:type="pct"/>
                  <w:shd w:val="clear" w:color="auto" w:fill="auto"/>
                  <w:vAlign w:val="center"/>
                </w:tcPr>
                <w:p w14:paraId="6008A387" w14:textId="77777777" w:rsidR="001E0323" w:rsidRPr="00D278D5" w:rsidRDefault="001E0323" w:rsidP="001E0323">
                  <w:pPr>
                    <w:pStyle w:val="TableBodyText"/>
                    <w:jc w:val="left"/>
                  </w:pPr>
                  <w:r>
                    <w:rPr>
                      <w:rFonts w:asciiTheme="majorHAnsi" w:hAnsiTheme="majorHAnsi" w:cstheme="majorHAnsi"/>
                      <w:szCs w:val="18"/>
                    </w:rPr>
                    <w:t>2015</w:t>
                  </w:r>
                </w:p>
              </w:tc>
              <w:tc>
                <w:tcPr>
                  <w:tcW w:w="493" w:type="pct"/>
                  <w:shd w:val="clear" w:color="auto" w:fill="auto"/>
                  <w:tcMar>
                    <w:right w:w="113" w:type="dxa"/>
                  </w:tcMar>
                </w:tcPr>
                <w:p w14:paraId="467648E3" w14:textId="1CC88647" w:rsidR="001E0323" w:rsidRPr="0022319C" w:rsidRDefault="001E0323" w:rsidP="00E21E82">
                  <w:pPr>
                    <w:pStyle w:val="TableBodyText"/>
                    <w:ind w:left="0" w:right="-57"/>
                  </w:pPr>
                  <w:r w:rsidRPr="003A6183">
                    <w:t>7.6</w:t>
                  </w:r>
                </w:p>
              </w:tc>
              <w:tc>
                <w:tcPr>
                  <w:tcW w:w="494" w:type="pct"/>
                  <w:shd w:val="clear" w:color="auto" w:fill="auto"/>
                  <w:tcMar>
                    <w:right w:w="113" w:type="dxa"/>
                  </w:tcMar>
                </w:tcPr>
                <w:p w14:paraId="42D6F3F2" w14:textId="093F69B5" w:rsidR="001E0323" w:rsidRPr="0022319C" w:rsidRDefault="001E0323" w:rsidP="00E21E82">
                  <w:pPr>
                    <w:pStyle w:val="TableBodyText"/>
                    <w:ind w:left="0" w:right="-57"/>
                  </w:pPr>
                  <w:r w:rsidRPr="003A6183">
                    <w:t>0.1</w:t>
                  </w:r>
                </w:p>
              </w:tc>
              <w:tc>
                <w:tcPr>
                  <w:tcW w:w="494" w:type="pct"/>
                  <w:shd w:val="clear" w:color="auto" w:fill="auto"/>
                  <w:tcMar>
                    <w:right w:w="113" w:type="dxa"/>
                  </w:tcMar>
                </w:tcPr>
                <w:p w14:paraId="4B596FB1" w14:textId="77777777" w:rsidR="001E0323" w:rsidRPr="0022319C" w:rsidRDefault="001E0323" w:rsidP="00E21E82">
                  <w:pPr>
                    <w:pStyle w:val="TableBodyText"/>
                    <w:ind w:left="0" w:right="-57"/>
                  </w:pPr>
                  <w:proofErr w:type="spellStart"/>
                  <w:r w:rsidRPr="003A6183">
                    <w:t>na</w:t>
                  </w:r>
                  <w:proofErr w:type="spellEnd"/>
                </w:p>
              </w:tc>
              <w:tc>
                <w:tcPr>
                  <w:tcW w:w="494" w:type="pct"/>
                  <w:shd w:val="clear" w:color="auto" w:fill="auto"/>
                  <w:tcMar>
                    <w:right w:w="113" w:type="dxa"/>
                  </w:tcMar>
                </w:tcPr>
                <w:p w14:paraId="411EBEE7" w14:textId="4A451717" w:rsidR="001E0323" w:rsidRPr="0022319C" w:rsidRDefault="001E0323" w:rsidP="00E21E82">
                  <w:pPr>
                    <w:pStyle w:val="TableBodyText"/>
                    <w:ind w:left="0" w:right="-57"/>
                  </w:pPr>
                  <w:r w:rsidRPr="003A6183">
                    <w:t>17.1</w:t>
                  </w:r>
                </w:p>
              </w:tc>
              <w:tc>
                <w:tcPr>
                  <w:tcW w:w="494" w:type="pct"/>
                  <w:shd w:val="clear" w:color="auto" w:fill="auto"/>
                  <w:tcMar>
                    <w:right w:w="113" w:type="dxa"/>
                  </w:tcMar>
                </w:tcPr>
                <w:p w14:paraId="538E8972" w14:textId="57F1EA48" w:rsidR="001E0323" w:rsidRPr="0022319C" w:rsidRDefault="001E0323" w:rsidP="00E21E82">
                  <w:pPr>
                    <w:pStyle w:val="TableBodyText"/>
                    <w:ind w:left="0" w:right="-57"/>
                  </w:pPr>
                  <w:r w:rsidRPr="003A6183">
                    <w:t>8.9</w:t>
                  </w:r>
                </w:p>
              </w:tc>
              <w:tc>
                <w:tcPr>
                  <w:tcW w:w="494" w:type="pct"/>
                  <w:shd w:val="clear" w:color="auto" w:fill="auto"/>
                  <w:tcMar>
                    <w:right w:w="113" w:type="dxa"/>
                  </w:tcMar>
                </w:tcPr>
                <w:p w14:paraId="1E3BB8FA" w14:textId="330CA988" w:rsidR="001E0323" w:rsidRPr="0022319C" w:rsidRDefault="001E0323" w:rsidP="00E21E82">
                  <w:pPr>
                    <w:pStyle w:val="TableBodyText"/>
                    <w:ind w:left="0" w:right="-57"/>
                  </w:pPr>
                  <w:r w:rsidRPr="003A6183">
                    <w:t>27.6</w:t>
                  </w:r>
                </w:p>
              </w:tc>
              <w:tc>
                <w:tcPr>
                  <w:tcW w:w="494" w:type="pct"/>
                  <w:shd w:val="clear" w:color="auto" w:fill="auto"/>
                  <w:tcMar>
                    <w:right w:w="113" w:type="dxa"/>
                  </w:tcMar>
                </w:tcPr>
                <w:p w14:paraId="74340B22" w14:textId="68F3EA51" w:rsidR="001E0323" w:rsidRPr="0022319C" w:rsidRDefault="001E0323" w:rsidP="00E21E82">
                  <w:pPr>
                    <w:pStyle w:val="TableBodyText"/>
                    <w:ind w:left="0" w:right="-57"/>
                  </w:pPr>
                  <w:r w:rsidRPr="003A6183">
                    <w:t>0.4</w:t>
                  </w:r>
                </w:p>
              </w:tc>
              <w:tc>
                <w:tcPr>
                  <w:tcW w:w="494" w:type="pct"/>
                  <w:shd w:val="clear" w:color="auto" w:fill="auto"/>
                  <w:tcMar>
                    <w:right w:w="113" w:type="dxa"/>
                  </w:tcMar>
                </w:tcPr>
                <w:p w14:paraId="0B9C2006" w14:textId="77777777" w:rsidR="001E0323" w:rsidRPr="0022319C" w:rsidRDefault="001E0323" w:rsidP="00E21E82">
                  <w:pPr>
                    <w:pStyle w:val="TableBodyText"/>
                    <w:ind w:left="0" w:right="-57"/>
                  </w:pPr>
                  <w:proofErr w:type="spellStart"/>
                  <w:r w:rsidRPr="003A6183">
                    <w:t>na</w:t>
                  </w:r>
                  <w:proofErr w:type="spellEnd"/>
                </w:p>
              </w:tc>
              <w:tc>
                <w:tcPr>
                  <w:tcW w:w="489" w:type="pct"/>
                  <w:shd w:val="clear" w:color="auto" w:fill="auto"/>
                  <w:tcMar>
                    <w:right w:w="28" w:type="dxa"/>
                  </w:tcMar>
                </w:tcPr>
                <w:p w14:paraId="7F8545A4" w14:textId="3C7BC8AA" w:rsidR="001E0323" w:rsidRPr="0022319C" w:rsidRDefault="001E0323" w:rsidP="00E21E82">
                  <w:pPr>
                    <w:pStyle w:val="TableBodyText"/>
                    <w:ind w:left="0" w:right="0"/>
                  </w:pPr>
                  <w:r w:rsidRPr="003A6183">
                    <w:t>8.6</w:t>
                  </w:r>
                </w:p>
              </w:tc>
            </w:tr>
            <w:tr w:rsidR="001E0323" w:rsidRPr="008F2728" w14:paraId="76F3F8D6" w14:textId="77777777" w:rsidTr="00E46CD6">
              <w:tc>
                <w:tcPr>
                  <w:tcW w:w="560" w:type="pct"/>
                  <w:shd w:val="clear" w:color="auto" w:fill="auto"/>
                  <w:vAlign w:val="center"/>
                </w:tcPr>
                <w:p w14:paraId="095A0871" w14:textId="77777777" w:rsidR="001E0323" w:rsidRPr="00D278D5" w:rsidRDefault="001E0323" w:rsidP="001E0323">
                  <w:pPr>
                    <w:pStyle w:val="TableBodyText"/>
                    <w:jc w:val="left"/>
                  </w:pPr>
                  <w:r>
                    <w:rPr>
                      <w:rFonts w:asciiTheme="majorHAnsi" w:hAnsiTheme="majorHAnsi" w:cstheme="majorHAnsi"/>
                      <w:szCs w:val="18"/>
                    </w:rPr>
                    <w:t>2014</w:t>
                  </w:r>
                </w:p>
              </w:tc>
              <w:tc>
                <w:tcPr>
                  <w:tcW w:w="493" w:type="pct"/>
                  <w:shd w:val="clear" w:color="auto" w:fill="auto"/>
                  <w:tcMar>
                    <w:right w:w="113" w:type="dxa"/>
                  </w:tcMar>
                </w:tcPr>
                <w:p w14:paraId="5E027C10" w14:textId="4108E4F1" w:rsidR="001E0323" w:rsidRPr="00220385" w:rsidRDefault="001E0323" w:rsidP="00E21E82">
                  <w:pPr>
                    <w:pStyle w:val="TableBodyText"/>
                    <w:ind w:left="0" w:right="-57"/>
                  </w:pPr>
                  <w:r w:rsidRPr="00220385">
                    <w:t>10.4</w:t>
                  </w:r>
                </w:p>
              </w:tc>
              <w:tc>
                <w:tcPr>
                  <w:tcW w:w="494" w:type="pct"/>
                  <w:shd w:val="clear" w:color="auto" w:fill="auto"/>
                  <w:tcMar>
                    <w:right w:w="113" w:type="dxa"/>
                  </w:tcMar>
                </w:tcPr>
                <w:p w14:paraId="205E67AD" w14:textId="7E59FBED" w:rsidR="001E0323" w:rsidRPr="00220385" w:rsidRDefault="001E0323" w:rsidP="00E21E82">
                  <w:pPr>
                    <w:pStyle w:val="TableBodyText"/>
                    <w:ind w:left="0" w:right="-57"/>
                  </w:pPr>
                  <w:r w:rsidRPr="00220385">
                    <w:t>4.9</w:t>
                  </w:r>
                </w:p>
              </w:tc>
              <w:tc>
                <w:tcPr>
                  <w:tcW w:w="494" w:type="pct"/>
                  <w:shd w:val="clear" w:color="auto" w:fill="auto"/>
                  <w:tcMar>
                    <w:right w:w="113" w:type="dxa"/>
                  </w:tcMar>
                </w:tcPr>
                <w:p w14:paraId="60BC26F8" w14:textId="77777777" w:rsidR="001E0323" w:rsidRPr="00220385" w:rsidRDefault="001E0323" w:rsidP="00E21E82">
                  <w:pPr>
                    <w:pStyle w:val="TableBodyText"/>
                    <w:ind w:left="0" w:right="-57"/>
                  </w:pPr>
                  <w:proofErr w:type="spellStart"/>
                  <w:r w:rsidRPr="00220385">
                    <w:t>na</w:t>
                  </w:r>
                  <w:proofErr w:type="spellEnd"/>
                </w:p>
              </w:tc>
              <w:tc>
                <w:tcPr>
                  <w:tcW w:w="494" w:type="pct"/>
                  <w:shd w:val="clear" w:color="auto" w:fill="auto"/>
                  <w:tcMar>
                    <w:right w:w="113" w:type="dxa"/>
                  </w:tcMar>
                </w:tcPr>
                <w:p w14:paraId="2D2FF11B" w14:textId="162BAF65" w:rsidR="001E0323" w:rsidRPr="00220385" w:rsidRDefault="001E0323" w:rsidP="00E21E82">
                  <w:pPr>
                    <w:pStyle w:val="TableBodyText"/>
                    <w:ind w:left="0" w:right="-57"/>
                  </w:pPr>
                  <w:r w:rsidRPr="00220385">
                    <w:t>10.4</w:t>
                  </w:r>
                </w:p>
              </w:tc>
              <w:tc>
                <w:tcPr>
                  <w:tcW w:w="494" w:type="pct"/>
                  <w:shd w:val="clear" w:color="auto" w:fill="auto"/>
                  <w:tcMar>
                    <w:right w:w="113" w:type="dxa"/>
                  </w:tcMar>
                </w:tcPr>
                <w:p w14:paraId="234159B3" w14:textId="53759A1F" w:rsidR="001E0323" w:rsidRPr="00220385" w:rsidRDefault="001E0323" w:rsidP="00E21E82">
                  <w:pPr>
                    <w:pStyle w:val="TableBodyText"/>
                    <w:ind w:left="0" w:right="-57"/>
                  </w:pPr>
                  <w:r w:rsidRPr="00220385">
                    <w:t>3.7</w:t>
                  </w:r>
                </w:p>
              </w:tc>
              <w:tc>
                <w:tcPr>
                  <w:tcW w:w="494" w:type="pct"/>
                  <w:shd w:val="clear" w:color="auto" w:fill="auto"/>
                  <w:tcMar>
                    <w:right w:w="113" w:type="dxa"/>
                  </w:tcMar>
                </w:tcPr>
                <w:p w14:paraId="1D1AE70B" w14:textId="4CF9B9D4" w:rsidR="001E0323" w:rsidRPr="00220385" w:rsidRDefault="001E0323" w:rsidP="00E21E82">
                  <w:pPr>
                    <w:pStyle w:val="TableBodyText"/>
                    <w:ind w:left="0" w:right="-57"/>
                  </w:pPr>
                  <w:r w:rsidRPr="00220385">
                    <w:t>23.0</w:t>
                  </w:r>
                </w:p>
              </w:tc>
              <w:tc>
                <w:tcPr>
                  <w:tcW w:w="494" w:type="pct"/>
                  <w:shd w:val="clear" w:color="auto" w:fill="auto"/>
                  <w:tcMar>
                    <w:right w:w="113" w:type="dxa"/>
                  </w:tcMar>
                </w:tcPr>
                <w:p w14:paraId="2C1E619F" w14:textId="77777777" w:rsidR="001E0323" w:rsidRPr="00220385" w:rsidRDefault="00F57C39" w:rsidP="00E21E82">
                  <w:pPr>
                    <w:pStyle w:val="TableBodyText"/>
                    <w:ind w:left="0" w:right="-57"/>
                  </w:pPr>
                  <w:r w:rsidRPr="0065145D">
                    <w:t>–</w:t>
                  </w:r>
                </w:p>
              </w:tc>
              <w:tc>
                <w:tcPr>
                  <w:tcW w:w="494" w:type="pct"/>
                  <w:shd w:val="clear" w:color="auto" w:fill="auto"/>
                  <w:tcMar>
                    <w:right w:w="113" w:type="dxa"/>
                  </w:tcMar>
                </w:tcPr>
                <w:p w14:paraId="2493D553" w14:textId="77777777" w:rsidR="001E0323" w:rsidRPr="00220385" w:rsidRDefault="001E0323" w:rsidP="00E21E82">
                  <w:pPr>
                    <w:pStyle w:val="TableBodyText"/>
                    <w:ind w:left="0" w:right="-57"/>
                  </w:pPr>
                  <w:proofErr w:type="spellStart"/>
                  <w:r w:rsidRPr="00220385">
                    <w:t>na</w:t>
                  </w:r>
                  <w:proofErr w:type="spellEnd"/>
                </w:p>
              </w:tc>
              <w:tc>
                <w:tcPr>
                  <w:tcW w:w="489" w:type="pct"/>
                  <w:shd w:val="clear" w:color="auto" w:fill="auto"/>
                  <w:tcMar>
                    <w:right w:w="28" w:type="dxa"/>
                  </w:tcMar>
                </w:tcPr>
                <w:p w14:paraId="566B8C58" w14:textId="6DB23369" w:rsidR="001E0323" w:rsidRPr="00220385" w:rsidRDefault="001E0323" w:rsidP="00E21E82">
                  <w:pPr>
                    <w:pStyle w:val="TableBodyText"/>
                    <w:ind w:left="0" w:right="0"/>
                  </w:pPr>
                  <w:r w:rsidRPr="00220385">
                    <w:t>9.0</w:t>
                  </w:r>
                </w:p>
              </w:tc>
            </w:tr>
            <w:tr w:rsidR="001E0323" w:rsidRPr="008F2728" w14:paraId="7AC94655" w14:textId="77777777" w:rsidTr="00E46CD6">
              <w:tc>
                <w:tcPr>
                  <w:tcW w:w="560" w:type="pct"/>
                  <w:tcBorders>
                    <w:bottom w:val="single" w:sz="4" w:space="0" w:color="BFBFBF" w:themeColor="background2"/>
                  </w:tcBorders>
                  <w:shd w:val="clear" w:color="auto" w:fill="auto"/>
                  <w:vAlign w:val="center"/>
                </w:tcPr>
                <w:p w14:paraId="089E2707" w14:textId="77777777" w:rsidR="001E0323" w:rsidRPr="00D278D5" w:rsidRDefault="001E0323" w:rsidP="001E0323">
                  <w:pPr>
                    <w:pStyle w:val="TableBodyText"/>
                    <w:jc w:val="left"/>
                  </w:pPr>
                  <w:r>
                    <w:rPr>
                      <w:rFonts w:asciiTheme="majorHAnsi" w:hAnsiTheme="majorHAnsi" w:cstheme="majorHAnsi"/>
                      <w:szCs w:val="18"/>
                    </w:rPr>
                    <w:t>2013</w:t>
                  </w:r>
                </w:p>
              </w:tc>
              <w:tc>
                <w:tcPr>
                  <w:tcW w:w="493" w:type="pct"/>
                  <w:tcBorders>
                    <w:bottom w:val="single" w:sz="4" w:space="0" w:color="BFBFBF" w:themeColor="background2"/>
                  </w:tcBorders>
                  <w:shd w:val="clear" w:color="auto" w:fill="auto"/>
                  <w:tcMar>
                    <w:right w:w="113" w:type="dxa"/>
                  </w:tcMar>
                </w:tcPr>
                <w:p w14:paraId="364BDFA1" w14:textId="73CD38A1" w:rsidR="001E0323" w:rsidRPr="00220385" w:rsidRDefault="001E0323" w:rsidP="00E21E82">
                  <w:pPr>
                    <w:pStyle w:val="TableBodyText"/>
                    <w:ind w:left="0" w:right="-57"/>
                  </w:pPr>
                  <w:r w:rsidRPr="00220385">
                    <w:t>8.4</w:t>
                  </w:r>
                </w:p>
              </w:tc>
              <w:tc>
                <w:tcPr>
                  <w:tcW w:w="494" w:type="pct"/>
                  <w:tcBorders>
                    <w:bottom w:val="single" w:sz="4" w:space="0" w:color="BFBFBF" w:themeColor="background2"/>
                  </w:tcBorders>
                  <w:shd w:val="clear" w:color="auto" w:fill="auto"/>
                  <w:tcMar>
                    <w:right w:w="113" w:type="dxa"/>
                  </w:tcMar>
                </w:tcPr>
                <w:p w14:paraId="17CF0426" w14:textId="2E113053" w:rsidR="001E0323" w:rsidRPr="00220385" w:rsidRDefault="001E0323" w:rsidP="00E21E82">
                  <w:pPr>
                    <w:pStyle w:val="TableBodyText"/>
                    <w:ind w:left="0" w:right="-57"/>
                  </w:pPr>
                  <w:r w:rsidRPr="00220385">
                    <w:t>9.5</w:t>
                  </w:r>
                </w:p>
              </w:tc>
              <w:tc>
                <w:tcPr>
                  <w:tcW w:w="494" w:type="pct"/>
                  <w:tcBorders>
                    <w:bottom w:val="single" w:sz="4" w:space="0" w:color="BFBFBF" w:themeColor="background2"/>
                  </w:tcBorders>
                  <w:shd w:val="clear" w:color="auto" w:fill="auto"/>
                  <w:tcMar>
                    <w:right w:w="113" w:type="dxa"/>
                  </w:tcMar>
                </w:tcPr>
                <w:p w14:paraId="7BDEE56A" w14:textId="77777777" w:rsidR="001E0323" w:rsidRPr="00220385" w:rsidRDefault="001E0323" w:rsidP="00E21E82">
                  <w:pPr>
                    <w:pStyle w:val="TableBodyText"/>
                    <w:ind w:left="0" w:right="-57"/>
                  </w:pPr>
                  <w:proofErr w:type="spellStart"/>
                  <w:r w:rsidRPr="00220385">
                    <w:t>na</w:t>
                  </w:r>
                  <w:proofErr w:type="spellEnd"/>
                </w:p>
              </w:tc>
              <w:tc>
                <w:tcPr>
                  <w:tcW w:w="494" w:type="pct"/>
                  <w:tcBorders>
                    <w:bottom w:val="single" w:sz="4" w:space="0" w:color="BFBFBF" w:themeColor="background2"/>
                  </w:tcBorders>
                  <w:shd w:val="clear" w:color="auto" w:fill="auto"/>
                  <w:tcMar>
                    <w:right w:w="113" w:type="dxa"/>
                  </w:tcMar>
                </w:tcPr>
                <w:p w14:paraId="31141BE1" w14:textId="60B9B059" w:rsidR="001E0323" w:rsidRPr="00220385" w:rsidRDefault="001E0323" w:rsidP="00E21E82">
                  <w:pPr>
                    <w:pStyle w:val="TableBodyText"/>
                    <w:ind w:left="0" w:right="-57"/>
                  </w:pPr>
                  <w:r w:rsidRPr="00220385">
                    <w:t>30.4</w:t>
                  </w:r>
                </w:p>
              </w:tc>
              <w:tc>
                <w:tcPr>
                  <w:tcW w:w="494" w:type="pct"/>
                  <w:tcBorders>
                    <w:bottom w:val="single" w:sz="4" w:space="0" w:color="BFBFBF" w:themeColor="background2"/>
                  </w:tcBorders>
                  <w:shd w:val="clear" w:color="auto" w:fill="auto"/>
                  <w:tcMar>
                    <w:right w:w="113" w:type="dxa"/>
                  </w:tcMar>
                </w:tcPr>
                <w:p w14:paraId="6B7E50B1" w14:textId="326047E7" w:rsidR="001E0323" w:rsidRPr="00220385" w:rsidRDefault="001E0323" w:rsidP="00E21E82">
                  <w:pPr>
                    <w:pStyle w:val="TableBodyText"/>
                    <w:ind w:left="0" w:right="-57"/>
                  </w:pPr>
                  <w:r w:rsidRPr="00220385">
                    <w:t>6.5</w:t>
                  </w:r>
                </w:p>
              </w:tc>
              <w:tc>
                <w:tcPr>
                  <w:tcW w:w="494" w:type="pct"/>
                  <w:tcBorders>
                    <w:bottom w:val="single" w:sz="4" w:space="0" w:color="BFBFBF" w:themeColor="background2"/>
                  </w:tcBorders>
                  <w:shd w:val="clear" w:color="auto" w:fill="auto"/>
                  <w:tcMar>
                    <w:right w:w="113" w:type="dxa"/>
                  </w:tcMar>
                </w:tcPr>
                <w:p w14:paraId="67EA7ADA" w14:textId="21CD0162" w:rsidR="001E0323" w:rsidRPr="00220385" w:rsidRDefault="001E0323" w:rsidP="00E21E82">
                  <w:pPr>
                    <w:pStyle w:val="TableBodyText"/>
                    <w:ind w:left="0" w:right="-57"/>
                  </w:pPr>
                  <w:r w:rsidRPr="00220385">
                    <w:t>27.1</w:t>
                  </w:r>
                </w:p>
              </w:tc>
              <w:tc>
                <w:tcPr>
                  <w:tcW w:w="494" w:type="pct"/>
                  <w:tcBorders>
                    <w:bottom w:val="single" w:sz="4" w:space="0" w:color="BFBFBF" w:themeColor="background2"/>
                  </w:tcBorders>
                  <w:shd w:val="clear" w:color="auto" w:fill="auto"/>
                  <w:tcMar>
                    <w:right w:w="113" w:type="dxa"/>
                  </w:tcMar>
                </w:tcPr>
                <w:p w14:paraId="2977F468" w14:textId="2B474452" w:rsidR="001E0323" w:rsidRPr="00220385" w:rsidRDefault="001E0323" w:rsidP="00E21E82">
                  <w:pPr>
                    <w:pStyle w:val="TableBodyText"/>
                    <w:ind w:left="0" w:right="-57"/>
                  </w:pPr>
                  <w:r w:rsidRPr="00220385">
                    <w:t>0.6</w:t>
                  </w:r>
                </w:p>
              </w:tc>
              <w:tc>
                <w:tcPr>
                  <w:tcW w:w="494" w:type="pct"/>
                  <w:tcBorders>
                    <w:bottom w:val="single" w:sz="4" w:space="0" w:color="BFBFBF" w:themeColor="background2"/>
                  </w:tcBorders>
                  <w:shd w:val="clear" w:color="auto" w:fill="auto"/>
                  <w:tcMar>
                    <w:right w:w="113" w:type="dxa"/>
                  </w:tcMar>
                </w:tcPr>
                <w:p w14:paraId="79E8133E" w14:textId="77777777" w:rsidR="001E0323" w:rsidRPr="00220385" w:rsidRDefault="001E0323" w:rsidP="00E21E82">
                  <w:pPr>
                    <w:pStyle w:val="TableBodyText"/>
                    <w:ind w:left="0" w:right="-57"/>
                  </w:pPr>
                  <w:proofErr w:type="spellStart"/>
                  <w:r w:rsidRPr="00220385">
                    <w:t>na</w:t>
                  </w:r>
                  <w:proofErr w:type="spellEnd"/>
                </w:p>
              </w:tc>
              <w:tc>
                <w:tcPr>
                  <w:tcW w:w="489" w:type="pct"/>
                  <w:tcBorders>
                    <w:bottom w:val="single" w:sz="4" w:space="0" w:color="BFBFBF" w:themeColor="background2"/>
                  </w:tcBorders>
                  <w:shd w:val="clear" w:color="auto" w:fill="auto"/>
                  <w:tcMar>
                    <w:right w:w="28" w:type="dxa"/>
                  </w:tcMar>
                </w:tcPr>
                <w:p w14:paraId="57372D14" w14:textId="0236B1F3" w:rsidR="001E0323" w:rsidRPr="00220385" w:rsidRDefault="001E0323" w:rsidP="00E21E82">
                  <w:pPr>
                    <w:pStyle w:val="TableBodyText"/>
                    <w:ind w:left="0" w:right="0"/>
                  </w:pPr>
                  <w:r w:rsidRPr="00220385">
                    <w:t>9.8</w:t>
                  </w:r>
                </w:p>
              </w:tc>
            </w:tr>
          </w:tbl>
          <w:p w14:paraId="169C2491" w14:textId="77777777" w:rsidR="00BF6E24" w:rsidRDefault="00BF6E24" w:rsidP="00062C54">
            <w:pPr>
              <w:pStyle w:val="Box"/>
              <w:tabs>
                <w:tab w:val="left" w:pos="6630"/>
              </w:tabs>
            </w:pPr>
          </w:p>
        </w:tc>
      </w:tr>
      <w:tr w:rsidR="00BF6E24" w14:paraId="28423985" w14:textId="77777777" w:rsidTr="00E21E82">
        <w:trPr>
          <w:cantSplit/>
        </w:trPr>
        <w:tc>
          <w:tcPr>
            <w:tcW w:w="5000" w:type="pct"/>
            <w:tcBorders>
              <w:top w:val="nil"/>
              <w:left w:val="nil"/>
              <w:bottom w:val="nil"/>
              <w:right w:val="nil"/>
            </w:tcBorders>
            <w:shd w:val="clear" w:color="auto" w:fill="auto"/>
          </w:tcPr>
          <w:p w14:paraId="75FDE4DF" w14:textId="77777777" w:rsidR="00BF6E24" w:rsidRPr="0033604C" w:rsidRDefault="00BF6E24" w:rsidP="0033604C">
            <w:pPr>
              <w:pStyle w:val="Note"/>
            </w:pPr>
            <w:r w:rsidRPr="008E77FE">
              <w:rPr>
                <w:rStyle w:val="NoteLabel"/>
              </w:rPr>
              <w:t>a</w:t>
            </w:r>
            <w:r>
              <w:rPr>
                <w:rStyle w:val="NoteLabel"/>
              </w:rPr>
              <w:t> </w:t>
            </w:r>
            <w:r w:rsidR="00AA3339">
              <w:t>See box 18.5</w:t>
            </w:r>
            <w:r>
              <w:t xml:space="preserve"> and table</w:t>
            </w:r>
            <w:r w:rsidR="003322E6">
              <w:t>s</w:t>
            </w:r>
            <w:r>
              <w:t> </w:t>
            </w:r>
            <w:proofErr w:type="spellStart"/>
            <w:r w:rsidR="003B2986">
              <w:t>18A.</w:t>
            </w:r>
            <w:r w:rsidR="003322E6">
              <w:t>22</w:t>
            </w:r>
            <w:proofErr w:type="spellEnd"/>
            <w:r w:rsidR="003322E6">
              <w:t>–24</w:t>
            </w:r>
            <w:r>
              <w:t xml:space="preserve"> for detailed definitions, footnotes and caveats. </w:t>
            </w:r>
            <w:proofErr w:type="spellStart"/>
            <w:r w:rsidRPr="00FA77C9">
              <w:rPr>
                <w:b/>
              </w:rPr>
              <w:t>na</w:t>
            </w:r>
            <w:proofErr w:type="spellEnd"/>
            <w:r w:rsidRPr="00FA77C9">
              <w:t xml:space="preserve"> Not available. </w:t>
            </w:r>
            <w:r w:rsidR="00F20157">
              <w:br/>
            </w:r>
            <w:r w:rsidRPr="00FA77C9">
              <w:t>.. Not applicable. – Nil or rounded to zero.</w:t>
            </w:r>
          </w:p>
        </w:tc>
      </w:tr>
      <w:tr w:rsidR="00BF6E24" w14:paraId="5AA83A3D" w14:textId="77777777" w:rsidTr="00E21E82">
        <w:trPr>
          <w:cantSplit/>
        </w:trPr>
        <w:tc>
          <w:tcPr>
            <w:tcW w:w="5000" w:type="pct"/>
            <w:tcBorders>
              <w:top w:val="nil"/>
              <w:left w:val="nil"/>
              <w:bottom w:val="nil"/>
              <w:right w:val="nil"/>
            </w:tcBorders>
            <w:shd w:val="clear" w:color="auto" w:fill="auto"/>
          </w:tcPr>
          <w:p w14:paraId="0FA57C8F" w14:textId="77777777" w:rsidR="00BF6E24" w:rsidRDefault="00BF6E24" w:rsidP="00E21E82">
            <w:pPr>
              <w:pStyle w:val="Source"/>
              <w:spacing w:after="80"/>
            </w:pPr>
            <w:r>
              <w:rPr>
                <w:i/>
              </w:rPr>
              <w:t>Source</w:t>
            </w:r>
            <w:r w:rsidRPr="00B93213">
              <w:t>:</w:t>
            </w:r>
            <w:r>
              <w:rPr>
                <w:i/>
              </w:rPr>
              <w:t xml:space="preserve"> </w:t>
            </w:r>
            <w:proofErr w:type="spellStart"/>
            <w:r w:rsidRPr="0078599A">
              <w:t>AIHW</w:t>
            </w:r>
            <w:proofErr w:type="spellEnd"/>
            <w:r w:rsidRPr="0078599A">
              <w:t xml:space="preserve"> (unpublished) </w:t>
            </w:r>
            <w:r w:rsidRPr="00A11155">
              <w:t>National Housing Assistance Data Repository</w:t>
            </w:r>
            <w:r>
              <w:rPr>
                <w:i/>
              </w:rPr>
              <w:t>;</w:t>
            </w:r>
            <w:r w:rsidR="002A08DC">
              <w:t xml:space="preserve"> </w:t>
            </w:r>
            <w:r w:rsidR="003322E6">
              <w:t>tables </w:t>
            </w:r>
            <w:proofErr w:type="spellStart"/>
            <w:r w:rsidR="003322E6">
              <w:t>18A.22</w:t>
            </w:r>
            <w:proofErr w:type="spellEnd"/>
            <w:r w:rsidR="003322E6">
              <w:t>–24</w:t>
            </w:r>
            <w:r w:rsidRPr="00FA77C9">
              <w:t>.</w:t>
            </w:r>
          </w:p>
        </w:tc>
      </w:tr>
      <w:tr w:rsidR="00BF6E24" w14:paraId="5BC56BC2" w14:textId="77777777" w:rsidTr="00E21E82">
        <w:trPr>
          <w:cantSplit/>
        </w:trPr>
        <w:tc>
          <w:tcPr>
            <w:tcW w:w="5000" w:type="pct"/>
            <w:tcBorders>
              <w:top w:val="nil"/>
              <w:left w:val="nil"/>
              <w:bottom w:val="single" w:sz="6" w:space="0" w:color="78A22F" w:themeColor="accent1"/>
              <w:right w:val="nil"/>
            </w:tcBorders>
            <w:shd w:val="clear" w:color="auto" w:fill="auto"/>
          </w:tcPr>
          <w:p w14:paraId="02CF0A29" w14:textId="77777777" w:rsidR="00BF6E24" w:rsidRDefault="00BF6E24" w:rsidP="00746E44">
            <w:pPr>
              <w:pStyle w:val="Box"/>
              <w:spacing w:before="0" w:line="120" w:lineRule="exact"/>
            </w:pPr>
          </w:p>
        </w:tc>
      </w:tr>
      <w:tr w:rsidR="00BF6E24" w:rsidRPr="000863A5" w14:paraId="577832C9" w14:textId="77777777" w:rsidTr="00E21E82">
        <w:tc>
          <w:tcPr>
            <w:tcW w:w="5000" w:type="pct"/>
            <w:tcBorders>
              <w:top w:val="single" w:sz="6" w:space="0" w:color="78A22F" w:themeColor="accent1"/>
              <w:left w:val="nil"/>
              <w:bottom w:val="nil"/>
              <w:right w:val="nil"/>
            </w:tcBorders>
          </w:tcPr>
          <w:p w14:paraId="3FC3D968" w14:textId="77777777" w:rsidR="00BF6E24" w:rsidRPr="00626D32" w:rsidRDefault="00BF6E24" w:rsidP="00746E44">
            <w:pPr>
              <w:pStyle w:val="BoxSpaceBelow"/>
            </w:pPr>
          </w:p>
        </w:tc>
      </w:tr>
    </w:tbl>
    <w:p w14:paraId="39413837" w14:textId="77777777" w:rsidR="00452B3E" w:rsidRPr="00DC04F0" w:rsidRDefault="00580511" w:rsidP="00E21E82">
      <w:pPr>
        <w:pStyle w:val="BodyText"/>
        <w:spacing w:before="80"/>
        <w:rPr>
          <w:lang w:eastAsia="en-US"/>
        </w:rPr>
      </w:pPr>
      <w:r>
        <w:t xml:space="preserve">Rental stress is mitigated through rental subsidies provided to </w:t>
      </w:r>
      <w:r w:rsidR="006E6B52" w:rsidRPr="00C3681A">
        <w:t xml:space="preserve">eligible </w:t>
      </w:r>
      <w:r w:rsidRPr="00C3681A">
        <w:t>low income</w:t>
      </w:r>
      <w:r w:rsidR="00BB7DE4" w:rsidRPr="00C3681A">
        <w:t xml:space="preserve"> social</w:t>
      </w:r>
      <w:r w:rsidR="00BB7DE4">
        <w:t xml:space="preserve"> housing </w:t>
      </w:r>
      <w:r>
        <w:t xml:space="preserve">households by State and Territory governments. </w:t>
      </w:r>
      <w:r w:rsidR="006E6B52">
        <w:t xml:space="preserve">For public housing and </w:t>
      </w:r>
      <w:proofErr w:type="spellStart"/>
      <w:r w:rsidR="006E6B52">
        <w:t>SOMIH</w:t>
      </w:r>
      <w:proofErr w:type="spellEnd"/>
      <w:r w:rsidR="006E6B52">
        <w:t>, r</w:t>
      </w:r>
      <w:r>
        <w:t>ent</w:t>
      </w:r>
      <w:r w:rsidR="00C064FA">
        <w:t>s</w:t>
      </w:r>
      <w:r>
        <w:t xml:space="preserve"> </w:t>
      </w:r>
      <w:r w:rsidR="00C064FA" w:rsidRPr="00A17C2C">
        <w:t>are</w:t>
      </w:r>
      <w:r w:rsidRPr="00A17C2C">
        <w:t xml:space="preserve"> generally set </w:t>
      </w:r>
      <w:r w:rsidR="006E6B52" w:rsidRPr="00A17C2C">
        <w:t xml:space="preserve">at </w:t>
      </w:r>
      <w:r w:rsidR="00C064FA" w:rsidRPr="00A17C2C">
        <w:t xml:space="preserve">estimated </w:t>
      </w:r>
      <w:r w:rsidR="006E6B52" w:rsidRPr="00A17C2C">
        <w:t xml:space="preserve">market </w:t>
      </w:r>
      <w:r w:rsidR="00C064FA" w:rsidRPr="00A17C2C">
        <w:t>rates</w:t>
      </w:r>
      <w:r w:rsidR="006E6B52" w:rsidRPr="00A17C2C">
        <w:t xml:space="preserve"> </w:t>
      </w:r>
      <w:r w:rsidR="00C064FA" w:rsidRPr="00A17C2C">
        <w:t>and</w:t>
      </w:r>
      <w:r w:rsidR="006E6B52" w:rsidRPr="00A17C2C">
        <w:t xml:space="preserve"> </w:t>
      </w:r>
      <w:r w:rsidR="00452B3E" w:rsidRPr="00A17C2C">
        <w:t xml:space="preserve">subsidised for </w:t>
      </w:r>
      <w:r w:rsidR="002F211A" w:rsidRPr="00A17C2C">
        <w:t xml:space="preserve">eligible households </w:t>
      </w:r>
      <w:r w:rsidR="00CA7080" w:rsidRPr="00A17C2C">
        <w:t>so that</w:t>
      </w:r>
      <w:r w:rsidR="00C064FA" w:rsidRPr="00A17C2C">
        <w:t xml:space="preserve"> rental costs</w:t>
      </w:r>
      <w:r w:rsidR="00CA7080" w:rsidRPr="00A17C2C">
        <w:t xml:space="preserve"> </w:t>
      </w:r>
      <w:r w:rsidR="00452B3E" w:rsidRPr="00A17C2C">
        <w:t>do not exceed</w:t>
      </w:r>
      <w:r w:rsidR="00CA7080" w:rsidRPr="00A17C2C">
        <w:t xml:space="preserve"> a s</w:t>
      </w:r>
      <w:r w:rsidR="00C064FA" w:rsidRPr="00A17C2C">
        <w:t>et proportion</w:t>
      </w:r>
      <w:r w:rsidR="00CA7080" w:rsidRPr="00A17C2C">
        <w:t xml:space="preserve"> of assessable</w:t>
      </w:r>
      <w:r w:rsidR="00CA7080">
        <w:t xml:space="preserve"> household income </w:t>
      </w:r>
      <w:r w:rsidR="0093677F">
        <w:t>(25 per </w:t>
      </w:r>
      <w:r w:rsidR="00722372">
        <w:t>cent in most states and t</w:t>
      </w:r>
      <w:r w:rsidR="00C064FA">
        <w:t>erritories) (tables</w:t>
      </w:r>
      <w:r w:rsidR="00B93213">
        <w:t> </w:t>
      </w:r>
      <w:proofErr w:type="spellStart"/>
      <w:r w:rsidR="00C064FA">
        <w:t>18A.</w:t>
      </w:r>
      <w:r w:rsidR="00896907">
        <w:t>48</w:t>
      </w:r>
      <w:proofErr w:type="spellEnd"/>
      <w:r w:rsidR="00896907">
        <w:t>–50</w:t>
      </w:r>
      <w:r w:rsidR="00C064FA">
        <w:t>).</w:t>
      </w:r>
    </w:p>
    <w:p w14:paraId="16165EBD" w14:textId="77777777" w:rsidR="00E0413D" w:rsidRDefault="00E0413D" w:rsidP="00E21E82">
      <w:pPr>
        <w:pStyle w:val="Heading4"/>
        <w:spacing w:before="300"/>
      </w:pPr>
      <w:r w:rsidRPr="00A41BFA">
        <w:t>Wait times</w:t>
      </w:r>
    </w:p>
    <w:p w14:paraId="0EF813B0" w14:textId="77777777" w:rsidR="00E0413D" w:rsidRDefault="00E0413D" w:rsidP="00E0413D">
      <w:pPr>
        <w:pStyle w:val="BodyText"/>
      </w:pPr>
      <w:r w:rsidRPr="00D33393">
        <w:t>‘Wait times’ is an indicator of government’s objective to provide services that are timely</w:t>
      </w:r>
      <w:r w:rsidR="00AA3339">
        <w:t xml:space="preserve"> (box 18.6)</w:t>
      </w:r>
      <w:r w:rsidRPr="00D33393">
        <w:t>.</w:t>
      </w:r>
    </w:p>
    <w:p w14:paraId="5E180C8B" w14:textId="00F7AD3E" w:rsidR="00E0413D" w:rsidRDefault="00E0413D" w:rsidP="00E21E8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0413D" w14:paraId="102E85A5" w14:textId="77777777" w:rsidTr="000F2514">
        <w:trPr>
          <w:tblHeader/>
        </w:trPr>
        <w:tc>
          <w:tcPr>
            <w:tcW w:w="5000" w:type="pct"/>
            <w:tcBorders>
              <w:top w:val="single" w:sz="6" w:space="0" w:color="78A22F"/>
              <w:left w:val="nil"/>
              <w:bottom w:val="nil"/>
              <w:right w:val="nil"/>
            </w:tcBorders>
            <w:shd w:val="clear" w:color="auto" w:fill="F2F2F2"/>
          </w:tcPr>
          <w:p w14:paraId="5BA626E2" w14:textId="0812A3B0" w:rsidR="00E0413D" w:rsidRDefault="00E0413D" w:rsidP="000F2514">
            <w:pPr>
              <w:pStyle w:val="BoxTitle"/>
            </w:pPr>
            <w:r>
              <w:rPr>
                <w:b w:val="0"/>
              </w:rPr>
              <w:t xml:space="preserve">Box </w:t>
            </w:r>
            <w:r w:rsidR="00AA3339">
              <w:rPr>
                <w:b w:val="0"/>
              </w:rPr>
              <w:t>18.</w:t>
            </w:r>
            <w:r w:rsidR="007D5A6B">
              <w:rPr>
                <w:b w:val="0"/>
                <w:noProof/>
              </w:rPr>
              <w:t>6</w:t>
            </w:r>
            <w:r>
              <w:tab/>
            </w:r>
            <w:r w:rsidRPr="00A41BFA">
              <w:t>Wait times</w:t>
            </w:r>
          </w:p>
        </w:tc>
      </w:tr>
      <w:tr w:rsidR="00E0413D" w14:paraId="425041FA" w14:textId="77777777" w:rsidTr="000F2514">
        <w:tc>
          <w:tcPr>
            <w:tcW w:w="5000" w:type="pct"/>
            <w:tcBorders>
              <w:top w:val="nil"/>
              <w:left w:val="nil"/>
              <w:bottom w:val="nil"/>
              <w:right w:val="nil"/>
            </w:tcBorders>
            <w:shd w:val="clear" w:color="auto" w:fill="F2F2F2"/>
          </w:tcPr>
          <w:p w14:paraId="63C9C0BD" w14:textId="54EC28BA" w:rsidR="00E0413D" w:rsidRDefault="00E0413D" w:rsidP="000F2514">
            <w:pPr>
              <w:pStyle w:val="Box"/>
            </w:pPr>
            <w:r w:rsidRPr="00D33393">
              <w:t xml:space="preserve">‘Wait times’ is defined as the </w:t>
            </w:r>
            <w:r>
              <w:t>proportion</w:t>
            </w:r>
            <w:r w:rsidRPr="00D33393">
              <w:t xml:space="preserve"> of </w:t>
            </w:r>
            <w:r>
              <w:t>households</w:t>
            </w:r>
            <w:r w:rsidRPr="00D33393">
              <w:t xml:space="preserve"> on social housing wait lists who received a housing allocation in the previous 12 months, by the</w:t>
            </w:r>
            <w:r w:rsidR="0033604C">
              <w:t>ir time spent on the wait list.</w:t>
            </w:r>
          </w:p>
          <w:p w14:paraId="4DF3FC89" w14:textId="13B4F256" w:rsidR="00E0413D" w:rsidRPr="00DC04F0" w:rsidRDefault="00E0413D" w:rsidP="0033604C">
            <w:pPr>
              <w:pStyle w:val="Box"/>
              <w:rPr>
                <w:lang w:eastAsia="en-US"/>
              </w:rPr>
            </w:pPr>
            <w:r w:rsidRPr="00DD64C7">
              <w:t xml:space="preserve">A high or increasing percentage </w:t>
            </w:r>
            <w:r>
              <w:t>who spent less time on the wait list is desirable</w:t>
            </w:r>
            <w:r w:rsidR="0071499D">
              <w:t>.</w:t>
            </w:r>
          </w:p>
          <w:p w14:paraId="242BE080" w14:textId="77777777" w:rsidR="00E0413D" w:rsidRDefault="00E0413D" w:rsidP="000F2514">
            <w:pPr>
              <w:pStyle w:val="Box"/>
            </w:pPr>
            <w:r w:rsidRPr="00D33393">
              <w:t>Data are not yet available for reporting against this indicator.</w:t>
            </w:r>
          </w:p>
        </w:tc>
      </w:tr>
      <w:tr w:rsidR="00E0413D" w14:paraId="4313EC2A" w14:textId="77777777" w:rsidTr="000F2514">
        <w:tc>
          <w:tcPr>
            <w:tcW w:w="5000" w:type="pct"/>
            <w:tcBorders>
              <w:top w:val="nil"/>
              <w:left w:val="nil"/>
              <w:bottom w:val="single" w:sz="6" w:space="0" w:color="78A22F"/>
              <w:right w:val="nil"/>
            </w:tcBorders>
            <w:shd w:val="clear" w:color="auto" w:fill="F2F2F2"/>
          </w:tcPr>
          <w:p w14:paraId="1BFFE57F" w14:textId="77777777" w:rsidR="00E0413D" w:rsidRDefault="00E0413D" w:rsidP="000F2514">
            <w:pPr>
              <w:pStyle w:val="Box"/>
              <w:spacing w:before="0" w:line="120" w:lineRule="exact"/>
            </w:pPr>
          </w:p>
        </w:tc>
      </w:tr>
      <w:tr w:rsidR="00E0413D" w:rsidRPr="000863A5" w14:paraId="3AA5C1CD" w14:textId="77777777" w:rsidTr="000F2514">
        <w:tc>
          <w:tcPr>
            <w:tcW w:w="5000" w:type="pct"/>
            <w:tcBorders>
              <w:top w:val="single" w:sz="6" w:space="0" w:color="78A22F"/>
              <w:left w:val="nil"/>
              <w:bottom w:val="nil"/>
              <w:right w:val="nil"/>
            </w:tcBorders>
          </w:tcPr>
          <w:p w14:paraId="6E57D57B" w14:textId="38BDD760" w:rsidR="00E0413D" w:rsidRPr="00626D32" w:rsidRDefault="00E0413D" w:rsidP="000F2514">
            <w:pPr>
              <w:pStyle w:val="BoxSpaceBelow"/>
            </w:pPr>
          </w:p>
        </w:tc>
      </w:tr>
    </w:tbl>
    <w:p w14:paraId="0408A187" w14:textId="77777777" w:rsidR="00BF6E24" w:rsidRPr="003430B0" w:rsidRDefault="00BF6E24" w:rsidP="00BF6E24">
      <w:pPr>
        <w:pStyle w:val="Heading4"/>
      </w:pPr>
      <w:r>
        <w:lastRenderedPageBreak/>
        <w:t xml:space="preserve">Appropriateness — </w:t>
      </w:r>
      <w:r w:rsidRPr="00BF6E24">
        <w:t>Match of dwelling to household size</w:t>
      </w:r>
    </w:p>
    <w:p w14:paraId="5A297987" w14:textId="75270656" w:rsidR="00BF6E24" w:rsidRPr="00DC04F0" w:rsidRDefault="00BF6E24" w:rsidP="0033604C">
      <w:pPr>
        <w:pStyle w:val="BodyText"/>
        <w:rPr>
          <w:lang w:eastAsia="en-US"/>
        </w:rPr>
      </w:pPr>
      <w:r w:rsidRPr="00DA73E5">
        <w:t xml:space="preserve">‘Match of dwelling to household size’ is an indicator of governments’ objective to provide </w:t>
      </w:r>
      <w:r w:rsidR="004D5C60">
        <w:t>services</w:t>
      </w:r>
      <w:r w:rsidRPr="00DA73E5">
        <w:t xml:space="preserve"> that </w:t>
      </w:r>
      <w:r w:rsidR="004D5C60">
        <w:t>are</w:t>
      </w:r>
      <w:r w:rsidRPr="00DA73E5">
        <w:t xml:space="preserve"> appropriate</w:t>
      </w:r>
      <w:r w:rsidR="00866D08">
        <w:t>,</w:t>
      </w:r>
      <w:r w:rsidR="00866D08" w:rsidRPr="00866D08">
        <w:t xml:space="preserve"> meeting</w:t>
      </w:r>
      <w:r w:rsidRPr="00DA73E5">
        <w:t xml:space="preserve"> the needs of </w:t>
      </w:r>
      <w:r w:rsidR="00866D08" w:rsidRPr="00866D08">
        <w:t xml:space="preserve">individual </w:t>
      </w:r>
      <w:r w:rsidRPr="00DA73E5">
        <w:t>households (box</w:t>
      </w:r>
      <w:r w:rsidR="00646665">
        <w:t> 18.7</w:t>
      </w:r>
      <w:r w:rsidR="00195657">
        <w:t>).</w:t>
      </w:r>
    </w:p>
    <w:p w14:paraId="042826CF" w14:textId="77777777" w:rsidR="00BF6E24" w:rsidRDefault="00BF6E24" w:rsidP="00BF6E2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F6E24" w14:paraId="3859D31E" w14:textId="77777777" w:rsidTr="00E21E82">
        <w:tc>
          <w:tcPr>
            <w:tcW w:w="5000" w:type="pct"/>
            <w:tcBorders>
              <w:top w:val="single" w:sz="6" w:space="0" w:color="78A22F"/>
              <w:left w:val="nil"/>
              <w:bottom w:val="nil"/>
              <w:right w:val="nil"/>
            </w:tcBorders>
            <w:shd w:val="clear" w:color="auto" w:fill="F2F2F2" w:themeFill="background1" w:themeFillShade="F2"/>
          </w:tcPr>
          <w:p w14:paraId="136582DB" w14:textId="030E8D7E" w:rsidR="00BF6E24" w:rsidRDefault="00790CB2" w:rsidP="00790CB2">
            <w:pPr>
              <w:pStyle w:val="BoxTitle"/>
            </w:pPr>
            <w:r>
              <w:rPr>
                <w:b w:val="0"/>
              </w:rPr>
              <w:t>Box 18.</w:t>
            </w:r>
            <w:r w:rsidR="007D5A6B">
              <w:rPr>
                <w:b w:val="0"/>
                <w:noProof/>
              </w:rPr>
              <w:t>7</w:t>
            </w:r>
            <w:r w:rsidR="00BF6E24">
              <w:tab/>
            </w:r>
            <w:r w:rsidR="00BF6E24" w:rsidRPr="007504E5">
              <w:t>Match of dwelling to household size</w:t>
            </w:r>
          </w:p>
        </w:tc>
      </w:tr>
      <w:tr w:rsidR="00BF6E24" w14:paraId="1D230CEA" w14:textId="77777777" w:rsidTr="00E21E82">
        <w:trPr>
          <w:cantSplit/>
        </w:trPr>
        <w:tc>
          <w:tcPr>
            <w:tcW w:w="5000" w:type="pct"/>
            <w:tcBorders>
              <w:top w:val="nil"/>
              <w:left w:val="nil"/>
              <w:bottom w:val="nil"/>
              <w:right w:val="nil"/>
            </w:tcBorders>
            <w:shd w:val="clear" w:color="auto" w:fill="F2F2F2" w:themeFill="background1" w:themeFillShade="F2"/>
          </w:tcPr>
          <w:p w14:paraId="6904EB48" w14:textId="77777777" w:rsidR="00BF6E24" w:rsidRPr="005E340A" w:rsidRDefault="00BF6E24" w:rsidP="00746E44">
            <w:pPr>
              <w:pStyle w:val="Box"/>
            </w:pPr>
            <w:r w:rsidRPr="005E340A">
              <w:t>‘Match of dwelling to household size’ is defined as the proportion of households that are overcrowded.</w:t>
            </w:r>
          </w:p>
          <w:p w14:paraId="7CC30AA2" w14:textId="77777777" w:rsidR="00BF6E24" w:rsidRPr="005E340A" w:rsidRDefault="00BF6E24" w:rsidP="00746E44">
            <w:pPr>
              <w:pStyle w:val="Box"/>
            </w:pPr>
            <w:r w:rsidRPr="005E340A">
              <w:t>Overcrowding is defined and measured using the Canadian National Occupancy Standard (</w:t>
            </w:r>
            <w:proofErr w:type="spellStart"/>
            <w:r w:rsidRPr="005E340A">
              <w:t>CNOS</w:t>
            </w:r>
            <w:proofErr w:type="spellEnd"/>
            <w:r w:rsidRPr="005E340A">
              <w:t xml:space="preserve">) </w:t>
            </w:r>
            <w:r w:rsidR="000C7B80">
              <w:t>with</w:t>
            </w:r>
            <w:r w:rsidRPr="005E340A">
              <w:t xml:space="preserve"> </w:t>
            </w:r>
            <w:r w:rsidR="005F5B8C">
              <w:t xml:space="preserve">households deemed to be </w:t>
            </w:r>
            <w:r w:rsidRPr="005E340A">
              <w:t>overcrowd</w:t>
            </w:r>
            <w:r w:rsidR="005F5B8C">
              <w:t>ed</w:t>
            </w:r>
            <w:r w:rsidRPr="005E340A">
              <w:t xml:space="preserve"> if one or more additional bedrooms are required to meet the standard (see section</w:t>
            </w:r>
            <w:r>
              <w:t> </w:t>
            </w:r>
            <w:r w:rsidRPr="005E340A">
              <w:t>1</w:t>
            </w:r>
            <w:r w:rsidR="002A293E">
              <w:t>8</w:t>
            </w:r>
            <w:r w:rsidRPr="005E340A">
              <w:t>.</w:t>
            </w:r>
            <w:r w:rsidR="00E34B5F">
              <w:t>4</w:t>
            </w:r>
            <w:r w:rsidRPr="005E340A">
              <w:t xml:space="preserve"> for </w:t>
            </w:r>
            <w:proofErr w:type="spellStart"/>
            <w:r w:rsidRPr="005E340A">
              <w:t>CNOS</w:t>
            </w:r>
            <w:proofErr w:type="spellEnd"/>
            <w:r w:rsidRPr="005E340A">
              <w:t xml:space="preserve"> definition). State and Territory housing authorities’ bedroom entitlement policies may differ from the </w:t>
            </w:r>
            <w:proofErr w:type="spellStart"/>
            <w:r w:rsidRPr="005E340A">
              <w:t>CNOS</w:t>
            </w:r>
            <w:proofErr w:type="spellEnd"/>
            <w:r w:rsidRPr="005E340A">
              <w:t>.</w:t>
            </w:r>
          </w:p>
          <w:p w14:paraId="617BF51E" w14:textId="77777777" w:rsidR="00BF6E24" w:rsidRPr="005E340A" w:rsidRDefault="00BF6E24" w:rsidP="00746E44">
            <w:pPr>
              <w:pStyle w:val="Box"/>
            </w:pPr>
            <w:r w:rsidRPr="005E340A">
              <w:t xml:space="preserve">The </w:t>
            </w:r>
            <w:proofErr w:type="spellStart"/>
            <w:r w:rsidR="005F5B8C">
              <w:t>CNOS</w:t>
            </w:r>
            <w:proofErr w:type="spellEnd"/>
            <w:r w:rsidR="005F5B8C">
              <w:t xml:space="preserve"> requires knowledge of</w:t>
            </w:r>
            <w:r w:rsidRPr="005E340A">
              <w:t xml:space="preserve"> the age, sex and relationship status of all tenants within a household, as well as the number of bedrooms. </w:t>
            </w:r>
            <w:r w:rsidR="00730262">
              <w:t>H</w:t>
            </w:r>
            <w:r w:rsidRPr="005E340A">
              <w:t xml:space="preserve">ouseholds </w:t>
            </w:r>
            <w:r w:rsidR="00730262">
              <w:t>for which</w:t>
            </w:r>
            <w:r w:rsidR="00730262" w:rsidRPr="005E340A">
              <w:t xml:space="preserve"> </w:t>
            </w:r>
            <w:r w:rsidRPr="005E340A">
              <w:t xml:space="preserve">complete information </w:t>
            </w:r>
            <w:r w:rsidR="00730262">
              <w:t xml:space="preserve">is not </w:t>
            </w:r>
            <w:r w:rsidRPr="005E340A">
              <w:t xml:space="preserve">available are </w:t>
            </w:r>
            <w:r w:rsidR="00730262">
              <w:t>ex</w:t>
            </w:r>
            <w:r w:rsidRPr="005E340A">
              <w:t xml:space="preserve">cluded </w:t>
            </w:r>
            <w:r w:rsidR="00730262">
              <w:t xml:space="preserve">from </w:t>
            </w:r>
            <w:r w:rsidR="000C7B80">
              <w:t xml:space="preserve">data for this </w:t>
            </w:r>
            <w:r w:rsidR="004D5C60" w:rsidRPr="004D5C60">
              <w:t>measure</w:t>
            </w:r>
            <w:r w:rsidRPr="005E340A">
              <w:t>.</w:t>
            </w:r>
          </w:p>
          <w:p w14:paraId="6B775AEF" w14:textId="77777777" w:rsidR="00BF6E24" w:rsidRPr="005E340A" w:rsidRDefault="00BF6E24" w:rsidP="00746E44">
            <w:pPr>
              <w:pStyle w:val="Box"/>
            </w:pPr>
            <w:r w:rsidRPr="005E340A">
              <w:t>Low or decreasing proportions of households in social housing living in overcrowded conditions is desirable.</w:t>
            </w:r>
          </w:p>
          <w:p w14:paraId="5CE87743" w14:textId="59C492F3" w:rsidR="00BF6E24" w:rsidRPr="00DC04F0" w:rsidRDefault="00BF6E24" w:rsidP="0033604C">
            <w:pPr>
              <w:pStyle w:val="Box"/>
              <w:rPr>
                <w:lang w:eastAsia="en-US"/>
              </w:rPr>
            </w:pPr>
            <w:r w:rsidRPr="005E340A">
              <w:t xml:space="preserve">Data for this </w:t>
            </w:r>
            <w:r w:rsidR="00236198" w:rsidRPr="004D5C60">
              <w:t>measure</w:t>
            </w:r>
            <w:r w:rsidR="00236198" w:rsidRPr="005E340A">
              <w:t xml:space="preserve"> </w:t>
            </w:r>
            <w:r w:rsidRPr="005E340A">
              <w:t xml:space="preserve">are reported for public housing, </w:t>
            </w:r>
            <w:proofErr w:type="spellStart"/>
            <w:r w:rsidRPr="005E340A">
              <w:t>SOMIH</w:t>
            </w:r>
            <w:proofErr w:type="spellEnd"/>
            <w:r w:rsidRPr="005E340A">
              <w:t xml:space="preserve">, community housing and </w:t>
            </w:r>
            <w:proofErr w:type="spellStart"/>
            <w:r w:rsidRPr="005E340A">
              <w:t>ICH</w:t>
            </w:r>
            <w:proofErr w:type="spellEnd"/>
            <w:r w:rsidR="000C7B80">
              <w:t xml:space="preserve"> and are:</w:t>
            </w:r>
          </w:p>
          <w:p w14:paraId="5D3429AB" w14:textId="56583F81" w:rsidR="00BF6E24" w:rsidRPr="005E340A" w:rsidRDefault="00482553" w:rsidP="00236198">
            <w:pPr>
              <w:pStyle w:val="BoxListBullet"/>
            </w:pPr>
            <w:r w:rsidRPr="00D51E02">
              <w:t xml:space="preserve">not </w:t>
            </w:r>
            <w:r w:rsidR="00BF6E24" w:rsidRPr="00D51E02">
              <w:t>comparable across jurisdictions</w:t>
            </w:r>
          </w:p>
          <w:p w14:paraId="352F6747" w14:textId="77777777" w:rsidR="00BF6E24" w:rsidRPr="005E340A" w:rsidRDefault="00BF6E24" w:rsidP="00746E44">
            <w:pPr>
              <w:pStyle w:val="BoxListBullet"/>
            </w:pPr>
            <w:r w:rsidRPr="005E340A">
              <w:t xml:space="preserve">not comparable across public housing, </w:t>
            </w:r>
            <w:proofErr w:type="spellStart"/>
            <w:r w:rsidRPr="005E340A">
              <w:t>SOMIH</w:t>
            </w:r>
            <w:proofErr w:type="spellEnd"/>
            <w:r w:rsidRPr="005E340A">
              <w:t xml:space="preserve">, community housing and </w:t>
            </w:r>
            <w:proofErr w:type="spellStart"/>
            <w:r w:rsidRPr="005E340A">
              <w:t>ICH</w:t>
            </w:r>
            <w:proofErr w:type="spellEnd"/>
          </w:p>
          <w:p w14:paraId="7699E6AE" w14:textId="6ADE54EC" w:rsidR="00BF6E24" w:rsidRPr="005E340A" w:rsidRDefault="00BF6E24" w:rsidP="00EE1CCF">
            <w:pPr>
              <w:pStyle w:val="BoxListBullet"/>
            </w:pPr>
            <w:r w:rsidRPr="005E340A">
              <w:t>complete for public housing</w:t>
            </w:r>
            <w:r w:rsidR="001E1CC2">
              <w:t xml:space="preserve"> and for </w:t>
            </w:r>
            <w:proofErr w:type="spellStart"/>
            <w:r w:rsidR="001E1CC2">
              <w:t>SOMIH</w:t>
            </w:r>
            <w:proofErr w:type="spellEnd"/>
            <w:r w:rsidR="001E1CC2">
              <w:t xml:space="preserve"> </w:t>
            </w:r>
            <w:r w:rsidRPr="005E340A">
              <w:t xml:space="preserve">for the current reporting period (subject to caveats). All required </w:t>
            </w:r>
            <w:r w:rsidR="00EE1CCF">
              <w:t>30 June 2017 </w:t>
            </w:r>
            <w:r w:rsidRPr="005E340A">
              <w:t>data are available for all jurisdictions providing the service</w:t>
            </w:r>
          </w:p>
          <w:p w14:paraId="0933A3E4" w14:textId="0A7AB68B" w:rsidR="00BF6E24" w:rsidRPr="005E340A" w:rsidRDefault="001A3420" w:rsidP="001A3420">
            <w:pPr>
              <w:pStyle w:val="BoxListBullet"/>
            </w:pPr>
            <w:r>
              <w:t>in</w:t>
            </w:r>
            <w:r w:rsidR="00BF6E24" w:rsidRPr="005E340A">
              <w:t>complete for</w:t>
            </w:r>
            <w:r w:rsidR="00236198">
              <w:t xml:space="preserve"> </w:t>
            </w:r>
            <w:r w:rsidR="001E1CC2" w:rsidRPr="001E1CC2">
              <w:t>comm</w:t>
            </w:r>
            <w:r w:rsidR="00A7138F">
              <w:t>unity housing (all required 30 June 201</w:t>
            </w:r>
            <w:r w:rsidR="001E1CC2" w:rsidRPr="001E1CC2">
              <w:t>7</w:t>
            </w:r>
            <w:r w:rsidR="001E1CC2">
              <w:t> </w:t>
            </w:r>
            <w:r w:rsidR="001E1CC2" w:rsidRPr="001E1CC2">
              <w:t>data were not availa</w:t>
            </w:r>
            <w:r w:rsidR="000E6AE9">
              <w:t>ble for the NT)</w:t>
            </w:r>
            <w:r w:rsidR="00236198">
              <w:t xml:space="preserve"> or </w:t>
            </w:r>
            <w:proofErr w:type="spellStart"/>
            <w:r w:rsidR="00BF6E24" w:rsidRPr="005E340A">
              <w:t>ICH</w:t>
            </w:r>
            <w:proofErr w:type="spellEnd"/>
            <w:r w:rsidR="00BF6E24" w:rsidRPr="005E340A">
              <w:t xml:space="preserve"> (all </w:t>
            </w:r>
            <w:r w:rsidR="00BF6E24" w:rsidRPr="00D51E02">
              <w:t>required</w:t>
            </w:r>
            <w:r w:rsidR="00A7138F">
              <w:t> </w:t>
            </w:r>
            <w:r w:rsidR="00EE1CCF" w:rsidRPr="00D51E02">
              <w:t>30 June</w:t>
            </w:r>
            <w:r w:rsidR="00A7138F">
              <w:t> </w:t>
            </w:r>
            <w:r w:rsidR="00EE1CCF" w:rsidRPr="00D51E02">
              <w:t xml:space="preserve">2016 </w:t>
            </w:r>
            <w:r w:rsidR="00BF6E24" w:rsidRPr="00D51E02">
              <w:t>data</w:t>
            </w:r>
            <w:r w:rsidR="00BF6E24" w:rsidRPr="005E340A">
              <w:t xml:space="preserve"> were not available</w:t>
            </w:r>
            <w:r w:rsidR="007D1076">
              <w:t xml:space="preserve"> for NSW, Tasmania and the NT).</w:t>
            </w:r>
          </w:p>
        </w:tc>
      </w:tr>
      <w:tr w:rsidR="00BF6E24" w14:paraId="497E895D" w14:textId="77777777" w:rsidTr="00E21E82">
        <w:trPr>
          <w:cantSplit/>
        </w:trPr>
        <w:tc>
          <w:tcPr>
            <w:tcW w:w="5000" w:type="pct"/>
            <w:tcBorders>
              <w:top w:val="nil"/>
              <w:left w:val="nil"/>
              <w:bottom w:val="single" w:sz="6" w:space="0" w:color="78A22F"/>
              <w:right w:val="nil"/>
            </w:tcBorders>
            <w:shd w:val="clear" w:color="auto" w:fill="F2F2F2" w:themeFill="background1" w:themeFillShade="F2"/>
          </w:tcPr>
          <w:p w14:paraId="64B3317E" w14:textId="77777777" w:rsidR="00BF6E24" w:rsidRDefault="00BF6E24" w:rsidP="00746E44">
            <w:pPr>
              <w:pStyle w:val="Box"/>
              <w:spacing w:before="0" w:line="120" w:lineRule="exact"/>
            </w:pPr>
          </w:p>
        </w:tc>
      </w:tr>
      <w:tr w:rsidR="00BF6E24" w:rsidRPr="000863A5" w14:paraId="41ECDC0D" w14:textId="77777777" w:rsidTr="00E21E82">
        <w:tc>
          <w:tcPr>
            <w:tcW w:w="5000" w:type="pct"/>
            <w:tcBorders>
              <w:top w:val="single" w:sz="6" w:space="0" w:color="78A22F"/>
              <w:left w:val="nil"/>
              <w:bottom w:val="nil"/>
              <w:right w:val="nil"/>
            </w:tcBorders>
          </w:tcPr>
          <w:p w14:paraId="16687F6B" w14:textId="77777777" w:rsidR="00BF6E24" w:rsidRPr="00626D32" w:rsidRDefault="00BF6E24" w:rsidP="00746E44">
            <w:pPr>
              <w:pStyle w:val="BoxSpaceBelow"/>
            </w:pPr>
          </w:p>
        </w:tc>
      </w:tr>
    </w:tbl>
    <w:p w14:paraId="36C2B0B2" w14:textId="77777777" w:rsidR="001F3404" w:rsidRPr="001C641C" w:rsidRDefault="00BF6E24" w:rsidP="00BF6E24">
      <w:pPr>
        <w:pStyle w:val="BodyText"/>
        <w:spacing w:after="240"/>
      </w:pPr>
      <w:r w:rsidRPr="00DA73E5">
        <w:t xml:space="preserve">The proportion of overcrowded households </w:t>
      </w:r>
      <w:r>
        <w:t>varied</w:t>
      </w:r>
      <w:r w:rsidRPr="00DA73E5">
        <w:t xml:space="preserve"> across </w:t>
      </w:r>
      <w:r w:rsidRPr="001C641C">
        <w:t>social housing programs and across jurisdictions. At 30 June</w:t>
      </w:r>
      <w:r w:rsidR="001F3404" w:rsidRPr="001C641C">
        <w:t xml:space="preserve"> 201</w:t>
      </w:r>
      <w:r w:rsidR="00A505E8">
        <w:t>7</w:t>
      </w:r>
      <w:r w:rsidR="001F3404" w:rsidRPr="001C641C">
        <w:t>:</w:t>
      </w:r>
    </w:p>
    <w:p w14:paraId="66016B90" w14:textId="77777777" w:rsidR="001F3404" w:rsidRPr="001C641C" w:rsidRDefault="00E77CBC" w:rsidP="001F3404">
      <w:pPr>
        <w:pStyle w:val="ListBullet"/>
        <w:rPr>
          <w:b/>
          <w:u w:val="dotted"/>
        </w:rPr>
      </w:pPr>
      <w:r>
        <w:t>4.0</w:t>
      </w:r>
      <w:r w:rsidR="00BF6E24" w:rsidRPr="001C641C">
        <w:t> per cent of households in public housing were overcrowded</w:t>
      </w:r>
    </w:p>
    <w:p w14:paraId="5F88576A" w14:textId="77777777" w:rsidR="001F3404" w:rsidRPr="001C641C" w:rsidRDefault="00E77CBC" w:rsidP="00FE18BB">
      <w:pPr>
        <w:pStyle w:val="ListBullet"/>
        <w:rPr>
          <w:b/>
          <w:u w:val="dotted"/>
        </w:rPr>
      </w:pPr>
      <w:r>
        <w:t>24.4</w:t>
      </w:r>
      <w:r w:rsidR="001F3404" w:rsidRPr="001C641C">
        <w:t> </w:t>
      </w:r>
      <w:r w:rsidR="00BF6E24" w:rsidRPr="001C641C">
        <w:t xml:space="preserve">per cent of </w:t>
      </w:r>
      <w:proofErr w:type="spellStart"/>
      <w:r w:rsidR="00BF6E24" w:rsidRPr="001C641C">
        <w:t>SOMIH</w:t>
      </w:r>
      <w:proofErr w:type="spellEnd"/>
      <w:r w:rsidR="00BF6E24" w:rsidRPr="001C641C">
        <w:t xml:space="preserve"> households were overcrowded</w:t>
      </w:r>
      <w:r w:rsidR="00BC3D11">
        <w:t xml:space="preserve"> </w:t>
      </w:r>
    </w:p>
    <w:p w14:paraId="0C8E7120" w14:textId="77777777" w:rsidR="001F3404" w:rsidRPr="001C641C" w:rsidRDefault="00FF05B2" w:rsidP="00FF05B2">
      <w:pPr>
        <w:pStyle w:val="ListBullet"/>
        <w:rPr>
          <w:b/>
          <w:u w:val="dotted"/>
        </w:rPr>
      </w:pPr>
      <w:r w:rsidRPr="00D51E02">
        <w:t>4.3</w:t>
      </w:r>
      <w:r w:rsidR="001C641C" w:rsidRPr="00A17C2C">
        <w:t> </w:t>
      </w:r>
      <w:r w:rsidR="00BF6E24" w:rsidRPr="001C641C">
        <w:t>per cent of households in community housing were overcrowded (figure 18</w:t>
      </w:r>
      <w:r w:rsidR="007C3353" w:rsidRPr="001C641C">
        <w:t>.</w:t>
      </w:r>
      <w:r w:rsidR="00400551">
        <w:t>4</w:t>
      </w:r>
      <w:r w:rsidR="00343212">
        <w:t>)</w:t>
      </w:r>
      <w:r w:rsidR="006F7A0C">
        <w:t>.</w:t>
      </w:r>
    </w:p>
    <w:p w14:paraId="4F969684" w14:textId="77777777" w:rsidR="00BF6E24" w:rsidRDefault="004C18A5" w:rsidP="004C18A5">
      <w:pPr>
        <w:pStyle w:val="BodyText"/>
      </w:pPr>
      <w:r>
        <w:t xml:space="preserve">Data for overcrowding in </w:t>
      </w:r>
      <w:proofErr w:type="spellStart"/>
      <w:r w:rsidR="00FE18BB">
        <w:t>ICH</w:t>
      </w:r>
      <w:proofErr w:type="spellEnd"/>
      <w:r w:rsidRPr="004C18A5">
        <w:t xml:space="preserve"> are </w:t>
      </w:r>
      <w:r>
        <w:t>presented</w:t>
      </w:r>
      <w:r w:rsidRPr="004C18A5">
        <w:t xml:space="preserve"> in table</w:t>
      </w:r>
      <w:r w:rsidR="00B93213">
        <w:t> </w:t>
      </w:r>
      <w:proofErr w:type="spellStart"/>
      <w:r w:rsidRPr="004C18A5">
        <w:t>18</w:t>
      </w:r>
      <w:r>
        <w:t>A.</w:t>
      </w:r>
      <w:r w:rsidR="009B5869">
        <w:t>28</w:t>
      </w:r>
      <w:proofErr w:type="spellEnd"/>
      <w:r w:rsidRPr="004C18A5">
        <w:t>.</w:t>
      </w:r>
    </w:p>
    <w:p w14:paraId="1C016EDD" w14:textId="7E06C2AA" w:rsidR="001156FF" w:rsidRDefault="001156FF" w:rsidP="004C18A5">
      <w:pPr>
        <w:pStyle w:val="BodyText"/>
      </w:pPr>
      <w:r>
        <w:t xml:space="preserve">Overcrowding data for Aboriginal and Torres Strait Islander households are presented in table </w:t>
      </w:r>
      <w:proofErr w:type="spellStart"/>
      <w:r>
        <w:t>18A.29</w:t>
      </w:r>
      <w:proofErr w:type="spellEnd"/>
      <w:r>
        <w:t xml:space="preserve"> and,</w:t>
      </w:r>
      <w:r w:rsidRPr="00EC62DD">
        <w:t xml:space="preserve"> </w:t>
      </w:r>
      <w:r>
        <w:t xml:space="preserve">disaggregated by remoteness for public housing and </w:t>
      </w:r>
      <w:proofErr w:type="spellStart"/>
      <w:r>
        <w:t>SOMIH</w:t>
      </w:r>
      <w:proofErr w:type="spellEnd"/>
      <w:r>
        <w:t xml:space="preserve">, in </w:t>
      </w:r>
      <w:r w:rsidRPr="00DA73E5">
        <w:t>table</w:t>
      </w:r>
      <w:r>
        <w:t>s </w:t>
      </w:r>
      <w:proofErr w:type="spellStart"/>
      <w:r>
        <w:t>18A.30</w:t>
      </w:r>
      <w:proofErr w:type="spellEnd"/>
      <w:r>
        <w:t xml:space="preserve">–31. Data for underutilisation in public housing, </w:t>
      </w:r>
      <w:proofErr w:type="spellStart"/>
      <w:r>
        <w:t>SOMIH</w:t>
      </w:r>
      <w:proofErr w:type="spellEnd"/>
      <w:r>
        <w:t xml:space="preserve"> and community housing dwellings are reported in table </w:t>
      </w:r>
      <w:proofErr w:type="spellStart"/>
      <w:r>
        <w:t>18A.32</w:t>
      </w:r>
      <w:proofErr w:type="spellEnd"/>
      <w:r w:rsidRPr="007323F3">
        <w:t>.</w:t>
      </w:r>
    </w:p>
    <w:p w14:paraId="5F192124" w14:textId="77777777" w:rsidR="004C18A5" w:rsidRDefault="004C18A5" w:rsidP="00BF6E24">
      <w:pPr>
        <w:pStyle w:val="BoxSpaceAbove"/>
        <w:spacing w:before="240"/>
      </w:pPr>
    </w:p>
    <w:tbl>
      <w:tblPr>
        <w:tblW w:w="5000" w:type="pct"/>
        <w:shd w:val="clear" w:color="auto" w:fill="FFFFFF" w:themeFill="background1"/>
        <w:tblCellMar>
          <w:left w:w="142" w:type="dxa"/>
          <w:right w:w="142" w:type="dxa"/>
        </w:tblCellMar>
        <w:tblLook w:val="0000" w:firstRow="0" w:lastRow="0" w:firstColumn="0" w:lastColumn="0" w:noHBand="0" w:noVBand="0"/>
      </w:tblPr>
      <w:tblGrid>
        <w:gridCol w:w="8789"/>
      </w:tblGrid>
      <w:tr w:rsidR="00BF6E24" w14:paraId="7D6FD44A" w14:textId="77777777" w:rsidTr="00E21E82">
        <w:tc>
          <w:tcPr>
            <w:tcW w:w="5000" w:type="pct"/>
            <w:tcBorders>
              <w:top w:val="single" w:sz="4" w:space="0" w:color="78A22F"/>
            </w:tcBorders>
            <w:shd w:val="clear" w:color="auto" w:fill="FFFFFF" w:themeFill="background1"/>
          </w:tcPr>
          <w:p w14:paraId="62193E17" w14:textId="245EEBBC" w:rsidR="00BF6E24" w:rsidRPr="00E62304" w:rsidRDefault="007C3353" w:rsidP="007C3353">
            <w:pPr>
              <w:pStyle w:val="FigureTitle"/>
            </w:pPr>
            <w:r w:rsidRPr="00FD1E41">
              <w:rPr>
                <w:b w:val="0"/>
              </w:rPr>
              <w:t xml:space="preserve">Figure </w:t>
            </w:r>
            <w:r w:rsidR="00343212">
              <w:rPr>
                <w:b w:val="0"/>
              </w:rPr>
              <w:t>18.</w:t>
            </w:r>
            <w:r w:rsidR="007D5A6B">
              <w:rPr>
                <w:b w:val="0"/>
                <w:noProof/>
              </w:rPr>
              <w:t>4</w:t>
            </w:r>
            <w:r w:rsidR="00BF6E24" w:rsidRPr="00E62304">
              <w:tab/>
              <w:t>Overcrowded households, at 30 June</w:t>
            </w:r>
            <w:r w:rsidR="00BF6E24" w:rsidRPr="00E62304">
              <w:rPr>
                <w:rStyle w:val="NoteLabel"/>
                <w:b/>
              </w:rPr>
              <w:t>a</w:t>
            </w:r>
          </w:p>
        </w:tc>
      </w:tr>
      <w:tr w:rsidR="00BF6E24" w14:paraId="077D492C" w14:textId="77777777" w:rsidTr="00BC2A19">
        <w:tblPrEx>
          <w:tblCellMar>
            <w:left w:w="108" w:type="dxa"/>
            <w:right w:w="108" w:type="dxa"/>
          </w:tblCellMar>
        </w:tblPrEx>
        <w:tc>
          <w:tcPr>
            <w:tcW w:w="5000" w:type="pct"/>
            <w:shd w:val="clear" w:color="auto" w:fill="FFFFFF" w:themeFill="background1"/>
          </w:tcPr>
          <w:p w14:paraId="46301637" w14:textId="77777777" w:rsidR="00CD5325" w:rsidRDefault="00CD5325" w:rsidP="000A3EC0">
            <w:pPr>
              <w:pStyle w:val="Figure"/>
              <w:spacing w:before="80" w:after="80"/>
              <w:rPr>
                <w:noProof/>
              </w:rPr>
            </w:pPr>
            <w:r w:rsidRPr="00962A05">
              <w:rPr>
                <w:rFonts w:ascii="Arial" w:hAnsi="Arial" w:cs="Arial"/>
                <w:b/>
                <w:sz w:val="20"/>
              </w:rPr>
              <w:t>Public housing</w:t>
            </w:r>
          </w:p>
          <w:p w14:paraId="3DD11538" w14:textId="77777777" w:rsidR="003D3803" w:rsidRDefault="00807504" w:rsidP="000B68FD">
            <w:pPr>
              <w:pStyle w:val="Figure"/>
              <w:jc w:val="left"/>
              <w:rPr>
                <w:noProof/>
              </w:rPr>
            </w:pPr>
            <w:r>
              <w:rPr>
                <w:noProof/>
              </w:rPr>
              <w:drawing>
                <wp:inline distT="0" distB="0" distL="0" distR="0" wp14:anchorId="7310D371" wp14:editId="72F121E6">
                  <wp:extent cx="5400000" cy="1770350"/>
                  <wp:effectExtent l="0" t="0" r="0" b="1905"/>
                  <wp:docPr id="26" name="Chart 26" descr="Public housing&#10;&#10;More details can be found within the text surrounding this image." title="Figure 18.4 Overcrowded households, at 30 Ju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27EC00" w14:textId="77777777" w:rsidR="00CD5325" w:rsidRDefault="00CD5325" w:rsidP="000A3EC0">
            <w:pPr>
              <w:pStyle w:val="Figure"/>
              <w:spacing w:before="80" w:after="80"/>
              <w:rPr>
                <w:rFonts w:ascii="Arial" w:hAnsi="Arial" w:cs="Arial"/>
                <w:b/>
                <w:sz w:val="20"/>
              </w:rPr>
            </w:pPr>
            <w:proofErr w:type="spellStart"/>
            <w:r>
              <w:rPr>
                <w:rFonts w:ascii="Arial" w:hAnsi="Arial" w:cs="Arial"/>
                <w:b/>
                <w:sz w:val="20"/>
              </w:rPr>
              <w:t>SOMIH</w:t>
            </w:r>
            <w:proofErr w:type="spellEnd"/>
            <w:r w:rsidR="00423277" w:rsidRPr="00423277">
              <w:rPr>
                <w:rStyle w:val="NoteLabel"/>
              </w:rPr>
              <w:t>b</w:t>
            </w:r>
          </w:p>
          <w:p w14:paraId="2B9569A2" w14:textId="18382EDD" w:rsidR="00AF20B9" w:rsidRDefault="00E304BD" w:rsidP="000A3EC0">
            <w:pPr>
              <w:pStyle w:val="Figure"/>
              <w:spacing w:before="80" w:after="80"/>
              <w:rPr>
                <w:rFonts w:ascii="Arial" w:hAnsi="Arial" w:cs="Arial"/>
                <w:b/>
                <w:sz w:val="20"/>
              </w:rPr>
            </w:pPr>
            <w:r>
              <w:rPr>
                <w:noProof/>
              </w:rPr>
              <w:drawing>
                <wp:inline distT="0" distB="0" distL="0" distR="0" wp14:anchorId="17F1476A" wp14:editId="44735232">
                  <wp:extent cx="5460960" cy="1862865"/>
                  <wp:effectExtent l="0" t="0" r="6985" b="4445"/>
                  <wp:docPr id="5" name="Chart 5" descr="SOMIH&#10;&#10;More details can be found within the text surrounding this image." title="Figure 18.4 Overcrowded households, at 30 Ju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F20B9">
              <w:rPr>
                <w:noProof/>
              </w:rPr>
              <w:t xml:space="preserve"> </w:t>
            </w:r>
            <w:r w:rsidR="00AF20B9" w:rsidRPr="00AF20B9">
              <w:rPr>
                <w:rFonts w:ascii="Arial" w:hAnsi="Arial" w:cs="Arial"/>
                <w:b/>
                <w:sz w:val="20"/>
              </w:rPr>
              <w:t>Community housing</w:t>
            </w:r>
            <w:r w:rsidR="00BB22D9" w:rsidRPr="00BB22D9">
              <w:rPr>
                <w:rStyle w:val="NoteLabel"/>
              </w:rPr>
              <w:t>c</w:t>
            </w:r>
          </w:p>
          <w:p w14:paraId="1E023715" w14:textId="77777777" w:rsidR="00CD5325" w:rsidRDefault="00FF05B2" w:rsidP="00CD5325">
            <w:pPr>
              <w:pStyle w:val="Figure"/>
              <w:rPr>
                <w:noProof/>
              </w:rPr>
            </w:pPr>
            <w:r w:rsidRPr="00D51E02">
              <w:rPr>
                <w:noProof/>
              </w:rPr>
              <w:drawing>
                <wp:inline distT="0" distB="0" distL="0" distR="0" wp14:anchorId="3C3F423A" wp14:editId="7A3EB78E">
                  <wp:extent cx="5400000" cy="1765075"/>
                  <wp:effectExtent l="0" t="0" r="0" b="6985"/>
                  <wp:docPr id="17" name="Chart 17" descr="Community housing&#10;&#10;More details can be found within the text surrounding this image." title="Figure 18.4 Overcrowded households, at 30 J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E3AFC">
              <w:rPr>
                <w:noProof/>
              </w:rPr>
              <w:t xml:space="preserve"> </w:t>
            </w:r>
          </w:p>
          <w:p w14:paraId="5607E231" w14:textId="5BEDA52F" w:rsidR="004C7DE1" w:rsidRPr="00E62304" w:rsidRDefault="00BC2A19" w:rsidP="000B68FD">
            <w:pPr>
              <w:pStyle w:val="Figure"/>
              <w:jc w:val="left"/>
            </w:pPr>
            <w:r>
              <w:rPr>
                <w:noProof/>
              </w:rPr>
              <w:drawing>
                <wp:inline distT="0" distB="0" distL="0" distR="0" wp14:anchorId="46E6F562" wp14:editId="3B1244D2">
                  <wp:extent cx="5407621" cy="146051"/>
                  <wp:effectExtent l="0" t="0" r="3175" b="6350"/>
                  <wp:docPr id="3" name="Picture 16" descr="Legend to figure 18.4 &#10;&#10;Green = 2013 to 2016&#10;Blue = 2017&#10;&#10;More details can be found within the text surrounding this image." title="Figure 18.4 Overcrowded household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9"/>
                          <a:srcRect t="90317" b="4288"/>
                          <a:stretch/>
                        </pic:blipFill>
                        <pic:spPr>
                          <a:xfrm>
                            <a:off x="0" y="0"/>
                            <a:ext cx="5407621" cy="146051"/>
                          </a:xfrm>
                          <a:prstGeom prst="rect">
                            <a:avLst/>
                          </a:prstGeom>
                        </pic:spPr>
                      </pic:pic>
                    </a:graphicData>
                  </a:graphic>
                </wp:inline>
              </w:drawing>
            </w:r>
          </w:p>
        </w:tc>
      </w:tr>
      <w:tr w:rsidR="00BF6E24" w:rsidRPr="00176D3F" w14:paraId="24555E40" w14:textId="77777777" w:rsidTr="00E21E82">
        <w:tc>
          <w:tcPr>
            <w:tcW w:w="5000" w:type="pct"/>
            <w:shd w:val="clear" w:color="auto" w:fill="FFFFFF" w:themeFill="background1"/>
          </w:tcPr>
          <w:p w14:paraId="6C6CC884" w14:textId="1D182D12" w:rsidR="00BF6E24" w:rsidRPr="00E02C3B" w:rsidRDefault="00BF6E24" w:rsidP="004232D9">
            <w:pPr>
              <w:pStyle w:val="Note"/>
              <w:rPr>
                <w:b/>
              </w:rPr>
            </w:pPr>
            <w:r w:rsidRPr="00E62304">
              <w:rPr>
                <w:rStyle w:val="NoteLabel"/>
              </w:rPr>
              <w:t>a</w:t>
            </w:r>
            <w:r w:rsidRPr="00E62304">
              <w:t xml:space="preserve"> See box</w:t>
            </w:r>
            <w:r>
              <w:t> </w:t>
            </w:r>
            <w:r w:rsidRPr="00E62304">
              <w:t>1</w:t>
            </w:r>
            <w:r>
              <w:t>8</w:t>
            </w:r>
            <w:r w:rsidR="00790CB2">
              <w:t>.</w:t>
            </w:r>
            <w:r w:rsidR="00AC59D6">
              <w:t>7</w:t>
            </w:r>
            <w:r w:rsidRPr="00E62304">
              <w:t xml:space="preserve"> and tables</w:t>
            </w:r>
            <w:r>
              <w:t> </w:t>
            </w:r>
            <w:proofErr w:type="spellStart"/>
            <w:r w:rsidR="003B2986">
              <w:t>18A.2</w:t>
            </w:r>
            <w:r w:rsidR="001C08DE">
              <w:t>5</w:t>
            </w:r>
            <w:proofErr w:type="spellEnd"/>
            <w:r w:rsidRPr="00E62304">
              <w:t>–</w:t>
            </w:r>
            <w:r w:rsidR="003B2986">
              <w:t>2</w:t>
            </w:r>
            <w:r w:rsidR="001C08DE">
              <w:t>7</w:t>
            </w:r>
            <w:r w:rsidRPr="00E62304">
              <w:t xml:space="preserve"> for detailed definitions, footnotes and caveats.</w:t>
            </w:r>
            <w:r>
              <w:rPr>
                <w:rStyle w:val="NoteLabel"/>
              </w:rPr>
              <w:t xml:space="preserve"> b</w:t>
            </w:r>
            <w:r w:rsidR="007F2CD8" w:rsidRPr="00A17C2C">
              <w:t xml:space="preserve"> </w:t>
            </w:r>
            <w:r w:rsidR="007F2CD8">
              <w:t xml:space="preserve">National data for </w:t>
            </w:r>
            <w:proofErr w:type="spellStart"/>
            <w:r w:rsidR="007F2CD8">
              <w:t>SOMIH</w:t>
            </w:r>
            <w:proofErr w:type="spellEnd"/>
            <w:r w:rsidR="007F2CD8">
              <w:t xml:space="preserve"> include all available data for each year</w:t>
            </w:r>
            <w:r w:rsidR="00463F0A">
              <w:t>.</w:t>
            </w:r>
            <w:r w:rsidR="007252E3">
              <w:t xml:space="preserve"> </w:t>
            </w:r>
            <w:r w:rsidR="0097191F" w:rsidRPr="0097191F">
              <w:t xml:space="preserve">The </w:t>
            </w:r>
            <w:proofErr w:type="spellStart"/>
            <w:r w:rsidR="0097191F" w:rsidRPr="0097191F">
              <w:t>SOMIH</w:t>
            </w:r>
            <w:proofErr w:type="spellEnd"/>
            <w:r w:rsidR="0097191F" w:rsidRPr="0097191F">
              <w:t xml:space="preserve"> program in the NT commenced reporting in 2016-17.</w:t>
            </w:r>
            <w:r w:rsidR="0097191F">
              <w:t xml:space="preserve"> </w:t>
            </w:r>
            <w:r w:rsidR="007252E3" w:rsidRPr="00A17C2C">
              <w:rPr>
                <w:rStyle w:val="NoteLabel"/>
              </w:rPr>
              <w:t>c</w:t>
            </w:r>
            <w:r w:rsidR="007252E3" w:rsidRPr="00A17C2C">
              <w:t xml:space="preserve"> </w:t>
            </w:r>
            <w:r w:rsidR="007F2CD8" w:rsidRPr="007F2CD8">
              <w:t xml:space="preserve">Community housing data are not available for the NT </w:t>
            </w:r>
            <w:r w:rsidR="004232D9">
              <w:t>and are not available f</w:t>
            </w:r>
            <w:r w:rsidR="007F2CD8" w:rsidRPr="007F2CD8">
              <w:t xml:space="preserve">or Queensland </w:t>
            </w:r>
            <w:r w:rsidR="007F2CD8">
              <w:t>for 2015 and previous years</w:t>
            </w:r>
            <w:r w:rsidRPr="00A17C2C">
              <w:t>.</w:t>
            </w:r>
          </w:p>
        </w:tc>
      </w:tr>
      <w:tr w:rsidR="00BF6E24" w:rsidRPr="00176D3F" w14:paraId="72D24869" w14:textId="77777777" w:rsidTr="00E21E82">
        <w:tc>
          <w:tcPr>
            <w:tcW w:w="5000" w:type="pct"/>
            <w:shd w:val="clear" w:color="auto" w:fill="FFFFFF" w:themeFill="background1"/>
          </w:tcPr>
          <w:p w14:paraId="7A0D7F1C" w14:textId="77777777" w:rsidR="00BF6E24" w:rsidRPr="00E62304" w:rsidRDefault="00BF6E24" w:rsidP="006530AE">
            <w:pPr>
              <w:pStyle w:val="Source"/>
              <w:spacing w:after="80"/>
            </w:pPr>
            <w:r w:rsidRPr="00E62304">
              <w:rPr>
                <w:i/>
              </w:rPr>
              <w:t>Source</w:t>
            </w:r>
            <w:r w:rsidRPr="00E62304">
              <w:t xml:space="preserve">: </w:t>
            </w:r>
            <w:proofErr w:type="spellStart"/>
            <w:r w:rsidRPr="00E62304">
              <w:t>AIHW</w:t>
            </w:r>
            <w:proofErr w:type="spellEnd"/>
            <w:r w:rsidRPr="00E62304">
              <w:t xml:space="preserve"> (unpublished) </w:t>
            </w:r>
            <w:r w:rsidRPr="00A11155">
              <w:t>National Housing Assistance Data Repository</w:t>
            </w:r>
            <w:r w:rsidRPr="00E62304">
              <w:rPr>
                <w:i/>
              </w:rPr>
              <w:t xml:space="preserve">; </w:t>
            </w:r>
            <w:r w:rsidRPr="00E62304">
              <w:t>tables</w:t>
            </w:r>
            <w:r>
              <w:t> </w:t>
            </w:r>
            <w:proofErr w:type="spellStart"/>
            <w:r w:rsidR="003B2986">
              <w:t>18A.2</w:t>
            </w:r>
            <w:r w:rsidR="001C08DE">
              <w:t>5</w:t>
            </w:r>
            <w:proofErr w:type="spellEnd"/>
            <w:r w:rsidRPr="00E62304">
              <w:t>–</w:t>
            </w:r>
            <w:r w:rsidR="003B2986">
              <w:t>2</w:t>
            </w:r>
            <w:r w:rsidR="001C08DE">
              <w:t>7</w:t>
            </w:r>
            <w:r w:rsidRPr="00E62304">
              <w:t>.</w:t>
            </w:r>
          </w:p>
        </w:tc>
      </w:tr>
      <w:tr w:rsidR="00BF6E24" w14:paraId="5311A5FB" w14:textId="77777777" w:rsidTr="00E21E82">
        <w:tc>
          <w:tcPr>
            <w:tcW w:w="5000" w:type="pct"/>
            <w:tcBorders>
              <w:bottom w:val="single" w:sz="4" w:space="0" w:color="78A22F"/>
            </w:tcBorders>
            <w:shd w:val="clear" w:color="auto" w:fill="FFFFFF" w:themeFill="background1"/>
          </w:tcPr>
          <w:p w14:paraId="0830CC13" w14:textId="77777777" w:rsidR="00BF6E24" w:rsidRPr="00E62304" w:rsidRDefault="00BF6E24" w:rsidP="00746E44">
            <w:pPr>
              <w:pStyle w:val="Figurespace"/>
            </w:pPr>
          </w:p>
        </w:tc>
      </w:tr>
      <w:tr w:rsidR="00BF6E24" w:rsidRPr="000863A5" w14:paraId="54932188" w14:textId="77777777" w:rsidTr="00E21E82">
        <w:tc>
          <w:tcPr>
            <w:tcW w:w="5000" w:type="pct"/>
            <w:tcBorders>
              <w:top w:val="single" w:sz="4" w:space="0" w:color="78A22F"/>
            </w:tcBorders>
            <w:shd w:val="clear" w:color="auto" w:fill="FFFFFF" w:themeFill="background1"/>
          </w:tcPr>
          <w:p w14:paraId="6719670C" w14:textId="77777777" w:rsidR="00BF6E24" w:rsidRPr="00E62304" w:rsidRDefault="00BF6E24" w:rsidP="00746E44">
            <w:pPr>
              <w:pStyle w:val="BoxSpaceBelow"/>
            </w:pPr>
          </w:p>
        </w:tc>
      </w:tr>
    </w:tbl>
    <w:p w14:paraId="2B7A4702" w14:textId="48D4850F" w:rsidR="00BF6E24" w:rsidRPr="00DA73E5" w:rsidRDefault="00BF6E24" w:rsidP="00BF6E24">
      <w:pPr>
        <w:pStyle w:val="BodyText"/>
        <w:spacing w:after="240"/>
      </w:pPr>
    </w:p>
    <w:p w14:paraId="0D02E116" w14:textId="77777777" w:rsidR="00BF6E24" w:rsidRPr="00E66BE3" w:rsidRDefault="00BF6E24" w:rsidP="00BF6E24">
      <w:pPr>
        <w:pStyle w:val="Heading4"/>
      </w:pPr>
      <w:r>
        <w:lastRenderedPageBreak/>
        <w:t xml:space="preserve">Appropriateness — </w:t>
      </w:r>
      <w:r w:rsidRPr="00E66BE3">
        <w:t>Amenity/location</w:t>
      </w:r>
    </w:p>
    <w:p w14:paraId="4281B5CD" w14:textId="77777777" w:rsidR="003B12B5" w:rsidRPr="00DC04F0" w:rsidRDefault="00BF6E24" w:rsidP="0033604C">
      <w:pPr>
        <w:pStyle w:val="BodyText"/>
        <w:rPr>
          <w:lang w:eastAsia="en-US"/>
        </w:rPr>
      </w:pPr>
      <w:r>
        <w:t xml:space="preserve">‘Amenity/location’ is an indicator of governments’ objective to provide </w:t>
      </w:r>
      <w:r w:rsidR="00EA4319">
        <w:t>services</w:t>
      </w:r>
      <w:r>
        <w:t xml:space="preserve"> that </w:t>
      </w:r>
      <w:r w:rsidR="00EA4319">
        <w:t>are</w:t>
      </w:r>
      <w:r>
        <w:t xml:space="preserve"> appropriate</w:t>
      </w:r>
      <w:r w:rsidR="00250E4E">
        <w:t xml:space="preserve">, </w:t>
      </w:r>
      <w:r w:rsidR="00250E4E" w:rsidRPr="00250E4E">
        <w:t xml:space="preserve">meeting </w:t>
      </w:r>
      <w:r>
        <w:t xml:space="preserve">the needs of </w:t>
      </w:r>
      <w:r w:rsidR="00250E4E" w:rsidRPr="00250E4E">
        <w:t xml:space="preserve">individual </w:t>
      </w:r>
      <w:r w:rsidR="00790CB2">
        <w:t>households (box 18.</w:t>
      </w:r>
      <w:r w:rsidR="00B11A4D">
        <w:t>8</w:t>
      </w:r>
      <w:r>
        <w:t>).</w:t>
      </w:r>
    </w:p>
    <w:p w14:paraId="052844C8" w14:textId="77777777" w:rsidR="00BF6E24" w:rsidRDefault="00BF6E24" w:rsidP="00BF6E2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F6E24" w14:paraId="4F53C7E6" w14:textId="77777777" w:rsidTr="006530AE">
        <w:tc>
          <w:tcPr>
            <w:tcW w:w="5000" w:type="pct"/>
            <w:tcBorders>
              <w:top w:val="single" w:sz="6" w:space="0" w:color="78A22F"/>
              <w:left w:val="nil"/>
              <w:bottom w:val="nil"/>
              <w:right w:val="nil"/>
            </w:tcBorders>
            <w:shd w:val="clear" w:color="auto" w:fill="F2F2F2" w:themeFill="background1" w:themeFillShade="F2"/>
          </w:tcPr>
          <w:p w14:paraId="74E34ED2" w14:textId="34CEA92D" w:rsidR="00BF6E24" w:rsidRDefault="00790CB2" w:rsidP="00790CB2">
            <w:pPr>
              <w:pStyle w:val="BoxTitle"/>
            </w:pPr>
            <w:r>
              <w:rPr>
                <w:b w:val="0"/>
              </w:rPr>
              <w:t>Box 18.</w:t>
            </w:r>
            <w:r w:rsidR="007D5A6B">
              <w:rPr>
                <w:b w:val="0"/>
                <w:noProof/>
              </w:rPr>
              <w:t>8</w:t>
            </w:r>
            <w:r w:rsidR="00BF6E24">
              <w:tab/>
            </w:r>
            <w:r w:rsidR="00BF6E24" w:rsidRPr="00E66BE3">
              <w:t>Amenity/location</w:t>
            </w:r>
          </w:p>
        </w:tc>
      </w:tr>
      <w:tr w:rsidR="00BF6E24" w14:paraId="7EE8A061" w14:textId="77777777" w:rsidTr="006530AE">
        <w:trPr>
          <w:cantSplit/>
        </w:trPr>
        <w:tc>
          <w:tcPr>
            <w:tcW w:w="5000" w:type="pct"/>
            <w:tcBorders>
              <w:top w:val="nil"/>
              <w:left w:val="nil"/>
              <w:bottom w:val="nil"/>
              <w:right w:val="nil"/>
            </w:tcBorders>
            <w:shd w:val="clear" w:color="auto" w:fill="F2F2F2" w:themeFill="background1" w:themeFillShade="F2"/>
          </w:tcPr>
          <w:p w14:paraId="5C2894E6" w14:textId="77777777" w:rsidR="00F02A46" w:rsidRDefault="00BF6E24" w:rsidP="00746E44">
            <w:pPr>
              <w:pStyle w:val="Box"/>
            </w:pPr>
            <w:r w:rsidRPr="00E66BE3">
              <w:t xml:space="preserve">‘Amenity/location’ is defined as the proportion of </w:t>
            </w:r>
            <w:r w:rsidR="003815A7">
              <w:t>those households that rate particular aspects of amenity and location as important to their needs, who are in dwellings that meet those needs</w:t>
            </w:r>
            <w:r w:rsidRPr="00E66BE3">
              <w:t>.</w:t>
            </w:r>
          </w:p>
          <w:p w14:paraId="1BE52D4C" w14:textId="77777777" w:rsidR="00BF6E24" w:rsidRPr="00E66BE3" w:rsidRDefault="00BF6E24" w:rsidP="00746E44">
            <w:pPr>
              <w:pStyle w:val="Box"/>
            </w:pPr>
            <w:r>
              <w:t xml:space="preserve">‘Amenity’ aspects include size of dwelling, modifications for special needs, ease of access and entry, car parking, yard space and fencing, privacy of home, safety/security of home and safety/security of neighbourhood. ‘Location’ aspects </w:t>
            </w:r>
            <w:r w:rsidR="003815A7">
              <w:t xml:space="preserve">include proximity to </w:t>
            </w:r>
            <w:r>
              <w:t>facilities and services</w:t>
            </w:r>
            <w:r w:rsidR="00B70742">
              <w:t xml:space="preserve"> </w:t>
            </w:r>
            <w:r w:rsidR="00DD744E">
              <w:t>such as</w:t>
            </w:r>
            <w:r>
              <w:t>: shops and banking, public transport, parks and recreational facilities, emergency services</w:t>
            </w:r>
            <w:r w:rsidR="00D52096">
              <w:t>,</w:t>
            </w:r>
            <w:r>
              <w:t xml:space="preserve"> medical services and hospitals, child care facilities, education/training facilities, employment/place of work, community and support services, family and friends.</w:t>
            </w:r>
          </w:p>
          <w:p w14:paraId="42078C1C" w14:textId="77777777" w:rsidR="00BF6E24" w:rsidRPr="00E66BE3" w:rsidRDefault="00BF6E24" w:rsidP="00746E44">
            <w:pPr>
              <w:pStyle w:val="Box"/>
            </w:pPr>
            <w:r w:rsidRPr="00E66BE3">
              <w:t xml:space="preserve">A high or increasing </w:t>
            </w:r>
            <w:r w:rsidR="00E56EEA" w:rsidRPr="00E66BE3">
              <w:t xml:space="preserve">proportion of </w:t>
            </w:r>
            <w:r w:rsidR="00E56EEA">
              <w:t xml:space="preserve">households </w:t>
            </w:r>
            <w:r w:rsidRPr="00E66BE3">
              <w:t xml:space="preserve">with amenity and location </w:t>
            </w:r>
            <w:r w:rsidR="00E56EEA">
              <w:t>needs met is desirable</w:t>
            </w:r>
            <w:r w:rsidRPr="00E66BE3">
              <w:t>.</w:t>
            </w:r>
          </w:p>
          <w:p w14:paraId="3696DD4C" w14:textId="77777777" w:rsidR="00BF6E24" w:rsidRPr="00E66BE3" w:rsidRDefault="00BF6E24" w:rsidP="00746E44">
            <w:pPr>
              <w:pStyle w:val="Box"/>
            </w:pPr>
            <w:r w:rsidRPr="00E66BE3">
              <w:t xml:space="preserve">Data for this </w:t>
            </w:r>
            <w:r w:rsidR="00E56EEA">
              <w:t>measure</w:t>
            </w:r>
            <w:r w:rsidRPr="00E66BE3">
              <w:t xml:space="preserve"> are reported for public housing</w:t>
            </w:r>
            <w:r>
              <w:t xml:space="preserve">, </w:t>
            </w:r>
            <w:proofErr w:type="spellStart"/>
            <w:r>
              <w:t>SOMIH</w:t>
            </w:r>
            <w:proofErr w:type="spellEnd"/>
            <w:r>
              <w:t xml:space="preserve"> and community housing</w:t>
            </w:r>
            <w:r w:rsidR="00F7770F">
              <w:t xml:space="preserve"> (</w:t>
            </w:r>
            <w:proofErr w:type="spellStart"/>
            <w:r w:rsidR="00F7770F">
              <w:t>ICH</w:t>
            </w:r>
            <w:proofErr w:type="spellEnd"/>
            <w:r w:rsidR="00F7770F">
              <w:t xml:space="preserve"> data are not available)</w:t>
            </w:r>
            <w:r w:rsidR="00F02A46">
              <w:t xml:space="preserve"> and</w:t>
            </w:r>
            <w:r w:rsidRPr="00E66BE3">
              <w:t xml:space="preserve"> are:</w:t>
            </w:r>
          </w:p>
          <w:p w14:paraId="54B47F41" w14:textId="77777777" w:rsidR="00BF6E24" w:rsidRPr="00E66BE3" w:rsidRDefault="00BF6E24" w:rsidP="00565BA9">
            <w:pPr>
              <w:pStyle w:val="Box"/>
              <w:numPr>
                <w:ilvl w:val="0"/>
                <w:numId w:val="1"/>
              </w:numPr>
            </w:pPr>
            <w:r w:rsidRPr="00E66BE3">
              <w:t xml:space="preserve">comparable (subject to caveats) across jurisdictions </w:t>
            </w:r>
            <w:r w:rsidR="00246B7F">
              <w:t xml:space="preserve">and over time from the 2014 </w:t>
            </w:r>
            <w:r w:rsidRPr="00E66BE3">
              <w:t>reporting period</w:t>
            </w:r>
          </w:p>
          <w:p w14:paraId="2B82C7DE" w14:textId="77777777" w:rsidR="00BF6E24" w:rsidRPr="00E66BE3" w:rsidRDefault="00BF6E24" w:rsidP="00565BA9">
            <w:pPr>
              <w:pStyle w:val="Box"/>
              <w:numPr>
                <w:ilvl w:val="0"/>
                <w:numId w:val="1"/>
              </w:numPr>
            </w:pPr>
            <w:r w:rsidRPr="00E66BE3">
              <w:t xml:space="preserve">not comparable across public housing, </w:t>
            </w:r>
            <w:proofErr w:type="spellStart"/>
            <w:r w:rsidRPr="00E66BE3">
              <w:t>SOMIH</w:t>
            </w:r>
            <w:proofErr w:type="spellEnd"/>
            <w:r w:rsidRPr="00E66BE3">
              <w:t xml:space="preserve"> and community housing </w:t>
            </w:r>
            <w:r>
              <w:t>due to the different demographic profile</w:t>
            </w:r>
            <w:r w:rsidR="00D557A1">
              <w:t>s</w:t>
            </w:r>
            <w:r>
              <w:t xml:space="preserve"> of Aboriginal and Torres Strait Islander tenants and the method of data collection</w:t>
            </w:r>
          </w:p>
          <w:p w14:paraId="533A4EAA" w14:textId="77777777" w:rsidR="00F02A46" w:rsidRPr="00B70742" w:rsidRDefault="00BF6E24" w:rsidP="004C6763">
            <w:pPr>
              <w:pStyle w:val="BoxListBullet"/>
            </w:pPr>
            <w:r w:rsidRPr="00E66BE3">
              <w:t>complete for the current reporting period (subject to caveats)</w:t>
            </w:r>
            <w:r w:rsidR="004C6763">
              <w:t xml:space="preserve"> </w:t>
            </w:r>
            <w:r w:rsidR="004C6763" w:rsidRPr="004C6763">
              <w:t>except for community housing</w:t>
            </w:r>
            <w:r w:rsidR="004C6763">
              <w:t>, for which a</w:t>
            </w:r>
            <w:r w:rsidRPr="00E66BE3">
              <w:t>ll required</w:t>
            </w:r>
            <w:r w:rsidR="00BE66A8">
              <w:t xml:space="preserve"> 2016</w:t>
            </w:r>
            <w:r w:rsidRPr="00E66BE3">
              <w:t xml:space="preserve"> data </w:t>
            </w:r>
            <w:r w:rsidR="004C6763" w:rsidRPr="00E66BE3">
              <w:t xml:space="preserve">were not available for the </w:t>
            </w:r>
            <w:r w:rsidR="004C6763">
              <w:t>NT</w:t>
            </w:r>
            <w:r>
              <w:t>.</w:t>
            </w:r>
          </w:p>
        </w:tc>
      </w:tr>
      <w:tr w:rsidR="00BF6E24" w14:paraId="4A09CA87" w14:textId="77777777" w:rsidTr="006530AE">
        <w:trPr>
          <w:cantSplit/>
        </w:trPr>
        <w:tc>
          <w:tcPr>
            <w:tcW w:w="5000" w:type="pct"/>
            <w:tcBorders>
              <w:top w:val="nil"/>
              <w:left w:val="nil"/>
              <w:bottom w:val="single" w:sz="6" w:space="0" w:color="78A22F"/>
              <w:right w:val="nil"/>
            </w:tcBorders>
            <w:shd w:val="clear" w:color="auto" w:fill="F2F2F2" w:themeFill="background1" w:themeFillShade="F2"/>
          </w:tcPr>
          <w:p w14:paraId="3D5D9429" w14:textId="77777777" w:rsidR="00BF6E24" w:rsidRDefault="00BF6E24" w:rsidP="00746E44">
            <w:pPr>
              <w:pStyle w:val="Box"/>
              <w:spacing w:before="0" w:line="120" w:lineRule="exact"/>
            </w:pPr>
          </w:p>
        </w:tc>
      </w:tr>
      <w:tr w:rsidR="00BF6E24" w:rsidRPr="000863A5" w14:paraId="6F22431C" w14:textId="77777777" w:rsidTr="006530AE">
        <w:tc>
          <w:tcPr>
            <w:tcW w:w="5000" w:type="pct"/>
            <w:tcBorders>
              <w:top w:val="single" w:sz="6" w:space="0" w:color="78A22F"/>
              <w:left w:val="nil"/>
              <w:bottom w:val="nil"/>
              <w:right w:val="nil"/>
            </w:tcBorders>
          </w:tcPr>
          <w:p w14:paraId="74AB6A84" w14:textId="77777777" w:rsidR="00BF6E24" w:rsidRPr="00626D32" w:rsidRDefault="00BF6E24" w:rsidP="00746E44">
            <w:pPr>
              <w:pStyle w:val="BoxSpaceBelow"/>
            </w:pPr>
          </w:p>
        </w:tc>
      </w:tr>
    </w:tbl>
    <w:p w14:paraId="10757E70" w14:textId="3AB9D0F2" w:rsidR="00DC6D6D" w:rsidRDefault="00C70B88" w:rsidP="00DC6D6D">
      <w:pPr>
        <w:pStyle w:val="BodyText"/>
        <w:rPr>
          <w:color w:val="000000" w:themeColor="text1"/>
        </w:rPr>
      </w:pPr>
      <w:r>
        <w:rPr>
          <w:color w:val="000000" w:themeColor="text1"/>
        </w:rPr>
        <w:t>I</w:t>
      </w:r>
      <w:r w:rsidR="00BF6E24">
        <w:rPr>
          <w:color w:val="000000" w:themeColor="text1"/>
        </w:rPr>
        <w:t>n</w:t>
      </w:r>
      <w:r w:rsidR="004F30C6">
        <w:rPr>
          <w:color w:val="000000" w:themeColor="text1"/>
        </w:rPr>
        <w:t xml:space="preserve"> 2016</w:t>
      </w:r>
      <w:r w:rsidR="00BF6E24">
        <w:rPr>
          <w:color w:val="000000" w:themeColor="text1"/>
        </w:rPr>
        <w:t xml:space="preserve">, the majority of </w:t>
      </w:r>
      <w:r>
        <w:rPr>
          <w:color w:val="000000" w:themeColor="text1"/>
        </w:rPr>
        <w:t xml:space="preserve">National Social Housing Survey </w:t>
      </w:r>
      <w:r w:rsidR="00062CBF">
        <w:rPr>
          <w:color w:val="000000" w:themeColor="text1"/>
        </w:rPr>
        <w:t>(</w:t>
      </w:r>
      <w:proofErr w:type="spellStart"/>
      <w:r w:rsidR="00062CBF">
        <w:rPr>
          <w:color w:val="000000" w:themeColor="text1"/>
        </w:rPr>
        <w:t>NSHS</w:t>
      </w:r>
      <w:proofErr w:type="spellEnd"/>
      <w:r w:rsidR="00062CBF">
        <w:rPr>
          <w:color w:val="000000" w:themeColor="text1"/>
        </w:rPr>
        <w:t xml:space="preserve">) </w:t>
      </w:r>
      <w:r w:rsidR="00BF6E24">
        <w:rPr>
          <w:color w:val="000000" w:themeColor="text1"/>
        </w:rPr>
        <w:t xml:space="preserve">respondents </w:t>
      </w:r>
      <w:r w:rsidR="00B049E8">
        <w:rPr>
          <w:color w:val="000000" w:themeColor="text1"/>
        </w:rPr>
        <w:t xml:space="preserve">who </w:t>
      </w:r>
      <w:r w:rsidR="00BF6E24">
        <w:rPr>
          <w:color w:val="000000" w:themeColor="text1"/>
        </w:rPr>
        <w:t xml:space="preserve">indicated that the </w:t>
      </w:r>
      <w:r w:rsidR="00DD744E">
        <w:rPr>
          <w:color w:val="000000" w:themeColor="text1"/>
        </w:rPr>
        <w:t xml:space="preserve">selected </w:t>
      </w:r>
      <w:r w:rsidR="00BF6E24">
        <w:rPr>
          <w:color w:val="000000" w:themeColor="text1"/>
        </w:rPr>
        <w:t>amenity and location aspects of their dwelling were important</w:t>
      </w:r>
      <w:r w:rsidR="00B049E8">
        <w:rPr>
          <w:color w:val="000000" w:themeColor="text1"/>
        </w:rPr>
        <w:t xml:space="preserve"> also indicated</w:t>
      </w:r>
      <w:r w:rsidR="00BF6E24">
        <w:rPr>
          <w:color w:val="000000" w:themeColor="text1"/>
        </w:rPr>
        <w:t xml:space="preserve"> </w:t>
      </w:r>
      <w:r w:rsidR="00BB6DF1">
        <w:rPr>
          <w:color w:val="000000" w:themeColor="text1"/>
        </w:rPr>
        <w:t xml:space="preserve">that </w:t>
      </w:r>
      <w:r w:rsidR="00B049E8">
        <w:rPr>
          <w:color w:val="000000" w:themeColor="text1"/>
        </w:rPr>
        <w:t xml:space="preserve">those aspects met their </w:t>
      </w:r>
      <w:r w:rsidR="00DD744E">
        <w:rPr>
          <w:color w:val="000000" w:themeColor="text1"/>
        </w:rPr>
        <w:t>household</w:t>
      </w:r>
      <w:r w:rsidR="00BB6DF1">
        <w:rPr>
          <w:color w:val="000000" w:themeColor="text1"/>
        </w:rPr>
        <w:t xml:space="preserve">’s </w:t>
      </w:r>
      <w:r w:rsidR="00B049E8">
        <w:rPr>
          <w:color w:val="000000" w:themeColor="text1"/>
        </w:rPr>
        <w:t>needs</w:t>
      </w:r>
      <w:r w:rsidR="00BB6DF1">
        <w:rPr>
          <w:color w:val="000000" w:themeColor="text1"/>
        </w:rPr>
        <w:t xml:space="preserve">. Averaged across </w:t>
      </w:r>
      <w:r w:rsidR="00783175">
        <w:rPr>
          <w:color w:val="000000" w:themeColor="text1"/>
        </w:rPr>
        <w:t xml:space="preserve">the </w:t>
      </w:r>
      <w:r w:rsidR="00BB6DF1">
        <w:rPr>
          <w:color w:val="000000" w:themeColor="text1"/>
        </w:rPr>
        <w:t>amenity</w:t>
      </w:r>
      <w:r w:rsidR="00783175">
        <w:rPr>
          <w:color w:val="000000" w:themeColor="text1"/>
        </w:rPr>
        <w:t xml:space="preserve"> </w:t>
      </w:r>
      <w:r w:rsidR="00BB6DF1">
        <w:rPr>
          <w:color w:val="000000" w:themeColor="text1"/>
        </w:rPr>
        <w:t xml:space="preserve">and </w:t>
      </w:r>
      <w:r w:rsidR="00783175">
        <w:rPr>
          <w:color w:val="000000" w:themeColor="text1"/>
        </w:rPr>
        <w:t xml:space="preserve">the </w:t>
      </w:r>
      <w:r w:rsidR="00BB6DF1">
        <w:rPr>
          <w:color w:val="000000" w:themeColor="text1"/>
        </w:rPr>
        <w:t>location items, the proportion responding that their household’s needs were met</w:t>
      </w:r>
      <w:r w:rsidR="00DD744E">
        <w:rPr>
          <w:color w:val="000000" w:themeColor="text1"/>
        </w:rPr>
        <w:t xml:space="preserve"> </w:t>
      </w:r>
      <w:r w:rsidR="00BB6DF1">
        <w:rPr>
          <w:color w:val="000000" w:themeColor="text1"/>
        </w:rPr>
        <w:t>were</w:t>
      </w:r>
      <w:r w:rsidR="00BF6E24">
        <w:rPr>
          <w:color w:val="000000" w:themeColor="text1"/>
        </w:rPr>
        <w:t>:</w:t>
      </w:r>
    </w:p>
    <w:p w14:paraId="06804C82" w14:textId="77777777" w:rsidR="00BF6E24" w:rsidRDefault="00BF6E24" w:rsidP="00BF6E24">
      <w:pPr>
        <w:pStyle w:val="ListBullet"/>
      </w:pPr>
      <w:r>
        <w:t xml:space="preserve">public housing —  amenity </w:t>
      </w:r>
      <w:r w:rsidRPr="004F30C6">
        <w:t>(8</w:t>
      </w:r>
      <w:r w:rsidR="004F30C6" w:rsidRPr="004F30C6">
        <w:t>2</w:t>
      </w:r>
      <w:r w:rsidRPr="004F30C6">
        <w:t>.</w:t>
      </w:r>
      <w:r w:rsidR="004F30C6" w:rsidRPr="004F30C6">
        <w:t>6</w:t>
      </w:r>
      <w:r w:rsidRPr="004F30C6">
        <w:t xml:space="preserve"> per</w:t>
      </w:r>
      <w:r>
        <w:t xml:space="preserve"> cent) and location </w:t>
      </w:r>
      <w:r w:rsidRPr="004F30C6">
        <w:t>(</w:t>
      </w:r>
      <w:r w:rsidR="004F30C6">
        <w:t xml:space="preserve">89.0 </w:t>
      </w:r>
      <w:r>
        <w:t>per cent)</w:t>
      </w:r>
    </w:p>
    <w:p w14:paraId="0303C516" w14:textId="77777777" w:rsidR="00BF6E24" w:rsidRDefault="00BF6E24" w:rsidP="00BF6E24">
      <w:pPr>
        <w:pStyle w:val="ListBullet"/>
      </w:pPr>
      <w:proofErr w:type="spellStart"/>
      <w:r>
        <w:t>SOMIH</w:t>
      </w:r>
      <w:proofErr w:type="spellEnd"/>
      <w:r>
        <w:t xml:space="preserve">  —</w:t>
      </w:r>
      <w:r w:rsidR="002C6C7D">
        <w:t xml:space="preserve"> </w:t>
      </w:r>
      <w:r>
        <w:t>amenity (</w:t>
      </w:r>
      <w:r w:rsidR="004F30C6">
        <w:t>82.9</w:t>
      </w:r>
      <w:r w:rsidR="002C6C7D">
        <w:t> </w:t>
      </w:r>
      <w:r>
        <w:t>per cent) and location (</w:t>
      </w:r>
      <w:r w:rsidR="004F30C6">
        <w:t>90.9 </w:t>
      </w:r>
      <w:r>
        <w:t>per cent)</w:t>
      </w:r>
    </w:p>
    <w:p w14:paraId="42AC96C3" w14:textId="77777777" w:rsidR="00BF6E24" w:rsidRDefault="00BF6E24" w:rsidP="00BF6E24">
      <w:pPr>
        <w:pStyle w:val="ListBullet"/>
      </w:pPr>
      <w:r>
        <w:t>community housing —</w:t>
      </w:r>
      <w:r w:rsidR="002C6C7D">
        <w:t xml:space="preserve"> </w:t>
      </w:r>
      <w:r>
        <w:t>amenity (</w:t>
      </w:r>
      <w:r w:rsidR="004F30C6">
        <w:t>85.8</w:t>
      </w:r>
      <w:r w:rsidR="002C6C7D">
        <w:t> </w:t>
      </w:r>
      <w:r>
        <w:t>per cent) and location (</w:t>
      </w:r>
      <w:r w:rsidR="004F30C6">
        <w:t>90.2 </w:t>
      </w:r>
      <w:r w:rsidR="002C6C7D">
        <w:t>per </w:t>
      </w:r>
      <w:r>
        <w:t>cent) (figure 18.</w:t>
      </w:r>
      <w:r w:rsidR="00BD20A4">
        <w:t>5</w:t>
      </w:r>
      <w:r>
        <w:t>).</w:t>
      </w:r>
    </w:p>
    <w:p w14:paraId="72209267" w14:textId="24282ED6" w:rsidR="00725444" w:rsidRPr="00AD4456" w:rsidRDefault="00725444" w:rsidP="00725444">
      <w:pPr>
        <w:pStyle w:val="BodyText"/>
        <w:rPr>
          <w:color w:val="000000" w:themeColor="text1"/>
        </w:rPr>
      </w:pPr>
      <w:r>
        <w:rPr>
          <w:color w:val="000000" w:themeColor="text1"/>
        </w:rPr>
        <w:t>Averaged amenity and location d</w:t>
      </w:r>
      <w:r w:rsidRPr="004A4D9A">
        <w:rPr>
          <w:color w:val="000000" w:themeColor="text1"/>
        </w:rPr>
        <w:t xml:space="preserve">ata </w:t>
      </w:r>
      <w:r>
        <w:rPr>
          <w:color w:val="000000" w:themeColor="text1"/>
        </w:rPr>
        <w:t xml:space="preserve">for households </w:t>
      </w:r>
      <w:r w:rsidRPr="004A4D9A">
        <w:rPr>
          <w:color w:val="000000" w:themeColor="text1"/>
        </w:rPr>
        <w:t xml:space="preserve">with a member with disability </w:t>
      </w:r>
      <w:r>
        <w:rPr>
          <w:color w:val="000000" w:themeColor="text1"/>
        </w:rPr>
        <w:t xml:space="preserve">are </w:t>
      </w:r>
      <w:r w:rsidRPr="004A4D9A">
        <w:rPr>
          <w:color w:val="000000" w:themeColor="text1"/>
        </w:rPr>
        <w:t>available in tables</w:t>
      </w:r>
      <w:r>
        <w:rPr>
          <w:color w:val="000000" w:themeColor="text1"/>
        </w:rPr>
        <w:t> </w:t>
      </w:r>
      <w:proofErr w:type="spellStart"/>
      <w:r w:rsidR="008F55E0" w:rsidRPr="008F55E0">
        <w:t>18A.33</w:t>
      </w:r>
      <w:proofErr w:type="spellEnd"/>
      <w:r w:rsidR="005D65F9" w:rsidRPr="005D65F9">
        <w:t>–3</w:t>
      </w:r>
      <w:r w:rsidR="008F55E0">
        <w:t>5</w:t>
      </w:r>
      <w:r>
        <w:t>.</w:t>
      </w:r>
    </w:p>
    <w:p w14:paraId="669D68E9" w14:textId="65FC4C06" w:rsidR="00BF6E24" w:rsidRDefault="00BF6E24" w:rsidP="00BF6E24">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BF6E24" w14:paraId="738E3018" w14:textId="77777777" w:rsidTr="006530AE">
        <w:tc>
          <w:tcPr>
            <w:tcW w:w="8789" w:type="dxa"/>
            <w:tcBorders>
              <w:top w:val="single" w:sz="6" w:space="0" w:color="78A22F"/>
              <w:left w:val="nil"/>
              <w:bottom w:val="nil"/>
              <w:right w:val="nil"/>
            </w:tcBorders>
            <w:shd w:val="clear" w:color="auto" w:fill="auto"/>
          </w:tcPr>
          <w:p w14:paraId="3FCE9746" w14:textId="324A974A" w:rsidR="00BF6E24" w:rsidRPr="00176D3F" w:rsidRDefault="00BF6E24" w:rsidP="007C3353">
            <w:pPr>
              <w:pStyle w:val="FigureTitle"/>
            </w:pPr>
            <w:r w:rsidRPr="00784A05">
              <w:rPr>
                <w:b w:val="0"/>
              </w:rPr>
              <w:t xml:space="preserve">Figure </w:t>
            </w:r>
            <w:r w:rsidR="00343212">
              <w:rPr>
                <w:b w:val="0"/>
              </w:rPr>
              <w:t>18.</w:t>
            </w:r>
            <w:r w:rsidR="007D5A6B">
              <w:rPr>
                <w:b w:val="0"/>
                <w:noProof/>
              </w:rPr>
              <w:t>5</w:t>
            </w:r>
            <w:r>
              <w:tab/>
            </w:r>
            <w:r w:rsidRPr="0010174D">
              <w:t>Proportion of tenants rating amenity and location aspects as important and meeting their needs,</w:t>
            </w:r>
            <w:r w:rsidR="005B51FE" w:rsidRPr="0010174D">
              <w:t xml:space="preserve"> 2016</w:t>
            </w:r>
            <w:r w:rsidRPr="005B51FE">
              <w:rPr>
                <w:rStyle w:val="NoteLabel"/>
                <w:b/>
              </w:rPr>
              <w:t>a,</w:t>
            </w:r>
            <w:r w:rsidR="005B51FE">
              <w:rPr>
                <w:rStyle w:val="NoteLabel"/>
                <w:b/>
              </w:rPr>
              <w:t xml:space="preserve"> </w:t>
            </w:r>
            <w:r>
              <w:rPr>
                <w:rStyle w:val="NoteLabel"/>
                <w:b/>
              </w:rPr>
              <w:t>b</w:t>
            </w:r>
          </w:p>
        </w:tc>
      </w:tr>
      <w:tr w:rsidR="00BF6E24" w14:paraId="25BAA20A" w14:textId="77777777" w:rsidTr="009921C6">
        <w:tblPrEx>
          <w:tblCellMar>
            <w:left w:w="108" w:type="dxa"/>
            <w:right w:w="108" w:type="dxa"/>
          </w:tblCellMar>
        </w:tblPrEx>
        <w:tc>
          <w:tcPr>
            <w:tcW w:w="8789" w:type="dxa"/>
            <w:tcBorders>
              <w:top w:val="nil"/>
              <w:left w:val="nil"/>
              <w:bottom w:val="nil"/>
              <w:right w:val="nil"/>
            </w:tcBorders>
            <w:shd w:val="clear" w:color="auto" w:fill="auto"/>
          </w:tcPr>
          <w:p w14:paraId="30D7F67D" w14:textId="77777777" w:rsidR="00414E5E" w:rsidRDefault="00414E5E" w:rsidP="007146A9">
            <w:pPr>
              <w:pStyle w:val="Figure"/>
              <w:spacing w:beforeLines="50" w:afterLines="50"/>
              <w:rPr>
                <w:rFonts w:ascii="Arial" w:hAnsi="Arial" w:cs="Arial"/>
                <w:b/>
                <w:sz w:val="20"/>
              </w:rPr>
            </w:pPr>
            <w:r w:rsidRPr="00962A05">
              <w:rPr>
                <w:rFonts w:ascii="Arial" w:hAnsi="Arial" w:cs="Arial"/>
                <w:b/>
                <w:sz w:val="20"/>
              </w:rPr>
              <w:t>Public housing</w:t>
            </w:r>
          </w:p>
          <w:p w14:paraId="7A76E8EF" w14:textId="1E5B584E" w:rsidR="00414E5E" w:rsidRDefault="00836C84" w:rsidP="00DE2A36">
            <w:pPr>
              <w:pStyle w:val="Figure"/>
              <w:spacing w:beforeLines="50" w:afterLines="50"/>
              <w:rPr>
                <w:rFonts w:ascii="Arial" w:hAnsi="Arial" w:cs="Arial"/>
                <w:b/>
                <w:sz w:val="20"/>
              </w:rPr>
            </w:pPr>
            <w:r>
              <w:rPr>
                <w:noProof/>
              </w:rPr>
              <w:drawing>
                <wp:inline distT="0" distB="0" distL="0" distR="0" wp14:anchorId="3157579E" wp14:editId="06F09336">
                  <wp:extent cx="5400000" cy="1764000"/>
                  <wp:effectExtent l="0" t="0" r="0" b="8255"/>
                  <wp:docPr id="1" name="Chart 1" descr="Public housing&#10;&#10;More details can be found within the text surrounding this image." title="Figure 18.5 Proportion of tenants rating amenity and location aspects as important and meeting their need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07004">
              <w:rPr>
                <w:rFonts w:ascii="Arial" w:hAnsi="Arial" w:cs="Arial"/>
                <w:b/>
                <w:sz w:val="20"/>
              </w:rPr>
              <w:br/>
            </w:r>
            <w:r w:rsidR="00807004">
              <w:rPr>
                <w:rFonts w:ascii="Arial" w:hAnsi="Arial" w:cs="Arial"/>
                <w:b/>
                <w:sz w:val="20"/>
              </w:rPr>
              <w:br/>
            </w:r>
            <w:proofErr w:type="spellStart"/>
            <w:r w:rsidR="00414E5E">
              <w:rPr>
                <w:rFonts w:ascii="Arial" w:hAnsi="Arial" w:cs="Arial"/>
                <w:b/>
                <w:sz w:val="20"/>
              </w:rPr>
              <w:t>SOMIH</w:t>
            </w:r>
            <w:proofErr w:type="spellEnd"/>
          </w:p>
          <w:p w14:paraId="4C32B129" w14:textId="79867309" w:rsidR="00B45119" w:rsidRDefault="008327AF" w:rsidP="002A10CA">
            <w:pPr>
              <w:pStyle w:val="Figure"/>
              <w:spacing w:beforeLines="80" w:before="192" w:afterLines="80" w:after="192"/>
              <w:rPr>
                <w:rFonts w:ascii="Arial" w:hAnsi="Arial" w:cs="Arial"/>
                <w:b/>
                <w:sz w:val="20"/>
              </w:rPr>
            </w:pPr>
            <w:r>
              <w:rPr>
                <w:noProof/>
              </w:rPr>
              <w:drawing>
                <wp:inline distT="0" distB="0" distL="0" distR="0" wp14:anchorId="35F81F20" wp14:editId="2E3A9E41">
                  <wp:extent cx="5400000" cy="1764000"/>
                  <wp:effectExtent l="0" t="0" r="0" b="8255"/>
                  <wp:docPr id="31" name="Chart 31" descr="SOMIH&#10;&#10;More details can be found within the text surrounding this image." title="Figure 18.5 Proportion of tenants rating amenity and location aspects as important and meeting their need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87E6E0" w14:textId="130544F2" w:rsidR="00414E5E" w:rsidRPr="00E325E8" w:rsidRDefault="00414E5E" w:rsidP="007146A9">
            <w:pPr>
              <w:pStyle w:val="Figure"/>
              <w:spacing w:beforeLines="40" w:before="96" w:afterLines="40" w:after="96"/>
              <w:rPr>
                <w:rFonts w:ascii="Arial" w:hAnsi="Arial" w:cs="Arial"/>
                <w:b/>
                <w:sz w:val="20"/>
              </w:rPr>
            </w:pPr>
            <w:r>
              <w:rPr>
                <w:rFonts w:ascii="Arial" w:hAnsi="Arial" w:cs="Arial"/>
                <w:b/>
                <w:sz w:val="20"/>
              </w:rPr>
              <w:t>Community</w:t>
            </w:r>
            <w:r w:rsidRPr="00962A05">
              <w:rPr>
                <w:rFonts w:ascii="Arial" w:hAnsi="Arial" w:cs="Arial"/>
                <w:b/>
                <w:sz w:val="20"/>
              </w:rPr>
              <w:t xml:space="preserve"> housing</w:t>
            </w:r>
          </w:p>
          <w:p w14:paraId="2CB0F3BF" w14:textId="56F4E6F6" w:rsidR="00E325E8" w:rsidRDefault="009921C6" w:rsidP="00746E44">
            <w:pPr>
              <w:pStyle w:val="Figure"/>
            </w:pPr>
            <w:r>
              <w:rPr>
                <w:noProof/>
              </w:rPr>
              <w:drawing>
                <wp:inline distT="0" distB="0" distL="0" distR="0" wp14:anchorId="0C4D601C" wp14:editId="642C92AA">
                  <wp:extent cx="5400000" cy="1764000"/>
                  <wp:effectExtent l="0" t="0" r="0" b="8255"/>
                  <wp:docPr id="34" name="Chart 34" descr="Community housing&#10;&#10;More details can be found within the text surrounding this image." title="Figure 18.5 Proportion of tenants rating amenity and location aspects as important and meeting their need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83AE18" w14:textId="2EB983E1" w:rsidR="00E325E8" w:rsidRDefault="003A4656" w:rsidP="00E325E8">
            <w:pPr>
              <w:pStyle w:val="Figure"/>
            </w:pPr>
            <w:r>
              <w:rPr>
                <w:noProof/>
              </w:rPr>
              <w:drawing>
                <wp:inline distT="0" distB="0" distL="0" distR="0" wp14:anchorId="1E05146D" wp14:editId="5853BA7B">
                  <wp:extent cx="5407621" cy="146050"/>
                  <wp:effectExtent l="0" t="0" r="3175" b="6350"/>
                  <wp:docPr id="27" name="Picture 6" descr="Legend to figure 18.5 &#10;&#10;Green = Amenity&#10;Blue = Location&#10;&#10;More details can be found within the text surrounding this image." title="Figure 18.5 Proportion of tenants rating amenity and location aspects as important and meeting their need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srcRect t="85545" b="6223"/>
                          <a:stretch/>
                        </pic:blipFill>
                        <pic:spPr>
                          <a:xfrm>
                            <a:off x="0" y="0"/>
                            <a:ext cx="5407621" cy="146050"/>
                          </a:xfrm>
                          <a:prstGeom prst="rect">
                            <a:avLst/>
                          </a:prstGeom>
                        </pic:spPr>
                      </pic:pic>
                    </a:graphicData>
                  </a:graphic>
                </wp:inline>
              </w:drawing>
            </w:r>
          </w:p>
        </w:tc>
      </w:tr>
      <w:tr w:rsidR="00BF6E24" w:rsidRPr="00176D3F" w14:paraId="57977BAA" w14:textId="77777777" w:rsidTr="006530AE">
        <w:tc>
          <w:tcPr>
            <w:tcW w:w="8789" w:type="dxa"/>
            <w:tcBorders>
              <w:top w:val="nil"/>
              <w:left w:val="nil"/>
              <w:bottom w:val="nil"/>
              <w:right w:val="nil"/>
            </w:tcBorders>
            <w:shd w:val="clear" w:color="auto" w:fill="auto"/>
          </w:tcPr>
          <w:p w14:paraId="03E732E0" w14:textId="62259547" w:rsidR="00BF6E24" w:rsidRPr="00176D3F" w:rsidRDefault="00BF6E24" w:rsidP="0020739B">
            <w:pPr>
              <w:pStyle w:val="Note"/>
            </w:pPr>
            <w:r>
              <w:rPr>
                <w:rStyle w:val="NoteLabel"/>
              </w:rPr>
              <w:t>a</w:t>
            </w:r>
            <w:r w:rsidR="00790CB2">
              <w:t xml:space="preserve"> See box 18.</w:t>
            </w:r>
            <w:r w:rsidR="00B558A1">
              <w:t>8</w:t>
            </w:r>
            <w:r>
              <w:t xml:space="preserve"> and tables </w:t>
            </w:r>
            <w:proofErr w:type="spellStart"/>
            <w:r w:rsidR="00C26B52">
              <w:t>18A.33</w:t>
            </w:r>
            <w:proofErr w:type="spellEnd"/>
            <w:r w:rsidR="00C26B52">
              <w:t>–35</w:t>
            </w:r>
            <w:r>
              <w:t xml:space="preserve"> for detailed definitions, footnotes and caveats. </w:t>
            </w:r>
            <w:r w:rsidRPr="00D51E02">
              <w:rPr>
                <w:rStyle w:val="NoteLabel"/>
              </w:rPr>
              <w:t xml:space="preserve">b </w:t>
            </w:r>
            <w:r w:rsidR="009A302D" w:rsidRPr="00D51E02">
              <w:t xml:space="preserve">The </w:t>
            </w:r>
            <w:proofErr w:type="spellStart"/>
            <w:r w:rsidR="009A302D" w:rsidRPr="00D51E02">
              <w:t>SOMIH</w:t>
            </w:r>
            <w:proofErr w:type="spellEnd"/>
            <w:r w:rsidR="009A302D" w:rsidRPr="00D51E02">
              <w:t xml:space="preserve"> pr</w:t>
            </w:r>
            <w:r w:rsidR="0020739B" w:rsidRPr="00D51E02">
              <w:t>o</w:t>
            </w:r>
            <w:r w:rsidR="009A302D" w:rsidRPr="00D51E02">
              <w:t xml:space="preserve">gram in the NT did not participate in this survey. </w:t>
            </w:r>
            <w:r w:rsidRPr="00D51E02">
              <w:t>Community housing data a</w:t>
            </w:r>
            <w:r>
              <w:t>re not available for the NT.</w:t>
            </w:r>
          </w:p>
        </w:tc>
      </w:tr>
      <w:tr w:rsidR="00BF6E24" w:rsidRPr="00176D3F" w14:paraId="08404358" w14:textId="77777777" w:rsidTr="006530AE">
        <w:tc>
          <w:tcPr>
            <w:tcW w:w="8789" w:type="dxa"/>
            <w:tcBorders>
              <w:top w:val="nil"/>
              <w:left w:val="nil"/>
              <w:bottom w:val="nil"/>
              <w:right w:val="nil"/>
            </w:tcBorders>
            <w:shd w:val="clear" w:color="auto" w:fill="auto"/>
          </w:tcPr>
          <w:p w14:paraId="696FFCC0" w14:textId="77777777" w:rsidR="00BF6E24" w:rsidRPr="00176D3F" w:rsidRDefault="00BF6E24" w:rsidP="006530AE">
            <w:pPr>
              <w:pStyle w:val="Source"/>
              <w:spacing w:after="80"/>
            </w:pPr>
            <w:r w:rsidRPr="00FC4AB3">
              <w:rPr>
                <w:i/>
              </w:rPr>
              <w:t>Source</w:t>
            </w:r>
            <w:r w:rsidRPr="00B93213">
              <w:t>:</w:t>
            </w:r>
            <w:r w:rsidRPr="00FC4AB3">
              <w:rPr>
                <w:i/>
              </w:rPr>
              <w:t xml:space="preserve"> </w:t>
            </w:r>
            <w:proofErr w:type="spellStart"/>
            <w:r w:rsidRPr="008411B4">
              <w:t>AIHW</w:t>
            </w:r>
            <w:proofErr w:type="spellEnd"/>
            <w:r w:rsidRPr="008411B4">
              <w:t xml:space="preserve"> (unpublished)</w:t>
            </w:r>
            <w:r w:rsidRPr="00AE0C3F">
              <w:rPr>
                <w:i/>
              </w:rPr>
              <w:t xml:space="preserve"> </w:t>
            </w:r>
            <w:r w:rsidRPr="007D2DA3">
              <w:t>National Social Housing Survey</w:t>
            </w:r>
            <w:r w:rsidR="005B51FE">
              <w:t xml:space="preserve"> 2016</w:t>
            </w:r>
            <w:r>
              <w:t>; tables </w:t>
            </w:r>
            <w:proofErr w:type="spellStart"/>
            <w:r w:rsidR="00C26B52">
              <w:t>18A.33</w:t>
            </w:r>
            <w:proofErr w:type="spellEnd"/>
            <w:r w:rsidR="00C26B52">
              <w:t>–35</w:t>
            </w:r>
            <w:r>
              <w:t>.</w:t>
            </w:r>
          </w:p>
        </w:tc>
      </w:tr>
      <w:tr w:rsidR="00BF6E24" w14:paraId="363F60C6" w14:textId="77777777" w:rsidTr="006530AE">
        <w:tc>
          <w:tcPr>
            <w:tcW w:w="8789" w:type="dxa"/>
            <w:tcBorders>
              <w:top w:val="nil"/>
              <w:left w:val="nil"/>
              <w:bottom w:val="single" w:sz="6" w:space="0" w:color="78A22F"/>
              <w:right w:val="nil"/>
            </w:tcBorders>
            <w:shd w:val="clear" w:color="auto" w:fill="auto"/>
          </w:tcPr>
          <w:p w14:paraId="24644888" w14:textId="77777777" w:rsidR="00BF6E24" w:rsidRDefault="00BF6E24" w:rsidP="00746E44">
            <w:pPr>
              <w:pStyle w:val="Figurespace"/>
            </w:pPr>
          </w:p>
        </w:tc>
      </w:tr>
      <w:tr w:rsidR="00BF6E24" w:rsidRPr="000863A5" w14:paraId="49CC55F2" w14:textId="77777777" w:rsidTr="006530AE">
        <w:tc>
          <w:tcPr>
            <w:tcW w:w="8789" w:type="dxa"/>
            <w:tcBorders>
              <w:top w:val="single" w:sz="6" w:space="0" w:color="78A22F"/>
              <w:left w:val="nil"/>
              <w:bottom w:val="nil"/>
              <w:right w:val="nil"/>
            </w:tcBorders>
          </w:tcPr>
          <w:p w14:paraId="38705DD4" w14:textId="1AFD78CB" w:rsidR="00BF6E24" w:rsidRPr="00626D32" w:rsidRDefault="00BF6E24" w:rsidP="00746E44">
            <w:pPr>
              <w:pStyle w:val="BoxSpaceBelow"/>
            </w:pPr>
          </w:p>
        </w:tc>
      </w:tr>
    </w:tbl>
    <w:p w14:paraId="3F0A0D24" w14:textId="77777777" w:rsidR="009A5130" w:rsidRPr="003770C0" w:rsidRDefault="00F76C54" w:rsidP="006B692D">
      <w:pPr>
        <w:pStyle w:val="Heading4"/>
      </w:pPr>
      <w:r>
        <w:lastRenderedPageBreak/>
        <w:t xml:space="preserve">Quality — </w:t>
      </w:r>
      <w:r w:rsidR="009A5130" w:rsidRPr="003770C0">
        <w:t>Dwelling condition</w:t>
      </w:r>
    </w:p>
    <w:p w14:paraId="7FA6EAF3" w14:textId="77777777" w:rsidR="008023AD" w:rsidRPr="00DC04F0" w:rsidRDefault="009A5130" w:rsidP="00CC2DE4">
      <w:pPr>
        <w:pStyle w:val="BodyText"/>
        <w:rPr>
          <w:lang w:eastAsia="en-US"/>
        </w:rPr>
      </w:pPr>
      <w:r>
        <w:t>‘Dwelling condition’ is a</w:t>
      </w:r>
      <w:r w:rsidR="00A457A7">
        <w:t xml:space="preserve"> proxy </w:t>
      </w:r>
      <w:r>
        <w:t>indicator of gover</w:t>
      </w:r>
      <w:r w:rsidR="0090458C">
        <w:t xml:space="preserve">nments’ objective to provide </w:t>
      </w:r>
      <w:r w:rsidR="00BB6DF1">
        <w:t xml:space="preserve">services that are high </w:t>
      </w:r>
      <w:r w:rsidR="0090458C">
        <w:t xml:space="preserve">quality </w:t>
      </w:r>
      <w:r>
        <w:t>(box</w:t>
      </w:r>
      <w:r w:rsidR="007D1214">
        <w:t> </w:t>
      </w:r>
      <w:r w:rsidR="00BB5630">
        <w:t>18</w:t>
      </w:r>
      <w:r w:rsidR="00463387">
        <w:t>.</w:t>
      </w:r>
      <w:r w:rsidR="002C6FDF">
        <w:t>9</w:t>
      </w:r>
      <w:r w:rsidR="00B7770E">
        <w:t>).</w:t>
      </w:r>
    </w:p>
    <w:p w14:paraId="41907A6B" w14:textId="090FCBD5" w:rsidR="008023AD" w:rsidRDefault="008023AD" w:rsidP="00E648C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23AD" w14:paraId="664157FB" w14:textId="77777777" w:rsidTr="006530AE">
        <w:tc>
          <w:tcPr>
            <w:tcW w:w="5000" w:type="pct"/>
            <w:tcBorders>
              <w:top w:val="single" w:sz="6" w:space="0" w:color="78A22F"/>
              <w:left w:val="nil"/>
              <w:bottom w:val="nil"/>
              <w:right w:val="nil"/>
            </w:tcBorders>
            <w:shd w:val="clear" w:color="auto" w:fill="F2F2F2" w:themeFill="background1" w:themeFillShade="F2"/>
          </w:tcPr>
          <w:p w14:paraId="5EB52460" w14:textId="22719D5C" w:rsidR="008023AD" w:rsidRDefault="00BB5630" w:rsidP="00BB5630">
            <w:pPr>
              <w:pStyle w:val="BoxTitle"/>
              <w:tabs>
                <w:tab w:val="left" w:pos="720"/>
                <w:tab w:val="left" w:pos="1440"/>
                <w:tab w:val="left" w:pos="2160"/>
                <w:tab w:val="left" w:pos="2880"/>
                <w:tab w:val="left" w:pos="3600"/>
                <w:tab w:val="left" w:pos="5100"/>
              </w:tabs>
            </w:pPr>
            <w:r>
              <w:rPr>
                <w:b w:val="0"/>
              </w:rPr>
              <w:t xml:space="preserve">Box </w:t>
            </w:r>
            <w:r w:rsidR="00040F38">
              <w:rPr>
                <w:b w:val="0"/>
              </w:rPr>
              <w:t>18.</w:t>
            </w:r>
            <w:r w:rsidR="007D5A6B">
              <w:rPr>
                <w:b w:val="0"/>
                <w:noProof/>
              </w:rPr>
              <w:t>9</w:t>
            </w:r>
            <w:r w:rsidR="008023AD">
              <w:tab/>
            </w:r>
            <w:r w:rsidR="008023AD" w:rsidRPr="008023AD">
              <w:t>Dwelling condition</w:t>
            </w:r>
            <w:r>
              <w:tab/>
            </w:r>
            <w:r>
              <w:tab/>
            </w:r>
          </w:p>
        </w:tc>
      </w:tr>
      <w:tr w:rsidR="008023AD" w14:paraId="3948DE4D" w14:textId="77777777" w:rsidTr="006530AE">
        <w:trPr>
          <w:cantSplit/>
        </w:trPr>
        <w:tc>
          <w:tcPr>
            <w:tcW w:w="5000" w:type="pct"/>
            <w:tcBorders>
              <w:top w:val="nil"/>
              <w:left w:val="nil"/>
              <w:bottom w:val="nil"/>
              <w:right w:val="nil"/>
            </w:tcBorders>
            <w:shd w:val="clear" w:color="auto" w:fill="F2F2F2" w:themeFill="background1" w:themeFillShade="F2"/>
          </w:tcPr>
          <w:p w14:paraId="73D9219B" w14:textId="77777777" w:rsidR="00A74B45" w:rsidRPr="00DC04F0" w:rsidRDefault="008023AD" w:rsidP="008023AD">
            <w:pPr>
              <w:pStyle w:val="Box"/>
              <w:rPr>
                <w:lang w:eastAsia="en-US"/>
              </w:rPr>
            </w:pPr>
            <w:r w:rsidRPr="00B704A4">
              <w:t xml:space="preserve">‘Dwelling condition’ is defined as the proportion of households living in dwellings </w:t>
            </w:r>
            <w:r w:rsidR="00F754E1">
              <w:t>that meet agreed minimum acceptable standard</w:t>
            </w:r>
            <w:r w:rsidR="009C3859">
              <w:t>s</w:t>
            </w:r>
            <w:r w:rsidR="009F2F68" w:rsidRPr="00B704A4">
              <w:t xml:space="preserve">. </w:t>
            </w:r>
            <w:r w:rsidRPr="00B704A4">
              <w:t xml:space="preserve">A dwelling is assessed as </w:t>
            </w:r>
            <w:r w:rsidR="009C3859">
              <w:t>meeting minimum acceptable standards</w:t>
            </w:r>
            <w:r w:rsidR="009C3859" w:rsidRPr="00B704A4">
              <w:t xml:space="preserve"> </w:t>
            </w:r>
            <w:r w:rsidRPr="00B704A4">
              <w:t xml:space="preserve">if it has at least four working facilities (for washing people, for washing clothes/bedding, for storing/preparing food, and </w:t>
            </w:r>
            <w:r w:rsidR="00CC7D17">
              <w:t xml:space="preserve">for removing </w:t>
            </w:r>
            <w:r w:rsidRPr="00B704A4">
              <w:t>sewerage) and not more than two major structural problems.</w:t>
            </w:r>
          </w:p>
          <w:p w14:paraId="6BEB26F3" w14:textId="5FDCC539" w:rsidR="00A74B45" w:rsidRDefault="00C21EFD" w:rsidP="008023AD">
            <w:pPr>
              <w:pStyle w:val="Box"/>
            </w:pPr>
            <w:r w:rsidRPr="00C21EFD">
              <w:t xml:space="preserve">This is a proxy </w:t>
            </w:r>
            <w:r>
              <w:t xml:space="preserve">indicator </w:t>
            </w:r>
            <w:r w:rsidRPr="00C21EFD">
              <w:t xml:space="preserve">of quality </w:t>
            </w:r>
            <w:r>
              <w:t xml:space="preserve">as it </w:t>
            </w:r>
            <w:r w:rsidRPr="00C21EFD">
              <w:t>measure</w:t>
            </w:r>
            <w:r>
              <w:t>s</w:t>
            </w:r>
            <w:r w:rsidRPr="00C21EFD">
              <w:t xml:space="preserve"> the extent to which dwellings conform to agreed minimum standards. </w:t>
            </w:r>
            <w:r w:rsidR="00665C00">
              <w:t xml:space="preserve">The </w:t>
            </w:r>
            <w:r w:rsidR="00F16CF7">
              <w:t>survey collections</w:t>
            </w:r>
            <w:r w:rsidR="00A74B45">
              <w:t xml:space="preserve"> </w:t>
            </w:r>
            <w:r w:rsidR="00665C00">
              <w:t>ask r</w:t>
            </w:r>
            <w:r w:rsidR="005148EB">
              <w:t>espondents</w:t>
            </w:r>
            <w:r w:rsidR="00A74B45">
              <w:t xml:space="preserve"> (</w:t>
            </w:r>
            <w:proofErr w:type="spellStart"/>
            <w:r w:rsidR="00A74B45">
              <w:t>AIHW</w:t>
            </w:r>
            <w:proofErr w:type="spellEnd"/>
            <w:r w:rsidR="00A74B45">
              <w:t xml:space="preserve"> 2015):</w:t>
            </w:r>
          </w:p>
          <w:p w14:paraId="37422AFE" w14:textId="77777777" w:rsidR="00A74B45" w:rsidRDefault="005148EB" w:rsidP="00A74B45">
            <w:pPr>
              <w:pStyle w:val="BoxListBullet"/>
            </w:pPr>
            <w:r>
              <w:t xml:space="preserve">which of a list of facilities </w:t>
            </w:r>
            <w:r w:rsidR="00665C00">
              <w:t>is</w:t>
            </w:r>
            <w:r>
              <w:t xml:space="preserve"> present in the</w:t>
            </w:r>
            <w:r w:rsidR="00665C00">
              <w:t>ir</w:t>
            </w:r>
            <w:r>
              <w:t xml:space="preserve"> dwelling and whether </w:t>
            </w:r>
            <w:r w:rsidR="00A74B45">
              <w:t>each is</w:t>
            </w:r>
            <w:r>
              <w:t xml:space="preserve"> in working order</w:t>
            </w:r>
          </w:p>
          <w:p w14:paraId="00782FB7" w14:textId="77777777" w:rsidR="005148EB" w:rsidRPr="00B704A4" w:rsidRDefault="005148EB" w:rsidP="00A74B45">
            <w:pPr>
              <w:pStyle w:val="BoxListBullet"/>
            </w:pPr>
            <w:r>
              <w:t xml:space="preserve">which of a list of structural problems </w:t>
            </w:r>
            <w:r w:rsidR="00A74B45">
              <w:t>is</w:t>
            </w:r>
            <w:r>
              <w:t xml:space="preserve"> present</w:t>
            </w:r>
            <w:r w:rsidR="00665C00">
              <w:t xml:space="preserve"> in their dwelling</w:t>
            </w:r>
            <w:r w:rsidR="003A3707">
              <w:t>.</w:t>
            </w:r>
          </w:p>
          <w:p w14:paraId="1DCB2000" w14:textId="77777777" w:rsidR="008023AD" w:rsidRPr="00B704A4" w:rsidRDefault="00661335" w:rsidP="008023AD">
            <w:pPr>
              <w:pStyle w:val="Box"/>
            </w:pPr>
            <w:r w:rsidRPr="00661335">
              <w:t xml:space="preserve">A high or increasing </w:t>
            </w:r>
            <w:r w:rsidR="008023AD" w:rsidRPr="00B704A4">
              <w:t xml:space="preserve">proportion </w:t>
            </w:r>
            <w:r>
              <w:t xml:space="preserve">of households living in dwellings </w:t>
            </w:r>
            <w:r w:rsidR="008A21D8">
              <w:t>that meet minimum acceptable standards</w:t>
            </w:r>
            <w:r w:rsidR="008A21D8" w:rsidRPr="00B704A4">
              <w:t xml:space="preserve"> </w:t>
            </w:r>
            <w:r w:rsidR="008023AD" w:rsidRPr="00B704A4">
              <w:t xml:space="preserve">suggests </w:t>
            </w:r>
            <w:r w:rsidR="00BB6DF1">
              <w:t xml:space="preserve">that services are </w:t>
            </w:r>
            <w:r w:rsidR="008023AD" w:rsidRPr="00B704A4">
              <w:t xml:space="preserve">high or increasing </w:t>
            </w:r>
            <w:r w:rsidR="00BB6DF1">
              <w:t>in</w:t>
            </w:r>
            <w:r w:rsidR="002C6C7D">
              <w:t xml:space="preserve"> </w:t>
            </w:r>
            <w:r w:rsidR="008023AD" w:rsidRPr="00B704A4">
              <w:t>quality.</w:t>
            </w:r>
          </w:p>
          <w:p w14:paraId="14977366" w14:textId="77777777" w:rsidR="008023AD" w:rsidRPr="00B704A4" w:rsidRDefault="008023AD" w:rsidP="008023AD">
            <w:pPr>
              <w:pStyle w:val="Box"/>
            </w:pPr>
            <w:r w:rsidRPr="00B704A4">
              <w:t xml:space="preserve">Data for this indicator are reported for public housing, </w:t>
            </w:r>
            <w:proofErr w:type="spellStart"/>
            <w:r w:rsidRPr="00B704A4">
              <w:t>SOMIH</w:t>
            </w:r>
            <w:proofErr w:type="spellEnd"/>
            <w:r w:rsidR="00021A17">
              <w:t xml:space="preserve">, </w:t>
            </w:r>
            <w:r w:rsidRPr="00B704A4">
              <w:t>community housing</w:t>
            </w:r>
            <w:r w:rsidR="00021A17">
              <w:t xml:space="preserve"> and </w:t>
            </w:r>
            <w:proofErr w:type="spellStart"/>
            <w:r w:rsidR="00786253">
              <w:t>ICH</w:t>
            </w:r>
            <w:proofErr w:type="spellEnd"/>
            <w:r w:rsidR="00F16CF7">
              <w:t xml:space="preserve"> and are</w:t>
            </w:r>
            <w:r w:rsidRPr="00B704A4">
              <w:t>:</w:t>
            </w:r>
          </w:p>
          <w:p w14:paraId="1132D567" w14:textId="77777777" w:rsidR="008023AD" w:rsidRDefault="008023AD" w:rsidP="001F13B6">
            <w:pPr>
              <w:pStyle w:val="BoxListBullet"/>
            </w:pPr>
            <w:r w:rsidRPr="00B704A4">
              <w:t xml:space="preserve">comparable (subject to caveats) across jurisdictions </w:t>
            </w:r>
            <w:r w:rsidR="002E0894">
              <w:t>and over time from the 2014 reporting period</w:t>
            </w:r>
          </w:p>
          <w:p w14:paraId="66319B3B" w14:textId="77777777" w:rsidR="000E6AE9" w:rsidRPr="00B704A4" w:rsidRDefault="000E6AE9" w:rsidP="000E6AE9">
            <w:pPr>
              <w:pStyle w:val="BoxListBullet"/>
            </w:pPr>
            <w:r w:rsidRPr="000E6AE9">
              <w:t xml:space="preserve">not comparable across public housing, </w:t>
            </w:r>
            <w:proofErr w:type="spellStart"/>
            <w:r w:rsidRPr="000E6AE9">
              <w:t>SOMIH</w:t>
            </w:r>
            <w:proofErr w:type="spellEnd"/>
            <w:r w:rsidR="002E0894">
              <w:t>,</w:t>
            </w:r>
            <w:r w:rsidRPr="000E6AE9">
              <w:t xml:space="preserve"> community housing </w:t>
            </w:r>
            <w:r w:rsidR="002E0894">
              <w:t xml:space="preserve">and </w:t>
            </w:r>
            <w:proofErr w:type="spellStart"/>
            <w:r w:rsidR="002E0894">
              <w:t>ICH</w:t>
            </w:r>
            <w:proofErr w:type="spellEnd"/>
            <w:r w:rsidR="002E0894">
              <w:t xml:space="preserve"> </w:t>
            </w:r>
            <w:r w:rsidRPr="000E6AE9">
              <w:t>due to the different demographic profile</w:t>
            </w:r>
            <w:r w:rsidR="002E0894">
              <w:t>s</w:t>
            </w:r>
            <w:r w:rsidRPr="000E6AE9">
              <w:t xml:space="preserve"> of Aboriginal and Torres Strait Islander tenants and the method of data collection</w:t>
            </w:r>
          </w:p>
          <w:p w14:paraId="181D2195" w14:textId="747B33A8" w:rsidR="008023AD" w:rsidRPr="005E340A" w:rsidRDefault="008023AD" w:rsidP="002E0894">
            <w:pPr>
              <w:pStyle w:val="BoxListBullet"/>
            </w:pPr>
            <w:r w:rsidRPr="00B704A4">
              <w:t>complete for public housing</w:t>
            </w:r>
            <w:r w:rsidR="002E0894">
              <w:t>,</w:t>
            </w:r>
            <w:r w:rsidR="00693A63" w:rsidRPr="00B704A4">
              <w:t xml:space="preserve"> </w:t>
            </w:r>
            <w:proofErr w:type="spellStart"/>
            <w:r w:rsidRPr="00B704A4">
              <w:t>SOMIH</w:t>
            </w:r>
            <w:proofErr w:type="spellEnd"/>
            <w:r w:rsidR="002E0894">
              <w:t xml:space="preserve"> and </w:t>
            </w:r>
            <w:proofErr w:type="spellStart"/>
            <w:r w:rsidR="002E0894">
              <w:t>ICH</w:t>
            </w:r>
            <w:proofErr w:type="spellEnd"/>
            <w:r w:rsidR="001C58F6" w:rsidRPr="00B704A4">
              <w:t xml:space="preserve"> f</w:t>
            </w:r>
            <w:r w:rsidRPr="00B704A4">
              <w:t xml:space="preserve">or the most current reporting period (subject to caveats). All </w:t>
            </w:r>
            <w:r w:rsidRPr="005E340A">
              <w:t>required</w:t>
            </w:r>
            <w:r w:rsidR="002F4F9A">
              <w:t xml:space="preserve"> 2016</w:t>
            </w:r>
            <w:r w:rsidRPr="005E340A">
              <w:t xml:space="preserve"> </w:t>
            </w:r>
            <w:r w:rsidR="002E0894" w:rsidRPr="005E340A">
              <w:t xml:space="preserve">data (public housing and </w:t>
            </w:r>
            <w:proofErr w:type="spellStart"/>
            <w:r w:rsidR="002E0894" w:rsidRPr="005E340A">
              <w:t>SOMIH</w:t>
            </w:r>
            <w:proofErr w:type="spellEnd"/>
            <w:r w:rsidR="002E0894" w:rsidRPr="005E340A">
              <w:t xml:space="preserve">) </w:t>
            </w:r>
            <w:r w:rsidR="002E0894" w:rsidRPr="002E0894">
              <w:t>and 2014</w:t>
            </w:r>
            <w:r w:rsidR="00DC04F0">
              <w:noBreakHyphen/>
            </w:r>
            <w:r w:rsidR="002E0894" w:rsidRPr="002E0894">
              <w:t>15 data (</w:t>
            </w:r>
            <w:proofErr w:type="spellStart"/>
            <w:r w:rsidR="002E0894" w:rsidRPr="002E0894">
              <w:t>ICH</w:t>
            </w:r>
            <w:proofErr w:type="spellEnd"/>
            <w:r w:rsidR="002E0894" w:rsidRPr="002E0894">
              <w:t xml:space="preserve">) </w:t>
            </w:r>
            <w:r w:rsidRPr="005E340A">
              <w:t>are available for all jurisdictions providing the service</w:t>
            </w:r>
            <w:r w:rsidR="002E0894">
              <w:t>s</w:t>
            </w:r>
          </w:p>
          <w:p w14:paraId="309E0594" w14:textId="77777777" w:rsidR="008023AD" w:rsidRPr="00B704A4" w:rsidRDefault="008023AD" w:rsidP="002E0894">
            <w:pPr>
              <w:pStyle w:val="BoxListBullet"/>
            </w:pPr>
            <w:r w:rsidRPr="005E340A">
              <w:t>incomplete for community housing</w:t>
            </w:r>
            <w:r w:rsidR="0016221A" w:rsidRPr="005E340A">
              <w:t xml:space="preserve"> for the current reporting period. </w:t>
            </w:r>
            <w:r w:rsidRPr="005E340A">
              <w:t>All required</w:t>
            </w:r>
            <w:r w:rsidR="00313B53">
              <w:t xml:space="preserve"> 201</w:t>
            </w:r>
            <w:r w:rsidR="00E321B8">
              <w:t>6</w:t>
            </w:r>
            <w:r w:rsidR="00313B53">
              <w:t xml:space="preserve"> </w:t>
            </w:r>
            <w:r w:rsidR="0016221A" w:rsidRPr="005E340A">
              <w:t xml:space="preserve">data are </w:t>
            </w:r>
            <w:r w:rsidRPr="00F534E6">
              <w:t xml:space="preserve">not available for the </w:t>
            </w:r>
            <w:r w:rsidR="0016221A" w:rsidRPr="00F534E6">
              <w:t>N</w:t>
            </w:r>
            <w:r w:rsidR="005F73B1" w:rsidRPr="00F534E6">
              <w:t>T</w:t>
            </w:r>
            <w:r w:rsidR="002E0894">
              <w:t>.</w:t>
            </w:r>
          </w:p>
        </w:tc>
      </w:tr>
      <w:tr w:rsidR="008023AD" w14:paraId="777D7D43" w14:textId="77777777" w:rsidTr="006530AE">
        <w:trPr>
          <w:cantSplit/>
        </w:trPr>
        <w:tc>
          <w:tcPr>
            <w:tcW w:w="5000" w:type="pct"/>
            <w:tcBorders>
              <w:top w:val="nil"/>
              <w:left w:val="nil"/>
              <w:bottom w:val="single" w:sz="6" w:space="0" w:color="78A22F"/>
              <w:right w:val="nil"/>
            </w:tcBorders>
            <w:shd w:val="clear" w:color="auto" w:fill="F2F2F2" w:themeFill="background1" w:themeFillShade="F2"/>
          </w:tcPr>
          <w:p w14:paraId="3B84FA27" w14:textId="77777777" w:rsidR="008023AD" w:rsidRDefault="008023AD">
            <w:pPr>
              <w:pStyle w:val="Box"/>
              <w:spacing w:before="0" w:line="120" w:lineRule="exact"/>
            </w:pPr>
          </w:p>
        </w:tc>
      </w:tr>
      <w:tr w:rsidR="008023AD" w:rsidRPr="000863A5" w14:paraId="1493724A" w14:textId="77777777" w:rsidTr="006530AE">
        <w:tc>
          <w:tcPr>
            <w:tcW w:w="5000" w:type="pct"/>
            <w:tcBorders>
              <w:top w:val="single" w:sz="6" w:space="0" w:color="78A22F"/>
              <w:left w:val="nil"/>
              <w:bottom w:val="nil"/>
              <w:right w:val="nil"/>
            </w:tcBorders>
          </w:tcPr>
          <w:p w14:paraId="243B5E0A" w14:textId="77777777" w:rsidR="008023AD" w:rsidRPr="00626D32" w:rsidRDefault="008023AD" w:rsidP="00334F07">
            <w:pPr>
              <w:pStyle w:val="BoxSpaceBelow"/>
            </w:pPr>
          </w:p>
        </w:tc>
      </w:tr>
    </w:tbl>
    <w:p w14:paraId="77942D63" w14:textId="77777777" w:rsidR="00F05D73" w:rsidRPr="00DC04F0" w:rsidRDefault="00786253" w:rsidP="00CC2DE4">
      <w:pPr>
        <w:pStyle w:val="BodyText"/>
        <w:rPr>
          <w:lang w:eastAsia="en-US"/>
        </w:rPr>
      </w:pPr>
      <w:r>
        <w:t>Nationally i</w:t>
      </w:r>
      <w:r w:rsidR="007F59D7">
        <w:t>n</w:t>
      </w:r>
      <w:r w:rsidR="00634318">
        <w:t xml:space="preserve"> 2016</w:t>
      </w:r>
      <w:r w:rsidR="007F59D7">
        <w:t xml:space="preserve">, the </w:t>
      </w:r>
      <w:r w:rsidR="00F05D73">
        <w:t>majority of social housing respondents lived in dwellings of an acceptable standard</w:t>
      </w:r>
      <w:r w:rsidR="00F16CF7">
        <w:t xml:space="preserve">, though proportions were lower for </w:t>
      </w:r>
      <w:r w:rsidR="00597ECA" w:rsidRPr="00597ECA">
        <w:t xml:space="preserve">Aboriginal and Torres Strait Islander </w:t>
      </w:r>
      <w:r w:rsidR="003E067B" w:rsidRPr="00597ECA">
        <w:t>households</w:t>
      </w:r>
      <w:r w:rsidR="00856794">
        <w:t xml:space="preserve"> (figure 18.</w:t>
      </w:r>
      <w:r w:rsidR="00A6034D">
        <w:t>6</w:t>
      </w:r>
      <w:r w:rsidR="009076BC">
        <w:t xml:space="preserve">; tables </w:t>
      </w:r>
      <w:proofErr w:type="spellStart"/>
      <w:r w:rsidR="009076BC">
        <w:t>18A.36</w:t>
      </w:r>
      <w:proofErr w:type="spellEnd"/>
      <w:r w:rsidR="009076BC">
        <w:t>–38)</w:t>
      </w:r>
      <w:r w:rsidR="00F05D73" w:rsidRPr="00597ECA">
        <w:t>:</w:t>
      </w:r>
    </w:p>
    <w:p w14:paraId="0A9E2B20" w14:textId="5231D7A0" w:rsidR="00881899" w:rsidRDefault="00653FB1" w:rsidP="00653FB1">
      <w:pPr>
        <w:pStyle w:val="ListBullet"/>
      </w:pPr>
      <w:r w:rsidRPr="00653FB1">
        <w:t xml:space="preserve">for public housing, 80.7 per cent </w:t>
      </w:r>
      <w:r w:rsidRPr="00D51E02">
        <w:t>for all households and 69.6 per cent for Aboriginal and Torres Strait Islander households</w:t>
      </w:r>
    </w:p>
    <w:p w14:paraId="70E91D59" w14:textId="0F72D09F" w:rsidR="00881899" w:rsidRDefault="00754817" w:rsidP="0094624A">
      <w:pPr>
        <w:pStyle w:val="ListBullet"/>
      </w:pPr>
      <w:r w:rsidRPr="00881899">
        <w:t xml:space="preserve">for </w:t>
      </w:r>
      <w:proofErr w:type="spellStart"/>
      <w:r w:rsidRPr="00881899">
        <w:t>SOMIH</w:t>
      </w:r>
      <w:proofErr w:type="spellEnd"/>
      <w:r w:rsidR="007F59D7" w:rsidRPr="00881899">
        <w:t>,</w:t>
      </w:r>
      <w:r w:rsidR="0094624A">
        <w:t xml:space="preserve"> </w:t>
      </w:r>
      <w:r w:rsidR="0094624A" w:rsidRPr="0094624A">
        <w:rPr>
          <w:color w:val="000000" w:themeColor="text1"/>
        </w:rPr>
        <w:t>75.1</w:t>
      </w:r>
      <w:r w:rsidR="007F59D7" w:rsidRPr="00881899">
        <w:t xml:space="preserve"> </w:t>
      </w:r>
      <w:r w:rsidRPr="00881899">
        <w:t xml:space="preserve">per cent </w:t>
      </w:r>
      <w:r w:rsidR="00653FB1" w:rsidRPr="00D51E02">
        <w:t>for all households</w:t>
      </w:r>
    </w:p>
    <w:p w14:paraId="3A17DE69" w14:textId="53AE152D" w:rsidR="00754817" w:rsidRDefault="00754817" w:rsidP="00670713">
      <w:pPr>
        <w:pStyle w:val="ListBullet"/>
      </w:pPr>
      <w:r w:rsidRPr="00881899">
        <w:t xml:space="preserve">for community </w:t>
      </w:r>
      <w:r w:rsidRPr="00A17C2C">
        <w:t>housing</w:t>
      </w:r>
      <w:r w:rsidR="007F59D7" w:rsidRPr="00A17C2C">
        <w:t>,</w:t>
      </w:r>
      <w:r w:rsidR="00154E76" w:rsidRPr="00A17C2C">
        <w:t xml:space="preserve"> 88.8 </w:t>
      </w:r>
      <w:r w:rsidR="00906A60" w:rsidRPr="00A17C2C">
        <w:t xml:space="preserve">per cent </w:t>
      </w:r>
      <w:r w:rsidR="00653FB1" w:rsidRPr="00D51E02">
        <w:t xml:space="preserve">for all households </w:t>
      </w:r>
      <w:r w:rsidR="00906A60" w:rsidRPr="00D51E02">
        <w:t>and</w:t>
      </w:r>
      <w:r w:rsidR="00154E76" w:rsidRPr="00D51E02">
        <w:t xml:space="preserve"> 77.2 </w:t>
      </w:r>
      <w:r w:rsidRPr="00D51E02">
        <w:t xml:space="preserve">per cent </w:t>
      </w:r>
      <w:r w:rsidR="00653FB1" w:rsidRPr="00D51E02">
        <w:t>for</w:t>
      </w:r>
      <w:r w:rsidR="006E6DD0" w:rsidRPr="00D51E02">
        <w:t xml:space="preserve"> </w:t>
      </w:r>
      <w:r w:rsidR="005E07CC" w:rsidRPr="00D51E02">
        <w:t>Aboriginal and Torres Strait Islander households</w:t>
      </w:r>
      <w:r w:rsidR="00D47994" w:rsidRPr="00881899">
        <w:t>.</w:t>
      </w:r>
    </w:p>
    <w:p w14:paraId="641591BF" w14:textId="3996B5DF" w:rsidR="005750D7" w:rsidRDefault="005750D7" w:rsidP="005750D7">
      <w:pPr>
        <w:pStyle w:val="ListBullet"/>
        <w:numPr>
          <w:ilvl w:val="0"/>
          <w:numId w:val="0"/>
        </w:numPr>
      </w:pPr>
      <w:r>
        <w:t>H</w:t>
      </w:r>
      <w:r w:rsidRPr="009C455A">
        <w:t xml:space="preserve">ouseholds with a member with disability </w:t>
      </w:r>
      <w:r>
        <w:t xml:space="preserve">were also less likely to report living in dwellings of an acceptable standard (73.9 per cent in public housing, 70.2 per cent in </w:t>
      </w:r>
      <w:proofErr w:type="spellStart"/>
      <w:r>
        <w:t>SOMIH</w:t>
      </w:r>
      <w:proofErr w:type="spellEnd"/>
      <w:r>
        <w:t xml:space="preserve">, </w:t>
      </w:r>
      <w:r w:rsidRPr="00A17C2C">
        <w:t>and 86.1 per cent</w:t>
      </w:r>
      <w:r>
        <w:t xml:space="preserve"> in community housing) (tables </w:t>
      </w:r>
      <w:proofErr w:type="spellStart"/>
      <w:r>
        <w:t>18A.36</w:t>
      </w:r>
      <w:proofErr w:type="spellEnd"/>
      <w:r w:rsidRPr="009C455A">
        <w:t>–</w:t>
      </w:r>
      <w:r>
        <w:t>38).</w:t>
      </w:r>
    </w:p>
    <w:p w14:paraId="40BC3E62" w14:textId="77777777" w:rsidR="00BB6F71" w:rsidRDefault="00BB6F71" w:rsidP="00BB6F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6F71" w14:paraId="17B9EE3D" w14:textId="77777777" w:rsidTr="006A2597">
        <w:tc>
          <w:tcPr>
            <w:tcW w:w="5000" w:type="pct"/>
            <w:tcBorders>
              <w:top w:val="single" w:sz="6" w:space="0" w:color="78A22F"/>
              <w:left w:val="nil"/>
              <w:bottom w:val="nil"/>
              <w:right w:val="nil"/>
            </w:tcBorders>
            <w:shd w:val="clear" w:color="auto" w:fill="auto"/>
          </w:tcPr>
          <w:p w14:paraId="10B20015" w14:textId="4870662D" w:rsidR="00BB6F71" w:rsidRPr="00176D3F" w:rsidRDefault="00BB6F71" w:rsidP="00707656">
            <w:pPr>
              <w:pStyle w:val="FigureTitle"/>
            </w:pPr>
            <w:r w:rsidRPr="00784A05">
              <w:rPr>
                <w:b w:val="0"/>
              </w:rPr>
              <w:t>Figure</w:t>
            </w:r>
            <w:r w:rsidR="000B7E98">
              <w:rPr>
                <w:b w:val="0"/>
              </w:rPr>
              <w:t xml:space="preserve"> </w:t>
            </w:r>
            <w:r w:rsidR="00343212">
              <w:rPr>
                <w:b w:val="0"/>
              </w:rPr>
              <w:t>18.</w:t>
            </w:r>
            <w:r w:rsidR="007D5A6B">
              <w:rPr>
                <w:b w:val="0"/>
                <w:noProof/>
              </w:rPr>
              <w:t>6</w:t>
            </w:r>
            <w:r>
              <w:tab/>
              <w:t xml:space="preserve">Dwellings </w:t>
            </w:r>
            <w:r w:rsidR="0057724C">
              <w:t>meeting</w:t>
            </w:r>
            <w:r w:rsidR="006C149C">
              <w:t xml:space="preserve"> agreed</w:t>
            </w:r>
            <w:r w:rsidR="0057724C">
              <w:t xml:space="preserve"> </w:t>
            </w:r>
            <w:r w:rsidR="0057724C" w:rsidRPr="00707656">
              <w:t>minimum</w:t>
            </w:r>
            <w:r>
              <w:t xml:space="preserve"> accep</w:t>
            </w:r>
            <w:r w:rsidR="00F22238">
              <w:t>table standard</w:t>
            </w:r>
            <w:r w:rsidR="0057724C">
              <w:t>s</w:t>
            </w:r>
            <w:r w:rsidRPr="007D438E">
              <w:rPr>
                <w:rStyle w:val="NoteLabel"/>
                <w:b/>
              </w:rPr>
              <w:t>a</w:t>
            </w:r>
            <w:r w:rsidR="00D82241">
              <w:rPr>
                <w:rStyle w:val="NoteLabel"/>
                <w:b/>
              </w:rPr>
              <w:t>,</w:t>
            </w:r>
            <w:r w:rsidR="007A2B06">
              <w:rPr>
                <w:rStyle w:val="NoteLabel"/>
                <w:b/>
              </w:rPr>
              <w:t xml:space="preserve"> </w:t>
            </w:r>
            <w:r w:rsidR="00D82241">
              <w:rPr>
                <w:rStyle w:val="NoteLabel"/>
                <w:b/>
              </w:rPr>
              <w:t>b</w:t>
            </w:r>
            <w:r w:rsidR="00460D45">
              <w:rPr>
                <w:rStyle w:val="NoteLabel"/>
                <w:b/>
              </w:rPr>
              <w:t>, c</w:t>
            </w:r>
          </w:p>
        </w:tc>
      </w:tr>
      <w:tr w:rsidR="008D27B8" w14:paraId="3ED61943" w14:textId="77777777" w:rsidTr="00094EB3">
        <w:tblPrEx>
          <w:tblCellMar>
            <w:left w:w="108" w:type="dxa"/>
            <w:right w:w="108" w:type="dxa"/>
          </w:tblCellMar>
        </w:tblPrEx>
        <w:trPr>
          <w:trHeight w:val="6633"/>
        </w:trPr>
        <w:tc>
          <w:tcPr>
            <w:tcW w:w="5000" w:type="pct"/>
            <w:tcBorders>
              <w:top w:val="nil"/>
              <w:left w:val="nil"/>
              <w:bottom w:val="nil"/>
              <w:right w:val="nil"/>
            </w:tcBorders>
            <w:shd w:val="clear" w:color="auto" w:fill="auto"/>
          </w:tcPr>
          <w:p w14:paraId="52F54E02" w14:textId="063F1D99" w:rsidR="008D27B8" w:rsidRDefault="008D27B8" w:rsidP="00BD6750">
            <w:pPr>
              <w:pStyle w:val="Figure"/>
              <w:spacing w:beforeLines="50" w:after="0" w:line="240" w:lineRule="auto"/>
              <w:rPr>
                <w:rFonts w:ascii="Arial" w:hAnsi="Arial" w:cs="Arial"/>
                <w:b/>
                <w:sz w:val="20"/>
              </w:rPr>
            </w:pPr>
            <w:r w:rsidRPr="00962A05">
              <w:rPr>
                <w:rFonts w:ascii="Arial" w:hAnsi="Arial" w:cs="Arial"/>
                <w:b/>
                <w:sz w:val="20"/>
              </w:rPr>
              <w:t>Public housing</w:t>
            </w:r>
          </w:p>
          <w:p w14:paraId="27BE973E" w14:textId="465CE8FE" w:rsidR="008D27B8" w:rsidRDefault="00B05F3B" w:rsidP="00BD6750">
            <w:pPr>
              <w:pStyle w:val="Figure"/>
              <w:spacing w:before="0" w:after="0"/>
              <w:jc w:val="left"/>
              <w:rPr>
                <w:noProof/>
              </w:rPr>
            </w:pPr>
            <w:r>
              <w:rPr>
                <w:noProof/>
              </w:rPr>
              <w:drawing>
                <wp:inline distT="0" distB="0" distL="0" distR="0" wp14:anchorId="7563328F" wp14:editId="5A17428C">
                  <wp:extent cx="5400000" cy="1764000"/>
                  <wp:effectExtent l="0" t="0" r="0" b="8255"/>
                  <wp:docPr id="22" name="Chart 22" descr="Public housing&#10;&#10;More details can be found within the text surrounding this image." title="Figure 18.6 Dwellings meeting agreed minimum acceptabl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BCEA4E" w14:textId="77777777" w:rsidR="008D27B8" w:rsidRDefault="008D27B8" w:rsidP="00BD6750">
            <w:pPr>
              <w:pStyle w:val="Figure"/>
              <w:spacing w:beforeLines="50" w:after="0" w:line="240" w:lineRule="auto"/>
              <w:rPr>
                <w:rFonts w:ascii="Arial" w:hAnsi="Arial" w:cs="Arial"/>
                <w:b/>
                <w:sz w:val="20"/>
              </w:rPr>
            </w:pPr>
            <w:proofErr w:type="spellStart"/>
            <w:r>
              <w:rPr>
                <w:rFonts w:ascii="Arial" w:hAnsi="Arial" w:cs="Arial"/>
                <w:b/>
                <w:sz w:val="20"/>
              </w:rPr>
              <w:t>SOMIH</w:t>
            </w:r>
            <w:proofErr w:type="spellEnd"/>
          </w:p>
          <w:p w14:paraId="4B75A8CC" w14:textId="3BA403DB" w:rsidR="008D27B8" w:rsidRDefault="009C28D5" w:rsidP="00415378">
            <w:pPr>
              <w:pStyle w:val="Figure"/>
              <w:spacing w:beforeLines="80" w:before="192" w:afterLines="80" w:after="192"/>
              <w:jc w:val="left"/>
              <w:rPr>
                <w:noProof/>
              </w:rPr>
            </w:pPr>
            <w:r>
              <w:rPr>
                <w:noProof/>
              </w:rPr>
              <w:drawing>
                <wp:inline distT="0" distB="0" distL="0" distR="0" wp14:anchorId="1E34B177" wp14:editId="0419D1AC">
                  <wp:extent cx="5400000" cy="1764000"/>
                  <wp:effectExtent l="0" t="0" r="0" b="8255"/>
                  <wp:docPr id="23" name="Chart 23" descr="SOMIH&#10;&#10;More details can be found within the text surrounding this image." title="Figure 18.6 Dwellings meeting agreed minimum acceptabl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D97A9D" w14:textId="77777777" w:rsidR="008D27B8" w:rsidRDefault="008D27B8" w:rsidP="00BD6750">
            <w:pPr>
              <w:pStyle w:val="Figure"/>
              <w:spacing w:beforeLines="50" w:after="0" w:line="240" w:lineRule="auto"/>
              <w:rPr>
                <w:rFonts w:ascii="Arial" w:hAnsi="Arial" w:cs="Arial"/>
                <w:b/>
                <w:sz w:val="20"/>
              </w:rPr>
            </w:pPr>
            <w:r>
              <w:rPr>
                <w:rFonts w:ascii="Arial" w:hAnsi="Arial" w:cs="Arial"/>
                <w:b/>
                <w:sz w:val="20"/>
              </w:rPr>
              <w:t>Community</w:t>
            </w:r>
            <w:r w:rsidRPr="00962A05">
              <w:rPr>
                <w:rFonts w:ascii="Arial" w:hAnsi="Arial" w:cs="Arial"/>
                <w:b/>
                <w:sz w:val="20"/>
              </w:rPr>
              <w:t xml:space="preserve"> housing</w:t>
            </w:r>
          </w:p>
          <w:p w14:paraId="6141D770" w14:textId="43070BF8" w:rsidR="00A90600" w:rsidRDefault="00094EB3" w:rsidP="008D27B8">
            <w:pPr>
              <w:pStyle w:val="Figure"/>
              <w:spacing w:beforeLines="80" w:before="192" w:afterLines="80" w:after="192"/>
              <w:rPr>
                <w:rFonts w:ascii="Arial" w:hAnsi="Arial" w:cs="Arial"/>
                <w:b/>
                <w:sz w:val="20"/>
              </w:rPr>
            </w:pPr>
            <w:r>
              <w:rPr>
                <w:noProof/>
              </w:rPr>
              <w:drawing>
                <wp:inline distT="0" distB="0" distL="0" distR="0" wp14:anchorId="0062F3BA" wp14:editId="596E065F">
                  <wp:extent cx="5400000" cy="1764000"/>
                  <wp:effectExtent l="0" t="0" r="0" b="8255"/>
                  <wp:docPr id="25" name="Chart 25" descr="Community housing&#10;&#10;More details can be found within the text surrounding this image." title="Figure 18.6 Dwellings meeting agreed minimum acceptabl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F2CE03" w14:textId="0257CE48" w:rsidR="008D27B8" w:rsidRDefault="002D27A9" w:rsidP="00BD6750">
            <w:pPr>
              <w:pStyle w:val="Figure"/>
              <w:spacing w:after="0"/>
            </w:pPr>
            <w:r>
              <w:rPr>
                <w:noProof/>
              </w:rPr>
              <w:drawing>
                <wp:inline distT="0" distB="0" distL="0" distR="0" wp14:anchorId="7D9147DD" wp14:editId="524F4E14">
                  <wp:extent cx="5407621" cy="152401"/>
                  <wp:effectExtent l="0" t="0" r="3175" b="0"/>
                  <wp:docPr id="21" name="Picture 2" descr="Legend to figure 18.6&#10;&#10;Green = 2014&#10;Blue = 2016&#10;&#10;More details can be found within the text surrounding this image." title="Figure 18.6 Dwellings meeting agreed minimum acceptabl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a:srcRect t="85122" b="6258"/>
                          <a:stretch/>
                        </pic:blipFill>
                        <pic:spPr>
                          <a:xfrm>
                            <a:off x="0" y="0"/>
                            <a:ext cx="5407621" cy="152401"/>
                          </a:xfrm>
                          <a:prstGeom prst="rect">
                            <a:avLst/>
                          </a:prstGeom>
                        </pic:spPr>
                      </pic:pic>
                    </a:graphicData>
                  </a:graphic>
                </wp:inline>
              </w:drawing>
            </w:r>
          </w:p>
        </w:tc>
      </w:tr>
      <w:tr w:rsidR="00BB6F71" w:rsidRPr="00176D3F" w14:paraId="67D653D8" w14:textId="77777777" w:rsidTr="007049C5">
        <w:tc>
          <w:tcPr>
            <w:tcW w:w="5000" w:type="pct"/>
            <w:tcBorders>
              <w:top w:val="nil"/>
              <w:left w:val="nil"/>
              <w:bottom w:val="nil"/>
              <w:right w:val="nil"/>
            </w:tcBorders>
            <w:shd w:val="clear" w:color="auto" w:fill="auto"/>
          </w:tcPr>
          <w:p w14:paraId="369406D1" w14:textId="1B2B73AB" w:rsidR="00BB6F71" w:rsidRPr="006F7A0C" w:rsidRDefault="00BB6F71" w:rsidP="000944F9">
            <w:pPr>
              <w:pStyle w:val="Note"/>
              <w:rPr>
                <w:rStyle w:val="DraftingNote"/>
                <w:color w:val="auto"/>
                <w:sz w:val="20"/>
              </w:rPr>
            </w:pPr>
            <w:r>
              <w:rPr>
                <w:rStyle w:val="NoteLabel"/>
              </w:rPr>
              <w:t>a</w:t>
            </w:r>
            <w:r>
              <w:t xml:space="preserve"> </w:t>
            </w:r>
            <w:r w:rsidR="002157D9">
              <w:t>See box</w:t>
            </w:r>
            <w:r w:rsidR="007D1214">
              <w:t> </w:t>
            </w:r>
            <w:r w:rsidR="002157D9">
              <w:t>1</w:t>
            </w:r>
            <w:r w:rsidR="00BB5630">
              <w:t>8</w:t>
            </w:r>
            <w:r w:rsidR="002157D9">
              <w:t>.</w:t>
            </w:r>
            <w:r w:rsidR="002C6FDF">
              <w:t>9</w:t>
            </w:r>
            <w:r w:rsidR="002157D9">
              <w:t xml:space="preserve"> and tables</w:t>
            </w:r>
            <w:r w:rsidR="007D1214">
              <w:t> </w:t>
            </w:r>
            <w:proofErr w:type="spellStart"/>
            <w:r w:rsidR="003B2986">
              <w:t>18A.36</w:t>
            </w:r>
            <w:proofErr w:type="spellEnd"/>
            <w:r w:rsidR="002157D9">
              <w:t>–</w:t>
            </w:r>
            <w:r w:rsidR="00F557E3">
              <w:t>38</w:t>
            </w:r>
            <w:r w:rsidR="002157D9">
              <w:t xml:space="preserve"> for detailed definitions, footnotes and caveats.</w:t>
            </w:r>
            <w:r w:rsidR="00D82241">
              <w:t xml:space="preserve"> </w:t>
            </w:r>
            <w:r w:rsidR="00D82241" w:rsidRPr="00D0217C">
              <w:rPr>
                <w:rStyle w:val="NoteLabel"/>
              </w:rPr>
              <w:t xml:space="preserve">b </w:t>
            </w:r>
            <w:r w:rsidR="000944F9" w:rsidRPr="000944F9">
              <w:t>Error bars represent the 95 per cent confidence interval associated with each point estimate</w:t>
            </w:r>
            <w:r w:rsidR="000944F9">
              <w:t>.</w:t>
            </w:r>
            <w:r w:rsidR="000944F9" w:rsidRPr="000944F9">
              <w:t xml:space="preserve"> </w:t>
            </w:r>
            <w:r w:rsidR="000944F9">
              <w:rPr>
                <w:rStyle w:val="NoteLabel"/>
              </w:rPr>
              <w:t>c</w:t>
            </w:r>
            <w:r w:rsidR="000944F9" w:rsidRPr="00D0217C">
              <w:rPr>
                <w:rStyle w:val="NoteLabel"/>
              </w:rPr>
              <w:t xml:space="preserve"> </w:t>
            </w:r>
            <w:r w:rsidR="000944F9">
              <w:t>T</w:t>
            </w:r>
            <w:r w:rsidR="0001229D" w:rsidRPr="00D51E02">
              <w:t xml:space="preserve">he </w:t>
            </w:r>
            <w:proofErr w:type="spellStart"/>
            <w:r w:rsidR="0001229D" w:rsidRPr="00D51E02">
              <w:t>SOMIH</w:t>
            </w:r>
            <w:proofErr w:type="spellEnd"/>
            <w:r w:rsidR="0001229D" w:rsidRPr="00D51E02">
              <w:t xml:space="preserve"> pr</w:t>
            </w:r>
            <w:r w:rsidR="007049C5" w:rsidRPr="00D51E02">
              <w:t>o</w:t>
            </w:r>
            <w:r w:rsidR="0001229D" w:rsidRPr="00D51E02">
              <w:t>gram in the NT did not participate in this survey. C</w:t>
            </w:r>
            <w:r w:rsidR="00341E25" w:rsidRPr="00D51E02">
              <w:t xml:space="preserve">ommunity housing data </w:t>
            </w:r>
            <w:r w:rsidR="00BD2DBB" w:rsidRPr="00D51E02">
              <w:t>are</w:t>
            </w:r>
            <w:r w:rsidR="00CC2DE4" w:rsidRPr="00D51E02">
              <w:t xml:space="preserve"> not availabl</w:t>
            </w:r>
            <w:r w:rsidR="00CC2DE4">
              <w:t>e for the NT.</w:t>
            </w:r>
          </w:p>
        </w:tc>
      </w:tr>
      <w:tr w:rsidR="00BB6F71" w:rsidRPr="00176D3F" w14:paraId="62E80E66" w14:textId="77777777" w:rsidTr="006A2597">
        <w:tc>
          <w:tcPr>
            <w:tcW w:w="5000" w:type="pct"/>
            <w:tcBorders>
              <w:top w:val="nil"/>
              <w:left w:val="nil"/>
              <w:bottom w:val="nil"/>
              <w:right w:val="nil"/>
            </w:tcBorders>
            <w:shd w:val="clear" w:color="auto" w:fill="auto"/>
          </w:tcPr>
          <w:p w14:paraId="245B7018" w14:textId="77777777" w:rsidR="00BB6F71" w:rsidRPr="00176D3F" w:rsidRDefault="00BB6F71" w:rsidP="006530AE">
            <w:pPr>
              <w:pStyle w:val="Source"/>
              <w:spacing w:after="80"/>
            </w:pPr>
            <w:r>
              <w:rPr>
                <w:i/>
              </w:rPr>
              <w:t>S</w:t>
            </w:r>
            <w:r w:rsidRPr="00784A05">
              <w:rPr>
                <w:i/>
              </w:rPr>
              <w:t>ource</w:t>
            </w:r>
            <w:r w:rsidRPr="00176D3F">
              <w:t xml:space="preserve">: </w:t>
            </w:r>
            <w:proofErr w:type="spellStart"/>
            <w:r w:rsidRPr="00F306D1">
              <w:t>AIHW</w:t>
            </w:r>
            <w:proofErr w:type="spellEnd"/>
            <w:r w:rsidRPr="00F306D1">
              <w:t xml:space="preserve"> (unpublished) </w:t>
            </w:r>
            <w:r w:rsidRPr="008E1D76">
              <w:t>Na</w:t>
            </w:r>
            <w:r w:rsidR="008D350D" w:rsidRPr="008E1D76">
              <w:t>tional Social Housing Survey</w:t>
            </w:r>
            <w:r w:rsidR="008D350D">
              <w:t xml:space="preserve"> </w:t>
            </w:r>
            <w:r w:rsidR="008D350D" w:rsidRPr="007A2B06">
              <w:t>2014</w:t>
            </w:r>
            <w:r w:rsidR="007A2B06">
              <w:t>,</w:t>
            </w:r>
            <w:r w:rsidR="00A43D82" w:rsidRPr="007A2B06">
              <w:t xml:space="preserve"> 2016</w:t>
            </w:r>
            <w:r w:rsidR="008D350D" w:rsidRPr="007A2B06">
              <w:t>; tables</w:t>
            </w:r>
            <w:r w:rsidR="008D350D">
              <w:t> </w:t>
            </w:r>
            <w:proofErr w:type="spellStart"/>
            <w:r w:rsidR="003B2986">
              <w:t>18A.36</w:t>
            </w:r>
            <w:proofErr w:type="spellEnd"/>
            <w:r w:rsidR="00F306D1">
              <w:t>–</w:t>
            </w:r>
            <w:r w:rsidR="003B2986">
              <w:t>3</w:t>
            </w:r>
            <w:r w:rsidR="009076BC">
              <w:t>8</w:t>
            </w:r>
            <w:r w:rsidR="008D350D">
              <w:t>.</w:t>
            </w:r>
          </w:p>
        </w:tc>
      </w:tr>
      <w:tr w:rsidR="00BB6F71" w14:paraId="134EFD91" w14:textId="77777777" w:rsidTr="006A2597">
        <w:tc>
          <w:tcPr>
            <w:tcW w:w="5000" w:type="pct"/>
            <w:tcBorders>
              <w:top w:val="nil"/>
              <w:left w:val="nil"/>
              <w:bottom w:val="single" w:sz="6" w:space="0" w:color="78A22F"/>
              <w:right w:val="nil"/>
            </w:tcBorders>
            <w:shd w:val="clear" w:color="auto" w:fill="auto"/>
          </w:tcPr>
          <w:p w14:paraId="7B7D5C68" w14:textId="77777777" w:rsidR="00BB6F71" w:rsidRDefault="00BB6F71" w:rsidP="001668C7">
            <w:pPr>
              <w:pStyle w:val="Figurespace"/>
            </w:pPr>
          </w:p>
        </w:tc>
      </w:tr>
    </w:tbl>
    <w:p w14:paraId="586259D9" w14:textId="77777777" w:rsidR="000E1427" w:rsidRDefault="000E1427" w:rsidP="000B0440">
      <w:pPr>
        <w:pStyle w:val="BoxSpaceBelow"/>
      </w:pPr>
    </w:p>
    <w:p w14:paraId="040FAEAA" w14:textId="11E47521" w:rsidR="00856590" w:rsidRDefault="00856590" w:rsidP="00CC2DE4">
      <w:pPr>
        <w:pStyle w:val="BodyText"/>
      </w:pPr>
      <w:r>
        <w:t xml:space="preserve">Nationally in </w:t>
      </w:r>
      <w:r w:rsidRPr="0094624A">
        <w:t>2014</w:t>
      </w:r>
      <w:r w:rsidRPr="0094624A">
        <w:noBreakHyphen/>
        <w:t>15,</w:t>
      </w:r>
      <w:r>
        <w:t xml:space="preserve"> </w:t>
      </w:r>
      <w:r w:rsidR="00DD4002" w:rsidRPr="0094624A">
        <w:t>71.4</w:t>
      </w:r>
      <w:r w:rsidR="00DD4002">
        <w:t xml:space="preserve"> per cent of households in </w:t>
      </w:r>
      <w:r>
        <w:t>Indigenous community housing</w:t>
      </w:r>
      <w:r w:rsidR="00DD4002">
        <w:t xml:space="preserve"> </w:t>
      </w:r>
      <w:r>
        <w:t xml:space="preserve">were reported to be </w:t>
      </w:r>
      <w:r w:rsidR="00DD4002">
        <w:t xml:space="preserve">living in dwellings </w:t>
      </w:r>
      <w:r>
        <w:t>of an acceptable standard (table </w:t>
      </w:r>
      <w:proofErr w:type="spellStart"/>
      <w:r>
        <w:t>18A.39</w:t>
      </w:r>
      <w:proofErr w:type="spellEnd"/>
      <w:r w:rsidRPr="00F05D73">
        <w:t>).</w:t>
      </w:r>
      <w:r>
        <w:t xml:space="preserve"> These data are unable to be disaggregated for households</w:t>
      </w:r>
      <w:r w:rsidR="00CC2DE4">
        <w:t xml:space="preserve"> with a member with disability.</w:t>
      </w:r>
    </w:p>
    <w:p w14:paraId="68AC6FD2" w14:textId="77777777" w:rsidR="000E1427" w:rsidRPr="00BE5555" w:rsidRDefault="000E1427" w:rsidP="00EC7078">
      <w:pPr>
        <w:pStyle w:val="Heading4"/>
      </w:pPr>
      <w:r>
        <w:lastRenderedPageBreak/>
        <w:t xml:space="preserve">Quality — </w:t>
      </w:r>
      <w:r w:rsidRPr="00BE5555">
        <w:t>Customer satisfaction</w:t>
      </w:r>
    </w:p>
    <w:p w14:paraId="3A4AB0BE" w14:textId="77777777" w:rsidR="000E1427" w:rsidRPr="003A2FF6" w:rsidRDefault="000E1427" w:rsidP="003A2FF6">
      <w:pPr>
        <w:pStyle w:val="BodyText"/>
      </w:pPr>
      <w:r w:rsidRPr="00462933">
        <w:t xml:space="preserve">‘Customer satisfaction’ is an indicator of governments’ objective to provide </w:t>
      </w:r>
      <w:r w:rsidR="009049E5">
        <w:rPr>
          <w:szCs w:val="24"/>
        </w:rPr>
        <w:t>services that are high quality</w:t>
      </w:r>
      <w:r w:rsidRPr="00462933">
        <w:rPr>
          <w:szCs w:val="24"/>
        </w:rPr>
        <w:t xml:space="preserve"> (box</w:t>
      </w:r>
      <w:r>
        <w:rPr>
          <w:szCs w:val="24"/>
        </w:rPr>
        <w:t> 18</w:t>
      </w:r>
      <w:r w:rsidRPr="00462933">
        <w:rPr>
          <w:szCs w:val="24"/>
        </w:rPr>
        <w:t>.</w:t>
      </w:r>
      <w:r w:rsidR="00790CB2">
        <w:rPr>
          <w:szCs w:val="24"/>
        </w:rPr>
        <w:t>1</w:t>
      </w:r>
      <w:r w:rsidR="007E1942">
        <w:rPr>
          <w:szCs w:val="24"/>
        </w:rPr>
        <w:t>0</w:t>
      </w:r>
      <w:r w:rsidRPr="00462933">
        <w:rPr>
          <w:szCs w:val="24"/>
        </w:rPr>
        <w:t>).</w:t>
      </w:r>
    </w:p>
    <w:p w14:paraId="5E6B409D" w14:textId="77777777" w:rsidR="000E1427" w:rsidRDefault="000E1427" w:rsidP="006530AE">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E1427" w14:paraId="700BCCAC" w14:textId="77777777" w:rsidTr="006530AE">
        <w:tc>
          <w:tcPr>
            <w:tcW w:w="5000" w:type="pct"/>
            <w:tcBorders>
              <w:top w:val="single" w:sz="6" w:space="0" w:color="78A22F"/>
              <w:left w:val="nil"/>
              <w:bottom w:val="nil"/>
              <w:right w:val="nil"/>
            </w:tcBorders>
            <w:shd w:val="clear" w:color="auto" w:fill="F2F2F2" w:themeFill="background1" w:themeFillShade="F2"/>
          </w:tcPr>
          <w:p w14:paraId="539AADD6" w14:textId="2D78DF62" w:rsidR="000E1427" w:rsidRDefault="00790CB2" w:rsidP="00790CB2">
            <w:pPr>
              <w:pStyle w:val="BoxTitle"/>
            </w:pPr>
            <w:r>
              <w:rPr>
                <w:b w:val="0"/>
              </w:rPr>
              <w:t>Box 18.</w:t>
            </w:r>
            <w:r w:rsidR="007D5A6B">
              <w:rPr>
                <w:b w:val="0"/>
                <w:noProof/>
              </w:rPr>
              <w:t>10</w:t>
            </w:r>
            <w:r w:rsidR="000E1427">
              <w:tab/>
            </w:r>
            <w:r w:rsidR="000E1427" w:rsidRPr="00153CFD">
              <w:t>Customer satisfaction</w:t>
            </w:r>
          </w:p>
        </w:tc>
      </w:tr>
      <w:tr w:rsidR="000E1427" w14:paraId="0F7AC224" w14:textId="77777777" w:rsidTr="006530AE">
        <w:trPr>
          <w:cantSplit/>
        </w:trPr>
        <w:tc>
          <w:tcPr>
            <w:tcW w:w="5000" w:type="pct"/>
            <w:tcBorders>
              <w:top w:val="nil"/>
              <w:left w:val="nil"/>
              <w:bottom w:val="nil"/>
              <w:right w:val="nil"/>
            </w:tcBorders>
            <w:shd w:val="clear" w:color="auto" w:fill="F2F2F2" w:themeFill="background1" w:themeFillShade="F2"/>
          </w:tcPr>
          <w:p w14:paraId="0FB7CBD6" w14:textId="77777777" w:rsidR="000E1427" w:rsidRPr="004F0EC5" w:rsidRDefault="000E1427" w:rsidP="00746E44">
            <w:pPr>
              <w:pStyle w:val="Box"/>
            </w:pPr>
            <w:r w:rsidRPr="004F0EC5">
              <w:t xml:space="preserve">‘Customer satisfaction’ is defined as the proportion of social housing </w:t>
            </w:r>
            <w:r w:rsidR="000A59A1">
              <w:t xml:space="preserve">survey respondents </w:t>
            </w:r>
            <w:r w:rsidRPr="004F0EC5">
              <w:t xml:space="preserve">who </w:t>
            </w:r>
            <w:r w:rsidR="00E411E4" w:rsidRPr="00E411E4">
              <w:t xml:space="preserve">indicated </w:t>
            </w:r>
            <w:r w:rsidRPr="004F0EC5">
              <w:t>they were satisfied or very satisfied with the overall service provided by their housing provider.</w:t>
            </w:r>
          </w:p>
          <w:p w14:paraId="19139335" w14:textId="77777777" w:rsidR="000E1427" w:rsidRPr="004F0EC5" w:rsidRDefault="000E1427" w:rsidP="00746E44">
            <w:pPr>
              <w:pStyle w:val="Box"/>
            </w:pPr>
            <w:r w:rsidRPr="004F0EC5">
              <w:t xml:space="preserve">A high or increasing </w:t>
            </w:r>
            <w:r w:rsidR="00661335">
              <w:t>level of</w:t>
            </w:r>
            <w:r w:rsidRPr="004F0EC5">
              <w:t xml:space="preserve"> customer </w:t>
            </w:r>
            <w:r w:rsidR="004D2864" w:rsidRPr="004F0EC5">
              <w:t>satisfaction</w:t>
            </w:r>
            <w:r w:rsidR="004D2864">
              <w:t xml:space="preserve"> is</w:t>
            </w:r>
            <w:r w:rsidR="000A59A1">
              <w:t xml:space="preserve"> desirable</w:t>
            </w:r>
            <w:r w:rsidRPr="004F0EC5">
              <w:t>.</w:t>
            </w:r>
          </w:p>
          <w:p w14:paraId="1F031027" w14:textId="77777777" w:rsidR="000E1427" w:rsidRPr="004F0EC5" w:rsidRDefault="000E1427" w:rsidP="00746E44">
            <w:pPr>
              <w:pStyle w:val="Box"/>
            </w:pPr>
            <w:r w:rsidRPr="004F0EC5">
              <w:t xml:space="preserve">Data are reported for public housing, </w:t>
            </w:r>
            <w:proofErr w:type="spellStart"/>
            <w:r w:rsidRPr="004F0EC5">
              <w:t>SOMIH</w:t>
            </w:r>
            <w:proofErr w:type="spellEnd"/>
            <w:r w:rsidRPr="004F0EC5">
              <w:t xml:space="preserve"> and community housing</w:t>
            </w:r>
            <w:r w:rsidR="00D936CC">
              <w:t xml:space="preserve"> (</w:t>
            </w:r>
            <w:proofErr w:type="spellStart"/>
            <w:r w:rsidR="00D936CC">
              <w:t>ICH</w:t>
            </w:r>
            <w:proofErr w:type="spellEnd"/>
            <w:r w:rsidR="00D936CC">
              <w:t xml:space="preserve"> data are</w:t>
            </w:r>
            <w:r w:rsidR="009049E5">
              <w:t xml:space="preserve"> not </w:t>
            </w:r>
            <w:r w:rsidRPr="004F0EC5">
              <w:t>available</w:t>
            </w:r>
            <w:r w:rsidR="00D936CC">
              <w:t>) and are</w:t>
            </w:r>
            <w:r w:rsidR="006F7A0C">
              <w:t>:</w:t>
            </w:r>
          </w:p>
          <w:p w14:paraId="538F6EF9" w14:textId="77777777" w:rsidR="000E1427" w:rsidRPr="004F0EC5" w:rsidRDefault="000E1427" w:rsidP="000A309A">
            <w:pPr>
              <w:pStyle w:val="BoxListBullet"/>
            </w:pPr>
            <w:r w:rsidRPr="004F0EC5">
              <w:t xml:space="preserve">comparable (subject to caveats) across jurisdictions for the current reporting period </w:t>
            </w:r>
            <w:r w:rsidR="000A59A1">
              <w:t>and</w:t>
            </w:r>
            <w:r w:rsidRPr="000A59A1">
              <w:t xml:space="preserve"> comparable </w:t>
            </w:r>
            <w:r w:rsidR="000A59A1" w:rsidRPr="000A59A1">
              <w:t xml:space="preserve">(subject to caveats) </w:t>
            </w:r>
            <w:r w:rsidR="000A309A" w:rsidRPr="000A309A">
              <w:t>over time from the 2014 reporting period</w:t>
            </w:r>
          </w:p>
          <w:p w14:paraId="40A1393F" w14:textId="77777777" w:rsidR="000E1427" w:rsidRPr="004F0EC5" w:rsidRDefault="000E1427" w:rsidP="00746E44">
            <w:pPr>
              <w:pStyle w:val="Box"/>
              <w:numPr>
                <w:ilvl w:val="0"/>
                <w:numId w:val="1"/>
              </w:numPr>
            </w:pPr>
            <w:r w:rsidRPr="00A17C2C">
              <w:t xml:space="preserve">comparable </w:t>
            </w:r>
            <w:r w:rsidR="00650D47" w:rsidRPr="00A17C2C">
              <w:t xml:space="preserve">(subject to caveats) </w:t>
            </w:r>
            <w:r w:rsidRPr="00A17C2C">
              <w:t>across public housi</w:t>
            </w:r>
            <w:r w:rsidR="000A59A1" w:rsidRPr="00A17C2C">
              <w:t xml:space="preserve">ng, </w:t>
            </w:r>
            <w:proofErr w:type="spellStart"/>
            <w:r w:rsidR="000A59A1" w:rsidRPr="00A17C2C">
              <w:t>SOMIH</w:t>
            </w:r>
            <w:proofErr w:type="spellEnd"/>
            <w:r w:rsidR="000A59A1" w:rsidRPr="00A17C2C">
              <w:t xml:space="preserve"> and community housing</w:t>
            </w:r>
          </w:p>
          <w:p w14:paraId="041E0A38" w14:textId="77777777" w:rsidR="000E1427" w:rsidRDefault="000E1427" w:rsidP="000A309A">
            <w:pPr>
              <w:pStyle w:val="Box"/>
              <w:numPr>
                <w:ilvl w:val="0"/>
                <w:numId w:val="1"/>
              </w:numPr>
            </w:pPr>
            <w:r w:rsidRPr="004F0EC5">
              <w:t xml:space="preserve">complete for the current reporting period </w:t>
            </w:r>
            <w:r w:rsidR="003A2FF6" w:rsidRPr="004F0EC5">
              <w:t>(subject to caveats)</w:t>
            </w:r>
            <w:r w:rsidR="003A2FF6">
              <w:t xml:space="preserve"> with the exception of </w:t>
            </w:r>
            <w:r w:rsidR="003A2FF6" w:rsidRPr="004F0EC5">
              <w:t>community housing</w:t>
            </w:r>
            <w:r w:rsidR="003A2FF6">
              <w:t>, for which a</w:t>
            </w:r>
            <w:r w:rsidRPr="004F0EC5">
              <w:t>ll required</w:t>
            </w:r>
            <w:r w:rsidR="00332446">
              <w:t xml:space="preserve"> 2016</w:t>
            </w:r>
            <w:r w:rsidRPr="004F0EC5">
              <w:t xml:space="preserve"> data </w:t>
            </w:r>
            <w:r w:rsidR="003A2FF6" w:rsidRPr="004F0EC5">
              <w:t xml:space="preserve">were not available for the </w:t>
            </w:r>
            <w:r w:rsidR="003A2FF6">
              <w:t>NT.</w:t>
            </w:r>
          </w:p>
        </w:tc>
      </w:tr>
      <w:tr w:rsidR="000E1427" w14:paraId="2696669F" w14:textId="77777777" w:rsidTr="006530AE">
        <w:trPr>
          <w:cantSplit/>
        </w:trPr>
        <w:tc>
          <w:tcPr>
            <w:tcW w:w="5000" w:type="pct"/>
            <w:tcBorders>
              <w:top w:val="nil"/>
              <w:left w:val="nil"/>
              <w:bottom w:val="single" w:sz="6" w:space="0" w:color="78A22F"/>
              <w:right w:val="nil"/>
            </w:tcBorders>
            <w:shd w:val="clear" w:color="auto" w:fill="F2F2F2" w:themeFill="background1" w:themeFillShade="F2"/>
          </w:tcPr>
          <w:p w14:paraId="7376909A" w14:textId="77777777" w:rsidR="000E1427" w:rsidRDefault="000E1427" w:rsidP="00746E44">
            <w:pPr>
              <w:pStyle w:val="Box"/>
              <w:spacing w:before="0" w:line="120" w:lineRule="exact"/>
            </w:pPr>
          </w:p>
        </w:tc>
      </w:tr>
      <w:tr w:rsidR="000E1427" w:rsidRPr="000863A5" w14:paraId="5746E31A" w14:textId="77777777" w:rsidTr="006530AE">
        <w:tc>
          <w:tcPr>
            <w:tcW w:w="5000" w:type="pct"/>
            <w:tcBorders>
              <w:top w:val="single" w:sz="6" w:space="0" w:color="78A22F"/>
              <w:left w:val="nil"/>
              <w:bottom w:val="nil"/>
              <w:right w:val="nil"/>
            </w:tcBorders>
          </w:tcPr>
          <w:p w14:paraId="72EBB335" w14:textId="77777777" w:rsidR="000E1427" w:rsidRPr="00626D32" w:rsidRDefault="000E1427" w:rsidP="00746E44">
            <w:pPr>
              <w:pStyle w:val="BoxSpaceBelow"/>
            </w:pPr>
          </w:p>
        </w:tc>
      </w:tr>
    </w:tbl>
    <w:p w14:paraId="5583372F" w14:textId="496D35B0" w:rsidR="000E1427" w:rsidRPr="00DC04F0" w:rsidRDefault="000E1427" w:rsidP="006530AE">
      <w:pPr>
        <w:pStyle w:val="BodyText"/>
        <w:spacing w:before="160"/>
        <w:rPr>
          <w:lang w:eastAsia="en-US"/>
        </w:rPr>
      </w:pPr>
      <w:r>
        <w:t>Nationally in</w:t>
      </w:r>
      <w:r w:rsidR="004805C8">
        <w:t xml:space="preserve"> 2016</w:t>
      </w:r>
      <w:r>
        <w:t xml:space="preserve">, the majority of social housing tenants were satisfied or very satisfied with the overall service provided by their housing provider </w:t>
      </w:r>
      <w:r w:rsidR="004805C8" w:rsidRPr="004805C8">
        <w:t>(73</w:t>
      </w:r>
      <w:r w:rsidR="004805C8">
        <w:t>.1 </w:t>
      </w:r>
      <w:r>
        <w:t>per cent for public housing,</w:t>
      </w:r>
      <w:r w:rsidR="004805C8">
        <w:t xml:space="preserve"> 67.6</w:t>
      </w:r>
      <w:r>
        <w:t xml:space="preserve"> per cent for </w:t>
      </w:r>
      <w:proofErr w:type="spellStart"/>
      <w:r w:rsidRPr="008F2728">
        <w:t>SOMIH</w:t>
      </w:r>
      <w:proofErr w:type="spellEnd"/>
      <w:r w:rsidRPr="008F2728">
        <w:t>, and</w:t>
      </w:r>
      <w:r w:rsidR="00E87318">
        <w:t xml:space="preserve"> 80.3</w:t>
      </w:r>
      <w:r w:rsidRPr="008F2728">
        <w:t xml:space="preserve"> per cent for community housing)</w:t>
      </w:r>
      <w:r w:rsidR="002875F4">
        <w:t xml:space="preserve"> </w:t>
      </w:r>
      <w:r w:rsidR="007C3353">
        <w:t>(figure 18.</w:t>
      </w:r>
      <w:r w:rsidR="0067708F">
        <w:t>7</w:t>
      </w:r>
      <w:r w:rsidRPr="008F2728">
        <w:t>).</w:t>
      </w:r>
      <w:r w:rsidR="00C5023E">
        <w:t xml:space="preserve"> </w:t>
      </w:r>
      <w:r w:rsidR="00C5023E">
        <w:rPr>
          <w:color w:val="000000" w:themeColor="text1"/>
        </w:rPr>
        <w:t>Customer satisfaction d</w:t>
      </w:r>
      <w:r w:rsidR="00C5023E" w:rsidRPr="00C93CD9">
        <w:rPr>
          <w:color w:val="000000" w:themeColor="text1"/>
        </w:rPr>
        <w:t>ata for households with a member w</w:t>
      </w:r>
      <w:r w:rsidR="00C5023E">
        <w:rPr>
          <w:color w:val="000000" w:themeColor="text1"/>
        </w:rPr>
        <w:t xml:space="preserve">ith disability </w:t>
      </w:r>
      <w:r w:rsidR="00C5023E" w:rsidRPr="00C93CD9">
        <w:rPr>
          <w:color w:val="000000" w:themeColor="text1"/>
        </w:rPr>
        <w:t>are available in tables</w:t>
      </w:r>
      <w:r w:rsidR="00C5023E">
        <w:rPr>
          <w:color w:val="000000" w:themeColor="text1"/>
        </w:rPr>
        <w:t> </w:t>
      </w:r>
      <w:proofErr w:type="spellStart"/>
      <w:r w:rsidR="009D52B2">
        <w:t>18A.40</w:t>
      </w:r>
      <w:proofErr w:type="spellEnd"/>
      <w:r w:rsidR="00C5023E">
        <w:rPr>
          <w:color w:val="000000" w:themeColor="text1"/>
        </w:rPr>
        <w:t>–</w:t>
      </w:r>
      <w:r w:rsidR="009D52B2">
        <w:t>42</w:t>
      </w:r>
      <w:r w:rsidR="00C5023E" w:rsidRPr="00C93CD9">
        <w:rPr>
          <w:color w:val="000000" w:themeColor="text1"/>
        </w:rPr>
        <w:t>.</w:t>
      </w:r>
      <w:r w:rsidR="006530AE">
        <w:rPr>
          <w:color w:val="000000" w:themeColor="text1"/>
        </w:rPr>
        <w:t xml:space="preserve"> </w:t>
      </w:r>
    </w:p>
    <w:p w14:paraId="25E8DEA4" w14:textId="77777777" w:rsidR="000E1427" w:rsidRDefault="000E1427" w:rsidP="006530AE">
      <w:pPr>
        <w:pStyle w:val="BoxSpaceAbove"/>
        <w:spacing w:before="120"/>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E1427" w14:paraId="55E51575" w14:textId="77777777" w:rsidTr="006530AE">
        <w:tc>
          <w:tcPr>
            <w:tcW w:w="8789" w:type="dxa"/>
            <w:tcBorders>
              <w:top w:val="single" w:sz="6" w:space="0" w:color="78A22F"/>
              <w:left w:val="nil"/>
              <w:bottom w:val="nil"/>
              <w:right w:val="nil"/>
            </w:tcBorders>
            <w:shd w:val="clear" w:color="auto" w:fill="auto"/>
          </w:tcPr>
          <w:p w14:paraId="71B207E0" w14:textId="6FFE6FD3" w:rsidR="000E1427" w:rsidRPr="00805950" w:rsidRDefault="000E1427" w:rsidP="006530AE">
            <w:pPr>
              <w:pStyle w:val="FigureTitle"/>
              <w:spacing w:before="80"/>
              <w:rPr>
                <w:rStyle w:val="NoteLabel"/>
              </w:rPr>
            </w:pPr>
            <w:r w:rsidRPr="00784A05">
              <w:rPr>
                <w:b w:val="0"/>
              </w:rPr>
              <w:t xml:space="preserve">Figure </w:t>
            </w:r>
            <w:r w:rsidR="008A7879">
              <w:rPr>
                <w:b w:val="0"/>
              </w:rPr>
              <w:t>18.</w:t>
            </w:r>
            <w:r w:rsidR="007D5A6B">
              <w:rPr>
                <w:b w:val="0"/>
                <w:noProof/>
              </w:rPr>
              <w:t>7</w:t>
            </w:r>
            <w:r>
              <w:tab/>
              <w:t>Proportion of tenants satisfied or very satisfied with the service provided by the</w:t>
            </w:r>
            <w:r w:rsidR="00707656">
              <w:t>ir housing provider</w:t>
            </w:r>
            <w:r>
              <w:t>,</w:t>
            </w:r>
            <w:r w:rsidR="00531453">
              <w:t xml:space="preserve"> 2016</w:t>
            </w:r>
            <w:r w:rsidRPr="00531453">
              <w:rPr>
                <w:rStyle w:val="NoteLabel"/>
                <w:b/>
              </w:rPr>
              <w:t>a</w:t>
            </w:r>
            <w:r>
              <w:rPr>
                <w:rStyle w:val="NoteLabel"/>
                <w:b/>
              </w:rPr>
              <w:t>, b</w:t>
            </w:r>
            <w:r w:rsidR="009F11DF">
              <w:rPr>
                <w:rStyle w:val="NoteLabel"/>
                <w:b/>
              </w:rPr>
              <w:t>, c</w:t>
            </w:r>
          </w:p>
        </w:tc>
      </w:tr>
      <w:tr w:rsidR="000E1427" w14:paraId="35B04379" w14:textId="77777777" w:rsidTr="006530AE">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shd w:val="clear" w:color="auto" w:fill="92D050"/>
              <w:tblCellMar>
                <w:top w:w="28" w:type="dxa"/>
              </w:tblCellMar>
              <w:tblLook w:val="0000" w:firstRow="0" w:lastRow="0" w:firstColumn="0" w:lastColumn="0" w:noHBand="0" w:noVBand="0"/>
            </w:tblPr>
            <w:tblGrid>
              <w:gridCol w:w="8505"/>
            </w:tblGrid>
            <w:tr w:rsidR="000E1427" w14:paraId="371BF577" w14:textId="77777777" w:rsidTr="004F5A2F">
              <w:trPr>
                <w:jc w:val="center"/>
              </w:trPr>
              <w:tc>
                <w:tcPr>
                  <w:tcW w:w="8504" w:type="dxa"/>
                  <w:tcBorders>
                    <w:top w:val="nil"/>
                    <w:bottom w:val="nil"/>
                  </w:tcBorders>
                  <w:shd w:val="clear" w:color="auto" w:fill="auto"/>
                </w:tcPr>
                <w:p w14:paraId="507517B9" w14:textId="6847C986" w:rsidR="000E1427" w:rsidRDefault="004F5A2F" w:rsidP="00746E44">
                  <w:pPr>
                    <w:pStyle w:val="Figure"/>
                    <w:spacing w:before="60" w:after="60"/>
                  </w:pPr>
                  <w:r>
                    <w:rPr>
                      <w:noProof/>
                    </w:rPr>
                    <w:drawing>
                      <wp:inline distT="0" distB="0" distL="0" distR="0" wp14:anchorId="250AF5FE" wp14:editId="36C4D288">
                        <wp:extent cx="5400000" cy="2880000"/>
                        <wp:effectExtent l="0" t="0" r="0" b="0"/>
                        <wp:docPr id="11" name="Chart 11" descr="More details can be found within the text surrounding this image." title="Figure 18.7 Proportion of tenants satisfied or very satisfied with the service provided by their housing provid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46A4A73A" w14:textId="77777777" w:rsidR="000E1427" w:rsidRDefault="000E1427" w:rsidP="00746E44">
            <w:pPr>
              <w:pStyle w:val="Figure"/>
            </w:pPr>
          </w:p>
        </w:tc>
      </w:tr>
      <w:tr w:rsidR="000E1427" w:rsidRPr="00176D3F" w14:paraId="529BC406" w14:textId="77777777" w:rsidTr="006530AE">
        <w:tc>
          <w:tcPr>
            <w:tcW w:w="8789" w:type="dxa"/>
            <w:tcBorders>
              <w:top w:val="nil"/>
              <w:left w:val="nil"/>
              <w:bottom w:val="nil"/>
              <w:right w:val="nil"/>
            </w:tcBorders>
            <w:shd w:val="clear" w:color="auto" w:fill="auto"/>
          </w:tcPr>
          <w:p w14:paraId="461945E9" w14:textId="50699B49" w:rsidR="000E1427" w:rsidRPr="00176D3F" w:rsidRDefault="000E1427" w:rsidP="009F11DF">
            <w:pPr>
              <w:pStyle w:val="Note"/>
              <w:spacing w:after="80"/>
            </w:pPr>
            <w:r>
              <w:rPr>
                <w:rStyle w:val="NoteLabel"/>
              </w:rPr>
              <w:t>a</w:t>
            </w:r>
            <w:r>
              <w:t xml:space="preserve"> See box 18.1</w:t>
            </w:r>
            <w:r w:rsidR="00D7681A">
              <w:t>0</w:t>
            </w:r>
            <w:r>
              <w:t xml:space="preserve"> and tables </w:t>
            </w:r>
            <w:proofErr w:type="spellStart"/>
            <w:r w:rsidR="003B2986">
              <w:t>18A.</w:t>
            </w:r>
            <w:r w:rsidR="00BE2D70">
              <w:t>40</w:t>
            </w:r>
            <w:proofErr w:type="spellEnd"/>
            <w:r w:rsidR="00E620C5">
              <w:t>–</w:t>
            </w:r>
            <w:r w:rsidR="00BE2D70">
              <w:t>42</w:t>
            </w:r>
            <w:r>
              <w:t xml:space="preserve"> for detailed definitions, footnotes and caveats.</w:t>
            </w:r>
            <w:r w:rsidR="009914C3">
              <w:t xml:space="preserve"> </w:t>
            </w:r>
            <w:r w:rsidR="009914C3" w:rsidRPr="009914C3">
              <w:rPr>
                <w:rStyle w:val="NoteLabel"/>
              </w:rPr>
              <w:t xml:space="preserve">b </w:t>
            </w:r>
            <w:r w:rsidR="009914C3" w:rsidRPr="009914C3">
              <w:t>Error bars represent the 95 per cent confidence interval associated with each point estimate</w:t>
            </w:r>
            <w:r w:rsidR="009914C3">
              <w:t>.</w:t>
            </w:r>
            <w:r w:rsidR="009F11DF">
              <w:t> </w:t>
            </w:r>
            <w:r w:rsidR="009914C3">
              <w:rPr>
                <w:rStyle w:val="NoteLabel"/>
              </w:rPr>
              <w:t>c</w:t>
            </w:r>
            <w:r w:rsidR="009F11DF">
              <w:rPr>
                <w:rStyle w:val="NoteLabel"/>
              </w:rPr>
              <w:t> </w:t>
            </w:r>
            <w:r w:rsidRPr="00E178F8">
              <w:t xml:space="preserve">The </w:t>
            </w:r>
            <w:proofErr w:type="spellStart"/>
            <w:r w:rsidRPr="00E178F8">
              <w:t>SOMIH</w:t>
            </w:r>
            <w:proofErr w:type="spellEnd"/>
            <w:r w:rsidRPr="00E178F8">
              <w:t xml:space="preserve"> </w:t>
            </w:r>
            <w:r w:rsidR="00D936CC">
              <w:t>program</w:t>
            </w:r>
            <w:r w:rsidRPr="00E178F8">
              <w:t xml:space="preserve"> </w:t>
            </w:r>
            <w:r w:rsidR="00A55574">
              <w:t xml:space="preserve">does not operate </w:t>
            </w:r>
            <w:r>
              <w:t>in</w:t>
            </w:r>
            <w:r w:rsidRPr="00E178F8">
              <w:t xml:space="preserve"> Victoria</w:t>
            </w:r>
            <w:r>
              <w:t>, WA</w:t>
            </w:r>
            <w:r w:rsidR="00A55574">
              <w:t xml:space="preserve"> or the</w:t>
            </w:r>
            <w:r>
              <w:t xml:space="preserve"> ACT</w:t>
            </w:r>
            <w:r w:rsidR="00A55574">
              <w:t xml:space="preserve"> </w:t>
            </w:r>
            <w:r w:rsidR="00CC2DE4" w:rsidRPr="00D51E02">
              <w:t xml:space="preserve">and, in </w:t>
            </w:r>
            <w:r w:rsidR="00A55574" w:rsidRPr="00D51E02">
              <w:t>the NT</w:t>
            </w:r>
            <w:r w:rsidR="00CC2DE4" w:rsidRPr="00D51E02">
              <w:t>, did not participate in</w:t>
            </w:r>
            <w:r w:rsidR="00A55574" w:rsidRPr="00D51E02">
              <w:t xml:space="preserve"> this survey</w:t>
            </w:r>
            <w:r w:rsidR="00A55574">
              <w:t>.</w:t>
            </w:r>
            <w:r>
              <w:t xml:space="preserve"> </w:t>
            </w:r>
            <w:r w:rsidR="002D3DE4">
              <w:t>C</w:t>
            </w:r>
            <w:r>
              <w:t>ommunity housing data are not available for the NT.</w:t>
            </w:r>
          </w:p>
        </w:tc>
      </w:tr>
      <w:tr w:rsidR="000E1427" w:rsidRPr="00176D3F" w14:paraId="143956B6" w14:textId="77777777" w:rsidTr="006530AE">
        <w:tc>
          <w:tcPr>
            <w:tcW w:w="8789" w:type="dxa"/>
            <w:tcBorders>
              <w:top w:val="nil"/>
              <w:left w:val="nil"/>
              <w:bottom w:val="nil"/>
              <w:right w:val="nil"/>
            </w:tcBorders>
            <w:shd w:val="clear" w:color="auto" w:fill="auto"/>
          </w:tcPr>
          <w:p w14:paraId="3CBC05DA" w14:textId="77777777" w:rsidR="000E1427" w:rsidRPr="00176D3F" w:rsidRDefault="000E1427" w:rsidP="006530AE">
            <w:pPr>
              <w:pStyle w:val="Source"/>
              <w:spacing w:after="80"/>
            </w:pPr>
            <w:r>
              <w:rPr>
                <w:i/>
              </w:rPr>
              <w:t>Source</w:t>
            </w:r>
            <w:r w:rsidRPr="00B93213">
              <w:t>:</w:t>
            </w:r>
            <w:r>
              <w:rPr>
                <w:i/>
              </w:rPr>
              <w:t xml:space="preserve"> </w:t>
            </w:r>
            <w:proofErr w:type="spellStart"/>
            <w:r w:rsidRPr="004F3198">
              <w:t>AIHW</w:t>
            </w:r>
            <w:proofErr w:type="spellEnd"/>
            <w:r w:rsidRPr="004F3198">
              <w:t xml:space="preserve"> (unpublished)</w:t>
            </w:r>
            <w:r w:rsidRPr="00AE0C3F">
              <w:rPr>
                <w:i/>
              </w:rPr>
              <w:t xml:space="preserve"> </w:t>
            </w:r>
            <w:r w:rsidRPr="00532280">
              <w:t>National Social Housing Survey</w:t>
            </w:r>
            <w:r w:rsidR="00531453">
              <w:t xml:space="preserve"> 2016</w:t>
            </w:r>
            <w:r>
              <w:t>; tables </w:t>
            </w:r>
            <w:proofErr w:type="spellStart"/>
            <w:r w:rsidR="0032755E">
              <w:t>18A.40</w:t>
            </w:r>
            <w:proofErr w:type="spellEnd"/>
            <w:r>
              <w:t>–</w:t>
            </w:r>
            <w:r w:rsidR="0032755E">
              <w:t>42</w:t>
            </w:r>
            <w:r>
              <w:t>.</w:t>
            </w:r>
          </w:p>
        </w:tc>
      </w:tr>
      <w:tr w:rsidR="000E1427" w14:paraId="498E77F5" w14:textId="77777777" w:rsidTr="006530AE">
        <w:tc>
          <w:tcPr>
            <w:tcW w:w="8789" w:type="dxa"/>
            <w:tcBorders>
              <w:top w:val="nil"/>
              <w:left w:val="nil"/>
              <w:bottom w:val="single" w:sz="6" w:space="0" w:color="78A22F"/>
              <w:right w:val="nil"/>
            </w:tcBorders>
            <w:shd w:val="clear" w:color="auto" w:fill="auto"/>
          </w:tcPr>
          <w:p w14:paraId="76C047C6" w14:textId="77777777" w:rsidR="000E1427" w:rsidRDefault="000E1427" w:rsidP="00746E44">
            <w:pPr>
              <w:pStyle w:val="Figurespace"/>
            </w:pPr>
          </w:p>
        </w:tc>
      </w:tr>
      <w:tr w:rsidR="000E1427" w:rsidRPr="000863A5" w14:paraId="0E0E7D1C" w14:textId="77777777" w:rsidTr="006530AE">
        <w:tc>
          <w:tcPr>
            <w:tcW w:w="8789" w:type="dxa"/>
            <w:tcBorders>
              <w:top w:val="single" w:sz="6" w:space="0" w:color="78A22F"/>
              <w:left w:val="nil"/>
              <w:bottom w:val="nil"/>
              <w:right w:val="nil"/>
            </w:tcBorders>
          </w:tcPr>
          <w:p w14:paraId="799CC3BF" w14:textId="77777777" w:rsidR="000E1427" w:rsidRPr="00626D32" w:rsidRDefault="000E1427" w:rsidP="006530AE">
            <w:pPr>
              <w:pStyle w:val="BoxSpaceBelow"/>
              <w:spacing w:before="0" w:after="0"/>
            </w:pPr>
          </w:p>
        </w:tc>
      </w:tr>
    </w:tbl>
    <w:p w14:paraId="5CE2656D" w14:textId="77777777" w:rsidR="00E0413D" w:rsidRDefault="005D0454" w:rsidP="00E0413D">
      <w:pPr>
        <w:pStyle w:val="Heading4"/>
      </w:pPr>
      <w:r>
        <w:t>Perceptions of s</w:t>
      </w:r>
      <w:r w:rsidR="00E0413D">
        <w:t>afety</w:t>
      </w:r>
    </w:p>
    <w:p w14:paraId="370C99F9" w14:textId="77777777" w:rsidR="00E0413D" w:rsidRDefault="00E0413D" w:rsidP="00E0413D">
      <w:pPr>
        <w:pStyle w:val="BodyText"/>
      </w:pPr>
      <w:r w:rsidRPr="003876D5">
        <w:t xml:space="preserve">‘Perceptions of safety’ is an indicator of government’s objective to provide services that are safe (box </w:t>
      </w:r>
      <w:r w:rsidR="00A22BB3" w:rsidRPr="00A22BB3">
        <w:t>18.11</w:t>
      </w:r>
      <w:r w:rsidRPr="003876D5">
        <w:t>).</w:t>
      </w:r>
    </w:p>
    <w:p w14:paraId="797BB28E" w14:textId="3E0B53D1" w:rsidR="00E0413D" w:rsidRDefault="00E0413D" w:rsidP="00E0413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0413D" w14:paraId="0F2A8A23" w14:textId="77777777" w:rsidTr="000F2514">
        <w:trPr>
          <w:tblHeader/>
        </w:trPr>
        <w:tc>
          <w:tcPr>
            <w:tcW w:w="5000" w:type="pct"/>
            <w:tcBorders>
              <w:top w:val="single" w:sz="6" w:space="0" w:color="78A22F"/>
              <w:left w:val="nil"/>
              <w:bottom w:val="nil"/>
              <w:right w:val="nil"/>
            </w:tcBorders>
            <w:shd w:val="clear" w:color="auto" w:fill="F2F2F2"/>
          </w:tcPr>
          <w:p w14:paraId="197DEE45" w14:textId="3A941F6E" w:rsidR="00E0413D" w:rsidRDefault="00E0413D" w:rsidP="00174411">
            <w:pPr>
              <w:pStyle w:val="BoxTitle"/>
            </w:pPr>
            <w:r>
              <w:rPr>
                <w:b w:val="0"/>
              </w:rPr>
              <w:t>Box 18.</w:t>
            </w:r>
            <w:r w:rsidR="007D5A6B">
              <w:rPr>
                <w:b w:val="0"/>
                <w:noProof/>
              </w:rPr>
              <w:t>11</w:t>
            </w:r>
            <w:r>
              <w:tab/>
            </w:r>
            <w:r w:rsidRPr="003876D5">
              <w:t xml:space="preserve">Perceptions of </w:t>
            </w:r>
            <w:r w:rsidR="00174411">
              <w:t>s</w:t>
            </w:r>
            <w:r w:rsidRPr="003876D5">
              <w:t>afety</w:t>
            </w:r>
          </w:p>
        </w:tc>
      </w:tr>
      <w:tr w:rsidR="00E0413D" w14:paraId="4B0DBC48" w14:textId="77777777" w:rsidTr="000F2514">
        <w:tc>
          <w:tcPr>
            <w:tcW w:w="5000" w:type="pct"/>
            <w:tcBorders>
              <w:top w:val="nil"/>
              <w:left w:val="nil"/>
              <w:bottom w:val="nil"/>
              <w:right w:val="nil"/>
            </w:tcBorders>
            <w:shd w:val="clear" w:color="auto" w:fill="F2F2F2"/>
          </w:tcPr>
          <w:p w14:paraId="6E02159D" w14:textId="77777777" w:rsidR="00E0413D" w:rsidRDefault="00E0413D" w:rsidP="000F2514">
            <w:pPr>
              <w:pStyle w:val="Box"/>
            </w:pPr>
            <w:r>
              <w:t>‘Perceptions of safety’ is defined as the proportion of households rating their safety requirements as being met, measured separately for safety of home and safety outside of the home within the neighbourhood.</w:t>
            </w:r>
          </w:p>
          <w:p w14:paraId="61040B04" w14:textId="5DDBF4E0" w:rsidR="00E0413D" w:rsidRDefault="00E0413D" w:rsidP="000F2514">
            <w:pPr>
              <w:pStyle w:val="Box"/>
            </w:pPr>
            <w:r>
              <w:t xml:space="preserve">A high or increasing </w:t>
            </w:r>
            <w:r w:rsidR="0000278E">
              <w:t xml:space="preserve">proportion </w:t>
            </w:r>
            <w:r>
              <w:t>is desirable.</w:t>
            </w:r>
          </w:p>
          <w:p w14:paraId="73277057" w14:textId="77777777" w:rsidR="00E0413D" w:rsidRDefault="00E0413D" w:rsidP="000F2514">
            <w:pPr>
              <w:pStyle w:val="Box"/>
            </w:pPr>
            <w:r>
              <w:t>Data are not yet available for reporting against this indicator.</w:t>
            </w:r>
          </w:p>
        </w:tc>
      </w:tr>
      <w:tr w:rsidR="00E0413D" w14:paraId="494DE9CB" w14:textId="77777777" w:rsidTr="000F2514">
        <w:tc>
          <w:tcPr>
            <w:tcW w:w="5000" w:type="pct"/>
            <w:tcBorders>
              <w:top w:val="nil"/>
              <w:left w:val="nil"/>
              <w:bottom w:val="single" w:sz="6" w:space="0" w:color="78A22F"/>
              <w:right w:val="nil"/>
            </w:tcBorders>
            <w:shd w:val="clear" w:color="auto" w:fill="F2F2F2"/>
          </w:tcPr>
          <w:p w14:paraId="68FCE79A" w14:textId="77777777" w:rsidR="00E0413D" w:rsidRDefault="00E0413D" w:rsidP="000F2514">
            <w:pPr>
              <w:pStyle w:val="Box"/>
              <w:spacing w:before="0" w:line="120" w:lineRule="exact"/>
            </w:pPr>
          </w:p>
        </w:tc>
      </w:tr>
      <w:tr w:rsidR="00E0413D" w:rsidRPr="000863A5" w14:paraId="50670CDF" w14:textId="77777777" w:rsidTr="000F2514">
        <w:tc>
          <w:tcPr>
            <w:tcW w:w="5000" w:type="pct"/>
            <w:tcBorders>
              <w:top w:val="single" w:sz="6" w:space="0" w:color="78A22F"/>
              <w:left w:val="nil"/>
              <w:bottom w:val="nil"/>
              <w:right w:val="nil"/>
            </w:tcBorders>
          </w:tcPr>
          <w:p w14:paraId="4D0EEB55" w14:textId="539B3D8F" w:rsidR="00E0413D" w:rsidRPr="00626D32" w:rsidRDefault="00E0413D" w:rsidP="000F2514">
            <w:pPr>
              <w:pStyle w:val="BoxSpaceBelow"/>
            </w:pPr>
          </w:p>
        </w:tc>
      </w:tr>
    </w:tbl>
    <w:p w14:paraId="1C659D8E" w14:textId="77777777" w:rsidR="00AE10B8" w:rsidRDefault="009C42D8" w:rsidP="00AE10B8">
      <w:pPr>
        <w:pStyle w:val="Heading4"/>
      </w:pPr>
      <w:r w:rsidRPr="009C42D8">
        <w:t>Sustainability</w:t>
      </w:r>
    </w:p>
    <w:p w14:paraId="79EC96D8" w14:textId="5570804D" w:rsidR="00AE10B8" w:rsidRDefault="00AE10B8" w:rsidP="00AE10B8">
      <w:pPr>
        <w:pStyle w:val="BodyText"/>
      </w:pPr>
      <w:r w:rsidRPr="00AE10B8">
        <w:t>‘Sustainability’ is an indicator of government’s objective to provide services that are sustainable</w:t>
      </w:r>
      <w:r w:rsidR="00781C7C">
        <w:t xml:space="preserve"> (box</w:t>
      </w:r>
      <w:r w:rsidR="001A3CAE">
        <w:rPr>
          <w:b/>
        </w:rPr>
        <w:t xml:space="preserve"> </w:t>
      </w:r>
      <w:r w:rsidR="001A3CAE" w:rsidRPr="001A3CAE">
        <w:t>18.12</w:t>
      </w:r>
      <w:r w:rsidR="00781C7C">
        <w:t>)</w:t>
      </w:r>
      <w:r w:rsidRPr="00AE10B8">
        <w:t>.</w:t>
      </w:r>
    </w:p>
    <w:p w14:paraId="0463E6F1" w14:textId="05957F7A" w:rsidR="00AE10B8" w:rsidRDefault="00AE10B8" w:rsidP="00AE10B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E10B8" w14:paraId="07E52307" w14:textId="77777777" w:rsidTr="00381E39">
        <w:trPr>
          <w:tblHeader/>
        </w:trPr>
        <w:tc>
          <w:tcPr>
            <w:tcW w:w="5000" w:type="pct"/>
            <w:tcBorders>
              <w:top w:val="single" w:sz="6" w:space="0" w:color="78A22F"/>
              <w:left w:val="nil"/>
              <w:bottom w:val="nil"/>
              <w:right w:val="nil"/>
            </w:tcBorders>
            <w:shd w:val="clear" w:color="auto" w:fill="F2F2F2"/>
          </w:tcPr>
          <w:p w14:paraId="079F5DFB" w14:textId="35795651" w:rsidR="00AE10B8" w:rsidRDefault="00AE10B8" w:rsidP="00AE10B8">
            <w:pPr>
              <w:pStyle w:val="BoxTitle"/>
            </w:pPr>
            <w:r>
              <w:rPr>
                <w:b w:val="0"/>
              </w:rPr>
              <w:t>Box 18.</w:t>
            </w:r>
            <w:r w:rsidR="007D5A6B">
              <w:rPr>
                <w:b w:val="0"/>
                <w:noProof/>
              </w:rPr>
              <w:t>12</w:t>
            </w:r>
            <w:r>
              <w:tab/>
              <w:t>Sustainability</w:t>
            </w:r>
          </w:p>
        </w:tc>
      </w:tr>
      <w:tr w:rsidR="00AE10B8" w14:paraId="2840ED66" w14:textId="77777777" w:rsidTr="00381E39">
        <w:tc>
          <w:tcPr>
            <w:tcW w:w="5000" w:type="pct"/>
            <w:tcBorders>
              <w:top w:val="nil"/>
              <w:left w:val="nil"/>
              <w:bottom w:val="nil"/>
              <w:right w:val="nil"/>
            </w:tcBorders>
            <w:shd w:val="clear" w:color="auto" w:fill="F2F2F2"/>
          </w:tcPr>
          <w:p w14:paraId="33CD9888" w14:textId="3DB09B52" w:rsidR="004564E5" w:rsidRPr="004564E5" w:rsidRDefault="00AE10B8" w:rsidP="004564E5">
            <w:pPr>
              <w:pStyle w:val="Box"/>
              <w:rPr>
                <w:shd w:val="clear" w:color="auto" w:fill="FFFF00"/>
              </w:rPr>
            </w:pPr>
            <w:r w:rsidRPr="00D33393">
              <w:t>‘</w:t>
            </w:r>
            <w:r w:rsidR="004564E5" w:rsidRPr="00D51E02">
              <w:t>Sustainability’ is broadly defined as the extent to which current social housing needs are met with reference to the need for future generations to meet their own social housing needs. In its broadest sense, this could consider financial, social and environmental sustainability.</w:t>
            </w:r>
          </w:p>
          <w:p w14:paraId="77202BE5" w14:textId="71615CFD" w:rsidR="00AE10B8" w:rsidRPr="004E45D3" w:rsidRDefault="004564E5" w:rsidP="004564E5">
            <w:pPr>
              <w:pStyle w:val="Box"/>
              <w:rPr>
                <w:rStyle w:val="DraftingNote"/>
                <w:b w:val="0"/>
                <w:color w:val="auto"/>
                <w:sz w:val="20"/>
                <w:u w:val="none"/>
              </w:rPr>
            </w:pPr>
            <w:r w:rsidRPr="00D51E02">
              <w:t>Further development of this indicator concept and potential measure(s) will be considered with reference to any changes in the policy environment.</w:t>
            </w:r>
          </w:p>
        </w:tc>
      </w:tr>
      <w:tr w:rsidR="00AE10B8" w14:paraId="7BA9316A" w14:textId="77777777" w:rsidTr="000F2514">
        <w:tc>
          <w:tcPr>
            <w:tcW w:w="5000" w:type="pct"/>
            <w:tcBorders>
              <w:top w:val="nil"/>
              <w:left w:val="nil"/>
              <w:bottom w:val="single" w:sz="6" w:space="0" w:color="78A22F"/>
              <w:right w:val="nil"/>
            </w:tcBorders>
            <w:shd w:val="clear" w:color="auto" w:fill="F2F2F2"/>
          </w:tcPr>
          <w:p w14:paraId="5DE0299C" w14:textId="77777777" w:rsidR="00AE10B8" w:rsidRDefault="00AE10B8" w:rsidP="000F2514">
            <w:pPr>
              <w:pStyle w:val="Box"/>
              <w:spacing w:before="0" w:line="120" w:lineRule="exact"/>
            </w:pPr>
          </w:p>
        </w:tc>
      </w:tr>
      <w:tr w:rsidR="00AE10B8" w:rsidRPr="000863A5" w14:paraId="4F5BDDAC" w14:textId="77777777" w:rsidTr="000F2514">
        <w:tc>
          <w:tcPr>
            <w:tcW w:w="5000" w:type="pct"/>
            <w:tcBorders>
              <w:top w:val="single" w:sz="6" w:space="0" w:color="78A22F"/>
              <w:left w:val="nil"/>
              <w:bottom w:val="nil"/>
              <w:right w:val="nil"/>
            </w:tcBorders>
          </w:tcPr>
          <w:p w14:paraId="24D9B75B" w14:textId="53482DB5" w:rsidR="00AE10B8" w:rsidRPr="00626D32" w:rsidRDefault="00AE10B8" w:rsidP="000F2514">
            <w:pPr>
              <w:pStyle w:val="BoxSpaceBelow"/>
            </w:pPr>
          </w:p>
        </w:tc>
      </w:tr>
    </w:tbl>
    <w:p w14:paraId="1253F17E" w14:textId="77777777" w:rsidR="00EF495B" w:rsidRPr="00457EC9" w:rsidRDefault="00EF495B" w:rsidP="00457EC9">
      <w:pPr>
        <w:pStyle w:val="Heading3"/>
      </w:pPr>
      <w:r w:rsidRPr="00457EC9">
        <w:t>Efficiency</w:t>
      </w:r>
    </w:p>
    <w:p w14:paraId="396438BA" w14:textId="77777777" w:rsidR="00EF495B" w:rsidRPr="0041427D" w:rsidRDefault="00EF495B" w:rsidP="006B692D">
      <w:pPr>
        <w:pStyle w:val="Heading4"/>
      </w:pPr>
      <w:r w:rsidRPr="0041427D">
        <w:t>Net recurrent cost per dwelling</w:t>
      </w:r>
    </w:p>
    <w:p w14:paraId="54E11C20" w14:textId="77777777" w:rsidR="00565F24" w:rsidRDefault="00EF495B" w:rsidP="004E45D3">
      <w:pPr>
        <w:pStyle w:val="BodyText"/>
      </w:pPr>
      <w:r>
        <w:t xml:space="preserve">‘Net recurrent cost per dwelling’ is an indicator of governments’ objective to </w:t>
      </w:r>
      <w:r w:rsidR="00A21E99">
        <w:t>provide</w:t>
      </w:r>
      <w:r w:rsidR="00024C72">
        <w:t xml:space="preserve"> services in an </w:t>
      </w:r>
      <w:r>
        <w:t xml:space="preserve">efficient </w:t>
      </w:r>
      <w:r w:rsidR="00024C72">
        <w:t xml:space="preserve">manner </w:t>
      </w:r>
      <w:r>
        <w:t>(box</w:t>
      </w:r>
      <w:r w:rsidR="007D1214">
        <w:t> </w:t>
      </w:r>
      <w:r w:rsidR="00463387">
        <w:t>1</w:t>
      </w:r>
      <w:r w:rsidR="00BB5630">
        <w:t>8</w:t>
      </w:r>
      <w:r w:rsidR="00463387">
        <w:t>.</w:t>
      </w:r>
      <w:r w:rsidR="001A3CAE">
        <w:t>13</w:t>
      </w:r>
      <w:r>
        <w:t>).</w:t>
      </w:r>
    </w:p>
    <w:p w14:paraId="741940A9" w14:textId="2721A74A" w:rsidR="00DF0294" w:rsidRDefault="00DF0294" w:rsidP="00DF02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F0294" w14:paraId="34A6040E" w14:textId="77777777" w:rsidTr="00425616">
        <w:trPr>
          <w:tblHeader/>
        </w:trPr>
        <w:tc>
          <w:tcPr>
            <w:tcW w:w="5000" w:type="pct"/>
            <w:tcBorders>
              <w:top w:val="single" w:sz="6" w:space="0" w:color="78A22F"/>
              <w:left w:val="nil"/>
              <w:bottom w:val="nil"/>
              <w:right w:val="nil"/>
            </w:tcBorders>
            <w:shd w:val="clear" w:color="auto" w:fill="F2F2F2"/>
          </w:tcPr>
          <w:p w14:paraId="07D294E0" w14:textId="16DBFB89" w:rsidR="00DF0294" w:rsidRDefault="00DF0294" w:rsidP="00DF0294">
            <w:pPr>
              <w:pStyle w:val="BoxTitle"/>
            </w:pPr>
            <w:r>
              <w:rPr>
                <w:b w:val="0"/>
              </w:rPr>
              <w:t>Box 18.</w:t>
            </w:r>
            <w:r w:rsidRPr="00DF0294">
              <w:rPr>
                <w:b w:val="0"/>
              </w:rPr>
              <w:t>13</w:t>
            </w:r>
            <w:r>
              <w:tab/>
            </w:r>
            <w:r w:rsidRPr="00716EE3">
              <w:t>Net recurrent cost per dwelling</w:t>
            </w:r>
          </w:p>
        </w:tc>
      </w:tr>
      <w:tr w:rsidR="00DF0294" w14:paraId="44EFAAE2" w14:textId="77777777" w:rsidTr="00425616">
        <w:tc>
          <w:tcPr>
            <w:tcW w:w="5000" w:type="pct"/>
            <w:tcBorders>
              <w:top w:val="nil"/>
              <w:left w:val="nil"/>
              <w:bottom w:val="nil"/>
              <w:right w:val="nil"/>
            </w:tcBorders>
            <w:shd w:val="clear" w:color="auto" w:fill="F2F2F2"/>
          </w:tcPr>
          <w:p w14:paraId="056D06A4" w14:textId="05D75073" w:rsidR="00DF0294" w:rsidRPr="00791695" w:rsidRDefault="00DF0294" w:rsidP="00791695">
            <w:pPr>
              <w:pStyle w:val="Box"/>
            </w:pPr>
            <w:r w:rsidRPr="00791695">
              <w:t>‘Net recurrent cost per dwelling’ is defined as the cost of providing assistance per dwelling and is measured as total recurrent expenditure divided by the total number of dwellings.</w:t>
            </w:r>
          </w:p>
          <w:p w14:paraId="42A47893" w14:textId="77777777" w:rsidR="00DF0294" w:rsidRPr="00791695" w:rsidRDefault="00DF0294" w:rsidP="00791695">
            <w:pPr>
              <w:pStyle w:val="Box"/>
            </w:pPr>
            <w:r w:rsidRPr="00791695">
              <w:t xml:space="preserve">Data are reported for public housing, </w:t>
            </w:r>
            <w:proofErr w:type="spellStart"/>
            <w:r w:rsidRPr="00791695">
              <w:t>SOMIH</w:t>
            </w:r>
            <w:proofErr w:type="spellEnd"/>
            <w:r w:rsidRPr="00791695">
              <w:t xml:space="preserve">, community housing and </w:t>
            </w:r>
            <w:proofErr w:type="spellStart"/>
            <w:r w:rsidRPr="00791695">
              <w:t>ICH</w:t>
            </w:r>
            <w:proofErr w:type="spellEnd"/>
            <w:r w:rsidRPr="00791695">
              <w:t xml:space="preserve">. Net recurrent cost per dwelling for public housing is reported with user cost of capital both included and excluded. User cost of capital data are not available for </w:t>
            </w:r>
            <w:proofErr w:type="spellStart"/>
            <w:r w:rsidRPr="00791695">
              <w:t>SOMIH</w:t>
            </w:r>
            <w:proofErr w:type="spellEnd"/>
            <w:r w:rsidRPr="00791695">
              <w:t xml:space="preserve">, community housing or </w:t>
            </w:r>
            <w:proofErr w:type="spellStart"/>
            <w:r w:rsidRPr="00791695">
              <w:t>ICH</w:t>
            </w:r>
            <w:proofErr w:type="spellEnd"/>
            <w:r w:rsidRPr="00791695">
              <w:t xml:space="preserve">. For </w:t>
            </w:r>
            <w:proofErr w:type="spellStart"/>
            <w:r w:rsidRPr="00791695">
              <w:t>ICH</w:t>
            </w:r>
            <w:proofErr w:type="spellEnd"/>
            <w:r w:rsidRPr="00791695">
              <w:t>, total number of dwellings is the number of permanent dwellings.</w:t>
            </w:r>
          </w:p>
          <w:p w14:paraId="4C5987C3" w14:textId="77777777" w:rsidR="00DF0294" w:rsidRDefault="00DF0294" w:rsidP="00AC7569">
            <w:pPr>
              <w:pStyle w:val="Box"/>
            </w:pPr>
            <w:r w:rsidRPr="00791695">
              <w:t xml:space="preserve">An inconsistency between numerator and denominator with a deflationary effect on community housing cost per dwelling may result from transfer of management responsibility for some public housing and/or </w:t>
            </w:r>
            <w:proofErr w:type="spellStart"/>
            <w:r w:rsidRPr="00791695">
              <w:t>SOMIH</w:t>
            </w:r>
            <w:proofErr w:type="spellEnd"/>
            <w:r w:rsidRPr="00791695">
              <w:t xml:space="preserve"> stock to the community sector, which is underway in some jurisdictions and planned to occur progressively over time in most others. The denominator (number of community housing dwellings at 30 June) may include dwellings for which expenditure for only part of the reporting year is counted in the numerator. This inconsistency is not expected to apply for public housing and </w:t>
            </w:r>
            <w:proofErr w:type="spellStart"/>
            <w:r w:rsidRPr="00AC7569">
              <w:t>SOMIH</w:t>
            </w:r>
            <w:proofErr w:type="spellEnd"/>
            <w:r w:rsidRPr="00791695">
              <w:t xml:space="preserve"> as the denominator (the average of the number of dwellings for each month of the reporting year) largely accounts for transfer of dwellings to the community sector.</w:t>
            </w:r>
          </w:p>
          <w:p w14:paraId="770254E1" w14:textId="579C5D41" w:rsidR="00D42683" w:rsidRDefault="00D42683" w:rsidP="00AC7569">
            <w:pPr>
              <w:pStyle w:val="Box"/>
            </w:pPr>
            <w:r w:rsidRPr="00704BC2">
              <w:t>Holding other factors — such as dwelling condition and tenant support services — equal, a low or decreasing cost per dwelling is desirable.</w:t>
            </w:r>
          </w:p>
          <w:p w14:paraId="0ED1131F" w14:textId="77777777" w:rsidR="00DF0294" w:rsidRDefault="006530AE" w:rsidP="006530AE">
            <w:pPr>
              <w:pStyle w:val="Box"/>
            </w:pPr>
            <w:r>
              <w:t>Data reported for this indicator are:</w:t>
            </w:r>
          </w:p>
          <w:p w14:paraId="214CBF0C" w14:textId="77777777" w:rsidR="006530AE" w:rsidRDefault="006530AE" w:rsidP="006530AE">
            <w:pPr>
              <w:pStyle w:val="BoxListBullet"/>
            </w:pPr>
            <w:r w:rsidRPr="00903B4C">
              <w:t>comparable (subject to caveats) within some jurisdictions over time but are not comparable across jurisdictions or over time for other jurisdictions</w:t>
            </w:r>
          </w:p>
          <w:p w14:paraId="1EFF0EA7" w14:textId="77777777" w:rsidR="006530AE" w:rsidRDefault="006530AE" w:rsidP="006530AE">
            <w:pPr>
              <w:pStyle w:val="BoxListBullet"/>
            </w:pPr>
            <w:r w:rsidRPr="00903B4C">
              <w:t xml:space="preserve">not comparable across public housing, </w:t>
            </w:r>
            <w:proofErr w:type="spellStart"/>
            <w:r w:rsidRPr="00903B4C">
              <w:t>SOMIH</w:t>
            </w:r>
            <w:proofErr w:type="spellEnd"/>
            <w:r w:rsidRPr="00903B4C">
              <w:t xml:space="preserve">, community housing and </w:t>
            </w:r>
            <w:proofErr w:type="spellStart"/>
            <w:r w:rsidRPr="00903B4C">
              <w:t>ICH</w:t>
            </w:r>
            <w:proofErr w:type="spellEnd"/>
          </w:p>
          <w:p w14:paraId="0BC5F90A" w14:textId="230A8B28" w:rsidR="006530AE" w:rsidRPr="00791695" w:rsidRDefault="006530AE" w:rsidP="006530AE">
            <w:pPr>
              <w:pStyle w:val="BoxListBullet"/>
            </w:pPr>
            <w:r w:rsidRPr="00903B4C">
              <w:t>complete for public housing</w:t>
            </w:r>
            <w:r>
              <w:t xml:space="preserve"> </w:t>
            </w:r>
            <w:r w:rsidRPr="00903B4C">
              <w:t>for the current reporting period (subject to caveats). All required</w:t>
            </w:r>
            <w:r>
              <w:t xml:space="preserve"> 2016</w:t>
            </w:r>
            <w:r>
              <w:noBreakHyphen/>
              <w:t>17</w:t>
            </w:r>
            <w:r w:rsidRPr="00903B4C">
              <w:t xml:space="preserve"> </w:t>
            </w:r>
            <w:r>
              <w:t xml:space="preserve">data </w:t>
            </w:r>
            <w:r w:rsidRPr="00903B4C">
              <w:t>are available for all jurisdictions providing the service</w:t>
            </w:r>
          </w:p>
        </w:tc>
      </w:tr>
      <w:tr w:rsidR="006530AE" w14:paraId="47CFD92A" w14:textId="77777777" w:rsidTr="00425616">
        <w:tc>
          <w:tcPr>
            <w:tcW w:w="5000" w:type="pct"/>
            <w:tcBorders>
              <w:top w:val="nil"/>
              <w:left w:val="nil"/>
              <w:bottom w:val="single" w:sz="6" w:space="0" w:color="78A22F"/>
              <w:right w:val="nil"/>
            </w:tcBorders>
            <w:shd w:val="clear" w:color="auto" w:fill="F2F2F2"/>
          </w:tcPr>
          <w:p w14:paraId="6B8AD30F" w14:textId="5FD7907F" w:rsidR="006530AE" w:rsidRPr="006530AE" w:rsidRDefault="006530AE" w:rsidP="006530AE">
            <w:pPr>
              <w:pStyle w:val="Box"/>
              <w:spacing w:before="60" w:after="60" w:line="240" w:lineRule="exact"/>
              <w:jc w:val="right"/>
              <w:rPr>
                <w:sz w:val="18"/>
                <w:szCs w:val="18"/>
              </w:rPr>
            </w:pPr>
            <w:r w:rsidRPr="006530AE">
              <w:rPr>
                <w:sz w:val="18"/>
                <w:szCs w:val="18"/>
              </w:rPr>
              <w:t>(continued next page)</w:t>
            </w:r>
          </w:p>
        </w:tc>
      </w:tr>
      <w:tr w:rsidR="00DF0294" w:rsidRPr="000863A5" w14:paraId="7B5EF235" w14:textId="77777777" w:rsidTr="00425616">
        <w:tc>
          <w:tcPr>
            <w:tcW w:w="5000" w:type="pct"/>
            <w:tcBorders>
              <w:top w:val="single" w:sz="6" w:space="0" w:color="78A22F"/>
              <w:left w:val="nil"/>
              <w:bottom w:val="nil"/>
              <w:right w:val="nil"/>
            </w:tcBorders>
          </w:tcPr>
          <w:p w14:paraId="434CFBA6" w14:textId="511B8DEF" w:rsidR="00DF0294" w:rsidRPr="00626D32" w:rsidRDefault="00DF0294" w:rsidP="00425616">
            <w:pPr>
              <w:pStyle w:val="BoxSpaceBelow"/>
            </w:pPr>
          </w:p>
        </w:tc>
      </w:tr>
    </w:tbl>
    <w:p w14:paraId="5B00C852" w14:textId="6FE44A3E" w:rsidR="00716EE3" w:rsidRDefault="00716EE3">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513"/>
      </w:tblGrid>
      <w:tr w:rsidR="00716EE3" w14:paraId="715867A5" w14:textId="77777777" w:rsidTr="00604F8C">
        <w:tc>
          <w:tcPr>
            <w:tcW w:w="5000" w:type="pct"/>
            <w:tcBorders>
              <w:top w:val="single" w:sz="6" w:space="0" w:color="78A22F"/>
              <w:left w:val="nil"/>
              <w:bottom w:val="nil"/>
              <w:right w:val="nil"/>
            </w:tcBorders>
            <w:shd w:val="clear" w:color="auto" w:fill="F2F2F2" w:themeFill="background1" w:themeFillShade="F2"/>
          </w:tcPr>
          <w:p w14:paraId="4811E3AE" w14:textId="06CAB6C5" w:rsidR="00716EE3" w:rsidRDefault="00E648CF" w:rsidP="009C20FF">
            <w:pPr>
              <w:pStyle w:val="BoxTitle"/>
            </w:pPr>
            <w:r>
              <w:rPr>
                <w:b w:val="0"/>
              </w:rPr>
              <w:t xml:space="preserve">Box </w:t>
            </w:r>
            <w:r w:rsidR="00BB5630">
              <w:rPr>
                <w:b w:val="0"/>
              </w:rPr>
              <w:t>18</w:t>
            </w:r>
            <w:r>
              <w:rPr>
                <w:b w:val="0"/>
              </w:rPr>
              <w:t>.</w:t>
            </w:r>
            <w:bookmarkStart w:id="19" w:name="OLE_LINK2"/>
            <w:r w:rsidR="007D5A6B">
              <w:rPr>
                <w:b w:val="0"/>
                <w:noProof/>
              </w:rPr>
              <w:t>13</w:t>
            </w:r>
            <w:bookmarkEnd w:id="19"/>
            <w:r w:rsidR="00716EE3">
              <w:tab/>
            </w:r>
            <w:r w:rsidR="009C20FF" w:rsidRPr="00A0640D">
              <w:rPr>
                <w:rStyle w:val="Continuedintitle"/>
              </w:rPr>
              <w:t>(</w:t>
            </w:r>
            <w:r w:rsidR="009C20FF">
              <w:rPr>
                <w:rStyle w:val="Continuedintitle"/>
              </w:rPr>
              <w:t>c</w:t>
            </w:r>
            <w:r w:rsidR="009C20FF" w:rsidRPr="00A0640D">
              <w:rPr>
                <w:rStyle w:val="Continuedintitle"/>
              </w:rPr>
              <w:t>ontinued)</w:t>
            </w:r>
          </w:p>
        </w:tc>
      </w:tr>
      <w:tr w:rsidR="00716EE3" w14:paraId="5ABA4868" w14:textId="77777777" w:rsidTr="00604F8C">
        <w:trPr>
          <w:cantSplit/>
        </w:trPr>
        <w:tc>
          <w:tcPr>
            <w:tcW w:w="5000" w:type="pct"/>
            <w:tcBorders>
              <w:top w:val="nil"/>
              <w:left w:val="nil"/>
              <w:bottom w:val="nil"/>
              <w:right w:val="nil"/>
            </w:tcBorders>
            <w:shd w:val="clear" w:color="auto" w:fill="F2F2F2" w:themeFill="background1" w:themeFillShade="F2"/>
          </w:tcPr>
          <w:p w14:paraId="0C5397B1" w14:textId="63338820" w:rsidR="0037761D" w:rsidRPr="00134428" w:rsidRDefault="004E0008" w:rsidP="00704BC2">
            <w:pPr>
              <w:pStyle w:val="BoxListBullet"/>
            </w:pPr>
            <w:r w:rsidRPr="00BC71A2">
              <w:t xml:space="preserve">incomplete for </w:t>
            </w:r>
            <w:proofErr w:type="spellStart"/>
            <w:r w:rsidR="00976C7B" w:rsidRPr="00BC71A2">
              <w:t>SOMIH</w:t>
            </w:r>
            <w:proofErr w:type="spellEnd"/>
            <w:r w:rsidR="00976C7B" w:rsidRPr="00BC71A2">
              <w:t xml:space="preserve"> </w:t>
            </w:r>
            <w:r w:rsidRPr="00BC71A2">
              <w:t>for the current reporting period. All required</w:t>
            </w:r>
            <w:r w:rsidR="00313B53" w:rsidRPr="00BC71A2">
              <w:t xml:space="preserve"> </w:t>
            </w:r>
            <w:r w:rsidR="002C791A" w:rsidRPr="00BC71A2">
              <w:t>201</w:t>
            </w:r>
            <w:r w:rsidR="00425616" w:rsidRPr="00BC71A2">
              <w:t>6</w:t>
            </w:r>
            <w:r w:rsidR="00DC04F0" w:rsidRPr="00BC71A2">
              <w:noBreakHyphen/>
            </w:r>
            <w:r w:rsidR="002C791A" w:rsidRPr="00BC71A2">
              <w:t>1</w:t>
            </w:r>
            <w:r w:rsidR="00425616" w:rsidRPr="00BC71A2">
              <w:t>7</w:t>
            </w:r>
            <w:r w:rsidRPr="00BC71A2">
              <w:t xml:space="preserve"> data are not available for the </w:t>
            </w:r>
            <w:r w:rsidR="00D82241" w:rsidRPr="00BC71A2">
              <w:t>NT</w:t>
            </w:r>
          </w:p>
          <w:p w14:paraId="7DEF270E" w14:textId="7AA908F0" w:rsidR="00716EE3" w:rsidRDefault="00903B4C" w:rsidP="00704BC2">
            <w:pPr>
              <w:pStyle w:val="BoxListBullet"/>
            </w:pPr>
            <w:r w:rsidRPr="00BC71A2">
              <w:t xml:space="preserve">incomplete for </w:t>
            </w:r>
            <w:r w:rsidR="00425616" w:rsidRPr="00BC71A2">
              <w:t xml:space="preserve">community housing and </w:t>
            </w:r>
            <w:proofErr w:type="spellStart"/>
            <w:r w:rsidR="00D82241" w:rsidRPr="00BC71A2">
              <w:t>ICH</w:t>
            </w:r>
            <w:proofErr w:type="spellEnd"/>
            <w:r w:rsidRPr="00BC71A2">
              <w:t xml:space="preserve"> for the current reporting period. All required </w:t>
            </w:r>
            <w:r w:rsidR="002C791A" w:rsidRPr="00BC71A2">
              <w:t>2015</w:t>
            </w:r>
            <w:r w:rsidR="00DC04F0" w:rsidRPr="00BC71A2">
              <w:noBreakHyphen/>
            </w:r>
            <w:r w:rsidR="002C791A" w:rsidRPr="00BC71A2">
              <w:t xml:space="preserve">16 </w:t>
            </w:r>
            <w:r w:rsidRPr="00BC71A2">
              <w:t xml:space="preserve">data </w:t>
            </w:r>
            <w:r w:rsidR="00313B53" w:rsidRPr="00BC71A2">
              <w:t>are</w:t>
            </w:r>
            <w:r w:rsidRPr="00BC71A2">
              <w:t xml:space="preserve"> not available for </w:t>
            </w:r>
            <w:r w:rsidR="005F02B3" w:rsidRPr="00BC71A2">
              <w:t xml:space="preserve">SA </w:t>
            </w:r>
            <w:r w:rsidR="00425616" w:rsidRPr="00BC71A2">
              <w:t xml:space="preserve">(for </w:t>
            </w:r>
            <w:proofErr w:type="spellStart"/>
            <w:r w:rsidR="00425616" w:rsidRPr="00BC71A2">
              <w:t>ICH</w:t>
            </w:r>
            <w:proofErr w:type="spellEnd"/>
            <w:r w:rsidR="00425616" w:rsidRPr="00BC71A2">
              <w:t xml:space="preserve">) </w:t>
            </w:r>
            <w:r w:rsidR="005F02B3" w:rsidRPr="00BC71A2">
              <w:t>and the NT</w:t>
            </w:r>
            <w:r w:rsidR="00425616" w:rsidRPr="00BC71A2">
              <w:t xml:space="preserve"> (for community housing and </w:t>
            </w:r>
            <w:proofErr w:type="spellStart"/>
            <w:r w:rsidR="00425616" w:rsidRPr="00BC71A2">
              <w:t>ICH</w:t>
            </w:r>
            <w:proofErr w:type="spellEnd"/>
            <w:r w:rsidR="00425616" w:rsidRPr="00BC71A2">
              <w:t>)</w:t>
            </w:r>
            <w:r w:rsidR="005F02B3" w:rsidRPr="00BC71A2">
              <w:t>.</w:t>
            </w:r>
          </w:p>
        </w:tc>
      </w:tr>
      <w:tr w:rsidR="00716EE3" w14:paraId="2CDB4CB4" w14:textId="77777777" w:rsidTr="00604F8C">
        <w:trPr>
          <w:cantSplit/>
        </w:trPr>
        <w:tc>
          <w:tcPr>
            <w:tcW w:w="5000" w:type="pct"/>
            <w:tcBorders>
              <w:top w:val="nil"/>
              <w:left w:val="nil"/>
              <w:bottom w:val="single" w:sz="6" w:space="0" w:color="78A22F"/>
              <w:right w:val="nil"/>
            </w:tcBorders>
            <w:shd w:val="clear" w:color="auto" w:fill="F2F2F2" w:themeFill="background1" w:themeFillShade="F2"/>
          </w:tcPr>
          <w:p w14:paraId="3778B598" w14:textId="77777777" w:rsidR="00716EE3" w:rsidRDefault="00716EE3">
            <w:pPr>
              <w:pStyle w:val="Box"/>
              <w:spacing w:before="0" w:line="120" w:lineRule="exact"/>
            </w:pPr>
          </w:p>
        </w:tc>
      </w:tr>
      <w:tr w:rsidR="00716EE3" w:rsidRPr="000863A5" w14:paraId="3546BAD0" w14:textId="77777777" w:rsidTr="00604F8C">
        <w:tc>
          <w:tcPr>
            <w:tcW w:w="5000" w:type="pct"/>
            <w:tcBorders>
              <w:top w:val="single" w:sz="6" w:space="0" w:color="78A22F"/>
              <w:left w:val="nil"/>
              <w:bottom w:val="nil"/>
              <w:right w:val="nil"/>
            </w:tcBorders>
          </w:tcPr>
          <w:p w14:paraId="741A6FFA" w14:textId="77777777" w:rsidR="001D0333" w:rsidRPr="00626D32" w:rsidRDefault="001D0333" w:rsidP="00953C75">
            <w:pPr>
              <w:pStyle w:val="BoxSpaceBelow"/>
            </w:pPr>
          </w:p>
        </w:tc>
      </w:tr>
    </w:tbl>
    <w:p w14:paraId="7579941A" w14:textId="77777777" w:rsidR="005A4F93" w:rsidRPr="003C278A" w:rsidRDefault="0057293A" w:rsidP="005A4F93">
      <w:pPr>
        <w:pStyle w:val="BodyText"/>
      </w:pPr>
      <w:r w:rsidRPr="003C278A">
        <w:t xml:space="preserve">Care needs to be taken in interpreting the cost of delivering </w:t>
      </w:r>
      <w:r w:rsidR="00A91F55" w:rsidRPr="003C278A">
        <w:t>social</w:t>
      </w:r>
      <w:r w:rsidRPr="003C278A">
        <w:t xml:space="preserve"> housing. Data are not comparable across jurisdictions </w:t>
      </w:r>
      <w:r w:rsidR="005D1999" w:rsidRPr="003C278A">
        <w:t>as</w:t>
      </w:r>
      <w:r w:rsidR="005A4F93" w:rsidRPr="003C278A">
        <w:t xml:space="preserve"> jurisdictions</w:t>
      </w:r>
      <w:r w:rsidR="009862B6" w:rsidRPr="003C278A">
        <w:t xml:space="preserve"> </w:t>
      </w:r>
      <w:r w:rsidR="005D1999" w:rsidRPr="003C278A">
        <w:t>vary in</w:t>
      </w:r>
      <w:r w:rsidR="005A4F93" w:rsidRPr="003C278A">
        <w:t xml:space="preserve"> </w:t>
      </w:r>
      <w:r w:rsidRPr="003C278A">
        <w:t>how complete</w:t>
      </w:r>
      <w:r w:rsidR="00A91F55" w:rsidRPr="003C278A">
        <w:t>ly</w:t>
      </w:r>
      <w:r w:rsidR="00A32732" w:rsidRPr="003C278A">
        <w:t xml:space="preserve"> costs are captured</w:t>
      </w:r>
      <w:r w:rsidRPr="003C278A">
        <w:t xml:space="preserve"> </w:t>
      </w:r>
      <w:r w:rsidR="005A4F93" w:rsidRPr="003C278A">
        <w:t xml:space="preserve">and how consistently </w:t>
      </w:r>
      <w:r w:rsidR="00A32732" w:rsidRPr="003C278A">
        <w:t xml:space="preserve">data </w:t>
      </w:r>
      <w:r w:rsidR="005A4F93" w:rsidRPr="003C278A">
        <w:t>are collected</w:t>
      </w:r>
      <w:r w:rsidR="005D1999" w:rsidRPr="003C278A">
        <w:t>, as well as</w:t>
      </w:r>
      <w:r w:rsidR="005A4F93" w:rsidRPr="003C278A">
        <w:t xml:space="preserve"> the degree to which costs can be separated between </w:t>
      </w:r>
      <w:r w:rsidR="005D1999" w:rsidRPr="003C278A">
        <w:t xml:space="preserve">different </w:t>
      </w:r>
      <w:r w:rsidR="005A4F93" w:rsidRPr="003C278A">
        <w:t>models of social housing and homelessness services</w:t>
      </w:r>
      <w:r w:rsidR="005D1999" w:rsidRPr="003C278A">
        <w:t>. There is also</w:t>
      </w:r>
      <w:r w:rsidR="00A91F55" w:rsidRPr="003C278A">
        <w:t xml:space="preserve"> </w:t>
      </w:r>
      <w:r w:rsidR="005A4F93" w:rsidRPr="003C278A">
        <w:t xml:space="preserve">potential </w:t>
      </w:r>
      <w:r w:rsidR="005D1999" w:rsidRPr="003C278A">
        <w:t xml:space="preserve">for </w:t>
      </w:r>
      <w:r w:rsidR="005A4F93" w:rsidRPr="003C278A">
        <w:t xml:space="preserve">double counting — for example, some </w:t>
      </w:r>
      <w:r w:rsidR="005D1999" w:rsidRPr="003C278A">
        <w:t xml:space="preserve">of the </w:t>
      </w:r>
      <w:r w:rsidR="005A4F93" w:rsidRPr="003C278A">
        <w:t xml:space="preserve">user cost of capital </w:t>
      </w:r>
      <w:r w:rsidR="005D1999" w:rsidRPr="003C278A">
        <w:t>may also be included in operating costs</w:t>
      </w:r>
      <w:r w:rsidR="00A32732" w:rsidRPr="003C278A">
        <w:t>.</w:t>
      </w:r>
    </w:p>
    <w:p w14:paraId="5433A1C7" w14:textId="77777777" w:rsidR="00091282" w:rsidRDefault="00031B37" w:rsidP="00C70B88">
      <w:pPr>
        <w:pStyle w:val="BodyText"/>
      </w:pPr>
      <w:r>
        <w:t>T</w:t>
      </w:r>
      <w:r w:rsidRPr="007616B4">
        <w:t xml:space="preserve">he </w:t>
      </w:r>
      <w:r>
        <w:t xml:space="preserve">user </w:t>
      </w:r>
      <w:r w:rsidRPr="007616B4">
        <w:t xml:space="preserve">cost of capital </w:t>
      </w:r>
      <w:r>
        <w:t xml:space="preserve">is </w:t>
      </w:r>
      <w:r w:rsidRPr="007616B4">
        <w:t xml:space="preserve">the cost of the funds tied up in the capital used to provide </w:t>
      </w:r>
      <w:r>
        <w:t>social housing</w:t>
      </w:r>
      <w:r w:rsidRPr="007616B4">
        <w:t>.</w:t>
      </w:r>
      <w:r>
        <w:t xml:space="preserve"> </w:t>
      </w:r>
      <w:r w:rsidR="000B4324">
        <w:t xml:space="preserve">User cost of capital is the main driver of cost per dwelling </w:t>
      </w:r>
      <w:r w:rsidR="003C278A">
        <w:t xml:space="preserve">due to </w:t>
      </w:r>
      <w:r w:rsidR="0006608D">
        <w:t>the level of</w:t>
      </w:r>
      <w:r w:rsidR="003C278A">
        <w:t xml:space="preserve"> </w:t>
      </w:r>
      <w:r w:rsidR="000B4324">
        <w:t xml:space="preserve">capital </w:t>
      </w:r>
      <w:r w:rsidR="0006608D">
        <w:t>expenditure</w:t>
      </w:r>
      <w:r w:rsidR="003C278A">
        <w:t xml:space="preserve"> </w:t>
      </w:r>
      <w:r w:rsidR="0006608D">
        <w:t>on</w:t>
      </w:r>
      <w:r w:rsidR="003C278A">
        <w:t xml:space="preserve"> </w:t>
      </w:r>
      <w:r w:rsidR="0006608D">
        <w:t>housing</w:t>
      </w:r>
      <w:r w:rsidR="000B4324">
        <w:t xml:space="preserve">. </w:t>
      </w:r>
      <w:r w:rsidR="0006608D">
        <w:t>Data should be interpreted with caution due to variation across jurisdictions in the treatment of assets (table</w:t>
      </w:r>
      <w:r w:rsidR="00B93213">
        <w:t> </w:t>
      </w:r>
      <w:proofErr w:type="spellStart"/>
      <w:r w:rsidR="004B2834">
        <w:t>1</w:t>
      </w:r>
      <w:r w:rsidR="00DC4782">
        <w:t>8</w:t>
      </w:r>
      <w:r w:rsidR="004B2834">
        <w:t>A.</w:t>
      </w:r>
      <w:r w:rsidR="00A20F8D">
        <w:t>52</w:t>
      </w:r>
      <w:proofErr w:type="spellEnd"/>
      <w:r w:rsidR="0006608D">
        <w:t>) and service delivery models.</w:t>
      </w:r>
    </w:p>
    <w:p w14:paraId="5BD244B4" w14:textId="3D419DF3" w:rsidR="0037761D" w:rsidRPr="0050546B" w:rsidRDefault="0006608D" w:rsidP="0050546B">
      <w:pPr>
        <w:pStyle w:val="BodyText"/>
      </w:pPr>
      <w:r w:rsidRPr="00ED5C9A">
        <w:t>Payroll tax is excluded from total recurrent cost for public housing</w:t>
      </w:r>
      <w:r>
        <w:t xml:space="preserve"> to improve comparability across jurisdictions</w:t>
      </w:r>
      <w:r w:rsidRPr="00ED5C9A">
        <w:t xml:space="preserve"> (</w:t>
      </w:r>
      <w:r>
        <w:t>see chapter</w:t>
      </w:r>
      <w:r w:rsidR="00B93213">
        <w:t> </w:t>
      </w:r>
      <w:r>
        <w:t>1 for an explanation of the rationale)</w:t>
      </w:r>
      <w:r w:rsidRPr="00ED5C9A">
        <w:t>.</w:t>
      </w:r>
    </w:p>
    <w:p w14:paraId="2CA29F6F" w14:textId="4E5A9D40" w:rsidR="0006608D" w:rsidRPr="0050546B" w:rsidRDefault="0006608D" w:rsidP="0050546B">
      <w:pPr>
        <w:pStyle w:val="BodyText"/>
      </w:pPr>
      <w:r w:rsidRPr="0050546B">
        <w:t xml:space="preserve">Nationally in </w:t>
      </w:r>
      <w:r w:rsidR="00E733CF" w:rsidRPr="0050546B">
        <w:t>2016</w:t>
      </w:r>
      <w:r w:rsidR="00DC04F0" w:rsidRPr="0050546B">
        <w:noBreakHyphen/>
      </w:r>
      <w:r w:rsidR="00E733CF" w:rsidRPr="0050546B">
        <w:t>17</w:t>
      </w:r>
      <w:r w:rsidRPr="0050546B">
        <w:t>, net recurrent cost per dwell</w:t>
      </w:r>
      <w:r w:rsidR="0046192C" w:rsidRPr="0050546B">
        <w:t>i</w:t>
      </w:r>
      <w:r w:rsidRPr="0050546B">
        <w:t>ng for public housing was:</w:t>
      </w:r>
    </w:p>
    <w:p w14:paraId="75CB2A55" w14:textId="77777777" w:rsidR="0006608D" w:rsidRPr="0050546B" w:rsidRDefault="0046192C" w:rsidP="0050546B">
      <w:pPr>
        <w:pStyle w:val="ListBullet"/>
      </w:pPr>
      <w:r w:rsidRPr="0050546B">
        <w:t>$</w:t>
      </w:r>
      <w:r w:rsidR="00270972" w:rsidRPr="0050546B">
        <w:t>9</w:t>
      </w:r>
      <w:r w:rsidR="00401672" w:rsidRPr="0050546B">
        <w:t>369</w:t>
      </w:r>
      <w:r w:rsidRPr="0050546B">
        <w:t xml:space="preserve"> </w:t>
      </w:r>
      <w:r w:rsidR="008473A0" w:rsidRPr="0050546B">
        <w:t>(excluding</w:t>
      </w:r>
      <w:r w:rsidRPr="0050546B">
        <w:t xml:space="preserve"> user cost of capital</w:t>
      </w:r>
      <w:r w:rsidR="008473A0" w:rsidRPr="0050546B">
        <w:t>)</w:t>
      </w:r>
      <w:r w:rsidRPr="0050546B">
        <w:t xml:space="preserve"> — up </w:t>
      </w:r>
      <w:r w:rsidR="002D0FD5" w:rsidRPr="0050546B">
        <w:t>13.3</w:t>
      </w:r>
      <w:r w:rsidRPr="0050546B">
        <w:t xml:space="preserve"> per cent (in real terms) from 201</w:t>
      </w:r>
      <w:r w:rsidR="006928AC" w:rsidRPr="0050546B">
        <w:t>2</w:t>
      </w:r>
      <w:r w:rsidR="00B93213" w:rsidRPr="0050546B">
        <w:noBreakHyphen/>
      </w:r>
      <w:r w:rsidRPr="0050546B">
        <w:t>1</w:t>
      </w:r>
      <w:r w:rsidR="006928AC" w:rsidRPr="0050546B">
        <w:t>3</w:t>
      </w:r>
    </w:p>
    <w:p w14:paraId="5EBCA945" w14:textId="24217CA6" w:rsidR="000A0859" w:rsidRPr="0050546B" w:rsidRDefault="00EE65E9" w:rsidP="0050546B">
      <w:pPr>
        <w:pStyle w:val="ListBullet"/>
      </w:pPr>
      <w:r w:rsidRPr="0050546B">
        <w:t>$</w:t>
      </w:r>
      <w:r w:rsidR="00082548" w:rsidRPr="0050546B">
        <w:t>38 </w:t>
      </w:r>
      <w:r w:rsidR="007266B7" w:rsidRPr="0050546B">
        <w:t>314</w:t>
      </w:r>
      <w:r w:rsidR="00B53359" w:rsidRPr="0050546B">
        <w:t xml:space="preserve"> </w:t>
      </w:r>
      <w:r w:rsidR="008473A0" w:rsidRPr="0050546B">
        <w:t>(including</w:t>
      </w:r>
      <w:r w:rsidR="0046192C" w:rsidRPr="0050546B">
        <w:t xml:space="preserve"> user cost of capital</w:t>
      </w:r>
      <w:r w:rsidR="008473A0" w:rsidRPr="0050546B">
        <w:t>)</w:t>
      </w:r>
      <w:r w:rsidR="0046192C" w:rsidRPr="0050546B">
        <w:t xml:space="preserve"> — up </w:t>
      </w:r>
      <w:r w:rsidR="00270972" w:rsidRPr="0050546B">
        <w:t>20.</w:t>
      </w:r>
      <w:r w:rsidR="00A05DD5" w:rsidRPr="0050546B">
        <w:t>0</w:t>
      </w:r>
      <w:r w:rsidR="0046192C" w:rsidRPr="0050546B">
        <w:t xml:space="preserve"> per cent </w:t>
      </w:r>
      <w:r w:rsidR="007A3AE0" w:rsidRPr="0050546B">
        <w:t>(in real terms) since</w:t>
      </w:r>
      <w:r w:rsidR="0046192C" w:rsidRPr="0050546B">
        <w:t xml:space="preserve"> </w:t>
      </w:r>
      <w:r w:rsidR="006928AC" w:rsidRPr="0050546B">
        <w:t>2012</w:t>
      </w:r>
      <w:r w:rsidR="006928AC" w:rsidRPr="0050546B">
        <w:noBreakHyphen/>
        <w:t>13</w:t>
      </w:r>
      <w:r w:rsidR="008473A0" w:rsidRPr="0050546B">
        <w:t xml:space="preserve"> (figure</w:t>
      </w:r>
      <w:r w:rsidR="00B93213" w:rsidRPr="0050546B">
        <w:t> </w:t>
      </w:r>
      <w:r w:rsidR="008473A0" w:rsidRPr="0050546B">
        <w:t>18.</w:t>
      </w:r>
      <w:r w:rsidR="003F3CEC" w:rsidRPr="0050546B">
        <w:t>8</w:t>
      </w:r>
      <w:r w:rsidR="008473A0" w:rsidRPr="0050546B">
        <w:t>)</w:t>
      </w:r>
      <w:r w:rsidR="00AE7E2F">
        <w:t>.</w:t>
      </w:r>
    </w:p>
    <w:p w14:paraId="11EA2940" w14:textId="54F1B731" w:rsidR="00C35A4C" w:rsidRDefault="000A0859" w:rsidP="000A0859">
      <w:pPr>
        <w:pStyle w:val="BodyText"/>
      </w:pPr>
      <w:r>
        <w:t>Table </w:t>
      </w:r>
      <w:proofErr w:type="spellStart"/>
      <w:r>
        <w:t>18A.43</w:t>
      </w:r>
      <w:proofErr w:type="spellEnd"/>
      <w:r>
        <w:t xml:space="preserve"> reports </w:t>
      </w:r>
      <w:r w:rsidR="0046192C">
        <w:t xml:space="preserve">data from </w:t>
      </w:r>
      <w:r w:rsidR="009809F6">
        <w:t>2007</w:t>
      </w:r>
      <w:r w:rsidR="00DC04F0">
        <w:noBreakHyphen/>
      </w:r>
      <w:r w:rsidR="009809F6">
        <w:t>08</w:t>
      </w:r>
      <w:r w:rsidR="00C35A4C">
        <w:t>.</w:t>
      </w:r>
    </w:p>
    <w:p w14:paraId="2AA44303" w14:textId="425D341C" w:rsidR="00AE7E2F" w:rsidRPr="00DC04F0" w:rsidRDefault="00AE7E2F" w:rsidP="00AE7E2F">
      <w:pPr>
        <w:pStyle w:val="BodyText"/>
        <w:rPr>
          <w:lang w:eastAsia="en-US"/>
        </w:rPr>
      </w:pPr>
    </w:p>
    <w:p w14:paraId="5F3D2F0D" w14:textId="77777777" w:rsidR="00B61E76" w:rsidRPr="00892C22" w:rsidRDefault="00B61E76" w:rsidP="00892C22">
      <w:pPr>
        <w:pStyle w:val="BoxSpaceAbove"/>
      </w:pPr>
    </w:p>
    <w:tbl>
      <w:tblPr>
        <w:tblW w:w="8789" w:type="dxa"/>
        <w:tblBorders>
          <w:top w:val="single" w:sz="6" w:space="0" w:color="78A22F"/>
          <w:left w:val="single" w:sz="6" w:space="0" w:color="78A22F"/>
          <w:bottom w:val="single" w:sz="6" w:space="0" w:color="78A22F"/>
          <w:right w:val="single" w:sz="6" w:space="0" w:color="78A22F"/>
        </w:tblBorders>
        <w:shd w:val="clear" w:color="auto" w:fill="FFFFFF" w:themeFill="background1"/>
        <w:tblLayout w:type="fixed"/>
        <w:tblCellMar>
          <w:left w:w="142" w:type="dxa"/>
          <w:right w:w="142" w:type="dxa"/>
        </w:tblCellMar>
        <w:tblLook w:val="0000" w:firstRow="0" w:lastRow="0" w:firstColumn="0" w:lastColumn="0" w:noHBand="0" w:noVBand="0"/>
      </w:tblPr>
      <w:tblGrid>
        <w:gridCol w:w="8789"/>
      </w:tblGrid>
      <w:tr w:rsidR="00B61E76" w14:paraId="26679EE6" w14:textId="77777777" w:rsidTr="00AE7E2F">
        <w:tc>
          <w:tcPr>
            <w:tcW w:w="8789" w:type="dxa"/>
            <w:tcBorders>
              <w:top w:val="single" w:sz="6" w:space="0" w:color="78A22F"/>
              <w:left w:val="nil"/>
              <w:bottom w:val="nil"/>
              <w:right w:val="nil"/>
            </w:tcBorders>
            <w:shd w:val="clear" w:color="auto" w:fill="FFFFFF" w:themeFill="background1"/>
          </w:tcPr>
          <w:p w14:paraId="4942E568" w14:textId="68BB3483" w:rsidR="00B61E76" w:rsidRPr="00176D3F" w:rsidRDefault="00B61E76" w:rsidP="00DE5528">
            <w:pPr>
              <w:pStyle w:val="FigureTitle"/>
            </w:pPr>
            <w:r w:rsidRPr="00784A05">
              <w:rPr>
                <w:b w:val="0"/>
              </w:rPr>
              <w:t xml:space="preserve">Figure </w:t>
            </w:r>
            <w:r w:rsidR="008A7879">
              <w:rPr>
                <w:b w:val="0"/>
              </w:rPr>
              <w:t>18.</w:t>
            </w:r>
            <w:r w:rsidR="007D5A6B">
              <w:rPr>
                <w:b w:val="0"/>
                <w:noProof/>
              </w:rPr>
              <w:t>8</w:t>
            </w:r>
            <w:r w:rsidRPr="00EF2240">
              <w:tab/>
              <w:t xml:space="preserve">Net recurrent cost per dwelling – public housing </w:t>
            </w:r>
            <w:r w:rsidR="00E07D02">
              <w:t>(201</w:t>
            </w:r>
            <w:r w:rsidR="00DE5528">
              <w:t>6</w:t>
            </w:r>
            <w:r w:rsidR="00E07D02">
              <w:noBreakHyphen/>
              <w:t>1</w:t>
            </w:r>
            <w:r w:rsidR="00DE5528">
              <w:t>7</w:t>
            </w:r>
            <w:r w:rsidR="006928AC">
              <w:t> </w:t>
            </w:r>
            <w:r w:rsidRPr="00EF2240">
              <w:t>dollars)</w:t>
            </w:r>
            <w:r w:rsidR="00F7685E">
              <w:rPr>
                <w:rStyle w:val="NoteLabel"/>
                <w:b/>
              </w:rPr>
              <w:t>a</w:t>
            </w:r>
          </w:p>
        </w:tc>
      </w:tr>
      <w:tr w:rsidR="00B61E76" w14:paraId="3CC944A0" w14:textId="77777777" w:rsidTr="00AE7E2F">
        <w:tblPrEx>
          <w:tblCellMar>
            <w:left w:w="108" w:type="dxa"/>
            <w:right w:w="108" w:type="dxa"/>
          </w:tblCellMar>
        </w:tblPrEx>
        <w:tc>
          <w:tcPr>
            <w:tcW w:w="8789" w:type="dxa"/>
            <w:tcBorders>
              <w:top w:val="nil"/>
              <w:left w:val="nil"/>
              <w:bottom w:val="nil"/>
              <w:right w:val="nil"/>
            </w:tcBorders>
            <w:shd w:val="clear" w:color="auto" w:fill="auto"/>
          </w:tcPr>
          <w:p w14:paraId="7047A868" w14:textId="77777777" w:rsidR="001F33C8" w:rsidRPr="00263FCA" w:rsidRDefault="002B02BB" w:rsidP="00263FCA">
            <w:pPr>
              <w:pStyle w:val="Figure"/>
              <w:spacing w:beforeLines="80" w:before="192" w:afterLines="80" w:after="192"/>
              <w:rPr>
                <w:rFonts w:ascii="Arial" w:hAnsi="Arial" w:cs="Arial"/>
                <w:b/>
                <w:sz w:val="20"/>
              </w:rPr>
            </w:pPr>
            <w:r w:rsidRPr="00CF6541">
              <w:rPr>
                <w:rFonts w:ascii="Arial" w:hAnsi="Arial" w:cs="Arial"/>
                <w:b/>
                <w:sz w:val="20"/>
              </w:rPr>
              <w:t>Excluding the cost of capital</w:t>
            </w:r>
          </w:p>
          <w:p w14:paraId="0814893B" w14:textId="1F235A68" w:rsidR="002B02BB" w:rsidRPr="004D7519" w:rsidRDefault="00325156" w:rsidP="00325156">
            <w:pPr>
              <w:pStyle w:val="Figure"/>
              <w:spacing w:before="60" w:after="60"/>
              <w:rPr>
                <w:noProof/>
              </w:rPr>
            </w:pPr>
            <w:r>
              <w:rPr>
                <w:noProof/>
              </w:rPr>
              <w:drawing>
                <wp:inline distT="0" distB="0" distL="0" distR="0" wp14:anchorId="2A501C27" wp14:editId="70006B05">
                  <wp:extent cx="5400000" cy="2400375"/>
                  <wp:effectExtent l="0" t="0" r="0" b="0"/>
                  <wp:docPr id="7" name="Chart 7" descr="Excluding the cost of capital&#10;&#10;More details can be found within the text surrounding this image." title="Figure 18.8 Net recurrent cost per dwelling – public housing (2016-17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D49FC" w:rsidRPr="004D7519">
              <w:rPr>
                <w:noProof/>
              </w:rPr>
              <w:br/>
            </w:r>
            <w:r w:rsidR="003540F1" w:rsidRPr="00CF6541">
              <w:rPr>
                <w:rFonts w:ascii="Arial" w:hAnsi="Arial" w:cs="Arial"/>
                <w:b/>
                <w:sz w:val="20"/>
              </w:rPr>
              <w:t>Including the cost of capital</w:t>
            </w:r>
          </w:p>
          <w:tbl>
            <w:tblPr>
              <w:tblW w:w="8504" w:type="dxa"/>
              <w:jc w:val="center"/>
              <w:tblLayout w:type="fixed"/>
              <w:tblCellMar>
                <w:top w:w="28" w:type="dxa"/>
              </w:tblCellMar>
              <w:tblLook w:val="0000" w:firstRow="0" w:lastRow="0" w:firstColumn="0" w:lastColumn="0" w:noHBand="0" w:noVBand="0"/>
            </w:tblPr>
            <w:tblGrid>
              <w:gridCol w:w="8504"/>
            </w:tblGrid>
            <w:tr w:rsidR="00B61E76" w:rsidRPr="004D7519" w14:paraId="5F80CFC2" w14:textId="77777777" w:rsidTr="00C45A00">
              <w:trPr>
                <w:jc w:val="center"/>
              </w:trPr>
              <w:tc>
                <w:tcPr>
                  <w:tcW w:w="8504" w:type="dxa"/>
                </w:tcPr>
                <w:p w14:paraId="16E16232" w14:textId="04B605B1" w:rsidR="00C45A00" w:rsidRPr="00077D20" w:rsidRDefault="00C45A00" w:rsidP="00077D20">
                  <w:pPr>
                    <w:pStyle w:val="Figure"/>
                    <w:spacing w:before="60" w:after="60"/>
                    <w:rPr>
                      <w:noProof/>
                    </w:rPr>
                  </w:pPr>
                  <w:r w:rsidRPr="00077D20">
                    <w:rPr>
                      <w:noProof/>
                    </w:rPr>
                    <w:drawing>
                      <wp:inline distT="0" distB="0" distL="0" distR="0" wp14:anchorId="5604F798" wp14:editId="0DBCD61E">
                        <wp:extent cx="5262880" cy="2581910"/>
                        <wp:effectExtent l="0" t="0" r="0" b="0"/>
                        <wp:docPr id="2" name="Chart 2" descr="Including the cost of capital&#10;&#10;More details can be found within the text surrounding this image." title="Figure 18.8 Net recurrent cost per dwelling – public housing (2016-17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BAF3D22" w14:textId="77777777" w:rsidR="00B61E76" w:rsidRDefault="00B61E76" w:rsidP="004D7519">
            <w:pPr>
              <w:pStyle w:val="Figure"/>
              <w:spacing w:before="60" w:after="60"/>
              <w:rPr>
                <w:noProof/>
              </w:rPr>
            </w:pPr>
          </w:p>
        </w:tc>
      </w:tr>
      <w:tr w:rsidR="00B61E76" w:rsidRPr="00176D3F" w14:paraId="7D77D0E1" w14:textId="77777777" w:rsidTr="00AE7E2F">
        <w:tc>
          <w:tcPr>
            <w:tcW w:w="8789" w:type="dxa"/>
            <w:tcBorders>
              <w:top w:val="nil"/>
              <w:left w:val="nil"/>
              <w:bottom w:val="nil"/>
              <w:right w:val="nil"/>
            </w:tcBorders>
            <w:shd w:val="clear" w:color="auto" w:fill="FFFFFF" w:themeFill="background1"/>
          </w:tcPr>
          <w:p w14:paraId="105A90F5" w14:textId="0E76E596" w:rsidR="00B61E76" w:rsidRPr="00A15FA1" w:rsidRDefault="004E6030" w:rsidP="00593BB1">
            <w:pPr>
              <w:pStyle w:val="Note"/>
              <w:spacing w:after="80"/>
              <w:rPr>
                <w:rStyle w:val="DraftingNote"/>
                <w:b w:val="0"/>
                <w:color w:val="auto"/>
                <w:sz w:val="18"/>
                <w:u w:val="none"/>
              </w:rPr>
            </w:pPr>
            <w:r>
              <w:rPr>
                <w:rStyle w:val="NoteLabel"/>
              </w:rPr>
              <w:t>a</w:t>
            </w:r>
            <w:r>
              <w:t xml:space="preserve"> </w:t>
            </w:r>
            <w:r w:rsidR="00146DC9">
              <w:t>See box</w:t>
            </w:r>
            <w:r w:rsidR="007D1214">
              <w:t> </w:t>
            </w:r>
            <w:r w:rsidR="00146DC9">
              <w:t>1</w:t>
            </w:r>
            <w:r w:rsidR="00BB5630">
              <w:t>8</w:t>
            </w:r>
            <w:r w:rsidR="00146DC9">
              <w:t>.</w:t>
            </w:r>
            <w:r w:rsidR="00CD6349">
              <w:t>1</w:t>
            </w:r>
            <w:r w:rsidR="00EF0BB4">
              <w:t>3</w:t>
            </w:r>
            <w:r w:rsidR="0045632D">
              <w:t xml:space="preserve"> and table</w:t>
            </w:r>
            <w:r w:rsidR="007D1214">
              <w:t> </w:t>
            </w:r>
            <w:proofErr w:type="spellStart"/>
            <w:r w:rsidR="003B2986">
              <w:t>18A.4</w:t>
            </w:r>
            <w:r w:rsidR="00006D3A">
              <w:t>3</w:t>
            </w:r>
            <w:proofErr w:type="spellEnd"/>
            <w:r w:rsidR="0045632D">
              <w:t xml:space="preserve"> </w:t>
            </w:r>
            <w:r w:rsidR="00AC0EFD">
              <w:t>for detailed definitions, footnotes and caveats.</w:t>
            </w:r>
          </w:p>
        </w:tc>
      </w:tr>
      <w:tr w:rsidR="00B61E76" w:rsidRPr="00176D3F" w14:paraId="128573D6" w14:textId="77777777" w:rsidTr="00AE7E2F">
        <w:tc>
          <w:tcPr>
            <w:tcW w:w="8789" w:type="dxa"/>
            <w:tcBorders>
              <w:top w:val="nil"/>
              <w:left w:val="nil"/>
              <w:bottom w:val="nil"/>
              <w:right w:val="nil"/>
            </w:tcBorders>
            <w:shd w:val="clear" w:color="auto" w:fill="FFFFFF" w:themeFill="background1"/>
          </w:tcPr>
          <w:p w14:paraId="78954BAF" w14:textId="77777777" w:rsidR="00B61E76" w:rsidRPr="00176D3F" w:rsidRDefault="004E6030" w:rsidP="00593BB1">
            <w:pPr>
              <w:pStyle w:val="Source"/>
              <w:spacing w:before="40" w:after="80"/>
            </w:pPr>
            <w:r>
              <w:rPr>
                <w:i/>
              </w:rPr>
              <w:t>S</w:t>
            </w:r>
            <w:r w:rsidRPr="00784A05">
              <w:rPr>
                <w:i/>
              </w:rPr>
              <w:t>ource</w:t>
            </w:r>
            <w:r w:rsidRPr="00176D3F">
              <w:t xml:space="preserve">: </w:t>
            </w:r>
            <w:r w:rsidRPr="00903B4C">
              <w:t>State and Terri</w:t>
            </w:r>
            <w:r w:rsidR="0031452F">
              <w:t>tory governments (unpublished); tables</w:t>
            </w:r>
            <w:r w:rsidR="007D1214">
              <w:t> </w:t>
            </w:r>
            <w:proofErr w:type="spellStart"/>
            <w:r w:rsidR="003B2986">
              <w:t>18A.4</w:t>
            </w:r>
            <w:r w:rsidR="00006D3A">
              <w:t>3</w:t>
            </w:r>
            <w:proofErr w:type="spellEnd"/>
            <w:r w:rsidR="0031452F">
              <w:t xml:space="preserve"> and </w:t>
            </w:r>
            <w:proofErr w:type="spellStart"/>
            <w:r w:rsidR="00014BF7">
              <w:t>2</w:t>
            </w:r>
            <w:r w:rsidR="003B2986">
              <w:t>A.</w:t>
            </w:r>
            <w:r w:rsidR="00014BF7">
              <w:t>49</w:t>
            </w:r>
            <w:proofErr w:type="spellEnd"/>
            <w:r w:rsidR="0031452F">
              <w:t>.</w:t>
            </w:r>
          </w:p>
        </w:tc>
      </w:tr>
      <w:tr w:rsidR="00B61E76" w14:paraId="7C1FDF34" w14:textId="77777777" w:rsidTr="00AE7E2F">
        <w:tc>
          <w:tcPr>
            <w:tcW w:w="8789" w:type="dxa"/>
            <w:tcBorders>
              <w:top w:val="nil"/>
              <w:left w:val="nil"/>
              <w:bottom w:val="single" w:sz="6" w:space="0" w:color="78A22F"/>
              <w:right w:val="nil"/>
            </w:tcBorders>
            <w:shd w:val="clear" w:color="auto" w:fill="FFFFFF" w:themeFill="background1"/>
          </w:tcPr>
          <w:p w14:paraId="24B98494" w14:textId="77777777" w:rsidR="00B61E76" w:rsidRDefault="00B61E76" w:rsidP="008B68D3">
            <w:pPr>
              <w:pStyle w:val="Figurespace"/>
            </w:pPr>
          </w:p>
        </w:tc>
      </w:tr>
      <w:tr w:rsidR="00B61E76" w:rsidRPr="000863A5" w14:paraId="6518C416" w14:textId="77777777" w:rsidTr="00AE7E2F">
        <w:trPr>
          <w:trHeight w:val="45"/>
        </w:trPr>
        <w:tc>
          <w:tcPr>
            <w:tcW w:w="8789" w:type="dxa"/>
            <w:tcBorders>
              <w:top w:val="single" w:sz="6" w:space="0" w:color="78A22F"/>
              <w:left w:val="nil"/>
              <w:bottom w:val="nil"/>
              <w:right w:val="nil"/>
            </w:tcBorders>
            <w:shd w:val="clear" w:color="auto" w:fill="FFFFFF" w:themeFill="background1"/>
          </w:tcPr>
          <w:p w14:paraId="6DC2CBFE" w14:textId="77777777" w:rsidR="00B61E76" w:rsidRPr="00626D32" w:rsidRDefault="00B61E76" w:rsidP="008B68D3">
            <w:pPr>
              <w:pStyle w:val="BoxSpaceBelow"/>
            </w:pPr>
          </w:p>
        </w:tc>
      </w:tr>
    </w:tbl>
    <w:p w14:paraId="022760BB" w14:textId="1F62C43A" w:rsidR="00BF55EB" w:rsidRDefault="00BF55EB" w:rsidP="00BF55EB">
      <w:pPr>
        <w:pStyle w:val="BodyText"/>
      </w:pPr>
      <w:r w:rsidRPr="00887F6C">
        <w:t>Nationally, the net recurrent cost of providing assistance (</w:t>
      </w:r>
      <w:r w:rsidR="00B3737F">
        <w:t>not including</w:t>
      </w:r>
      <w:r w:rsidRPr="00887F6C">
        <w:t xml:space="preserve"> </w:t>
      </w:r>
      <w:r>
        <w:t>user</w:t>
      </w:r>
      <w:r w:rsidR="00867716">
        <w:t xml:space="preserve"> cost of capital) per </w:t>
      </w:r>
      <w:r w:rsidRPr="00887F6C">
        <w:t xml:space="preserve">dwelling for </w:t>
      </w:r>
      <w:proofErr w:type="spellStart"/>
      <w:r w:rsidRPr="00887F6C">
        <w:t>SOMIH</w:t>
      </w:r>
      <w:proofErr w:type="spellEnd"/>
      <w:r w:rsidRPr="00887F6C">
        <w:t xml:space="preserve"> </w:t>
      </w:r>
      <w:r w:rsidRPr="00705266">
        <w:t>was</w:t>
      </w:r>
      <w:r>
        <w:t xml:space="preserve"> $11 </w:t>
      </w:r>
      <w:r w:rsidR="004C3973">
        <w:t xml:space="preserve">550 </w:t>
      </w:r>
      <w:r>
        <w:t xml:space="preserve">in </w:t>
      </w:r>
      <w:r w:rsidR="0011465C" w:rsidRPr="00DC04F0">
        <w:rPr>
          <w:lang w:eastAsia="en-US"/>
        </w:rPr>
        <w:t>2016</w:t>
      </w:r>
      <w:r w:rsidR="00DC04F0">
        <w:rPr>
          <w:lang w:eastAsia="en-US"/>
        </w:rPr>
        <w:noBreakHyphen/>
      </w:r>
      <w:r w:rsidR="0011465C" w:rsidRPr="00DC04F0">
        <w:rPr>
          <w:lang w:eastAsia="en-US"/>
        </w:rPr>
        <w:t>17</w:t>
      </w:r>
      <w:r w:rsidRPr="00CB1081">
        <w:t xml:space="preserve">, </w:t>
      </w:r>
      <w:r w:rsidR="00CA2FA8" w:rsidRPr="00CB1081">
        <w:t>similar</w:t>
      </w:r>
      <w:r w:rsidRPr="00CB1081">
        <w:t xml:space="preserve"> </w:t>
      </w:r>
      <w:r w:rsidR="00CA2FA8" w:rsidRPr="00CB1081">
        <w:t xml:space="preserve">to </w:t>
      </w:r>
      <w:r w:rsidR="004C3973" w:rsidRPr="00CB1081">
        <w:t>2012</w:t>
      </w:r>
      <w:r w:rsidR="00B93213" w:rsidRPr="00CB1081">
        <w:noBreakHyphen/>
      </w:r>
      <w:r w:rsidRPr="00CB1081">
        <w:t>1</w:t>
      </w:r>
      <w:r w:rsidR="004C3973" w:rsidRPr="00CB1081">
        <w:t>3</w:t>
      </w:r>
      <w:r w:rsidRPr="00CB1081">
        <w:t xml:space="preserve"> (</w:t>
      </w:r>
      <w:r w:rsidRPr="006C7C20">
        <w:t>figure</w:t>
      </w:r>
      <w:r>
        <w:t> 18</w:t>
      </w:r>
      <w:r w:rsidRPr="006C7C20">
        <w:t>.</w:t>
      </w:r>
      <w:r w:rsidR="0039702F">
        <w:t>9</w:t>
      </w:r>
      <w:r w:rsidRPr="006C7C20">
        <w:t xml:space="preserve">). </w:t>
      </w:r>
      <w:r>
        <w:t>Table</w:t>
      </w:r>
      <w:r w:rsidR="00B93213">
        <w:t> </w:t>
      </w:r>
      <w:proofErr w:type="spellStart"/>
      <w:r>
        <w:t>18A.4</w:t>
      </w:r>
      <w:r w:rsidR="00FF3B45">
        <w:t>4</w:t>
      </w:r>
      <w:proofErr w:type="spellEnd"/>
      <w:r w:rsidRPr="00887F6C">
        <w:t xml:space="preserve"> </w:t>
      </w:r>
      <w:r>
        <w:t xml:space="preserve">reports data from </w:t>
      </w:r>
      <w:r w:rsidRPr="00887F6C">
        <w:t>200</w:t>
      </w:r>
      <w:r w:rsidR="0011465C">
        <w:t>7</w:t>
      </w:r>
      <w:r>
        <w:noBreakHyphen/>
        <w:t>0</w:t>
      </w:r>
      <w:r w:rsidR="0011465C">
        <w:t>8</w:t>
      </w:r>
      <w:r w:rsidRPr="00887F6C">
        <w:t>.</w:t>
      </w:r>
    </w:p>
    <w:p w14:paraId="3BB68627" w14:textId="2448D520" w:rsidR="00BF55EB" w:rsidRPr="00DC04F0" w:rsidRDefault="00BF55EB" w:rsidP="004E45D3">
      <w:pPr>
        <w:pStyle w:val="BodyText"/>
      </w:pPr>
      <w:r w:rsidRPr="00D27298">
        <w:t xml:space="preserve">Nationally, the net recurrent cost per community housing tenancy for </w:t>
      </w:r>
      <w:r>
        <w:t>201</w:t>
      </w:r>
      <w:r w:rsidR="0011465C">
        <w:t>5</w:t>
      </w:r>
      <w:r w:rsidR="00B93213">
        <w:noBreakHyphen/>
      </w:r>
      <w:r>
        <w:t>1</w:t>
      </w:r>
      <w:r w:rsidR="0011465C">
        <w:t>6</w:t>
      </w:r>
      <w:r w:rsidRPr="00AE3101">
        <w:rPr>
          <w:color w:val="FF0000"/>
        </w:rPr>
        <w:t xml:space="preserve"> </w:t>
      </w:r>
      <w:r w:rsidRPr="00CB1081">
        <w:t>was $</w:t>
      </w:r>
      <w:r w:rsidR="0055261B" w:rsidRPr="00CB1081">
        <w:t>11 802</w:t>
      </w:r>
      <w:r w:rsidRPr="00CB1081">
        <w:t xml:space="preserve">, up </w:t>
      </w:r>
      <w:r w:rsidR="00263A8E" w:rsidRPr="00CB1081">
        <w:t>34.4</w:t>
      </w:r>
      <w:r w:rsidRPr="00CB1081">
        <w:t> p</w:t>
      </w:r>
      <w:r w:rsidRPr="00A17C2C">
        <w:t>er cent since 201</w:t>
      </w:r>
      <w:r w:rsidR="00A95236">
        <w:t>1</w:t>
      </w:r>
      <w:r w:rsidR="00040B59">
        <w:noBreakHyphen/>
      </w:r>
      <w:r w:rsidRPr="00A17C2C">
        <w:t>1</w:t>
      </w:r>
      <w:r w:rsidR="00A95236">
        <w:t>2</w:t>
      </w:r>
      <w:r w:rsidR="00B5737B">
        <w:t xml:space="preserve"> (figure 18.1</w:t>
      </w:r>
      <w:r w:rsidR="00481196">
        <w:t>0</w:t>
      </w:r>
      <w:r w:rsidRPr="00A17C2C">
        <w:t xml:space="preserve">). </w:t>
      </w:r>
      <w:r w:rsidR="00040B59" w:rsidRPr="00040B59">
        <w:t>Table</w:t>
      </w:r>
      <w:r w:rsidR="00040B59">
        <w:t xml:space="preserve"> </w:t>
      </w:r>
      <w:proofErr w:type="spellStart"/>
      <w:r w:rsidR="00040B59">
        <w:t>18A.45</w:t>
      </w:r>
      <w:proofErr w:type="spellEnd"/>
      <w:r w:rsidR="00040B59">
        <w:t xml:space="preserve"> reports data from 2007</w:t>
      </w:r>
      <w:r w:rsidR="00040B59">
        <w:noBreakHyphen/>
      </w:r>
      <w:r w:rsidR="00040B59" w:rsidRPr="00040B59">
        <w:t>08.</w:t>
      </w:r>
    </w:p>
    <w:p w14:paraId="6445640E" w14:textId="77777777" w:rsidR="00BF55EB" w:rsidRDefault="00BF55EB" w:rsidP="00334F0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03B4C" w14:paraId="39F936D6" w14:textId="77777777" w:rsidTr="00593BB1">
        <w:tc>
          <w:tcPr>
            <w:tcW w:w="5000" w:type="pct"/>
            <w:tcBorders>
              <w:top w:val="single" w:sz="6" w:space="0" w:color="78A22F"/>
              <w:left w:val="nil"/>
              <w:bottom w:val="nil"/>
              <w:right w:val="nil"/>
            </w:tcBorders>
            <w:shd w:val="clear" w:color="auto" w:fill="auto"/>
          </w:tcPr>
          <w:p w14:paraId="551C4E6B" w14:textId="191BCB5E" w:rsidR="00903B4C" w:rsidRPr="00176D3F" w:rsidRDefault="0001777A" w:rsidP="00CD492B">
            <w:pPr>
              <w:pStyle w:val="FigureTitle"/>
            </w:pPr>
            <w:r>
              <w:rPr>
                <w:b w:val="0"/>
              </w:rPr>
              <w:t xml:space="preserve">Figure </w:t>
            </w:r>
            <w:r w:rsidR="00533474">
              <w:rPr>
                <w:b w:val="0"/>
              </w:rPr>
              <w:t>18.</w:t>
            </w:r>
            <w:r w:rsidR="007D5A6B">
              <w:rPr>
                <w:b w:val="0"/>
                <w:noProof/>
              </w:rPr>
              <w:t>9</w:t>
            </w:r>
            <w:r w:rsidR="00903B4C">
              <w:tab/>
            </w:r>
            <w:r w:rsidR="00903B4C" w:rsidRPr="005E340A">
              <w:t>Net recurrent cost per dwelling</w:t>
            </w:r>
            <w:r w:rsidR="00BD6121">
              <w:t xml:space="preserve"> </w:t>
            </w:r>
            <w:r w:rsidR="00903B4C" w:rsidRPr="005E340A">
              <w:t xml:space="preserve">— </w:t>
            </w:r>
            <w:proofErr w:type="spellStart"/>
            <w:r w:rsidR="00903B4C" w:rsidRPr="005E340A">
              <w:t>SOMIH</w:t>
            </w:r>
            <w:proofErr w:type="spellEnd"/>
            <w:r w:rsidR="00903B4C" w:rsidRPr="005E340A">
              <w:t xml:space="preserve"> (</w:t>
            </w:r>
            <w:r w:rsidR="006E6CB2">
              <w:t>2016-17</w:t>
            </w:r>
            <w:r w:rsidR="00903B4C" w:rsidRPr="005E340A">
              <w:t> dollars)</w:t>
            </w:r>
            <w:r w:rsidR="000C4A43" w:rsidRPr="005E340A">
              <w:rPr>
                <w:rStyle w:val="NoteLabel"/>
                <w:b/>
              </w:rPr>
              <w:t>a</w:t>
            </w:r>
            <w:r w:rsidR="002E7500">
              <w:rPr>
                <w:rStyle w:val="NoteLabel"/>
                <w:b/>
              </w:rPr>
              <w:t>, b</w:t>
            </w:r>
          </w:p>
        </w:tc>
      </w:tr>
      <w:tr w:rsidR="00903B4C" w14:paraId="724A1A81" w14:textId="77777777" w:rsidTr="00593BB1">
        <w:tblPrEx>
          <w:tblCellMar>
            <w:left w:w="108" w:type="dxa"/>
            <w:right w:w="108" w:type="dxa"/>
          </w:tblCellMar>
        </w:tblPrEx>
        <w:tc>
          <w:tcPr>
            <w:tcW w:w="5000" w:type="pct"/>
            <w:tcBorders>
              <w:top w:val="nil"/>
              <w:left w:val="nil"/>
              <w:bottom w:val="nil"/>
              <w:right w:val="nil"/>
            </w:tcBorders>
            <w:shd w:val="clear" w:color="auto" w:fill="auto"/>
          </w:tcPr>
          <w:p w14:paraId="28B99306" w14:textId="5BA6B6CB" w:rsidR="00903B4C" w:rsidRDefault="0006104E" w:rsidP="00334F07">
            <w:pPr>
              <w:pStyle w:val="Figure"/>
            </w:pPr>
            <w:r>
              <w:rPr>
                <w:noProof/>
              </w:rPr>
              <w:drawing>
                <wp:inline distT="0" distB="0" distL="0" distR="0" wp14:anchorId="25BF74E5" wp14:editId="5DA86FEA">
                  <wp:extent cx="5581015" cy="2318385"/>
                  <wp:effectExtent l="0" t="0" r="635" b="5715"/>
                  <wp:docPr id="10" name="Chart 10" descr="More details can be found within the text surrounding this image." title="Figure 18.9 Net recurrent cost per dwelling — SOMIH (2016-17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03B4C" w:rsidRPr="00176D3F" w14:paraId="16A7CD23" w14:textId="77777777" w:rsidTr="00593BB1">
        <w:tc>
          <w:tcPr>
            <w:tcW w:w="5000" w:type="pct"/>
            <w:tcBorders>
              <w:top w:val="nil"/>
              <w:left w:val="nil"/>
              <w:bottom w:val="nil"/>
              <w:right w:val="nil"/>
            </w:tcBorders>
            <w:shd w:val="clear" w:color="auto" w:fill="auto"/>
          </w:tcPr>
          <w:p w14:paraId="1FE7B217" w14:textId="2CE1C6F6" w:rsidR="00903B4C" w:rsidRPr="00176D3F" w:rsidRDefault="00903B4C" w:rsidP="00593BB1">
            <w:pPr>
              <w:pStyle w:val="Note"/>
              <w:spacing w:after="80"/>
            </w:pPr>
            <w:r>
              <w:rPr>
                <w:rStyle w:val="NoteLabel"/>
              </w:rPr>
              <w:t>a</w:t>
            </w:r>
            <w:r>
              <w:t xml:space="preserve"> </w:t>
            </w:r>
            <w:r w:rsidR="000C4A43">
              <w:t xml:space="preserve">See </w:t>
            </w:r>
            <w:r w:rsidR="007D1214">
              <w:t>b</w:t>
            </w:r>
            <w:r w:rsidR="000C4A43">
              <w:t>ox</w:t>
            </w:r>
            <w:r w:rsidR="007D1214">
              <w:t> </w:t>
            </w:r>
            <w:r w:rsidR="000C4A43">
              <w:t>1</w:t>
            </w:r>
            <w:r w:rsidR="00BB5630">
              <w:t>8</w:t>
            </w:r>
            <w:r w:rsidR="000C4A43">
              <w:t>.</w:t>
            </w:r>
            <w:r w:rsidR="00CD6349">
              <w:t>1</w:t>
            </w:r>
            <w:r w:rsidR="00EF0BB4">
              <w:t>3</w:t>
            </w:r>
            <w:r w:rsidR="000C4A43">
              <w:t xml:space="preserve"> and </w:t>
            </w:r>
            <w:r w:rsidR="000C4A43" w:rsidRPr="0045632D">
              <w:t>table</w:t>
            </w:r>
            <w:r w:rsidR="007D1214">
              <w:t> </w:t>
            </w:r>
            <w:proofErr w:type="spellStart"/>
            <w:r w:rsidR="00086999">
              <w:t>18A.4</w:t>
            </w:r>
            <w:r w:rsidR="008A41D1">
              <w:t>4</w:t>
            </w:r>
            <w:proofErr w:type="spellEnd"/>
            <w:r w:rsidR="000C4A43" w:rsidRPr="0045632D">
              <w:t xml:space="preserve"> </w:t>
            </w:r>
            <w:r w:rsidR="00AC0EFD">
              <w:t>for detailed definitions, footnotes and caveats</w:t>
            </w:r>
            <w:r w:rsidR="00BA7BA2">
              <w:t>.</w:t>
            </w:r>
            <w:r w:rsidR="002E7500">
              <w:t xml:space="preserve"> </w:t>
            </w:r>
            <w:r w:rsidR="002E7500" w:rsidRPr="00CB1081">
              <w:rPr>
                <w:rStyle w:val="NoteLabel"/>
              </w:rPr>
              <w:t>b</w:t>
            </w:r>
            <w:r w:rsidR="002E7500" w:rsidRPr="00CB1081">
              <w:t xml:space="preserve"> The </w:t>
            </w:r>
            <w:proofErr w:type="spellStart"/>
            <w:r w:rsidR="00A259C1" w:rsidRPr="00CB1081">
              <w:t>SOMIH</w:t>
            </w:r>
            <w:proofErr w:type="spellEnd"/>
            <w:r w:rsidR="00A259C1" w:rsidRPr="00CB1081">
              <w:t xml:space="preserve"> program in the </w:t>
            </w:r>
            <w:r w:rsidR="003A09BE" w:rsidRPr="00CB1081">
              <w:t xml:space="preserve">NT commenced reporting in </w:t>
            </w:r>
            <w:r w:rsidR="002E7500" w:rsidRPr="00CB1081">
              <w:t>2016</w:t>
            </w:r>
            <w:r w:rsidR="00DC04F0">
              <w:noBreakHyphen/>
            </w:r>
            <w:r w:rsidR="002E7500" w:rsidRPr="00CB1081">
              <w:t>17</w:t>
            </w:r>
            <w:r w:rsidR="00A259C1" w:rsidRPr="00CB1081">
              <w:t>, but</w:t>
            </w:r>
            <w:r w:rsidR="00BB5D55" w:rsidRPr="00CB1081">
              <w:t xml:space="preserve"> </w:t>
            </w:r>
            <w:r w:rsidR="003A09BE" w:rsidRPr="00CB1081">
              <w:t>these data</w:t>
            </w:r>
            <w:r w:rsidR="002E7500" w:rsidRPr="00CB1081">
              <w:t xml:space="preserve"> are not yet available.</w:t>
            </w:r>
          </w:p>
        </w:tc>
      </w:tr>
      <w:tr w:rsidR="00903B4C" w:rsidRPr="00176D3F" w14:paraId="3B0B180D" w14:textId="77777777" w:rsidTr="00593BB1">
        <w:trPr>
          <w:trHeight w:val="323"/>
        </w:trPr>
        <w:tc>
          <w:tcPr>
            <w:tcW w:w="5000" w:type="pct"/>
            <w:tcBorders>
              <w:top w:val="nil"/>
              <w:left w:val="nil"/>
              <w:bottom w:val="nil"/>
              <w:right w:val="nil"/>
            </w:tcBorders>
            <w:shd w:val="clear" w:color="auto" w:fill="auto"/>
          </w:tcPr>
          <w:p w14:paraId="3E7574B5" w14:textId="77777777" w:rsidR="00903B4C" w:rsidRPr="00176D3F" w:rsidRDefault="00903B4C" w:rsidP="00593BB1">
            <w:pPr>
              <w:pStyle w:val="Source"/>
              <w:spacing w:after="80"/>
            </w:pPr>
            <w:r>
              <w:rPr>
                <w:i/>
              </w:rPr>
              <w:t>S</w:t>
            </w:r>
            <w:r w:rsidRPr="00784A05">
              <w:rPr>
                <w:i/>
              </w:rPr>
              <w:t>ource</w:t>
            </w:r>
            <w:r w:rsidRPr="00176D3F">
              <w:t xml:space="preserve">: </w:t>
            </w:r>
            <w:r w:rsidRPr="00903B4C">
              <w:t>State and Territ</w:t>
            </w:r>
            <w:r w:rsidR="00D244B5">
              <w:t>ory governments (</w:t>
            </w:r>
            <w:r w:rsidR="00D244B5" w:rsidRPr="0045632D">
              <w:t>unpublished)</w:t>
            </w:r>
            <w:r w:rsidR="00023CD6">
              <w:t>; tables</w:t>
            </w:r>
            <w:r w:rsidR="007D1214">
              <w:t> </w:t>
            </w:r>
            <w:proofErr w:type="spellStart"/>
            <w:r w:rsidR="003B2986">
              <w:t>18A.4</w:t>
            </w:r>
            <w:r w:rsidR="008A41D1">
              <w:t>4</w:t>
            </w:r>
            <w:proofErr w:type="spellEnd"/>
            <w:r w:rsidR="00023CD6">
              <w:t xml:space="preserve"> and </w:t>
            </w:r>
            <w:proofErr w:type="spellStart"/>
            <w:r w:rsidR="003112F0">
              <w:t>2</w:t>
            </w:r>
            <w:r w:rsidR="003B2986">
              <w:t>A.</w:t>
            </w:r>
            <w:r w:rsidR="003112F0">
              <w:t>49</w:t>
            </w:r>
            <w:proofErr w:type="spellEnd"/>
            <w:r w:rsidRPr="0045632D">
              <w:t>.</w:t>
            </w:r>
          </w:p>
        </w:tc>
      </w:tr>
      <w:tr w:rsidR="00903B4C" w14:paraId="12756550" w14:textId="77777777" w:rsidTr="00593BB1">
        <w:tc>
          <w:tcPr>
            <w:tcW w:w="5000" w:type="pct"/>
            <w:tcBorders>
              <w:top w:val="nil"/>
              <w:left w:val="nil"/>
              <w:bottom w:val="single" w:sz="6" w:space="0" w:color="78A22F"/>
              <w:right w:val="nil"/>
            </w:tcBorders>
            <w:shd w:val="clear" w:color="auto" w:fill="auto"/>
          </w:tcPr>
          <w:p w14:paraId="33A66B76" w14:textId="77777777" w:rsidR="00903B4C" w:rsidRDefault="00903B4C" w:rsidP="00334F07">
            <w:pPr>
              <w:pStyle w:val="Figurespace"/>
            </w:pPr>
          </w:p>
        </w:tc>
      </w:tr>
      <w:tr w:rsidR="00903B4C" w:rsidRPr="000863A5" w14:paraId="21D15E7D" w14:textId="77777777" w:rsidTr="00593BB1">
        <w:tc>
          <w:tcPr>
            <w:tcW w:w="5000" w:type="pct"/>
            <w:tcBorders>
              <w:top w:val="single" w:sz="6" w:space="0" w:color="78A22F"/>
              <w:left w:val="nil"/>
              <w:bottom w:val="nil"/>
              <w:right w:val="nil"/>
            </w:tcBorders>
          </w:tcPr>
          <w:p w14:paraId="3CBC6091" w14:textId="77777777" w:rsidR="00903B4C" w:rsidRPr="00626D32" w:rsidRDefault="00903B4C" w:rsidP="00334F07">
            <w:pPr>
              <w:pStyle w:val="BoxSpaceBelow"/>
            </w:pPr>
          </w:p>
        </w:tc>
      </w:tr>
    </w:tbl>
    <w:p w14:paraId="7822A3A5" w14:textId="77777777" w:rsidR="0013141B" w:rsidRDefault="0013141B" w:rsidP="00334F07">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FFFFF" w:themeFill="background1"/>
        <w:tblLayout w:type="fixed"/>
        <w:tblCellMar>
          <w:left w:w="142" w:type="dxa"/>
          <w:right w:w="142" w:type="dxa"/>
        </w:tblCellMar>
        <w:tblLook w:val="0000" w:firstRow="0" w:lastRow="0" w:firstColumn="0" w:lastColumn="0" w:noHBand="0" w:noVBand="0"/>
      </w:tblPr>
      <w:tblGrid>
        <w:gridCol w:w="8789"/>
      </w:tblGrid>
      <w:tr w:rsidR="00903B4C" w14:paraId="117386A5" w14:textId="77777777" w:rsidTr="00593BB1">
        <w:tc>
          <w:tcPr>
            <w:tcW w:w="5000" w:type="pct"/>
            <w:tcBorders>
              <w:top w:val="single" w:sz="6" w:space="0" w:color="78A22F"/>
              <w:left w:val="nil"/>
              <w:bottom w:val="nil"/>
              <w:right w:val="nil"/>
            </w:tcBorders>
            <w:shd w:val="clear" w:color="auto" w:fill="FFFFFF" w:themeFill="background1"/>
          </w:tcPr>
          <w:p w14:paraId="63ECE0A8" w14:textId="6FE369B8" w:rsidR="00903B4C" w:rsidRPr="00176D3F" w:rsidRDefault="0001777A" w:rsidP="00945D54">
            <w:pPr>
              <w:pStyle w:val="FigureTitle"/>
            </w:pPr>
            <w:r>
              <w:rPr>
                <w:b w:val="0"/>
              </w:rPr>
              <w:t xml:space="preserve">Figure </w:t>
            </w:r>
            <w:r w:rsidR="00963D7C">
              <w:rPr>
                <w:b w:val="0"/>
              </w:rPr>
              <w:t>18.</w:t>
            </w:r>
            <w:r w:rsidR="007D5A6B">
              <w:rPr>
                <w:b w:val="0"/>
                <w:noProof/>
              </w:rPr>
              <w:t>10</w:t>
            </w:r>
            <w:r w:rsidR="00903B4C">
              <w:tab/>
            </w:r>
            <w:r w:rsidR="00903B4C" w:rsidRPr="00915CFA">
              <w:t xml:space="preserve">Net recurrent cost </w:t>
            </w:r>
            <w:r w:rsidR="00C80C1C" w:rsidRPr="00915CFA">
              <w:t>per tenancy</w:t>
            </w:r>
            <w:r w:rsidR="009E7ABF">
              <w:t xml:space="preserve"> </w:t>
            </w:r>
            <w:r w:rsidR="00C80C1C" w:rsidRPr="00915CFA">
              <w:t>— community housing</w:t>
            </w:r>
            <w:r w:rsidR="00875B08" w:rsidRPr="00915CFA">
              <w:t xml:space="preserve"> </w:t>
            </w:r>
            <w:r w:rsidR="00903B4C" w:rsidRPr="00915CFA">
              <w:t>(</w:t>
            </w:r>
            <w:r w:rsidR="00945D54">
              <w:t>2015</w:t>
            </w:r>
            <w:r w:rsidR="00945D54">
              <w:noBreakHyphen/>
              <w:t>16</w:t>
            </w:r>
            <w:r w:rsidR="0010300D">
              <w:t> </w:t>
            </w:r>
            <w:r w:rsidR="00903B4C" w:rsidRPr="009E293E">
              <w:t>dollars</w:t>
            </w:r>
            <w:r w:rsidR="00903B4C" w:rsidRPr="00915CFA">
              <w:t>)</w:t>
            </w:r>
            <w:r w:rsidR="00903B4C" w:rsidRPr="00A11155">
              <w:rPr>
                <w:rStyle w:val="NoteLabel"/>
                <w:b/>
              </w:rPr>
              <w:t>a</w:t>
            </w:r>
            <w:r w:rsidR="00F306D1">
              <w:rPr>
                <w:rStyle w:val="NoteLabel"/>
                <w:b/>
              </w:rPr>
              <w:t>, b</w:t>
            </w:r>
            <w:r w:rsidR="00182DD7">
              <w:rPr>
                <w:rStyle w:val="NoteLabel"/>
                <w:b/>
              </w:rPr>
              <w:t>, c</w:t>
            </w:r>
          </w:p>
        </w:tc>
      </w:tr>
      <w:tr w:rsidR="00903B4C" w14:paraId="7BB3B835" w14:textId="77777777" w:rsidTr="00593BB1">
        <w:tblPrEx>
          <w:tblCellMar>
            <w:left w:w="108" w:type="dxa"/>
            <w:right w:w="108" w:type="dxa"/>
          </w:tblCellMar>
        </w:tblPrEx>
        <w:tc>
          <w:tcPr>
            <w:tcW w:w="5000" w:type="pct"/>
            <w:tcBorders>
              <w:top w:val="nil"/>
              <w:left w:val="nil"/>
              <w:bottom w:val="nil"/>
              <w:right w:val="nil"/>
            </w:tcBorders>
            <w:shd w:val="clear" w:color="auto" w:fill="auto"/>
          </w:tcPr>
          <w:p w14:paraId="09FE4BEF" w14:textId="0611B0F3" w:rsidR="00903B4C" w:rsidRPr="0045632D" w:rsidRDefault="0006104E" w:rsidP="00334F07">
            <w:pPr>
              <w:pStyle w:val="Figure"/>
              <w:rPr>
                <w:highlight w:val="yellow"/>
              </w:rPr>
            </w:pPr>
            <w:r>
              <w:rPr>
                <w:noProof/>
              </w:rPr>
              <w:drawing>
                <wp:inline distT="0" distB="0" distL="0" distR="0" wp14:anchorId="6FBE1AB7" wp14:editId="5DABE627">
                  <wp:extent cx="5225415" cy="2153285"/>
                  <wp:effectExtent l="0" t="0" r="0" b="0"/>
                  <wp:docPr id="6" name="Chart 6" descr="More details can be found within the text surrounding this image." title="Figure 18.10 Net recurrent cost per tenancy — community housing (2015-16 doll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03B4C" w:rsidRPr="00176D3F" w14:paraId="23E685AA" w14:textId="77777777" w:rsidTr="00593BB1">
        <w:tc>
          <w:tcPr>
            <w:tcW w:w="5000" w:type="pct"/>
            <w:tcBorders>
              <w:top w:val="nil"/>
              <w:left w:val="nil"/>
              <w:bottom w:val="nil"/>
              <w:right w:val="nil"/>
            </w:tcBorders>
            <w:shd w:val="clear" w:color="auto" w:fill="FFFFFF" w:themeFill="background1"/>
          </w:tcPr>
          <w:p w14:paraId="38AEC5C9" w14:textId="57A46F46" w:rsidR="00903B4C" w:rsidRPr="0045632D" w:rsidRDefault="00903B4C" w:rsidP="00593BB1">
            <w:pPr>
              <w:pStyle w:val="Note"/>
              <w:spacing w:after="80"/>
              <w:rPr>
                <w:highlight w:val="yellow"/>
              </w:rPr>
            </w:pPr>
            <w:r w:rsidRPr="0045632D">
              <w:rPr>
                <w:rStyle w:val="NoteLabel"/>
              </w:rPr>
              <w:t>a</w:t>
            </w:r>
            <w:r w:rsidR="00F36BC4" w:rsidRPr="0045632D">
              <w:t> </w:t>
            </w:r>
            <w:r w:rsidR="00451C44">
              <w:t>See box</w:t>
            </w:r>
            <w:r w:rsidR="007D1214">
              <w:t> </w:t>
            </w:r>
            <w:r w:rsidR="00BB5630">
              <w:t>18</w:t>
            </w:r>
            <w:r w:rsidR="00CD6349">
              <w:t>.1</w:t>
            </w:r>
            <w:r w:rsidR="00EF0BB4">
              <w:t>3</w:t>
            </w:r>
            <w:r w:rsidR="0041630B">
              <w:t xml:space="preserve"> and table</w:t>
            </w:r>
            <w:r w:rsidR="007D1214">
              <w:t> </w:t>
            </w:r>
            <w:proofErr w:type="spellStart"/>
            <w:r w:rsidR="00086999">
              <w:t>18A.4</w:t>
            </w:r>
            <w:r w:rsidR="000B744D">
              <w:t>5</w:t>
            </w:r>
            <w:proofErr w:type="spellEnd"/>
            <w:r w:rsidR="00B97B8C" w:rsidRPr="0045632D">
              <w:t xml:space="preserve"> </w:t>
            </w:r>
            <w:r w:rsidR="00AC0EFD">
              <w:t>for detailed definitions, footnotes and caveats.</w:t>
            </w:r>
            <w:r w:rsidR="00B3374B">
              <w:t xml:space="preserve"> </w:t>
            </w:r>
            <w:r w:rsidR="00B3374B">
              <w:rPr>
                <w:rStyle w:val="NoteLabel"/>
              </w:rPr>
              <w:t xml:space="preserve">b </w:t>
            </w:r>
            <w:r w:rsidR="00B3374B" w:rsidRPr="00B3374B">
              <w:t>Data for</w:t>
            </w:r>
            <w:r w:rsidR="00F306D1">
              <w:t xml:space="preserve"> the</w:t>
            </w:r>
            <w:r w:rsidR="00B3374B" w:rsidRPr="00B3374B">
              <w:t xml:space="preserve"> NT </w:t>
            </w:r>
            <w:r w:rsidR="0015497B">
              <w:t xml:space="preserve">are </w:t>
            </w:r>
            <w:r w:rsidR="00B3374B" w:rsidRPr="00B3374B">
              <w:t>not available.</w:t>
            </w:r>
            <w:r w:rsidR="00915CFA">
              <w:t xml:space="preserve"> </w:t>
            </w:r>
            <w:r w:rsidR="00915CFA">
              <w:rPr>
                <w:rStyle w:val="NoteLabel"/>
              </w:rPr>
              <w:t xml:space="preserve">c </w:t>
            </w:r>
            <w:r w:rsidR="0015497B">
              <w:t>Data for 2</w:t>
            </w:r>
            <w:r w:rsidR="00915CFA" w:rsidRPr="009E293E">
              <w:t>01</w:t>
            </w:r>
            <w:r w:rsidR="00AE3101" w:rsidRPr="009E293E">
              <w:t>3</w:t>
            </w:r>
            <w:r w:rsidR="007D1214" w:rsidRPr="009E293E">
              <w:noBreakHyphen/>
            </w:r>
            <w:r w:rsidR="00915CFA" w:rsidRPr="009E293E">
              <w:t>1</w:t>
            </w:r>
            <w:r w:rsidR="00AE3101" w:rsidRPr="009E293E">
              <w:t>4</w:t>
            </w:r>
            <w:r w:rsidR="00915CFA">
              <w:t xml:space="preserve"> for Tasmania</w:t>
            </w:r>
            <w:r w:rsidR="00915CFA" w:rsidRPr="00B3374B">
              <w:t xml:space="preserve"> </w:t>
            </w:r>
            <w:r w:rsidR="0015497B">
              <w:t xml:space="preserve">are </w:t>
            </w:r>
            <w:r w:rsidR="00915CFA" w:rsidRPr="00B3374B">
              <w:t>not available.</w:t>
            </w:r>
          </w:p>
        </w:tc>
      </w:tr>
      <w:tr w:rsidR="00903B4C" w:rsidRPr="00176D3F" w14:paraId="415B0CBB" w14:textId="77777777" w:rsidTr="00593BB1">
        <w:tc>
          <w:tcPr>
            <w:tcW w:w="5000" w:type="pct"/>
            <w:tcBorders>
              <w:top w:val="nil"/>
              <w:left w:val="nil"/>
              <w:bottom w:val="nil"/>
              <w:right w:val="nil"/>
            </w:tcBorders>
            <w:shd w:val="clear" w:color="auto" w:fill="FFFFFF" w:themeFill="background1"/>
          </w:tcPr>
          <w:p w14:paraId="5DA295D6" w14:textId="77777777" w:rsidR="00B3374B" w:rsidRPr="00B3374B" w:rsidRDefault="00903B4C" w:rsidP="00593BB1">
            <w:pPr>
              <w:pStyle w:val="Source"/>
              <w:spacing w:after="80"/>
            </w:pPr>
            <w:r>
              <w:rPr>
                <w:i/>
              </w:rPr>
              <w:t>S</w:t>
            </w:r>
            <w:r w:rsidRPr="00784A05">
              <w:rPr>
                <w:i/>
              </w:rPr>
              <w:t>ource</w:t>
            </w:r>
            <w:r w:rsidRPr="00176D3F">
              <w:t xml:space="preserve">: </w:t>
            </w:r>
            <w:proofErr w:type="spellStart"/>
            <w:r w:rsidR="00B3374B">
              <w:t>AIHW</w:t>
            </w:r>
            <w:proofErr w:type="spellEnd"/>
            <w:r w:rsidR="00B3374B">
              <w:t xml:space="preserve"> (unpublished) National Housing Assistance Data Repository; tables</w:t>
            </w:r>
            <w:r w:rsidR="007D1214">
              <w:t> </w:t>
            </w:r>
            <w:proofErr w:type="spellStart"/>
            <w:r w:rsidR="003B2986">
              <w:t>18A.4</w:t>
            </w:r>
            <w:r w:rsidR="000B744D">
              <w:t>5</w:t>
            </w:r>
            <w:proofErr w:type="spellEnd"/>
            <w:r w:rsidR="00B3374B">
              <w:t xml:space="preserve"> and </w:t>
            </w:r>
            <w:proofErr w:type="spellStart"/>
            <w:r w:rsidR="00794228">
              <w:t>2A.49</w:t>
            </w:r>
            <w:proofErr w:type="spellEnd"/>
            <w:r w:rsidR="00B3374B">
              <w:t>.</w:t>
            </w:r>
          </w:p>
        </w:tc>
      </w:tr>
      <w:tr w:rsidR="00903B4C" w14:paraId="075342A6" w14:textId="77777777" w:rsidTr="00593BB1">
        <w:tc>
          <w:tcPr>
            <w:tcW w:w="5000" w:type="pct"/>
            <w:tcBorders>
              <w:top w:val="nil"/>
              <w:left w:val="nil"/>
              <w:bottom w:val="single" w:sz="6" w:space="0" w:color="78A22F"/>
              <w:right w:val="nil"/>
            </w:tcBorders>
            <w:shd w:val="clear" w:color="auto" w:fill="FFFFFF" w:themeFill="background1"/>
          </w:tcPr>
          <w:p w14:paraId="5D04418A" w14:textId="77777777" w:rsidR="00903B4C" w:rsidRDefault="00903B4C" w:rsidP="00334F07">
            <w:pPr>
              <w:pStyle w:val="Figurespace"/>
            </w:pPr>
          </w:p>
        </w:tc>
      </w:tr>
      <w:tr w:rsidR="00903B4C" w:rsidRPr="000863A5" w14:paraId="001B3616" w14:textId="77777777" w:rsidTr="00593BB1">
        <w:tc>
          <w:tcPr>
            <w:tcW w:w="5000" w:type="pct"/>
            <w:tcBorders>
              <w:top w:val="single" w:sz="6" w:space="0" w:color="78A22F"/>
              <w:left w:val="nil"/>
              <w:bottom w:val="nil"/>
              <w:right w:val="nil"/>
            </w:tcBorders>
            <w:shd w:val="clear" w:color="auto" w:fill="FFFFFF" w:themeFill="background1"/>
          </w:tcPr>
          <w:p w14:paraId="203082EB" w14:textId="77777777" w:rsidR="00903B4C" w:rsidRPr="00626D32" w:rsidRDefault="00903B4C" w:rsidP="00334F07">
            <w:pPr>
              <w:pStyle w:val="BoxSpaceBelow"/>
            </w:pPr>
          </w:p>
        </w:tc>
      </w:tr>
    </w:tbl>
    <w:p w14:paraId="2EF68CC3" w14:textId="77777777" w:rsidR="000B7D85" w:rsidRPr="00DC04F0" w:rsidRDefault="00DE2220" w:rsidP="00E246E3">
      <w:pPr>
        <w:pStyle w:val="BodyText"/>
        <w:rPr>
          <w:lang w:eastAsia="en-US"/>
        </w:rPr>
      </w:pPr>
      <w:r>
        <w:t xml:space="preserve">In </w:t>
      </w:r>
      <w:r w:rsidRPr="00C0661F">
        <w:t>201</w:t>
      </w:r>
      <w:r w:rsidR="002E7762">
        <w:t>5</w:t>
      </w:r>
      <w:r w:rsidR="007D1214">
        <w:noBreakHyphen/>
      </w:r>
      <w:r w:rsidR="00C0661F">
        <w:t>1</w:t>
      </w:r>
      <w:r w:rsidR="002E7762">
        <w:t>6</w:t>
      </w:r>
      <w:r w:rsidR="00DB7801" w:rsidRPr="00DB7801">
        <w:t xml:space="preserve">, the </w:t>
      </w:r>
      <w:r w:rsidR="00517902">
        <w:t xml:space="preserve">average </w:t>
      </w:r>
      <w:r w:rsidR="00DB7801" w:rsidRPr="00DB7801">
        <w:t xml:space="preserve">net current cost per </w:t>
      </w:r>
      <w:r w:rsidR="00E225AC">
        <w:t xml:space="preserve">permanent </w:t>
      </w:r>
      <w:proofErr w:type="spellStart"/>
      <w:r w:rsidR="00F1759B">
        <w:t>ICH</w:t>
      </w:r>
      <w:proofErr w:type="spellEnd"/>
      <w:r w:rsidR="00DB7801" w:rsidRPr="00DB7801">
        <w:t xml:space="preserve"> dwelling</w:t>
      </w:r>
      <w:r w:rsidR="00A92DA9">
        <w:t xml:space="preserve"> </w:t>
      </w:r>
      <w:r w:rsidR="00DB7801" w:rsidRPr="00DB7801">
        <w:t>for jurisdictions</w:t>
      </w:r>
      <w:r w:rsidR="00A92DA9">
        <w:t xml:space="preserve"> </w:t>
      </w:r>
      <w:r w:rsidR="00DB7801" w:rsidRPr="00CB1081">
        <w:t xml:space="preserve">where </w:t>
      </w:r>
      <w:r w:rsidR="002C6812" w:rsidRPr="00CB1081">
        <w:t xml:space="preserve">the program operates and </w:t>
      </w:r>
      <w:r w:rsidR="00DB7801" w:rsidRPr="00CB1081">
        <w:t xml:space="preserve">data </w:t>
      </w:r>
      <w:r w:rsidR="00517902" w:rsidRPr="00CB1081">
        <w:t>are</w:t>
      </w:r>
      <w:r w:rsidR="00DB7801" w:rsidRPr="00CB1081">
        <w:t xml:space="preserve"> available </w:t>
      </w:r>
      <w:r w:rsidR="00DB7801" w:rsidRPr="00CB1081">
        <w:rPr>
          <w:color w:val="000000" w:themeColor="text1"/>
        </w:rPr>
        <w:t>was</w:t>
      </w:r>
      <w:r w:rsidR="00DB7801" w:rsidRPr="00DF6667">
        <w:rPr>
          <w:color w:val="000000" w:themeColor="text1"/>
        </w:rPr>
        <w:t xml:space="preserve"> </w:t>
      </w:r>
      <w:r w:rsidR="00C0661F" w:rsidRPr="00C0661F">
        <w:rPr>
          <w:color w:val="000000" w:themeColor="text1"/>
        </w:rPr>
        <w:t>$</w:t>
      </w:r>
      <w:r w:rsidR="00A95236" w:rsidRPr="00A95236">
        <w:rPr>
          <w:color w:val="000000" w:themeColor="text1"/>
        </w:rPr>
        <w:t>9587</w:t>
      </w:r>
      <w:r w:rsidR="00A95236">
        <w:rPr>
          <w:color w:val="000000" w:themeColor="text1"/>
        </w:rPr>
        <w:t xml:space="preserve"> </w:t>
      </w:r>
      <w:r w:rsidR="00517902">
        <w:rPr>
          <w:color w:val="000000" w:themeColor="text1"/>
        </w:rPr>
        <w:t xml:space="preserve">— up </w:t>
      </w:r>
      <w:r w:rsidR="00A95236">
        <w:rPr>
          <w:color w:val="000000" w:themeColor="text1"/>
        </w:rPr>
        <w:t>12.6</w:t>
      </w:r>
      <w:r w:rsidR="00517902">
        <w:rPr>
          <w:color w:val="000000" w:themeColor="text1"/>
        </w:rPr>
        <w:t xml:space="preserve"> per cent </w:t>
      </w:r>
      <w:r w:rsidR="00670713">
        <w:rPr>
          <w:color w:val="000000" w:themeColor="text1"/>
        </w:rPr>
        <w:t xml:space="preserve">in real terms </w:t>
      </w:r>
      <w:r w:rsidR="006577E7">
        <w:rPr>
          <w:color w:val="000000" w:themeColor="text1"/>
        </w:rPr>
        <w:t>since</w:t>
      </w:r>
      <w:r w:rsidR="00517902">
        <w:rPr>
          <w:color w:val="000000" w:themeColor="text1"/>
        </w:rPr>
        <w:t xml:space="preserve"> 201</w:t>
      </w:r>
      <w:r w:rsidR="00A95236">
        <w:rPr>
          <w:color w:val="000000" w:themeColor="text1"/>
        </w:rPr>
        <w:t>1</w:t>
      </w:r>
      <w:r w:rsidR="00B93213">
        <w:rPr>
          <w:color w:val="000000" w:themeColor="text1"/>
        </w:rPr>
        <w:noBreakHyphen/>
      </w:r>
      <w:r w:rsidR="00517902">
        <w:rPr>
          <w:color w:val="000000" w:themeColor="text1"/>
        </w:rPr>
        <w:t>1</w:t>
      </w:r>
      <w:r w:rsidR="00A95236">
        <w:rPr>
          <w:color w:val="000000" w:themeColor="text1"/>
        </w:rPr>
        <w:t>2</w:t>
      </w:r>
      <w:r w:rsidR="00517902">
        <w:rPr>
          <w:color w:val="000000" w:themeColor="text1"/>
        </w:rPr>
        <w:t xml:space="preserve"> </w:t>
      </w:r>
      <w:r w:rsidR="00DB7801" w:rsidRPr="00DF6667">
        <w:rPr>
          <w:color w:val="000000" w:themeColor="text1"/>
        </w:rPr>
        <w:t>(</w:t>
      </w:r>
      <w:r w:rsidR="00B220CD">
        <w:rPr>
          <w:color w:val="000000" w:themeColor="text1"/>
        </w:rPr>
        <w:t>table</w:t>
      </w:r>
      <w:r w:rsidR="00B93213">
        <w:rPr>
          <w:color w:val="000000" w:themeColor="text1"/>
        </w:rPr>
        <w:t> </w:t>
      </w:r>
      <w:proofErr w:type="spellStart"/>
      <w:r w:rsidR="00EA1A98">
        <w:rPr>
          <w:color w:val="000000" w:themeColor="text1"/>
        </w:rPr>
        <w:t>18A.4</w:t>
      </w:r>
      <w:r w:rsidR="00AF2FA9">
        <w:rPr>
          <w:color w:val="000000" w:themeColor="text1"/>
        </w:rPr>
        <w:t>6</w:t>
      </w:r>
      <w:proofErr w:type="spellEnd"/>
      <w:r w:rsidR="00DB7801" w:rsidRPr="00DB7801">
        <w:t>)</w:t>
      </w:r>
      <w:r w:rsidR="006E5DED" w:rsidRPr="00DB7801">
        <w:t>.</w:t>
      </w:r>
    </w:p>
    <w:p w14:paraId="4382D31B" w14:textId="77777777" w:rsidR="007D38F4" w:rsidRPr="00457EC9" w:rsidRDefault="006C4B07" w:rsidP="00457EC9">
      <w:pPr>
        <w:pStyle w:val="Heading3"/>
      </w:pPr>
      <w:r w:rsidRPr="00457EC9">
        <w:lastRenderedPageBreak/>
        <w:t>O</w:t>
      </w:r>
      <w:r w:rsidR="007D38F4" w:rsidRPr="00457EC9">
        <w:t>utcomes</w:t>
      </w:r>
    </w:p>
    <w:p w14:paraId="0CE998DD" w14:textId="77777777" w:rsidR="008355AE" w:rsidRDefault="007D38F4" w:rsidP="008355AE">
      <w:pPr>
        <w:pStyle w:val="BodyText"/>
      </w:pPr>
      <w:r>
        <w:t>Outcomes are the impact of services on the status of an individual or group (see chapter</w:t>
      </w:r>
      <w:r w:rsidR="007D1214">
        <w:t> </w:t>
      </w:r>
      <w:r>
        <w:t>1</w:t>
      </w:r>
      <w:r w:rsidR="00537BCC">
        <w:t>)</w:t>
      </w:r>
      <w:r>
        <w:t>.</w:t>
      </w:r>
    </w:p>
    <w:p w14:paraId="789A18E5" w14:textId="77777777" w:rsidR="00B9496F" w:rsidRDefault="008355AE" w:rsidP="008355AE">
      <w:pPr>
        <w:pStyle w:val="Heading4"/>
      </w:pPr>
      <w:r w:rsidRPr="008355AE">
        <w:t>Social and economic participation</w:t>
      </w:r>
    </w:p>
    <w:p w14:paraId="5B07BBE4" w14:textId="11D35DA4" w:rsidR="008355AE" w:rsidRDefault="008355AE" w:rsidP="008355AE">
      <w:pPr>
        <w:pStyle w:val="BodyText"/>
      </w:pPr>
      <w:r w:rsidRPr="008355AE">
        <w:t>‘Social and economic participation’ is an indicator of government’s objective to provide social housing assistance that supports wellbeing and contributes to social and econo</w:t>
      </w:r>
      <w:r w:rsidR="00B80162">
        <w:t>mic participation (box 18.14</w:t>
      </w:r>
      <w:r w:rsidRPr="008355AE">
        <w:t>).</w:t>
      </w:r>
    </w:p>
    <w:p w14:paraId="52C00D5E" w14:textId="240128E8" w:rsidR="008355AE" w:rsidRDefault="008355A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355AE" w14:paraId="695CFDA1" w14:textId="77777777" w:rsidTr="000F2514">
        <w:trPr>
          <w:tblHeader/>
        </w:trPr>
        <w:tc>
          <w:tcPr>
            <w:tcW w:w="5000" w:type="pct"/>
            <w:tcBorders>
              <w:top w:val="single" w:sz="6" w:space="0" w:color="78A22F"/>
              <w:left w:val="nil"/>
              <w:bottom w:val="nil"/>
              <w:right w:val="nil"/>
            </w:tcBorders>
            <w:shd w:val="clear" w:color="auto" w:fill="F2F2F2"/>
          </w:tcPr>
          <w:p w14:paraId="2CCDAC70" w14:textId="5EF8F0F9" w:rsidR="008355AE" w:rsidRDefault="008355AE">
            <w:pPr>
              <w:pStyle w:val="BoxTitle"/>
            </w:pPr>
            <w:r>
              <w:rPr>
                <w:b w:val="0"/>
              </w:rPr>
              <w:t>Box 18.</w:t>
            </w:r>
            <w:r w:rsidR="007D5A6B">
              <w:rPr>
                <w:b w:val="0"/>
                <w:noProof/>
              </w:rPr>
              <w:t>14</w:t>
            </w:r>
            <w:r>
              <w:tab/>
            </w:r>
            <w:r w:rsidRPr="008355AE">
              <w:t>Social and economic participation</w:t>
            </w:r>
          </w:p>
        </w:tc>
      </w:tr>
      <w:tr w:rsidR="008355AE" w14:paraId="2A61A00F" w14:textId="77777777" w:rsidTr="000F2514">
        <w:tc>
          <w:tcPr>
            <w:tcW w:w="5000" w:type="pct"/>
            <w:tcBorders>
              <w:top w:val="nil"/>
              <w:left w:val="nil"/>
              <w:bottom w:val="nil"/>
              <w:right w:val="nil"/>
            </w:tcBorders>
            <w:shd w:val="clear" w:color="auto" w:fill="F2F2F2"/>
          </w:tcPr>
          <w:p w14:paraId="2F7B0B7D" w14:textId="77777777" w:rsidR="008355AE" w:rsidRDefault="008355AE" w:rsidP="008355AE">
            <w:pPr>
              <w:pStyle w:val="Box"/>
            </w:pPr>
            <w:r w:rsidRPr="00B24A79">
              <w:t>‘</w:t>
            </w:r>
            <w:r w:rsidRPr="00D73362">
              <w:t>Social and economic participation</w:t>
            </w:r>
            <w:r w:rsidRPr="00B24A79">
              <w:t xml:space="preserve">’ is defined as </w:t>
            </w:r>
            <w:r>
              <w:t>the proportion of social housing tenants engaged in social and/or work-related activities.</w:t>
            </w:r>
          </w:p>
          <w:p w14:paraId="1E7499DF" w14:textId="7CBA8228" w:rsidR="008355AE" w:rsidRDefault="008355AE" w:rsidP="008355AE">
            <w:pPr>
              <w:pStyle w:val="Box"/>
            </w:pPr>
            <w:r w:rsidRPr="00B24D33">
              <w:t xml:space="preserve">Living in stable, safe and secure </w:t>
            </w:r>
            <w:r>
              <w:t>housing</w:t>
            </w:r>
            <w:r w:rsidRPr="00B24D33">
              <w:t xml:space="preserve"> is associated with greater capacity to participate in social and economic activity and </w:t>
            </w:r>
            <w:r>
              <w:t xml:space="preserve">improved </w:t>
            </w:r>
            <w:r w:rsidR="00A15FA1">
              <w:t>household wellbeing.</w:t>
            </w:r>
          </w:p>
          <w:p w14:paraId="7A3FC338" w14:textId="77777777" w:rsidR="008355AE" w:rsidRPr="00B24A79" w:rsidRDefault="008355AE" w:rsidP="008355AE">
            <w:pPr>
              <w:pStyle w:val="Box"/>
            </w:pPr>
            <w:r w:rsidRPr="00B24A79">
              <w:t xml:space="preserve">A high or increasing </w:t>
            </w:r>
            <w:r>
              <w:t>proportion</w:t>
            </w:r>
            <w:r w:rsidRPr="00B24A79">
              <w:t xml:space="preserve"> </w:t>
            </w:r>
            <w:r w:rsidR="007C7543" w:rsidRPr="007C7543">
              <w:t xml:space="preserve">of social housing tenants engaged in social and/or work related activities </w:t>
            </w:r>
            <w:r w:rsidRPr="00B24A79">
              <w:t>is desirable.</w:t>
            </w:r>
          </w:p>
          <w:p w14:paraId="7B3138EC" w14:textId="77777777" w:rsidR="008355AE" w:rsidRDefault="008355AE" w:rsidP="008355AE">
            <w:pPr>
              <w:pStyle w:val="Box"/>
            </w:pPr>
            <w:r w:rsidRPr="00B24A79">
              <w:t>Data are not yet available for reporting against this indicator.</w:t>
            </w:r>
          </w:p>
        </w:tc>
      </w:tr>
      <w:tr w:rsidR="008355AE" w14:paraId="65A0AE1B" w14:textId="77777777" w:rsidTr="000F2514">
        <w:tc>
          <w:tcPr>
            <w:tcW w:w="5000" w:type="pct"/>
            <w:tcBorders>
              <w:top w:val="nil"/>
              <w:left w:val="nil"/>
              <w:bottom w:val="single" w:sz="6" w:space="0" w:color="78A22F"/>
              <w:right w:val="nil"/>
            </w:tcBorders>
            <w:shd w:val="clear" w:color="auto" w:fill="F2F2F2"/>
          </w:tcPr>
          <w:p w14:paraId="7E462FB2" w14:textId="77777777" w:rsidR="008355AE" w:rsidRDefault="008355AE">
            <w:pPr>
              <w:pStyle w:val="Box"/>
              <w:spacing w:before="0" w:line="120" w:lineRule="exact"/>
            </w:pPr>
          </w:p>
        </w:tc>
      </w:tr>
      <w:tr w:rsidR="008355AE" w:rsidRPr="000863A5" w14:paraId="3429CFD5" w14:textId="77777777" w:rsidTr="000F2514">
        <w:tc>
          <w:tcPr>
            <w:tcW w:w="5000" w:type="pct"/>
            <w:tcBorders>
              <w:top w:val="single" w:sz="6" w:space="0" w:color="78A22F"/>
              <w:left w:val="nil"/>
              <w:bottom w:val="nil"/>
              <w:right w:val="nil"/>
            </w:tcBorders>
          </w:tcPr>
          <w:p w14:paraId="6044381E" w14:textId="5B8B13D6" w:rsidR="008355AE" w:rsidRPr="00626D32" w:rsidRDefault="008355AE" w:rsidP="00653C7C">
            <w:pPr>
              <w:pStyle w:val="BoxSpaceBelow"/>
              <w:keepNext/>
            </w:pPr>
          </w:p>
        </w:tc>
      </w:tr>
    </w:tbl>
    <w:p w14:paraId="4316FEA9" w14:textId="7BC35CAE" w:rsidR="006131F2" w:rsidRPr="00FD1E41" w:rsidRDefault="00040F38" w:rsidP="00653C7C">
      <w:pPr>
        <w:pStyle w:val="Heading2"/>
      </w:pPr>
      <w:bookmarkStart w:id="20" w:name="_Toc459884658"/>
      <w:bookmarkEnd w:id="17"/>
      <w:r>
        <w:t>18.</w:t>
      </w:r>
      <w:r w:rsidR="007D5A6B">
        <w:rPr>
          <w:noProof/>
        </w:rPr>
        <w:t>4</w:t>
      </w:r>
      <w:r>
        <w:tab/>
      </w:r>
      <w:bookmarkStart w:id="21" w:name="_Toc314211352"/>
      <w:bookmarkStart w:id="22" w:name="_Toc396143035"/>
      <w:r w:rsidR="006131F2" w:rsidRPr="00FD1E41">
        <w:t xml:space="preserve">Definitions </w:t>
      </w:r>
      <w:r w:rsidR="006131F2" w:rsidRPr="00653C7C">
        <w:t>of</w:t>
      </w:r>
      <w:r w:rsidR="006131F2" w:rsidRPr="00FD1E41">
        <w:t xml:space="preserve"> key </w:t>
      </w:r>
      <w:bookmarkEnd w:id="18"/>
      <w:r w:rsidR="00B76882" w:rsidRPr="00FD1E41">
        <w:t>terms</w:t>
      </w:r>
      <w:bookmarkEnd w:id="20"/>
      <w:bookmarkEnd w:id="21"/>
      <w:bookmarkEnd w:id="22"/>
    </w:p>
    <w:p w14:paraId="643482E4" w14:textId="77777777" w:rsidR="00AF5F1A" w:rsidRPr="007D1214" w:rsidRDefault="00AF5F1A" w:rsidP="00653C7C">
      <w:pPr>
        <w:pStyle w:val="BoxSpaceAbove"/>
      </w:pPr>
    </w:p>
    <w:tbl>
      <w:tblPr>
        <w:tblW w:w="0" w:type="auto"/>
        <w:tblInd w:w="-5" w:type="dxa"/>
        <w:tblLayout w:type="fixed"/>
        <w:tblCellMar>
          <w:left w:w="0" w:type="dxa"/>
          <w:right w:w="0" w:type="dxa"/>
        </w:tblCellMar>
        <w:tblLook w:val="00A0" w:firstRow="1" w:lastRow="0" w:firstColumn="1" w:lastColumn="0" w:noHBand="0" w:noVBand="0"/>
      </w:tblPr>
      <w:tblGrid>
        <w:gridCol w:w="2410"/>
        <w:gridCol w:w="6379"/>
      </w:tblGrid>
      <w:tr w:rsidR="00A35488" w:rsidRPr="002576C5" w14:paraId="40FBD627" w14:textId="77777777">
        <w:tc>
          <w:tcPr>
            <w:tcW w:w="2410" w:type="dxa"/>
          </w:tcPr>
          <w:p w14:paraId="4D8E5B70" w14:textId="77777777" w:rsidR="00A35488" w:rsidRPr="002576C5" w:rsidRDefault="00A35488" w:rsidP="00593BB1">
            <w:pPr>
              <w:pStyle w:val="TableBodyText"/>
              <w:keepNext w:val="0"/>
              <w:keepLines w:val="0"/>
              <w:spacing w:before="60" w:after="120"/>
              <w:jc w:val="left"/>
            </w:pPr>
            <w:r w:rsidRPr="002576C5">
              <w:rPr>
                <w:b/>
              </w:rPr>
              <w:t>Aboriginal and Torres Strait Islander household</w:t>
            </w:r>
          </w:p>
        </w:tc>
        <w:tc>
          <w:tcPr>
            <w:tcW w:w="6379" w:type="dxa"/>
          </w:tcPr>
          <w:p w14:paraId="6956C621" w14:textId="77777777" w:rsidR="00A35488" w:rsidRPr="002576C5" w:rsidRDefault="00A35488" w:rsidP="00593BB1">
            <w:pPr>
              <w:pStyle w:val="TableBodyText"/>
              <w:keepNext w:val="0"/>
              <w:keepLines w:val="0"/>
              <w:spacing w:before="60" w:after="120"/>
              <w:jc w:val="left"/>
            </w:pPr>
            <w:r w:rsidRPr="002576C5">
              <w:t>A household with one or more members (including children) who identify as Aboriginal and/or Torres Strait Islander.</w:t>
            </w:r>
          </w:p>
        </w:tc>
      </w:tr>
      <w:tr w:rsidR="00A35488" w:rsidRPr="002576C5" w14:paraId="4F4C46C9" w14:textId="77777777">
        <w:tc>
          <w:tcPr>
            <w:tcW w:w="2410" w:type="dxa"/>
          </w:tcPr>
          <w:p w14:paraId="18535ACE" w14:textId="77777777" w:rsidR="00A35488" w:rsidRPr="002576C5" w:rsidRDefault="00A35488" w:rsidP="00593BB1">
            <w:pPr>
              <w:pStyle w:val="TableBodyText"/>
              <w:keepNext w:val="0"/>
              <w:keepLines w:val="0"/>
              <w:spacing w:before="60" w:after="120"/>
              <w:jc w:val="left"/>
            </w:pPr>
            <w:r w:rsidRPr="002576C5">
              <w:rPr>
                <w:b/>
              </w:rPr>
              <w:t>Administration costs</w:t>
            </w:r>
          </w:p>
        </w:tc>
        <w:tc>
          <w:tcPr>
            <w:tcW w:w="6379" w:type="dxa"/>
          </w:tcPr>
          <w:p w14:paraId="50CF52FF" w14:textId="77777777" w:rsidR="00A35488" w:rsidRPr="002576C5" w:rsidRDefault="00A35488" w:rsidP="00593BB1">
            <w:pPr>
              <w:pStyle w:val="TableBodyText"/>
              <w:keepNext w:val="0"/>
              <w:keepLines w:val="0"/>
              <w:spacing w:before="60" w:after="120"/>
              <w:jc w:val="left"/>
            </w:pPr>
            <w:r w:rsidRPr="002576C5">
              <w:t>Those costs associated with the administration offices of the property manager and tenancy manager. They include the general accounting and personnel function costs relating to:</w:t>
            </w:r>
          </w:p>
          <w:p w14:paraId="3CAFE963" w14:textId="77777777" w:rsidR="00A35488" w:rsidRPr="002576C5" w:rsidRDefault="00A35488" w:rsidP="00593BB1">
            <w:pPr>
              <w:pStyle w:val="TableBullet"/>
              <w:keepNext w:val="0"/>
              <w:keepLines w:val="0"/>
              <w:spacing w:before="80" w:after="80"/>
              <w:jc w:val="both"/>
            </w:pPr>
            <w:r w:rsidRPr="002576C5">
              <w:t>employee expenses (for example, superannuation, compensation, accrued leave and training)</w:t>
            </w:r>
          </w:p>
          <w:p w14:paraId="43995242" w14:textId="77777777" w:rsidR="00A35488" w:rsidRPr="002576C5" w:rsidRDefault="00A35488" w:rsidP="00593BB1">
            <w:pPr>
              <w:pStyle w:val="TableBullet"/>
              <w:keepNext w:val="0"/>
              <w:keepLines w:val="0"/>
              <w:spacing w:before="80" w:after="80"/>
              <w:jc w:val="both"/>
            </w:pPr>
            <w:r w:rsidRPr="002576C5">
              <w:t>supplies and services expenses (including stationery, postage, telephone, office equipment, information systems and vehicle expenses)</w:t>
            </w:r>
          </w:p>
          <w:p w14:paraId="6BF578E7" w14:textId="77777777" w:rsidR="00A35488" w:rsidRPr="002576C5" w:rsidRDefault="00A35488" w:rsidP="00593BB1">
            <w:pPr>
              <w:pStyle w:val="TableBullet"/>
              <w:keepNext w:val="0"/>
              <w:keepLines w:val="0"/>
              <w:spacing w:before="80" w:after="80"/>
              <w:jc w:val="both"/>
            </w:pPr>
            <w:r w:rsidRPr="002576C5">
              <w:t>rent</w:t>
            </w:r>
          </w:p>
          <w:p w14:paraId="432C2855" w14:textId="77777777" w:rsidR="00A35488" w:rsidRPr="002576C5" w:rsidRDefault="00A35488" w:rsidP="00593BB1">
            <w:pPr>
              <w:pStyle w:val="TableBullet"/>
              <w:keepNext w:val="0"/>
              <w:keepLines w:val="0"/>
              <w:spacing w:before="80" w:after="80"/>
              <w:jc w:val="both"/>
            </w:pPr>
            <w:r w:rsidRPr="002576C5">
              <w:t>grants and subsidies (excluding rental subsidies)</w:t>
            </w:r>
          </w:p>
          <w:p w14:paraId="10142CCF" w14:textId="77777777" w:rsidR="00A35488" w:rsidRPr="002576C5" w:rsidRDefault="00A35488" w:rsidP="00593BB1">
            <w:pPr>
              <w:pStyle w:val="TableBullet"/>
              <w:keepNext w:val="0"/>
              <w:keepLines w:val="0"/>
              <w:spacing w:before="80" w:after="80"/>
              <w:jc w:val="both"/>
            </w:pPr>
            <w:r w:rsidRPr="002576C5">
              <w:t>expenditure incurred by other government agencies on behalf of the public housing agency</w:t>
            </w:r>
          </w:p>
          <w:p w14:paraId="7107B233" w14:textId="77777777" w:rsidR="00A35488" w:rsidRPr="002576C5" w:rsidRDefault="00A35488" w:rsidP="00593BB1">
            <w:pPr>
              <w:pStyle w:val="TableBullet"/>
              <w:keepNext w:val="0"/>
              <w:keepLines w:val="0"/>
              <w:spacing w:before="80" w:after="80"/>
              <w:jc w:val="both"/>
            </w:pPr>
            <w:r w:rsidRPr="002576C5">
              <w:t>contracted public housing management services.</w:t>
            </w:r>
          </w:p>
        </w:tc>
      </w:tr>
      <w:tr w:rsidR="00A35488" w:rsidRPr="002576C5" w14:paraId="38FB11A7" w14:textId="77777777">
        <w:tc>
          <w:tcPr>
            <w:tcW w:w="2410" w:type="dxa"/>
          </w:tcPr>
          <w:p w14:paraId="3C447B64" w14:textId="77777777" w:rsidR="00A35488" w:rsidRPr="002576C5" w:rsidRDefault="00A35488" w:rsidP="00593BB1">
            <w:pPr>
              <w:pStyle w:val="TableBodyText"/>
              <w:keepNext w:val="0"/>
              <w:keepLines w:val="0"/>
              <w:spacing w:before="60" w:after="120"/>
              <w:jc w:val="left"/>
            </w:pPr>
            <w:r w:rsidRPr="002576C5">
              <w:rPr>
                <w:b/>
              </w:rPr>
              <w:t>Assessable income</w:t>
            </w:r>
          </w:p>
        </w:tc>
        <w:tc>
          <w:tcPr>
            <w:tcW w:w="6379" w:type="dxa"/>
          </w:tcPr>
          <w:p w14:paraId="2A3E7429" w14:textId="77777777" w:rsidR="00A35488" w:rsidRPr="002576C5" w:rsidRDefault="00A35488" w:rsidP="00593BB1">
            <w:pPr>
              <w:pStyle w:val="TableBodyText"/>
              <w:keepNext w:val="0"/>
              <w:keepLines w:val="0"/>
              <w:spacing w:before="60" w:after="120"/>
              <w:jc w:val="left"/>
            </w:pPr>
            <w:r w:rsidRPr="002576C5">
              <w:t xml:space="preserve">The income used to assess eligibility for housing assistance and to calculate the rental housing rebate that allows a household to pay a rent lower than the market rent. </w:t>
            </w:r>
            <w:r w:rsidR="001F26FD">
              <w:t xml:space="preserve">The components of income that are counted as assessable may vary </w:t>
            </w:r>
            <w:r w:rsidRPr="002576C5">
              <w:t>across jurisdictions.</w:t>
            </w:r>
          </w:p>
        </w:tc>
      </w:tr>
      <w:tr w:rsidR="00A35488" w:rsidRPr="002576C5" w14:paraId="3781B88C" w14:textId="77777777">
        <w:tc>
          <w:tcPr>
            <w:tcW w:w="2410" w:type="dxa"/>
          </w:tcPr>
          <w:p w14:paraId="12E0F575" w14:textId="77777777" w:rsidR="00A35488" w:rsidRPr="002576C5" w:rsidRDefault="00A35488" w:rsidP="00593BB1">
            <w:pPr>
              <w:pStyle w:val="TableBodyText"/>
              <w:keepNext w:val="0"/>
              <w:keepLines w:val="0"/>
              <w:spacing w:before="60" w:after="120"/>
              <w:jc w:val="left"/>
              <w:rPr>
                <w:b/>
              </w:rPr>
            </w:pPr>
            <w:r w:rsidRPr="002576C5">
              <w:rPr>
                <w:b/>
              </w:rPr>
              <w:t>Canadian National Occupancy Standard (</w:t>
            </w:r>
            <w:proofErr w:type="spellStart"/>
            <w:r w:rsidRPr="002576C5">
              <w:rPr>
                <w:b/>
              </w:rPr>
              <w:t>CNOS</w:t>
            </w:r>
            <w:proofErr w:type="spellEnd"/>
            <w:r w:rsidRPr="002576C5">
              <w:rPr>
                <w:b/>
              </w:rPr>
              <w:t>)</w:t>
            </w:r>
          </w:p>
        </w:tc>
        <w:tc>
          <w:tcPr>
            <w:tcW w:w="6379" w:type="dxa"/>
          </w:tcPr>
          <w:p w14:paraId="5B354F69" w14:textId="77777777" w:rsidR="00A35488" w:rsidRPr="002576C5" w:rsidRDefault="00A35488" w:rsidP="00593BB1">
            <w:pPr>
              <w:pStyle w:val="TableBodyText"/>
              <w:keepNext w:val="0"/>
              <w:keepLines w:val="0"/>
              <w:spacing w:before="60" w:after="120"/>
              <w:jc w:val="left"/>
            </w:pPr>
            <w:r w:rsidRPr="002576C5">
              <w:t>A standardised measure of housing utilisation and overcrowding. This measure assesses a household</w:t>
            </w:r>
            <w:r>
              <w:t>’</w:t>
            </w:r>
            <w:r w:rsidRPr="002576C5">
              <w:t>s bedroom requirements by specifying that:</w:t>
            </w:r>
          </w:p>
          <w:p w14:paraId="27345B0B" w14:textId="77777777" w:rsidR="00A35488" w:rsidRPr="002576C5" w:rsidRDefault="00A35488" w:rsidP="00593BB1">
            <w:pPr>
              <w:pStyle w:val="TableBullet"/>
              <w:keepNext w:val="0"/>
              <w:keepLines w:val="0"/>
              <w:spacing w:before="80" w:after="80"/>
              <w:jc w:val="both"/>
            </w:pPr>
            <w:r w:rsidRPr="002576C5">
              <w:t>there should be no more than two people per bedroom</w:t>
            </w:r>
          </w:p>
          <w:p w14:paraId="1E957E0E" w14:textId="77777777" w:rsidR="00A35488" w:rsidRPr="002576C5" w:rsidRDefault="00A35488" w:rsidP="00593BB1">
            <w:pPr>
              <w:pStyle w:val="TableBullet"/>
              <w:keepNext w:val="0"/>
              <w:keepLines w:val="0"/>
              <w:spacing w:before="80" w:after="80"/>
              <w:jc w:val="both"/>
            </w:pPr>
            <w:r w:rsidRPr="002576C5">
              <w:lastRenderedPageBreak/>
              <w:t>a household of one unattached individual may reasonably occupy a bed–sit (i.e. have no bedroom)</w:t>
            </w:r>
          </w:p>
          <w:p w14:paraId="68119662" w14:textId="77777777" w:rsidR="00A35488" w:rsidRPr="002576C5" w:rsidRDefault="00A35488" w:rsidP="00593BB1">
            <w:pPr>
              <w:pStyle w:val="TableBullet"/>
              <w:keepNext w:val="0"/>
              <w:keepLines w:val="0"/>
              <w:spacing w:before="80" w:after="80"/>
              <w:jc w:val="both"/>
            </w:pPr>
            <w:r w:rsidRPr="002576C5">
              <w:t>couples and parents should have a separate bedroom</w:t>
            </w:r>
          </w:p>
          <w:p w14:paraId="05C30965" w14:textId="77777777" w:rsidR="00A35488" w:rsidRPr="002576C5" w:rsidRDefault="00A35488" w:rsidP="00593BB1">
            <w:pPr>
              <w:pStyle w:val="TableBullet"/>
              <w:keepNext w:val="0"/>
              <w:keepLines w:val="0"/>
              <w:spacing w:before="80" w:after="80"/>
              <w:jc w:val="both"/>
            </w:pPr>
            <w:r w:rsidRPr="002576C5">
              <w:t>children less than five years of age, of different sexes, may reasonably share a bedroom</w:t>
            </w:r>
          </w:p>
          <w:p w14:paraId="264C085D" w14:textId="77777777" w:rsidR="00A35488" w:rsidRPr="002576C5" w:rsidRDefault="00A35488" w:rsidP="00593BB1">
            <w:pPr>
              <w:pStyle w:val="TableBullet"/>
              <w:keepNext w:val="0"/>
              <w:keepLines w:val="0"/>
              <w:spacing w:before="80" w:after="80"/>
              <w:jc w:val="both"/>
            </w:pPr>
            <w:r w:rsidRPr="002576C5">
              <w:t>children five years of age or over, of the opposite sex, should not share a bedroom</w:t>
            </w:r>
          </w:p>
          <w:p w14:paraId="4DE992C1" w14:textId="77777777" w:rsidR="00A35488" w:rsidRPr="002576C5" w:rsidRDefault="00A35488" w:rsidP="00593BB1">
            <w:pPr>
              <w:pStyle w:val="TableBullet"/>
              <w:keepNext w:val="0"/>
              <w:keepLines w:val="0"/>
              <w:spacing w:before="80" w:after="80"/>
              <w:jc w:val="both"/>
            </w:pPr>
            <w:r w:rsidRPr="002576C5">
              <w:t>children less than 18 years of age and of the same sex may reasonably share a bedroom; and</w:t>
            </w:r>
          </w:p>
          <w:p w14:paraId="14AFCE15" w14:textId="77777777" w:rsidR="00A35488" w:rsidRPr="002576C5" w:rsidRDefault="00A35488" w:rsidP="00593BB1">
            <w:pPr>
              <w:pStyle w:val="TableBullet"/>
              <w:keepNext w:val="0"/>
              <w:keepLines w:val="0"/>
              <w:spacing w:before="80" w:after="80"/>
              <w:jc w:val="both"/>
            </w:pPr>
            <w:r w:rsidRPr="002576C5">
              <w:t>single household members aged 18 years or over should have a separate bedroom.</w:t>
            </w:r>
          </w:p>
        </w:tc>
      </w:tr>
      <w:tr w:rsidR="00A35488" w:rsidRPr="002576C5" w14:paraId="735338AC" w14:textId="77777777" w:rsidTr="00117DFD">
        <w:tc>
          <w:tcPr>
            <w:tcW w:w="2410" w:type="dxa"/>
            <w:shd w:val="clear" w:color="auto" w:fill="auto"/>
          </w:tcPr>
          <w:p w14:paraId="0691A030" w14:textId="77777777" w:rsidR="00A35488" w:rsidRPr="002576C5" w:rsidRDefault="00A35488" w:rsidP="00593BB1">
            <w:pPr>
              <w:pStyle w:val="TableBodyText"/>
              <w:keepNext w:val="0"/>
              <w:keepLines w:val="0"/>
              <w:spacing w:before="60" w:after="120"/>
              <w:jc w:val="left"/>
              <w:rPr>
                <w:b/>
              </w:rPr>
            </w:pPr>
            <w:r w:rsidRPr="002576C5">
              <w:rPr>
                <w:b/>
              </w:rPr>
              <w:lastRenderedPageBreak/>
              <w:t>Comparability</w:t>
            </w:r>
          </w:p>
        </w:tc>
        <w:tc>
          <w:tcPr>
            <w:tcW w:w="6379" w:type="dxa"/>
            <w:shd w:val="clear" w:color="auto" w:fill="auto"/>
          </w:tcPr>
          <w:p w14:paraId="1BBB164D" w14:textId="77777777" w:rsidR="00A35488" w:rsidRPr="002576C5" w:rsidRDefault="00A35488" w:rsidP="00593BB1">
            <w:pPr>
              <w:pStyle w:val="TableBodyText"/>
              <w:keepNext w:val="0"/>
              <w:keepLines w:val="0"/>
              <w:spacing w:before="60" w:after="120"/>
              <w:jc w:val="left"/>
            </w:pPr>
            <w:r w:rsidRPr="002576C5">
              <w:t>Data are considered comparable if (subject to caveats) they can be used to inform an assessment of comparative performance. Typically, data are considered comparable when they are collected in the same way and in accordance with the same definitions. For comparable indicators or measures, significant differences in reported results allow an assessment of differences in performance, rather than being the result of anomalies in the data.</w:t>
            </w:r>
          </w:p>
        </w:tc>
      </w:tr>
      <w:tr w:rsidR="00A35488" w:rsidRPr="002576C5" w14:paraId="07038538" w14:textId="77777777" w:rsidTr="00117DFD">
        <w:tc>
          <w:tcPr>
            <w:tcW w:w="2410" w:type="dxa"/>
            <w:shd w:val="clear" w:color="auto" w:fill="auto"/>
          </w:tcPr>
          <w:p w14:paraId="5AB2213C" w14:textId="77777777" w:rsidR="00A35488" w:rsidRPr="002576C5" w:rsidRDefault="00A35488" w:rsidP="00593BB1">
            <w:pPr>
              <w:pStyle w:val="TableBodyText"/>
              <w:keepNext w:val="0"/>
              <w:keepLines w:val="0"/>
              <w:spacing w:before="60" w:after="120"/>
              <w:jc w:val="left"/>
              <w:rPr>
                <w:b/>
              </w:rPr>
            </w:pPr>
            <w:r w:rsidRPr="002576C5">
              <w:rPr>
                <w:b/>
              </w:rPr>
              <w:t>Completeness</w:t>
            </w:r>
          </w:p>
        </w:tc>
        <w:tc>
          <w:tcPr>
            <w:tcW w:w="6379" w:type="dxa"/>
            <w:shd w:val="clear" w:color="auto" w:fill="auto"/>
          </w:tcPr>
          <w:p w14:paraId="7EB1D349" w14:textId="77777777" w:rsidR="00A35488" w:rsidRPr="002576C5" w:rsidRDefault="00A35488" w:rsidP="00593BB1">
            <w:pPr>
              <w:pStyle w:val="TableBodyText"/>
              <w:keepNext w:val="0"/>
              <w:keepLines w:val="0"/>
              <w:spacing w:before="60" w:after="120"/>
              <w:jc w:val="left"/>
            </w:pPr>
            <w:r w:rsidRPr="002576C5">
              <w:t>Data are considered complete if all required data are available for all jurisdictions that provide the service.</w:t>
            </w:r>
          </w:p>
        </w:tc>
      </w:tr>
      <w:tr w:rsidR="00A35488" w:rsidRPr="002576C5" w14:paraId="52A15821" w14:textId="77777777">
        <w:tc>
          <w:tcPr>
            <w:tcW w:w="2410" w:type="dxa"/>
          </w:tcPr>
          <w:p w14:paraId="2D1A65D3" w14:textId="77777777" w:rsidR="00A35488" w:rsidRPr="002576C5" w:rsidRDefault="00A35488" w:rsidP="00593BB1">
            <w:pPr>
              <w:pStyle w:val="TableBodyText"/>
              <w:keepNext w:val="0"/>
              <w:keepLines w:val="0"/>
              <w:spacing w:before="60" w:after="120"/>
              <w:jc w:val="left"/>
              <w:rPr>
                <w:b/>
              </w:rPr>
            </w:pPr>
            <w:r w:rsidRPr="002576C5">
              <w:rPr>
                <w:b/>
              </w:rPr>
              <w:t xml:space="preserve">Confidence intervals </w:t>
            </w:r>
          </w:p>
        </w:tc>
        <w:tc>
          <w:tcPr>
            <w:tcW w:w="6379" w:type="dxa"/>
          </w:tcPr>
          <w:p w14:paraId="68C11722" w14:textId="77777777" w:rsidR="00A35488" w:rsidRPr="002576C5" w:rsidRDefault="00A35488" w:rsidP="00593BB1">
            <w:pPr>
              <w:pStyle w:val="TableBodyText"/>
              <w:keepNext w:val="0"/>
              <w:keepLines w:val="0"/>
              <w:spacing w:before="60" w:after="120"/>
              <w:jc w:val="left"/>
            </w:pPr>
            <w:r w:rsidRPr="002576C5">
              <w:t xml:space="preserve">Survey data, for example data from the </w:t>
            </w:r>
            <w:proofErr w:type="spellStart"/>
            <w:r w:rsidRPr="002576C5">
              <w:t>NSHS</w:t>
            </w:r>
            <w:proofErr w:type="spellEnd"/>
            <w:r w:rsidRPr="002576C5">
              <w:t>, are subject to sampling error because they are based on samples of the total population. Where survey data are shown in charts in this report, error bars are included, showing 95 per cent confidence intervals. There is a 95 per cent chance that the true value of the data item lies within the interval shown by the error bars.</w:t>
            </w:r>
          </w:p>
        </w:tc>
      </w:tr>
      <w:tr w:rsidR="00A35488" w:rsidRPr="002576C5" w14:paraId="448AC329" w14:textId="77777777">
        <w:tc>
          <w:tcPr>
            <w:tcW w:w="2410" w:type="dxa"/>
          </w:tcPr>
          <w:p w14:paraId="12BECF98" w14:textId="77777777" w:rsidR="00A35488" w:rsidRPr="002576C5" w:rsidRDefault="00A35488" w:rsidP="00593BB1">
            <w:pPr>
              <w:pStyle w:val="TableBodyText"/>
              <w:keepNext w:val="0"/>
              <w:keepLines w:val="0"/>
              <w:spacing w:before="60" w:after="120"/>
              <w:jc w:val="left"/>
            </w:pPr>
            <w:r w:rsidRPr="002576C5">
              <w:rPr>
                <w:b/>
              </w:rPr>
              <w:t>Depreciation costs</w:t>
            </w:r>
          </w:p>
        </w:tc>
        <w:tc>
          <w:tcPr>
            <w:tcW w:w="6379" w:type="dxa"/>
          </w:tcPr>
          <w:p w14:paraId="3D2EB962" w14:textId="77777777" w:rsidR="00A35488" w:rsidRPr="002576C5" w:rsidRDefault="00A35488" w:rsidP="00593BB1">
            <w:pPr>
              <w:pStyle w:val="TableBodyText"/>
              <w:keepNext w:val="0"/>
              <w:keepLines w:val="0"/>
              <w:spacing w:before="60" w:after="120"/>
              <w:jc w:val="left"/>
            </w:pPr>
            <w:r w:rsidRPr="002576C5">
              <w:rPr>
                <w:snapToGrid w:val="0"/>
                <w:lang w:val="en-US"/>
              </w:rPr>
              <w:t>Depreciation calculated on a straight–line basis at a rate that realistically represents the useful life of the asset (as per the Australian Accounting Standards 13–17).</w:t>
            </w:r>
          </w:p>
        </w:tc>
      </w:tr>
      <w:tr w:rsidR="00A35488" w:rsidRPr="002576C5" w14:paraId="2495F895" w14:textId="77777777" w:rsidTr="00133541">
        <w:tc>
          <w:tcPr>
            <w:tcW w:w="2410" w:type="dxa"/>
            <w:shd w:val="clear" w:color="auto" w:fill="auto"/>
          </w:tcPr>
          <w:p w14:paraId="1A6DDE94" w14:textId="77777777" w:rsidR="00A35488" w:rsidRPr="002576C5" w:rsidRDefault="00A35488" w:rsidP="00593BB1">
            <w:pPr>
              <w:pStyle w:val="TableBodyText"/>
              <w:keepNext w:val="0"/>
              <w:keepLines w:val="0"/>
              <w:spacing w:before="60" w:after="120"/>
              <w:jc w:val="left"/>
              <w:rPr>
                <w:snapToGrid w:val="0"/>
                <w:lang w:val="en-US"/>
              </w:rPr>
            </w:pPr>
            <w:r w:rsidRPr="002576C5">
              <w:rPr>
                <w:b/>
                <w:snapToGrid w:val="0"/>
              </w:rPr>
              <w:t>Disability</w:t>
            </w:r>
          </w:p>
        </w:tc>
        <w:tc>
          <w:tcPr>
            <w:tcW w:w="6379" w:type="dxa"/>
            <w:shd w:val="clear" w:color="auto" w:fill="auto"/>
          </w:tcPr>
          <w:p w14:paraId="04008FB6" w14:textId="77777777" w:rsidR="00A35488" w:rsidRPr="002576C5" w:rsidRDefault="00A35488" w:rsidP="00593BB1">
            <w:pPr>
              <w:pStyle w:val="TableBodyText"/>
              <w:keepNext w:val="0"/>
              <w:keepLines w:val="0"/>
              <w:spacing w:before="60" w:after="120"/>
              <w:jc w:val="left"/>
              <w:rPr>
                <w:snapToGrid w:val="0"/>
              </w:rPr>
            </w:pPr>
            <w:r w:rsidRPr="002576C5">
              <w:rPr>
                <w:snapToGrid w:val="0"/>
              </w:rPr>
              <w:t>Households with a member with disability are defined as households in which at least one member always or sometimes needs assistance with self</w:t>
            </w:r>
            <w:r>
              <w:rPr>
                <w:snapToGrid w:val="0"/>
              </w:rPr>
              <w:noBreakHyphen/>
            </w:r>
            <w:r w:rsidRPr="002576C5">
              <w:rPr>
                <w:snapToGrid w:val="0"/>
              </w:rPr>
              <w:t>care activities, body movement activities or communication, and the reason for needing assistance is either ‘long</w:t>
            </w:r>
            <w:r w:rsidRPr="002576C5">
              <w:rPr>
                <w:snapToGrid w:val="0"/>
              </w:rPr>
              <w:noBreakHyphen/>
              <w:t>term health condition lasting six months or more’ or ‘disability’.</w:t>
            </w:r>
          </w:p>
        </w:tc>
      </w:tr>
      <w:tr w:rsidR="00A35488" w:rsidRPr="002576C5" w14:paraId="5BFB50D9" w14:textId="77777777">
        <w:tc>
          <w:tcPr>
            <w:tcW w:w="2410" w:type="dxa"/>
          </w:tcPr>
          <w:p w14:paraId="286E4033" w14:textId="77777777" w:rsidR="00A35488" w:rsidRPr="002576C5" w:rsidRDefault="00A35488" w:rsidP="00593BB1">
            <w:pPr>
              <w:pStyle w:val="TableBodyText"/>
              <w:keepNext w:val="0"/>
              <w:keepLines w:val="0"/>
              <w:spacing w:before="60" w:after="120"/>
              <w:jc w:val="left"/>
              <w:rPr>
                <w:rFonts w:ascii="Times New Roman" w:hAnsi="Times New Roman"/>
              </w:rPr>
            </w:pPr>
            <w:r w:rsidRPr="002576C5">
              <w:br w:type="page"/>
            </w:r>
            <w:r w:rsidRPr="002576C5">
              <w:rPr>
                <w:rFonts w:ascii="Times New Roman" w:hAnsi="Times New Roman"/>
              </w:rPr>
              <w:br w:type="page"/>
            </w:r>
            <w:r w:rsidRPr="002576C5">
              <w:rPr>
                <w:b/>
              </w:rPr>
              <w:t>Dwelling</w:t>
            </w:r>
          </w:p>
        </w:tc>
        <w:tc>
          <w:tcPr>
            <w:tcW w:w="6379" w:type="dxa"/>
          </w:tcPr>
          <w:p w14:paraId="28A1B6BA" w14:textId="77777777" w:rsidR="00A35488" w:rsidRPr="002576C5" w:rsidRDefault="00A35488" w:rsidP="00593BB1">
            <w:pPr>
              <w:pStyle w:val="TableBodyText"/>
              <w:keepNext w:val="0"/>
              <w:keepLines w:val="0"/>
              <w:spacing w:before="60" w:after="120"/>
              <w:jc w:val="left"/>
            </w:pPr>
            <w:r w:rsidRPr="002576C5">
              <w:t>A structure or a discrete space within a structure intended for people to live in or where a person or group of people live. Thus, a structure that people actually live in is a dwelling regardless of its intended purpose, but a vacant structure is a dwelling only if intended for human residence. A dwelling may include one or more rooms that is/are used as an office or workshop, provided the dwelling is in residential use. Dwelling types include:</w:t>
            </w:r>
          </w:p>
          <w:p w14:paraId="5EEBBB03" w14:textId="77777777" w:rsidR="00A35488" w:rsidRPr="002576C5" w:rsidRDefault="00A35488" w:rsidP="00593BB1">
            <w:pPr>
              <w:pStyle w:val="TableBullet"/>
              <w:keepNext w:val="0"/>
              <w:keepLines w:val="0"/>
              <w:spacing w:before="80" w:after="80"/>
              <w:jc w:val="both"/>
            </w:pPr>
            <w:r w:rsidRPr="002576C5">
              <w:t>a separate house</w:t>
            </w:r>
          </w:p>
          <w:p w14:paraId="147239D5" w14:textId="77777777" w:rsidR="00A35488" w:rsidRPr="002576C5" w:rsidRDefault="00A35488" w:rsidP="00593BB1">
            <w:pPr>
              <w:pStyle w:val="TableBullet"/>
              <w:keepNext w:val="0"/>
              <w:keepLines w:val="0"/>
              <w:spacing w:before="80" w:after="80"/>
              <w:jc w:val="both"/>
            </w:pPr>
            <w:r w:rsidRPr="002576C5">
              <w:t>a semi–detached, row or terrace house, townhouse, etc.</w:t>
            </w:r>
          </w:p>
          <w:p w14:paraId="7D216EC0" w14:textId="77777777" w:rsidR="00A35488" w:rsidRPr="002576C5" w:rsidRDefault="00A35488" w:rsidP="00593BB1">
            <w:pPr>
              <w:pStyle w:val="TableBullet"/>
              <w:keepNext w:val="0"/>
              <w:keepLines w:val="0"/>
              <w:spacing w:before="80" w:after="80"/>
              <w:jc w:val="both"/>
            </w:pPr>
            <w:r w:rsidRPr="002576C5">
              <w:t>a flat, unit or apartment; caravan, tent, cabin etc. either in or not in a caravan park; houseboat in marina, etc.</w:t>
            </w:r>
          </w:p>
          <w:p w14:paraId="06A2BBCE" w14:textId="77777777" w:rsidR="00A35488" w:rsidRPr="002576C5" w:rsidRDefault="00A35488" w:rsidP="00593BB1">
            <w:pPr>
              <w:pStyle w:val="TableBullet"/>
              <w:keepNext w:val="0"/>
              <w:keepLines w:val="0"/>
              <w:spacing w:before="80" w:after="80"/>
              <w:jc w:val="both"/>
            </w:pPr>
            <w:r w:rsidRPr="002576C5">
              <w:t>an improvised home, tent, camper</w:t>
            </w:r>
          </w:p>
          <w:p w14:paraId="2C0B91A6" w14:textId="77777777" w:rsidR="00A35488" w:rsidRPr="002576C5" w:rsidRDefault="00A35488" w:rsidP="00593BB1">
            <w:pPr>
              <w:pStyle w:val="TableBullet"/>
              <w:keepNext w:val="0"/>
              <w:keepLines w:val="0"/>
              <w:spacing w:before="80" w:after="80"/>
              <w:jc w:val="both"/>
            </w:pPr>
            <w:r w:rsidRPr="002576C5">
              <w:t>a house or flat attached to a shop, office, etc.</w:t>
            </w:r>
          </w:p>
          <w:p w14:paraId="52DF4F8A" w14:textId="77777777" w:rsidR="00A35488" w:rsidRPr="002576C5" w:rsidRDefault="00A35488" w:rsidP="00593BB1">
            <w:pPr>
              <w:pStyle w:val="TableBullet"/>
              <w:keepNext w:val="0"/>
              <w:keepLines w:val="0"/>
              <w:spacing w:before="80" w:after="80"/>
              <w:jc w:val="both"/>
            </w:pPr>
            <w:r w:rsidRPr="002576C5">
              <w:t>a boarding/rooming house unit.</w:t>
            </w:r>
          </w:p>
        </w:tc>
      </w:tr>
      <w:tr w:rsidR="00A35488" w:rsidRPr="002576C5" w14:paraId="726E65AB" w14:textId="77777777" w:rsidTr="00A17C2C">
        <w:tc>
          <w:tcPr>
            <w:tcW w:w="2410" w:type="dxa"/>
            <w:shd w:val="clear" w:color="auto" w:fill="auto"/>
          </w:tcPr>
          <w:p w14:paraId="53598E5D" w14:textId="77777777" w:rsidR="00A35488" w:rsidRPr="002576C5" w:rsidRDefault="00A35488" w:rsidP="00593BB1">
            <w:pPr>
              <w:pStyle w:val="TableBodyText"/>
              <w:keepNext w:val="0"/>
              <w:keepLines w:val="0"/>
              <w:spacing w:before="60" w:after="120"/>
              <w:jc w:val="left"/>
              <w:rPr>
                <w:b/>
              </w:rPr>
            </w:pPr>
            <w:proofErr w:type="spellStart"/>
            <w:r w:rsidRPr="002576C5">
              <w:rPr>
                <w:b/>
              </w:rPr>
              <w:t>Equivalisation</w:t>
            </w:r>
            <w:proofErr w:type="spellEnd"/>
          </w:p>
        </w:tc>
        <w:tc>
          <w:tcPr>
            <w:tcW w:w="6379" w:type="dxa"/>
            <w:shd w:val="clear" w:color="auto" w:fill="auto"/>
          </w:tcPr>
          <w:p w14:paraId="2DB77774" w14:textId="7911C2D8" w:rsidR="00A35488" w:rsidRPr="002576C5" w:rsidRDefault="009C72EB" w:rsidP="00593BB1">
            <w:pPr>
              <w:pStyle w:val="TableBodyText"/>
              <w:keepNext w:val="0"/>
              <w:keepLines w:val="0"/>
              <w:spacing w:before="60" w:after="120"/>
              <w:jc w:val="left"/>
            </w:pPr>
            <w:r w:rsidRPr="009C72EB">
              <w:t>See low income households entry.</w:t>
            </w:r>
          </w:p>
        </w:tc>
      </w:tr>
      <w:tr w:rsidR="00A35488" w:rsidRPr="002576C5" w14:paraId="5076A056" w14:textId="77777777">
        <w:tc>
          <w:tcPr>
            <w:tcW w:w="2410" w:type="dxa"/>
          </w:tcPr>
          <w:p w14:paraId="103F4ABC" w14:textId="77777777" w:rsidR="00A35488" w:rsidRPr="002576C5" w:rsidRDefault="00A35488" w:rsidP="00593BB1">
            <w:pPr>
              <w:pStyle w:val="TableBodyText"/>
              <w:keepNext w:val="0"/>
              <w:keepLines w:val="0"/>
              <w:spacing w:before="60" w:after="120"/>
              <w:jc w:val="left"/>
            </w:pPr>
            <w:r w:rsidRPr="002576C5">
              <w:rPr>
                <w:b/>
              </w:rPr>
              <w:t>Greatest need</w:t>
            </w:r>
          </w:p>
        </w:tc>
        <w:tc>
          <w:tcPr>
            <w:tcW w:w="6379" w:type="dxa"/>
          </w:tcPr>
          <w:p w14:paraId="6722BA47" w14:textId="77777777" w:rsidR="00A35488" w:rsidRPr="002576C5" w:rsidRDefault="0088785E" w:rsidP="00593BB1">
            <w:pPr>
              <w:pStyle w:val="TableBodyText"/>
              <w:keepNext w:val="0"/>
              <w:keepLines w:val="0"/>
              <w:spacing w:before="60" w:after="120"/>
              <w:jc w:val="left"/>
            </w:pPr>
            <w:r>
              <w:t>Applies to low</w:t>
            </w:r>
            <w:r>
              <w:noBreakHyphen/>
            </w:r>
            <w:r w:rsidR="00A35488" w:rsidRPr="002576C5">
              <w:t>income households if, at the time of allocation, household members were subject to one or more of the following circumstances:</w:t>
            </w:r>
          </w:p>
          <w:p w14:paraId="3A512789" w14:textId="77777777" w:rsidR="00A35488" w:rsidRPr="002576C5" w:rsidRDefault="00A35488" w:rsidP="00593BB1">
            <w:pPr>
              <w:pStyle w:val="TableBullet"/>
              <w:keepNext w:val="0"/>
              <w:keepLines w:val="0"/>
              <w:spacing w:before="80" w:after="80"/>
              <w:jc w:val="both"/>
            </w:pPr>
            <w:r w:rsidRPr="002576C5">
              <w:t>they were homeless</w:t>
            </w:r>
          </w:p>
          <w:p w14:paraId="56668244" w14:textId="77777777" w:rsidR="00A35488" w:rsidRPr="002576C5" w:rsidRDefault="00A35488" w:rsidP="00593BB1">
            <w:pPr>
              <w:pStyle w:val="TableBullet"/>
              <w:keepNext w:val="0"/>
              <w:keepLines w:val="0"/>
              <w:spacing w:before="80" w:after="80"/>
              <w:jc w:val="both"/>
            </w:pPr>
            <w:r w:rsidRPr="002576C5">
              <w:t>their life or safety was at risk in their accommodation</w:t>
            </w:r>
          </w:p>
          <w:p w14:paraId="35A06031" w14:textId="77777777" w:rsidR="00A35488" w:rsidRPr="002576C5" w:rsidRDefault="00A35488" w:rsidP="00593BB1">
            <w:pPr>
              <w:pStyle w:val="TableBullet"/>
              <w:keepNext w:val="0"/>
              <w:keepLines w:val="0"/>
              <w:spacing w:before="80" w:after="80"/>
              <w:jc w:val="both"/>
            </w:pPr>
            <w:r w:rsidRPr="002576C5">
              <w:t>their health condition was aggravated by their housing</w:t>
            </w:r>
          </w:p>
          <w:p w14:paraId="64970A72" w14:textId="77777777" w:rsidR="00A35488" w:rsidRPr="002576C5" w:rsidRDefault="00A35488" w:rsidP="00593BB1">
            <w:pPr>
              <w:pStyle w:val="TableBullet"/>
              <w:keepNext w:val="0"/>
              <w:keepLines w:val="0"/>
              <w:spacing w:before="80" w:after="80"/>
              <w:jc w:val="both"/>
            </w:pPr>
            <w:r w:rsidRPr="002576C5">
              <w:lastRenderedPageBreak/>
              <w:t>their housing was inappropriate to their needs</w:t>
            </w:r>
          </w:p>
          <w:p w14:paraId="11789EAB" w14:textId="77777777" w:rsidR="00A35488" w:rsidRPr="002576C5" w:rsidRDefault="00A35488" w:rsidP="00593BB1">
            <w:pPr>
              <w:pStyle w:val="TableBullet"/>
              <w:keepNext w:val="0"/>
              <w:keepLines w:val="0"/>
              <w:spacing w:before="80" w:after="80"/>
              <w:jc w:val="both"/>
            </w:pPr>
            <w:r w:rsidRPr="002576C5">
              <w:t>they had very high rental housing costs.</w:t>
            </w:r>
          </w:p>
          <w:p w14:paraId="5B6BC522" w14:textId="77777777" w:rsidR="00A35488" w:rsidRPr="002576C5" w:rsidRDefault="00A35488" w:rsidP="0088785E">
            <w:pPr>
              <w:pStyle w:val="TableBodyText"/>
              <w:keepNext w:val="0"/>
              <w:keepLines w:val="0"/>
              <w:spacing w:before="120" w:after="120"/>
              <w:jc w:val="both"/>
            </w:pPr>
            <w:r w:rsidRPr="002576C5">
              <w:t>A low–income household for the greatest need definition is a household that satisfies an eligibility test to receive housing assistance.</w:t>
            </w:r>
          </w:p>
        </w:tc>
      </w:tr>
      <w:tr w:rsidR="00A35488" w:rsidRPr="002576C5" w14:paraId="28EB22FC" w14:textId="77777777">
        <w:tc>
          <w:tcPr>
            <w:tcW w:w="2410" w:type="dxa"/>
          </w:tcPr>
          <w:p w14:paraId="71F1EE2A" w14:textId="77777777" w:rsidR="00A35488" w:rsidRPr="002576C5" w:rsidRDefault="00A35488" w:rsidP="00593BB1">
            <w:pPr>
              <w:pStyle w:val="TableBodyText"/>
              <w:keepNext w:val="0"/>
              <w:keepLines w:val="0"/>
              <w:spacing w:before="60" w:after="120"/>
              <w:jc w:val="left"/>
            </w:pPr>
            <w:r w:rsidRPr="002576C5">
              <w:rPr>
                <w:b/>
              </w:rPr>
              <w:lastRenderedPageBreak/>
              <w:t>Household</w:t>
            </w:r>
          </w:p>
        </w:tc>
        <w:tc>
          <w:tcPr>
            <w:tcW w:w="6379" w:type="dxa"/>
          </w:tcPr>
          <w:p w14:paraId="694AA2D0" w14:textId="77777777" w:rsidR="00A35488" w:rsidRPr="002576C5" w:rsidRDefault="00A35488" w:rsidP="00593BB1">
            <w:pPr>
              <w:pStyle w:val="TableBodyText"/>
              <w:keepNext w:val="0"/>
              <w:keepLines w:val="0"/>
              <w:spacing w:before="60" w:after="120"/>
              <w:jc w:val="left"/>
            </w:pPr>
            <w:r w:rsidRPr="002576C5">
              <w:t xml:space="preserve">The grouping of people living in a dwelling. Household composition is based on couple and parent–child relationships. A </w:t>
            </w:r>
            <w:r w:rsidRPr="002576C5">
              <w:rPr>
                <w:i/>
                <w:iCs/>
              </w:rPr>
              <w:t>single</w:t>
            </w:r>
            <w:r>
              <w:rPr>
                <w:i/>
                <w:iCs/>
              </w:rPr>
              <w:noBreakHyphen/>
            </w:r>
            <w:r w:rsidRPr="002576C5">
              <w:rPr>
                <w:i/>
                <w:iCs/>
              </w:rPr>
              <w:t xml:space="preserve">family </w:t>
            </w:r>
            <w:r w:rsidRPr="002576C5">
              <w:t xml:space="preserve">household contains a main tenant only, or a main tenant residing with a partner and/or the main tenant’s children. </w:t>
            </w:r>
            <w:r w:rsidRPr="002576C5">
              <w:rPr>
                <w:i/>
                <w:iCs/>
              </w:rPr>
              <w:t xml:space="preserve">Group households </w:t>
            </w:r>
            <w:r w:rsidRPr="002576C5">
              <w:t xml:space="preserve">consist of 2 or more tenants aged 16 or over who are not in a couple or parent–child relationship. </w:t>
            </w:r>
            <w:r w:rsidRPr="002576C5">
              <w:rPr>
                <w:i/>
                <w:iCs/>
              </w:rPr>
              <w:t xml:space="preserve">Mixed households </w:t>
            </w:r>
            <w:r w:rsidRPr="002576C5">
              <w:t>are households not described by the other two types</w:t>
            </w:r>
            <w:r>
              <w:t xml:space="preserve"> </w:t>
            </w:r>
            <w:r w:rsidRPr="002576C5">
              <w:t>—</w:t>
            </w:r>
            <w:r>
              <w:t xml:space="preserve"> </w:t>
            </w:r>
            <w:r w:rsidRPr="002576C5">
              <w:t>for example, multiple single</w:t>
            </w:r>
            <w:r>
              <w:noBreakHyphen/>
            </w:r>
            <w:r w:rsidRPr="002576C5">
              <w:t>family households.</w:t>
            </w:r>
          </w:p>
          <w:p w14:paraId="6F54F295" w14:textId="77777777" w:rsidR="00A35488" w:rsidRPr="002576C5" w:rsidRDefault="00A35488" w:rsidP="0088785E">
            <w:pPr>
              <w:pStyle w:val="TableBodyText"/>
              <w:keepNext w:val="0"/>
              <w:keepLines w:val="0"/>
              <w:spacing w:before="120" w:after="120"/>
              <w:jc w:val="both"/>
            </w:pPr>
            <w:r w:rsidRPr="002576C5">
              <w:t xml:space="preserve">For the purpose of the public housing, </w:t>
            </w:r>
            <w:proofErr w:type="spellStart"/>
            <w:r w:rsidRPr="002576C5">
              <w:t>SOMIH</w:t>
            </w:r>
            <w:proofErr w:type="spellEnd"/>
            <w:r w:rsidRPr="002576C5">
              <w:t xml:space="preserve"> and community and Indigenous community housing collections, the number of tenancy agreements is the proxy for counting the number of households. A tenancy agreement is defined as a formal written agreement between a household (a person or group of people) and a housing provider, specifying details of a tenancy for a particular dwelling.</w:t>
            </w:r>
          </w:p>
        </w:tc>
      </w:tr>
      <w:tr w:rsidR="00B12A3B" w:rsidRPr="00B12A3B" w14:paraId="05C878C2" w14:textId="77777777" w:rsidTr="00A17C2C">
        <w:tc>
          <w:tcPr>
            <w:tcW w:w="2410" w:type="dxa"/>
            <w:shd w:val="clear" w:color="auto" w:fill="auto"/>
          </w:tcPr>
          <w:p w14:paraId="5FA9E3E7" w14:textId="77777777" w:rsidR="00CD4139" w:rsidRPr="00B12A3B" w:rsidRDefault="00CD4139" w:rsidP="00593BB1">
            <w:pPr>
              <w:pStyle w:val="TableBodyText"/>
              <w:keepNext w:val="0"/>
              <w:keepLines w:val="0"/>
              <w:spacing w:before="60" w:after="120"/>
              <w:jc w:val="left"/>
            </w:pPr>
            <w:r w:rsidRPr="00B12A3B">
              <w:rPr>
                <w:b/>
              </w:rPr>
              <w:t>Low income households</w:t>
            </w:r>
          </w:p>
        </w:tc>
        <w:tc>
          <w:tcPr>
            <w:tcW w:w="6379" w:type="dxa"/>
            <w:shd w:val="clear" w:color="auto" w:fill="auto"/>
          </w:tcPr>
          <w:p w14:paraId="13990444" w14:textId="77777777" w:rsidR="00CD4139" w:rsidRPr="00B12A3B" w:rsidRDefault="00CD4139" w:rsidP="00593BB1">
            <w:pPr>
              <w:pStyle w:val="TableBodyText"/>
              <w:keepNext w:val="0"/>
              <w:keepLines w:val="0"/>
              <w:spacing w:before="60" w:after="120"/>
              <w:jc w:val="left"/>
            </w:pPr>
            <w:r w:rsidRPr="00B12A3B">
              <w:t xml:space="preserve">For the purpose of social housing affordability </w:t>
            </w:r>
            <w:r w:rsidR="00F109CF" w:rsidRPr="00B12A3B">
              <w:t>analyses</w:t>
            </w:r>
            <w:r w:rsidRPr="00B12A3B">
              <w:t xml:space="preserve">, ‘low income households’ are defined as those in the bottom 40 per cent of </w:t>
            </w:r>
            <w:proofErr w:type="spellStart"/>
            <w:r w:rsidRPr="00B12A3B">
              <w:t>equivalised</w:t>
            </w:r>
            <w:proofErr w:type="spellEnd"/>
            <w:r w:rsidRPr="00B12A3B">
              <w:t xml:space="preserve"> gross household income. (Different definitions of low income households are used for different p</w:t>
            </w:r>
            <w:r w:rsidR="008B1B46">
              <w:t>urposes by the ABS and others.)</w:t>
            </w:r>
          </w:p>
          <w:p w14:paraId="70455507" w14:textId="77777777" w:rsidR="00CD4139" w:rsidRPr="00B12A3B" w:rsidRDefault="00E246E3" w:rsidP="0088785E">
            <w:pPr>
              <w:pStyle w:val="TableBodyText"/>
              <w:keepNext w:val="0"/>
              <w:keepLines w:val="0"/>
              <w:spacing w:before="120" w:after="120"/>
              <w:jc w:val="both"/>
              <w:rPr>
                <w:u w:val="single"/>
              </w:rPr>
            </w:pPr>
            <w:proofErr w:type="spellStart"/>
            <w:r>
              <w:rPr>
                <w:u w:val="single"/>
              </w:rPr>
              <w:t>Equivalisation</w:t>
            </w:r>
            <w:proofErr w:type="spellEnd"/>
          </w:p>
          <w:p w14:paraId="2EDBF3D1" w14:textId="77777777" w:rsidR="00CD4139" w:rsidRPr="00B12A3B" w:rsidRDefault="00CD4139" w:rsidP="0088785E">
            <w:pPr>
              <w:pStyle w:val="TableBodyText"/>
              <w:keepNext w:val="0"/>
              <w:keepLines w:val="0"/>
              <w:spacing w:before="120" w:after="120"/>
              <w:jc w:val="both"/>
            </w:pPr>
            <w:r w:rsidRPr="00B12A3B">
              <w:t>Increased household size is associated with increased consumption needs, but also with economies of scale. An equivalence scale is used to adjust household incomes to take account of the economies that flow from sharing resources, enabling more meaningful comparisons across different types of households.</w:t>
            </w:r>
          </w:p>
          <w:p w14:paraId="47255F95" w14:textId="77777777" w:rsidR="00CD4139" w:rsidRPr="00B12A3B" w:rsidRDefault="00CD4139" w:rsidP="0088785E">
            <w:pPr>
              <w:pStyle w:val="TableBodyText"/>
              <w:keepNext w:val="0"/>
              <w:keepLines w:val="0"/>
              <w:spacing w:before="120" w:after="120"/>
              <w:jc w:val="both"/>
            </w:pPr>
            <w:r w:rsidRPr="00B12A3B">
              <w:t xml:space="preserve">The ABS provides low </w:t>
            </w:r>
            <w:r w:rsidR="00CB4472" w:rsidRPr="00B12A3B">
              <w:t xml:space="preserve">income household </w:t>
            </w:r>
            <w:proofErr w:type="spellStart"/>
            <w:r w:rsidRPr="00B12A3B">
              <w:t>equivalised</w:t>
            </w:r>
            <w:proofErr w:type="spellEnd"/>
            <w:r w:rsidRPr="00B12A3B">
              <w:t xml:space="preserve"> gross income </w:t>
            </w:r>
            <w:proofErr w:type="spellStart"/>
            <w:r w:rsidRPr="00B12A3B">
              <w:t>cutoffs</w:t>
            </w:r>
            <w:proofErr w:type="spellEnd"/>
            <w:r w:rsidR="00B12A3B">
              <w:t xml:space="preserve"> </w:t>
            </w:r>
            <w:r w:rsidRPr="00B12A3B">
              <w:t>derived from the biennial Su</w:t>
            </w:r>
            <w:r w:rsidR="00B12A3B">
              <w:t>rvey of Income and Housing data</w:t>
            </w:r>
            <w:r w:rsidRPr="00B12A3B">
              <w:t xml:space="preserve"> to the </w:t>
            </w:r>
            <w:proofErr w:type="spellStart"/>
            <w:r w:rsidRPr="00B12A3B">
              <w:t>AIHW</w:t>
            </w:r>
            <w:proofErr w:type="spellEnd"/>
            <w:r w:rsidRPr="00B12A3B">
              <w:t>.</w:t>
            </w:r>
            <w:r w:rsidR="00C03F81" w:rsidRPr="00B12A3B">
              <w:t xml:space="preserve"> </w:t>
            </w:r>
            <w:r w:rsidRPr="00B12A3B">
              <w:t xml:space="preserve">The </w:t>
            </w:r>
            <w:proofErr w:type="spellStart"/>
            <w:r w:rsidRPr="00B12A3B">
              <w:t>AIHW</w:t>
            </w:r>
            <w:proofErr w:type="spellEnd"/>
            <w:r w:rsidRPr="00B12A3B">
              <w:t xml:space="preserve"> determines the </w:t>
            </w:r>
            <w:proofErr w:type="spellStart"/>
            <w:r w:rsidRPr="00B12A3B">
              <w:t>equivalised</w:t>
            </w:r>
            <w:proofErr w:type="spellEnd"/>
            <w:r w:rsidRPr="00B12A3B">
              <w:t xml:space="preserve"> gross household income for social housing households for affordability analyses.</w:t>
            </w:r>
          </w:p>
          <w:p w14:paraId="7FD0BBFB" w14:textId="77777777" w:rsidR="00CD4139" w:rsidRPr="00B12A3B" w:rsidRDefault="00CD4139" w:rsidP="0088785E">
            <w:pPr>
              <w:pStyle w:val="TableBodyText"/>
              <w:keepNext w:val="0"/>
              <w:keepLines w:val="0"/>
              <w:spacing w:before="120" w:after="120"/>
              <w:jc w:val="both"/>
              <w:rPr>
                <w:b/>
              </w:rPr>
            </w:pPr>
            <w:r w:rsidRPr="00B12A3B">
              <w:t xml:space="preserve">Note that </w:t>
            </w:r>
            <w:proofErr w:type="spellStart"/>
            <w:r w:rsidRPr="00B12A3B">
              <w:t>equivalised</w:t>
            </w:r>
            <w:proofErr w:type="spellEnd"/>
            <w:r w:rsidRPr="00B12A3B">
              <w:t xml:space="preserve"> gross household income is not used to determine eligibility for social housing or rental subsidies </w:t>
            </w:r>
            <w:r w:rsidR="00E03C99" w:rsidRPr="00B12A3B">
              <w:t>(</w:t>
            </w:r>
            <w:r w:rsidRPr="00B12A3B">
              <w:t>see ‘assessable income’</w:t>
            </w:r>
            <w:r w:rsidR="00E03C99" w:rsidRPr="00B12A3B">
              <w:t>)</w:t>
            </w:r>
            <w:r w:rsidRPr="00B12A3B">
              <w:t>.</w:t>
            </w:r>
          </w:p>
        </w:tc>
      </w:tr>
      <w:tr w:rsidR="00A35488" w:rsidRPr="002576C5" w14:paraId="088AA64E" w14:textId="77777777">
        <w:tc>
          <w:tcPr>
            <w:tcW w:w="2410" w:type="dxa"/>
          </w:tcPr>
          <w:p w14:paraId="76CD6598" w14:textId="77777777" w:rsidR="00A35488" w:rsidRPr="002576C5" w:rsidRDefault="00A35488" w:rsidP="00593BB1">
            <w:pPr>
              <w:pStyle w:val="TableBodyText"/>
              <w:keepNext w:val="0"/>
              <w:keepLines w:val="0"/>
              <w:spacing w:before="60" w:after="120"/>
              <w:jc w:val="left"/>
            </w:pPr>
            <w:r w:rsidRPr="002576C5">
              <w:rPr>
                <w:b/>
              </w:rPr>
              <w:t>Maintenance costs</w:t>
            </w:r>
          </w:p>
        </w:tc>
        <w:tc>
          <w:tcPr>
            <w:tcW w:w="6379" w:type="dxa"/>
          </w:tcPr>
          <w:p w14:paraId="40BF5E1F" w14:textId="77777777" w:rsidR="00A35488" w:rsidRPr="002576C5" w:rsidRDefault="00A35488" w:rsidP="00593BB1">
            <w:pPr>
              <w:pStyle w:val="TableBodyText"/>
              <w:keepNext w:val="0"/>
              <w:keepLines w:val="0"/>
              <w:spacing w:before="60" w:after="120"/>
              <w:jc w:val="left"/>
            </w:pPr>
            <w:r w:rsidRPr="002576C5">
              <w:t>Costs incurred to maintain the value of the asset or to restore an asset to its original condition. The definition includes day–to–day maintenance reflecting general wear and tear, cyclical maintenance, performed as part of a planned maintenance program and other maintenance, such as repairs as a result of vandalism.</w:t>
            </w:r>
          </w:p>
        </w:tc>
      </w:tr>
      <w:tr w:rsidR="00A35488" w:rsidRPr="002576C5" w14:paraId="5311C85A" w14:textId="77777777" w:rsidTr="0033431F">
        <w:tc>
          <w:tcPr>
            <w:tcW w:w="2410" w:type="dxa"/>
          </w:tcPr>
          <w:p w14:paraId="4A1AA60C" w14:textId="77777777" w:rsidR="00A35488" w:rsidRPr="002576C5" w:rsidRDefault="00A35488" w:rsidP="00593BB1">
            <w:pPr>
              <w:pStyle w:val="TableBodyText"/>
              <w:keepNext w:val="0"/>
              <w:keepLines w:val="0"/>
              <w:spacing w:before="60" w:after="120"/>
              <w:jc w:val="left"/>
            </w:pPr>
            <w:r w:rsidRPr="002576C5">
              <w:rPr>
                <w:b/>
              </w:rPr>
              <w:t>Market rent</w:t>
            </w:r>
          </w:p>
        </w:tc>
        <w:tc>
          <w:tcPr>
            <w:tcW w:w="6379" w:type="dxa"/>
          </w:tcPr>
          <w:p w14:paraId="7B60FE89" w14:textId="77777777" w:rsidR="00A35488" w:rsidRPr="002576C5" w:rsidRDefault="00A35488" w:rsidP="00593BB1">
            <w:pPr>
              <w:pStyle w:val="TableBodyText"/>
              <w:keepNext w:val="0"/>
              <w:keepLines w:val="0"/>
              <w:spacing w:before="60" w:after="120"/>
              <w:jc w:val="left"/>
            </w:pPr>
            <w:r w:rsidRPr="002576C5">
              <w:t>Aggregate market rent that would be collected if the public rental housing properties were available in the private market.</w:t>
            </w:r>
          </w:p>
        </w:tc>
      </w:tr>
      <w:tr w:rsidR="00593BB1" w:rsidRPr="002576C5" w14:paraId="372F80DF" w14:textId="77777777" w:rsidTr="0033431F">
        <w:tc>
          <w:tcPr>
            <w:tcW w:w="2410" w:type="dxa"/>
          </w:tcPr>
          <w:p w14:paraId="747DEF1B" w14:textId="346FC813" w:rsidR="00593BB1" w:rsidRDefault="00593BB1" w:rsidP="00593BB1">
            <w:pPr>
              <w:pStyle w:val="TableBodyText"/>
              <w:keepNext w:val="0"/>
              <w:keepLines w:val="0"/>
              <w:spacing w:before="60" w:after="120"/>
              <w:jc w:val="left"/>
              <w:rPr>
                <w:b/>
              </w:rPr>
            </w:pPr>
            <w:r>
              <w:rPr>
                <w:b/>
              </w:rPr>
              <w:t>Models of community housing</w:t>
            </w:r>
          </w:p>
        </w:tc>
        <w:tc>
          <w:tcPr>
            <w:tcW w:w="6379" w:type="dxa"/>
          </w:tcPr>
          <w:p w14:paraId="1E4AD08D" w14:textId="33A5DC94" w:rsidR="00593BB1" w:rsidRDefault="00593BB1" w:rsidP="00593BB1">
            <w:pPr>
              <w:pStyle w:val="TableBodyText"/>
              <w:keepNext w:val="0"/>
              <w:keepLines w:val="0"/>
              <w:spacing w:before="60" w:after="120"/>
              <w:jc w:val="left"/>
            </w:pPr>
            <w:r>
              <w:t>Community housing models vary across jurisdictions in scale, organisational structure and financing arrangements, and the extent to which community organisations or government have management responsibility and ownership of the housing stock. Table </w:t>
            </w:r>
            <w:proofErr w:type="spellStart"/>
            <w:r>
              <w:t>18A.51</w:t>
            </w:r>
            <w:proofErr w:type="spellEnd"/>
            <w:r>
              <w:t xml:space="preserve"> lists the in</w:t>
            </w:r>
            <w:r>
              <w:noBreakHyphen/>
              <w:t>scope community housing programs in each jurisdiction.</w:t>
            </w:r>
          </w:p>
        </w:tc>
      </w:tr>
      <w:tr w:rsidR="004D1E68" w:rsidRPr="002576C5" w14:paraId="701BD8E5" w14:textId="77777777" w:rsidTr="0033431F">
        <w:tc>
          <w:tcPr>
            <w:tcW w:w="2410" w:type="dxa"/>
          </w:tcPr>
          <w:p w14:paraId="1F1DF94F" w14:textId="7D0BE78A" w:rsidR="004D1E68" w:rsidRPr="002576C5" w:rsidRDefault="004D1E68" w:rsidP="0088785E">
            <w:pPr>
              <w:pStyle w:val="TableBodyText"/>
              <w:keepNext w:val="0"/>
              <w:keepLines w:val="0"/>
              <w:spacing w:before="120" w:after="120"/>
              <w:jc w:val="left"/>
              <w:rPr>
                <w:b/>
              </w:rPr>
            </w:pPr>
          </w:p>
        </w:tc>
        <w:tc>
          <w:tcPr>
            <w:tcW w:w="6379" w:type="dxa"/>
          </w:tcPr>
          <w:p w14:paraId="321E1569" w14:textId="77777777" w:rsidR="004D1E68" w:rsidRDefault="004D1E68" w:rsidP="004D1E68">
            <w:pPr>
              <w:pStyle w:val="TableBodyText"/>
              <w:jc w:val="left"/>
            </w:pPr>
            <w:r>
              <w:t>Some models of community housing are:</w:t>
            </w:r>
          </w:p>
          <w:p w14:paraId="47282DB1" w14:textId="77777777" w:rsidR="004D1E68" w:rsidRDefault="004D1E68" w:rsidP="00593BB1">
            <w:pPr>
              <w:pStyle w:val="TableBullet"/>
              <w:keepNext w:val="0"/>
              <w:keepLines w:val="0"/>
              <w:numPr>
                <w:ilvl w:val="0"/>
                <w:numId w:val="43"/>
              </w:numPr>
              <w:spacing w:before="80" w:after="80"/>
              <w:jc w:val="both"/>
            </w:pPr>
            <w:r>
              <w:rPr>
                <w:i/>
              </w:rPr>
              <w:t>housing cooperatives</w:t>
            </w:r>
            <w:r>
              <w:t>, providing tenancy management and maintenance of housing that is owned by government, a central finance company or an individual cooperative</w:t>
            </w:r>
          </w:p>
          <w:p w14:paraId="6B6DC341" w14:textId="77777777" w:rsidR="004D1E68" w:rsidRDefault="004D1E68" w:rsidP="00593BB1">
            <w:pPr>
              <w:pStyle w:val="TableBullet"/>
              <w:keepNext w:val="0"/>
              <w:keepLines w:val="0"/>
              <w:numPr>
                <w:ilvl w:val="0"/>
                <w:numId w:val="43"/>
              </w:numPr>
              <w:spacing w:before="80" w:after="80"/>
              <w:jc w:val="both"/>
            </w:pPr>
            <w:r>
              <w:rPr>
                <w:i/>
              </w:rPr>
              <w:t>local government housing associations</w:t>
            </w:r>
            <w:r>
              <w:t>, providing low cost housing within a particular municipality, are closely involved in policy, planning, funding and/or monitoring roles, and can directly manage the housing stock</w:t>
            </w:r>
          </w:p>
          <w:p w14:paraId="6CE87A4A" w14:textId="77777777" w:rsidR="004D1E68" w:rsidRDefault="004D1E68" w:rsidP="00593BB1">
            <w:pPr>
              <w:pStyle w:val="TableBullet"/>
              <w:keepNext w:val="0"/>
              <w:keepLines w:val="0"/>
              <w:numPr>
                <w:ilvl w:val="0"/>
                <w:numId w:val="43"/>
              </w:numPr>
              <w:spacing w:before="80" w:after="80"/>
              <w:jc w:val="both"/>
            </w:pPr>
            <w:r>
              <w:rPr>
                <w:i/>
              </w:rPr>
              <w:t>regional or local housing associations</w:t>
            </w:r>
            <w:r>
              <w:t>, providing property and tenancy management services, and support services to tenants</w:t>
            </w:r>
          </w:p>
          <w:p w14:paraId="2DA85575" w14:textId="77777777" w:rsidR="004D1E68" w:rsidRDefault="004D1E68" w:rsidP="00593BB1">
            <w:pPr>
              <w:pStyle w:val="TableBullet"/>
              <w:keepNext w:val="0"/>
              <w:keepLines w:val="0"/>
              <w:numPr>
                <w:ilvl w:val="0"/>
                <w:numId w:val="43"/>
              </w:numPr>
              <w:spacing w:before="80" w:after="80"/>
              <w:jc w:val="both"/>
            </w:pPr>
            <w:r>
              <w:rPr>
                <w:i/>
              </w:rPr>
              <w:lastRenderedPageBreak/>
              <w:t>specialist providers</w:t>
            </w:r>
            <w:r>
              <w:t xml:space="preserve"> are organisations with a specific purpose or function, such as tenancy management, housing development, or for specific target groups (including people with disability)</w:t>
            </w:r>
          </w:p>
          <w:p w14:paraId="5BF20E4F" w14:textId="715AF3E8" w:rsidR="004D1E68" w:rsidRPr="002576C5" w:rsidRDefault="004D1E68" w:rsidP="00593BB1">
            <w:pPr>
              <w:pStyle w:val="TableBullet"/>
              <w:keepNext w:val="0"/>
              <w:keepLines w:val="0"/>
              <w:numPr>
                <w:ilvl w:val="0"/>
                <w:numId w:val="43"/>
              </w:numPr>
              <w:spacing w:before="80" w:after="80"/>
              <w:jc w:val="both"/>
            </w:pPr>
            <w:r>
              <w:rPr>
                <w:i/>
              </w:rPr>
              <w:t xml:space="preserve">broad service delivery </w:t>
            </w:r>
            <w:r>
              <w:t>are organisations that provide housing and other welfare services, such as aged care and disability services</w:t>
            </w:r>
          </w:p>
        </w:tc>
      </w:tr>
      <w:tr w:rsidR="00F82B48" w14:paraId="4604AACA" w14:textId="77777777" w:rsidTr="00F82B48">
        <w:tc>
          <w:tcPr>
            <w:tcW w:w="2410" w:type="dxa"/>
            <w:hideMark/>
          </w:tcPr>
          <w:p w14:paraId="6C4004D3" w14:textId="6BEC3361" w:rsidR="00F82B48" w:rsidRDefault="00F82B48">
            <w:pPr>
              <w:pStyle w:val="TableBodyText"/>
              <w:keepNext w:val="0"/>
              <w:keepLines w:val="0"/>
              <w:spacing w:before="120" w:after="120"/>
              <w:jc w:val="left"/>
              <w:rPr>
                <w:rFonts w:ascii="Times New Roman" w:hAnsi="Times New Roman"/>
              </w:rPr>
            </w:pPr>
          </w:p>
        </w:tc>
        <w:tc>
          <w:tcPr>
            <w:tcW w:w="6379" w:type="dxa"/>
            <w:hideMark/>
          </w:tcPr>
          <w:p w14:paraId="52B99AD1" w14:textId="77777777" w:rsidR="00F82B48" w:rsidRDefault="00F82B48" w:rsidP="00593BB1">
            <w:pPr>
              <w:pStyle w:val="TableBullet"/>
              <w:keepNext w:val="0"/>
              <w:keepLines w:val="0"/>
              <w:numPr>
                <w:ilvl w:val="0"/>
                <w:numId w:val="43"/>
              </w:numPr>
              <w:spacing w:before="80" w:after="80"/>
              <w:jc w:val="both"/>
            </w:pPr>
            <w:r>
              <w:rPr>
                <w:i/>
              </w:rPr>
              <w:t>vertically integrated providers of affordable housing</w:t>
            </w:r>
            <w:r>
              <w:t xml:space="preserve"> are involved in all stages of providing affordable housing, from construction to property and tenancy management</w:t>
            </w:r>
          </w:p>
          <w:p w14:paraId="35752782" w14:textId="3106DAAB" w:rsidR="00F82B48" w:rsidRDefault="00F82B48" w:rsidP="00593BB1">
            <w:pPr>
              <w:pStyle w:val="TableBullet"/>
              <w:keepNext w:val="0"/>
              <w:keepLines w:val="0"/>
              <w:numPr>
                <w:ilvl w:val="0"/>
                <w:numId w:val="43"/>
              </w:numPr>
              <w:spacing w:before="80" w:after="80"/>
              <w:jc w:val="both"/>
            </w:pPr>
            <w:r>
              <w:rPr>
                <w:i/>
              </w:rPr>
              <w:t>community ownership and/or management</w:t>
            </w:r>
            <w:r>
              <w:t>, where housing is owned and/or managed by not–for–profit or community housing associations</w:t>
            </w:r>
          </w:p>
          <w:p w14:paraId="6A79690F" w14:textId="77777777" w:rsidR="00F82B48" w:rsidRDefault="00F82B48" w:rsidP="00593BB1">
            <w:pPr>
              <w:pStyle w:val="TableBullet"/>
              <w:keepNext w:val="0"/>
              <w:keepLines w:val="0"/>
              <w:numPr>
                <w:ilvl w:val="0"/>
                <w:numId w:val="43"/>
              </w:numPr>
              <w:spacing w:before="80" w:after="80"/>
              <w:jc w:val="both"/>
            </w:pPr>
            <w:r>
              <w:rPr>
                <w:i/>
              </w:rPr>
              <w:t>joint ventures and housing partnerships</w:t>
            </w:r>
            <w:r>
              <w:t>, where church and welfare entities, local government, private sector and other organisations provide resources in cooperation with State and Territory governments; or where groups of community housing providers form partnerships to maximise growth opportunities, share resources and/or manage risk</w:t>
            </w:r>
          </w:p>
          <w:p w14:paraId="4EC0658D" w14:textId="3A18F5C6" w:rsidR="00F82B48" w:rsidRDefault="00F82B48" w:rsidP="00593BB1">
            <w:pPr>
              <w:pStyle w:val="TableBullet"/>
              <w:keepNext w:val="0"/>
              <w:keepLines w:val="0"/>
              <w:numPr>
                <w:ilvl w:val="0"/>
                <w:numId w:val="43"/>
              </w:numPr>
              <w:spacing w:before="80" w:after="80"/>
              <w:jc w:val="both"/>
            </w:pPr>
            <w:r>
              <w:rPr>
                <w:i/>
              </w:rPr>
              <w:t>equity share rental housing</w:t>
            </w:r>
            <w:r>
              <w:t>, where housing cooperatives wholly own the housing stock and lease it to tenants (who are shareholders in the cooperative and, therefore, have the rights and responsibilities of cooper</w:t>
            </w:r>
            <w:r w:rsidR="00CE6B29">
              <w:t>ative management) (Australian, State and T</w:t>
            </w:r>
            <w:r>
              <w:t>erritory governments).</w:t>
            </w:r>
          </w:p>
        </w:tc>
      </w:tr>
      <w:tr w:rsidR="00A35488" w:rsidRPr="002576C5" w14:paraId="33CFC477" w14:textId="77777777" w:rsidTr="0033431F">
        <w:tc>
          <w:tcPr>
            <w:tcW w:w="2410" w:type="dxa"/>
          </w:tcPr>
          <w:p w14:paraId="3C18D5AF" w14:textId="77777777" w:rsidR="00A35488" w:rsidRPr="002576C5" w:rsidRDefault="00A35488" w:rsidP="00593BB1">
            <w:pPr>
              <w:pStyle w:val="TableBodyText"/>
              <w:keepNext w:val="0"/>
              <w:keepLines w:val="0"/>
              <w:spacing w:before="60" w:after="120"/>
              <w:jc w:val="left"/>
            </w:pPr>
            <w:r w:rsidRPr="002576C5">
              <w:rPr>
                <w:rFonts w:ascii="Times New Roman" w:hAnsi="Times New Roman"/>
              </w:rPr>
              <w:br w:type="page"/>
            </w:r>
            <w:r w:rsidRPr="002576C5">
              <w:rPr>
                <w:b/>
              </w:rPr>
              <w:t>New household</w:t>
            </w:r>
          </w:p>
        </w:tc>
        <w:tc>
          <w:tcPr>
            <w:tcW w:w="6379" w:type="dxa"/>
          </w:tcPr>
          <w:p w14:paraId="1FCA6D4C" w14:textId="77777777" w:rsidR="00A35488" w:rsidRPr="002576C5" w:rsidRDefault="00A35488" w:rsidP="00593BB1">
            <w:pPr>
              <w:pStyle w:val="TableBodyText"/>
              <w:keepNext w:val="0"/>
              <w:keepLines w:val="0"/>
              <w:spacing w:before="60" w:after="120"/>
              <w:jc w:val="left"/>
            </w:pPr>
            <w:r w:rsidRPr="002576C5">
              <w:t>Households that commence receiving assistance during the relevant reporting period (financial year). A new household is recorded if the composition of the household changes i.e. if someone enters or leaves the household.</w:t>
            </w:r>
          </w:p>
        </w:tc>
      </w:tr>
      <w:tr w:rsidR="00A35488" w:rsidRPr="002576C5" w14:paraId="4604132F" w14:textId="77777777">
        <w:tc>
          <w:tcPr>
            <w:tcW w:w="2410" w:type="dxa"/>
          </w:tcPr>
          <w:p w14:paraId="44B0EA7D" w14:textId="77777777" w:rsidR="00A35488" w:rsidRPr="002576C5" w:rsidRDefault="00A35488" w:rsidP="00593BB1">
            <w:pPr>
              <w:pStyle w:val="TableBodyText"/>
              <w:keepNext w:val="0"/>
              <w:keepLines w:val="0"/>
              <w:spacing w:before="60" w:after="120"/>
              <w:jc w:val="left"/>
            </w:pPr>
            <w:r w:rsidRPr="002576C5">
              <w:rPr>
                <w:rFonts w:ascii="Times New Roman" w:hAnsi="Times New Roman"/>
              </w:rPr>
              <w:br w:type="page"/>
            </w:r>
            <w:r w:rsidRPr="002576C5">
              <w:rPr>
                <w:b/>
              </w:rPr>
              <w:t>Occupancy rate</w:t>
            </w:r>
          </w:p>
        </w:tc>
        <w:tc>
          <w:tcPr>
            <w:tcW w:w="6379" w:type="dxa"/>
          </w:tcPr>
          <w:p w14:paraId="52208E68" w14:textId="77777777" w:rsidR="00A35488" w:rsidRPr="002576C5" w:rsidRDefault="00A35488" w:rsidP="00593BB1">
            <w:pPr>
              <w:pStyle w:val="TableBodyText"/>
              <w:keepNext w:val="0"/>
              <w:keepLines w:val="0"/>
              <w:spacing w:before="60" w:after="120"/>
              <w:jc w:val="left"/>
            </w:pPr>
            <w:r w:rsidRPr="002576C5">
              <w:t>The number of dwellings occupied as a proportion of total dwellings.</w:t>
            </w:r>
          </w:p>
        </w:tc>
      </w:tr>
      <w:tr w:rsidR="00A35488" w:rsidRPr="002576C5" w14:paraId="43A74468" w14:textId="77777777">
        <w:tc>
          <w:tcPr>
            <w:tcW w:w="2410" w:type="dxa"/>
          </w:tcPr>
          <w:p w14:paraId="2560BF07" w14:textId="77777777" w:rsidR="00A35488" w:rsidRPr="002576C5" w:rsidRDefault="00A35488" w:rsidP="00593BB1">
            <w:pPr>
              <w:pStyle w:val="TableBodyText"/>
              <w:keepNext w:val="0"/>
              <w:keepLines w:val="0"/>
              <w:spacing w:before="60" w:after="120"/>
              <w:jc w:val="left"/>
            </w:pPr>
            <w:r w:rsidRPr="002576C5">
              <w:rPr>
                <w:b/>
              </w:rPr>
              <w:t>Occupied dwelling</w:t>
            </w:r>
          </w:p>
        </w:tc>
        <w:tc>
          <w:tcPr>
            <w:tcW w:w="6379" w:type="dxa"/>
          </w:tcPr>
          <w:p w14:paraId="0B8D37ED" w14:textId="77777777" w:rsidR="00A35488" w:rsidRPr="002576C5" w:rsidRDefault="00A35488" w:rsidP="00593BB1">
            <w:pPr>
              <w:pStyle w:val="TableBodyText"/>
              <w:keepNext w:val="0"/>
              <w:keepLines w:val="0"/>
              <w:spacing w:before="60" w:after="120"/>
              <w:jc w:val="left"/>
            </w:pPr>
            <w:r w:rsidRPr="002576C5">
              <w:t>Dwellings occupied by tenants who have a tenancy agreement with the relevant housing authority.</w:t>
            </w:r>
          </w:p>
        </w:tc>
      </w:tr>
      <w:tr w:rsidR="00A35488" w:rsidRPr="002576C5" w14:paraId="6C0FA0BB" w14:textId="77777777">
        <w:tc>
          <w:tcPr>
            <w:tcW w:w="2410" w:type="dxa"/>
          </w:tcPr>
          <w:p w14:paraId="02F8244C" w14:textId="77777777" w:rsidR="00A35488" w:rsidRPr="002576C5" w:rsidRDefault="00A35488" w:rsidP="00593BB1">
            <w:pPr>
              <w:pStyle w:val="TableBodyText"/>
              <w:keepNext w:val="0"/>
              <w:keepLines w:val="0"/>
              <w:spacing w:before="60" w:after="120"/>
              <w:jc w:val="left"/>
            </w:pPr>
            <w:r w:rsidRPr="002576C5">
              <w:br w:type="page"/>
            </w:r>
            <w:r w:rsidRPr="002576C5">
              <w:rPr>
                <w:b/>
              </w:rPr>
              <w:t>Overcrowding</w:t>
            </w:r>
          </w:p>
        </w:tc>
        <w:tc>
          <w:tcPr>
            <w:tcW w:w="6379" w:type="dxa"/>
          </w:tcPr>
          <w:p w14:paraId="04953B46" w14:textId="77777777" w:rsidR="00A35488" w:rsidRPr="002576C5" w:rsidRDefault="00A35488" w:rsidP="00593BB1">
            <w:pPr>
              <w:pStyle w:val="TableBodyText"/>
              <w:keepNext w:val="0"/>
              <w:keepLines w:val="0"/>
              <w:spacing w:before="60" w:after="120"/>
              <w:jc w:val="left"/>
            </w:pPr>
            <w:r w:rsidRPr="002576C5">
              <w:rPr>
                <w:rFonts w:cs="Arial"/>
              </w:rPr>
              <w:t>A situation in a dwelling when one or more additional bedrooms are required to meet the Canadian National Occupancy Standard.</w:t>
            </w:r>
          </w:p>
        </w:tc>
      </w:tr>
      <w:tr w:rsidR="00A35488" w:rsidRPr="002576C5" w14:paraId="2894E85A" w14:textId="77777777">
        <w:tc>
          <w:tcPr>
            <w:tcW w:w="2410" w:type="dxa"/>
          </w:tcPr>
          <w:p w14:paraId="2E960E87" w14:textId="77777777" w:rsidR="00A35488" w:rsidRPr="002576C5" w:rsidRDefault="00A35488" w:rsidP="00593BB1">
            <w:pPr>
              <w:pStyle w:val="TableBodyText"/>
              <w:keepNext w:val="0"/>
              <w:keepLines w:val="0"/>
              <w:spacing w:before="60" w:after="120"/>
              <w:jc w:val="left"/>
            </w:pPr>
            <w:r w:rsidRPr="002576C5">
              <w:rPr>
                <w:b/>
              </w:rPr>
              <w:t>Priority access to those in greatest need</w:t>
            </w:r>
          </w:p>
        </w:tc>
        <w:tc>
          <w:tcPr>
            <w:tcW w:w="6379" w:type="dxa"/>
          </w:tcPr>
          <w:p w14:paraId="4DB80B43" w14:textId="77777777" w:rsidR="00A35488" w:rsidRPr="002576C5" w:rsidRDefault="00A35488" w:rsidP="00593BB1">
            <w:pPr>
              <w:pStyle w:val="TableBodyText"/>
              <w:keepNext w:val="0"/>
              <w:keepLines w:val="0"/>
              <w:spacing w:before="60" w:after="120"/>
              <w:jc w:val="left"/>
            </w:pPr>
            <w:r w:rsidRPr="002576C5">
              <w:t>Allocation processes to ensure those in greatest need have first access to housing. This is measured as the proportion of new allocations to those in greatest need.</w:t>
            </w:r>
          </w:p>
        </w:tc>
      </w:tr>
      <w:tr w:rsidR="00A35488" w:rsidRPr="002576C5" w14:paraId="3D0D39A4" w14:textId="77777777">
        <w:tc>
          <w:tcPr>
            <w:tcW w:w="2410" w:type="dxa"/>
          </w:tcPr>
          <w:p w14:paraId="73A28475" w14:textId="77777777" w:rsidR="00A35488" w:rsidRPr="002576C5" w:rsidRDefault="00A35488" w:rsidP="00593BB1">
            <w:pPr>
              <w:pStyle w:val="TableBodyText"/>
              <w:keepNext w:val="0"/>
              <w:keepLines w:val="0"/>
              <w:spacing w:before="60" w:after="120"/>
              <w:jc w:val="left"/>
            </w:pPr>
            <w:r w:rsidRPr="002576C5">
              <w:rPr>
                <w:b/>
              </w:rPr>
              <w:t>Principal tenant</w:t>
            </w:r>
          </w:p>
        </w:tc>
        <w:tc>
          <w:tcPr>
            <w:tcW w:w="6379" w:type="dxa"/>
          </w:tcPr>
          <w:p w14:paraId="3CC06C73" w14:textId="77777777" w:rsidR="00A35488" w:rsidRPr="002576C5" w:rsidRDefault="00A35488" w:rsidP="00593BB1">
            <w:pPr>
              <w:pStyle w:val="TableBodyText"/>
              <w:keepNext w:val="0"/>
              <w:keepLines w:val="0"/>
              <w:spacing w:before="60" w:after="120"/>
              <w:jc w:val="left"/>
            </w:pPr>
            <w:r w:rsidRPr="002576C5">
              <w:t>The person whose name appears on the tenancy agreement. Where this is not clear, it should be the person who is responsible for rental payments.</w:t>
            </w:r>
          </w:p>
        </w:tc>
      </w:tr>
      <w:tr w:rsidR="00A35488" w:rsidRPr="002576C5" w14:paraId="7D0902CC" w14:textId="77777777">
        <w:tc>
          <w:tcPr>
            <w:tcW w:w="2410" w:type="dxa"/>
          </w:tcPr>
          <w:p w14:paraId="3F691574" w14:textId="77777777" w:rsidR="00A35488" w:rsidRPr="002576C5" w:rsidRDefault="00A35488" w:rsidP="00593BB1">
            <w:pPr>
              <w:pStyle w:val="TableBodyText"/>
              <w:keepNext w:val="0"/>
              <w:keepLines w:val="0"/>
              <w:spacing w:before="60" w:after="120"/>
              <w:jc w:val="left"/>
              <w:rPr>
                <w:b/>
              </w:rPr>
            </w:pPr>
            <w:r w:rsidRPr="002576C5">
              <w:rPr>
                <w:b/>
              </w:rPr>
              <w:t>Rebated household</w:t>
            </w:r>
          </w:p>
        </w:tc>
        <w:tc>
          <w:tcPr>
            <w:tcW w:w="6379" w:type="dxa"/>
          </w:tcPr>
          <w:p w14:paraId="3D68EAEB" w14:textId="77777777" w:rsidR="00A35488" w:rsidRPr="002576C5" w:rsidRDefault="00A35488" w:rsidP="00593BB1">
            <w:pPr>
              <w:pStyle w:val="TableBodyText"/>
              <w:keepNext w:val="0"/>
              <w:keepLines w:val="0"/>
              <w:spacing w:before="60" w:after="120"/>
              <w:jc w:val="left"/>
            </w:pPr>
            <w:r w:rsidRPr="002576C5">
              <w:t>A household that receives housing assistance and pays less than the market rent value for the dwelling.</w:t>
            </w:r>
          </w:p>
        </w:tc>
      </w:tr>
      <w:tr w:rsidR="00A35488" w:rsidRPr="002576C5" w14:paraId="5640169B" w14:textId="77777777">
        <w:tc>
          <w:tcPr>
            <w:tcW w:w="2410" w:type="dxa"/>
          </w:tcPr>
          <w:p w14:paraId="5DBD4C9C" w14:textId="77777777" w:rsidR="00A35488" w:rsidRPr="002576C5" w:rsidRDefault="00A35488" w:rsidP="00593BB1">
            <w:pPr>
              <w:pStyle w:val="TableBodyText"/>
              <w:keepNext w:val="0"/>
              <w:keepLines w:val="0"/>
              <w:spacing w:before="60" w:after="120"/>
              <w:jc w:val="left"/>
              <w:rPr>
                <w:b/>
              </w:rPr>
            </w:pPr>
            <w:r w:rsidRPr="002576C5">
              <w:rPr>
                <w:b/>
              </w:rPr>
              <w:t>Remoteness areas</w:t>
            </w:r>
          </w:p>
        </w:tc>
        <w:tc>
          <w:tcPr>
            <w:tcW w:w="6379" w:type="dxa"/>
          </w:tcPr>
          <w:p w14:paraId="4230EA4B" w14:textId="747A2AA0" w:rsidR="00A35488" w:rsidRPr="002576C5" w:rsidRDefault="00A35488" w:rsidP="00593BB1">
            <w:pPr>
              <w:pStyle w:val="TableBodyText"/>
              <w:keepNext w:val="0"/>
              <w:keepLines w:val="0"/>
              <w:spacing w:before="60" w:after="120"/>
              <w:jc w:val="left"/>
            </w:pPr>
            <w:r w:rsidRPr="002576C5">
              <w:t>An aggregation of non</w:t>
            </w:r>
            <w:r>
              <w:noBreakHyphen/>
            </w:r>
            <w:r w:rsidRPr="002576C5">
              <w:t xml:space="preserve">continuous geographical areas </w:t>
            </w:r>
            <w:r w:rsidR="00016032">
              <w:t>that</w:t>
            </w:r>
            <w:r w:rsidRPr="002576C5">
              <w:t xml:space="preserve"> share common characteristics of remoteness. The delimitation criteria for remoteness areas (RAs) are based on the Accessibility/Remoteness Index </w:t>
            </w:r>
            <w:r w:rsidR="00021400">
              <w:t>f</w:t>
            </w:r>
            <w:r w:rsidRPr="002576C5">
              <w:t>or Australia (ARIA+)</w:t>
            </w:r>
            <w:r w:rsidR="00016032">
              <w:t>,</w:t>
            </w:r>
            <w:r w:rsidRPr="002576C5">
              <w:t xml:space="preserve"> which measures the remoteness of a point based on the road distance to the nearest urban centre. Within the Australian Statistical Geography Standard, each RA is created from a grouping of Statistical Areas Level 1 having a particular degree of remoteness.</w:t>
            </w:r>
          </w:p>
          <w:p w14:paraId="69990F1E" w14:textId="77777777" w:rsidR="00A35488" w:rsidRPr="002576C5" w:rsidRDefault="00A35488" w:rsidP="0088785E">
            <w:pPr>
              <w:pStyle w:val="TableBodyText"/>
              <w:keepNext w:val="0"/>
              <w:keepLines w:val="0"/>
              <w:spacing w:before="120" w:after="120"/>
              <w:jc w:val="both"/>
            </w:pPr>
            <w:r w:rsidRPr="002576C5">
              <w:t>Remoteness areas comprise the following six categories:</w:t>
            </w:r>
          </w:p>
          <w:p w14:paraId="2FE5E3DE" w14:textId="77777777" w:rsidR="00A35488" w:rsidRPr="002576C5" w:rsidRDefault="00E246E3" w:rsidP="00593BB1">
            <w:pPr>
              <w:pStyle w:val="TableBullet"/>
              <w:keepNext w:val="0"/>
              <w:keepLines w:val="0"/>
              <w:numPr>
                <w:ilvl w:val="0"/>
                <w:numId w:val="28"/>
              </w:numPr>
              <w:spacing w:before="80" w:after="80"/>
              <w:ind w:left="170" w:hanging="170"/>
              <w:jc w:val="both"/>
            </w:pPr>
            <w:r>
              <w:t>major cities of Australia</w:t>
            </w:r>
          </w:p>
          <w:p w14:paraId="216379B1" w14:textId="77777777" w:rsidR="00A35488" w:rsidRPr="002576C5" w:rsidRDefault="00E246E3" w:rsidP="00593BB1">
            <w:pPr>
              <w:pStyle w:val="TableBullet"/>
              <w:keepNext w:val="0"/>
              <w:keepLines w:val="0"/>
              <w:numPr>
                <w:ilvl w:val="0"/>
                <w:numId w:val="28"/>
              </w:numPr>
              <w:spacing w:before="80" w:after="80"/>
              <w:ind w:left="170" w:hanging="170"/>
              <w:jc w:val="both"/>
            </w:pPr>
            <w:r>
              <w:t>inner regional Australia</w:t>
            </w:r>
          </w:p>
          <w:p w14:paraId="00403E11" w14:textId="77777777" w:rsidR="00A35488" w:rsidRPr="002576C5" w:rsidRDefault="00A35488" w:rsidP="00593BB1">
            <w:pPr>
              <w:pStyle w:val="TableBullet"/>
              <w:keepNext w:val="0"/>
              <w:keepLines w:val="0"/>
              <w:numPr>
                <w:ilvl w:val="0"/>
                <w:numId w:val="28"/>
              </w:numPr>
              <w:spacing w:before="80" w:after="80"/>
              <w:ind w:left="170" w:hanging="170"/>
              <w:jc w:val="both"/>
            </w:pPr>
            <w:r w:rsidRPr="002576C5">
              <w:t>outer regional Austra</w:t>
            </w:r>
            <w:r w:rsidR="00E246E3">
              <w:t>lia</w:t>
            </w:r>
          </w:p>
          <w:p w14:paraId="3B99BF95" w14:textId="77777777" w:rsidR="00A35488" w:rsidRPr="002576C5" w:rsidRDefault="00E246E3" w:rsidP="00593BB1">
            <w:pPr>
              <w:pStyle w:val="TableBullet"/>
              <w:keepNext w:val="0"/>
              <w:keepLines w:val="0"/>
              <w:numPr>
                <w:ilvl w:val="0"/>
                <w:numId w:val="28"/>
              </w:numPr>
              <w:spacing w:before="80" w:after="80"/>
              <w:ind w:left="170" w:hanging="170"/>
              <w:jc w:val="both"/>
            </w:pPr>
            <w:r>
              <w:t>remote Australia</w:t>
            </w:r>
          </w:p>
          <w:p w14:paraId="145793D2" w14:textId="77777777" w:rsidR="00E246E3" w:rsidRPr="00E246E3" w:rsidRDefault="00E246E3" w:rsidP="00593BB1">
            <w:pPr>
              <w:pStyle w:val="TableBullet"/>
              <w:keepNext w:val="0"/>
              <w:keepLines w:val="0"/>
              <w:numPr>
                <w:ilvl w:val="0"/>
                <w:numId w:val="28"/>
              </w:numPr>
              <w:spacing w:before="80" w:after="80"/>
              <w:ind w:left="170" w:hanging="170"/>
              <w:jc w:val="both"/>
              <w:rPr>
                <w:szCs w:val="24"/>
              </w:rPr>
            </w:pPr>
            <w:r>
              <w:t>very remote Australia</w:t>
            </w:r>
          </w:p>
          <w:p w14:paraId="7ECE953C" w14:textId="79EAD75E" w:rsidR="00A35488" w:rsidRPr="002576C5" w:rsidRDefault="00A35488" w:rsidP="00593BB1">
            <w:pPr>
              <w:pStyle w:val="TableBullet"/>
              <w:keepNext w:val="0"/>
              <w:keepLines w:val="0"/>
              <w:numPr>
                <w:ilvl w:val="0"/>
                <w:numId w:val="28"/>
              </w:numPr>
              <w:spacing w:before="80" w:after="80"/>
              <w:ind w:left="170" w:hanging="170"/>
              <w:jc w:val="both"/>
              <w:rPr>
                <w:szCs w:val="24"/>
              </w:rPr>
            </w:pPr>
            <w:r w:rsidRPr="002576C5">
              <w:t>migratory — offshore — shipping.</w:t>
            </w:r>
          </w:p>
        </w:tc>
      </w:tr>
      <w:tr w:rsidR="00A35488" w:rsidRPr="002576C5" w14:paraId="278929EF" w14:textId="77777777">
        <w:tc>
          <w:tcPr>
            <w:tcW w:w="2410" w:type="dxa"/>
          </w:tcPr>
          <w:p w14:paraId="73B0233A" w14:textId="77777777" w:rsidR="00A35488" w:rsidRPr="002576C5" w:rsidRDefault="00A35488" w:rsidP="0088785E">
            <w:pPr>
              <w:pStyle w:val="TableBodyText"/>
              <w:keepNext w:val="0"/>
              <w:keepLines w:val="0"/>
              <w:spacing w:before="120" w:after="120"/>
              <w:jc w:val="left"/>
            </w:pPr>
            <w:r w:rsidRPr="002576C5">
              <w:rPr>
                <w:b/>
              </w:rPr>
              <w:t>Rent charged</w:t>
            </w:r>
          </w:p>
        </w:tc>
        <w:tc>
          <w:tcPr>
            <w:tcW w:w="6379" w:type="dxa"/>
          </w:tcPr>
          <w:p w14:paraId="47446FFD" w14:textId="77777777" w:rsidR="00A35488" w:rsidRPr="002576C5" w:rsidRDefault="00A35488" w:rsidP="00593BB1">
            <w:pPr>
              <w:pStyle w:val="TableBodyText"/>
              <w:keepNext w:val="0"/>
              <w:keepLines w:val="0"/>
              <w:spacing w:before="60" w:after="120"/>
              <w:jc w:val="left"/>
            </w:pPr>
            <w:r w:rsidRPr="002576C5">
              <w:t>The amount in dollars that households are charged based on the rents they are expected to pay. The rents charged to tenants may or may not have been received.</w:t>
            </w:r>
          </w:p>
        </w:tc>
      </w:tr>
      <w:tr w:rsidR="00A35488" w:rsidRPr="002576C5" w14:paraId="4230E142" w14:textId="77777777">
        <w:tc>
          <w:tcPr>
            <w:tcW w:w="2410" w:type="dxa"/>
          </w:tcPr>
          <w:p w14:paraId="541A7450" w14:textId="77777777" w:rsidR="00A35488" w:rsidRPr="002576C5" w:rsidRDefault="00A35488" w:rsidP="00593BB1">
            <w:pPr>
              <w:pStyle w:val="TableBodyText"/>
              <w:keepNext w:val="0"/>
              <w:keepLines w:val="0"/>
              <w:spacing w:before="60" w:after="120"/>
              <w:jc w:val="left"/>
              <w:rPr>
                <w:snapToGrid w:val="0"/>
                <w:lang w:val="en-US"/>
              </w:rPr>
            </w:pPr>
            <w:r w:rsidRPr="002576C5">
              <w:rPr>
                <w:b/>
              </w:rPr>
              <w:lastRenderedPageBreak/>
              <w:t>Tenancy (rental) unit</w:t>
            </w:r>
          </w:p>
        </w:tc>
        <w:tc>
          <w:tcPr>
            <w:tcW w:w="6379" w:type="dxa"/>
          </w:tcPr>
          <w:p w14:paraId="15ED0DA3" w14:textId="77777777" w:rsidR="00A35488" w:rsidRPr="002576C5" w:rsidRDefault="00A35488" w:rsidP="00082B8D">
            <w:pPr>
              <w:pStyle w:val="TableBodyText"/>
              <w:keepNext w:val="0"/>
              <w:keepLines w:val="0"/>
              <w:spacing w:before="120" w:after="120"/>
              <w:jc w:val="both"/>
              <w:rPr>
                <w:snapToGrid w:val="0"/>
                <w:lang w:val="en-US"/>
              </w:rPr>
            </w:pPr>
            <w:r w:rsidRPr="002576C5">
              <w:t>A tenancy (rental</w:t>
            </w:r>
            <w:r w:rsidRPr="00107F5E">
              <w:t xml:space="preserve">) unit is the unit of accommodation for which a rental agreement can be made. </w:t>
            </w:r>
            <w:r w:rsidR="00082B8D" w:rsidRPr="00107F5E">
              <w:t>With the exception of community housing, dwellings i</w:t>
            </w:r>
            <w:r w:rsidRPr="00107F5E">
              <w:t>n the majority of cases</w:t>
            </w:r>
            <w:r w:rsidR="00082B8D" w:rsidRPr="00107F5E">
              <w:t xml:space="preserve"> have</w:t>
            </w:r>
            <w:r w:rsidRPr="00107F5E">
              <w:t xml:space="preserve"> only one tenancy (rental) unit; </w:t>
            </w:r>
            <w:r w:rsidR="00082B8D" w:rsidRPr="00107F5E">
              <w:t xml:space="preserve">for community housing and </w:t>
            </w:r>
            <w:r w:rsidRPr="00107F5E">
              <w:t xml:space="preserve">a small number of </w:t>
            </w:r>
            <w:r w:rsidR="00082B8D" w:rsidRPr="00107F5E">
              <w:t xml:space="preserve">other </w:t>
            </w:r>
            <w:r w:rsidRPr="00107F5E">
              <w:t xml:space="preserve">cases (for example, boarding houses, special group homes, semi–institutional dwellings), there </w:t>
            </w:r>
            <w:r w:rsidR="00082B8D" w:rsidRPr="00107F5E">
              <w:t>are commonly</w:t>
            </w:r>
            <w:r w:rsidRPr="00107F5E">
              <w:t xml:space="preserve"> more than one tenancy (rental) unit.</w:t>
            </w:r>
          </w:p>
        </w:tc>
      </w:tr>
      <w:tr w:rsidR="00A35488" w:rsidRPr="002576C5" w14:paraId="51326889" w14:textId="77777777">
        <w:tc>
          <w:tcPr>
            <w:tcW w:w="2410" w:type="dxa"/>
          </w:tcPr>
          <w:p w14:paraId="683E7FE9" w14:textId="77777777" w:rsidR="00A35488" w:rsidRPr="002576C5" w:rsidRDefault="00A35488" w:rsidP="00593BB1">
            <w:pPr>
              <w:pStyle w:val="TableBodyText"/>
              <w:keepNext w:val="0"/>
              <w:keepLines w:val="0"/>
              <w:spacing w:before="60" w:after="120"/>
              <w:jc w:val="left"/>
            </w:pPr>
            <w:r w:rsidRPr="002576C5">
              <w:rPr>
                <w:b/>
              </w:rPr>
              <w:t>Tenantable dwelling</w:t>
            </w:r>
          </w:p>
        </w:tc>
        <w:tc>
          <w:tcPr>
            <w:tcW w:w="6379" w:type="dxa"/>
          </w:tcPr>
          <w:p w14:paraId="40BDECCE" w14:textId="77777777" w:rsidR="00A35488" w:rsidRPr="002576C5" w:rsidRDefault="00A35488" w:rsidP="00593BB1">
            <w:pPr>
              <w:pStyle w:val="TableBodyText"/>
              <w:keepNext w:val="0"/>
              <w:keepLines w:val="0"/>
              <w:spacing w:before="60" w:after="120"/>
              <w:jc w:val="left"/>
            </w:pPr>
            <w:r w:rsidRPr="002576C5">
              <w:t>A dwelling where maintenance has been completed, whether occupied or unoccupied at 30 June. All occupied dwellings are tenantable.</w:t>
            </w:r>
          </w:p>
        </w:tc>
      </w:tr>
      <w:tr w:rsidR="00A35488" w:rsidRPr="002576C5" w14:paraId="079CEA22" w14:textId="77777777" w:rsidTr="0033431F">
        <w:tc>
          <w:tcPr>
            <w:tcW w:w="2410" w:type="dxa"/>
          </w:tcPr>
          <w:p w14:paraId="15E13779" w14:textId="77777777" w:rsidR="00A35488" w:rsidRPr="002576C5" w:rsidRDefault="00A35488" w:rsidP="00593BB1">
            <w:pPr>
              <w:pStyle w:val="TableBodyText"/>
              <w:keepNext w:val="0"/>
              <w:keepLines w:val="0"/>
              <w:spacing w:before="60" w:after="120"/>
              <w:jc w:val="left"/>
            </w:pPr>
            <w:r w:rsidRPr="002576C5">
              <w:rPr>
                <w:b/>
              </w:rPr>
              <w:t>Total gross household income</w:t>
            </w:r>
          </w:p>
        </w:tc>
        <w:tc>
          <w:tcPr>
            <w:tcW w:w="6379" w:type="dxa"/>
          </w:tcPr>
          <w:p w14:paraId="7C19DF6A" w14:textId="77777777" w:rsidR="00A35488" w:rsidRPr="002576C5" w:rsidRDefault="00A35488" w:rsidP="00593BB1">
            <w:pPr>
              <w:pStyle w:val="TableBodyText"/>
              <w:keepNext w:val="0"/>
              <w:keepLines w:val="0"/>
              <w:spacing w:before="60" w:after="120"/>
              <w:jc w:val="left"/>
            </w:pPr>
            <w:r w:rsidRPr="002576C5">
              <w:t xml:space="preserve">The value of gross weekly income from all sources (before deductions for income tax, superannuation etc.) for all household members, expressed as dollars per week. The main components of gross income are current usual wages and salary; income derived from self–employment, government pensions, benefits and allowances; and other income comprising investments and other regular income. </w:t>
            </w:r>
            <w:proofErr w:type="spellStart"/>
            <w:r w:rsidRPr="002576C5">
              <w:t>CRA</w:t>
            </w:r>
            <w:proofErr w:type="spellEnd"/>
            <w:r w:rsidRPr="002576C5">
              <w:t xml:space="preserve"> payments are not included as income.</w:t>
            </w:r>
          </w:p>
        </w:tc>
      </w:tr>
      <w:tr w:rsidR="00A35488" w:rsidRPr="002576C5" w14:paraId="0BD937E7" w14:textId="77777777" w:rsidTr="0033431F">
        <w:tc>
          <w:tcPr>
            <w:tcW w:w="2410" w:type="dxa"/>
          </w:tcPr>
          <w:p w14:paraId="29CEE14F" w14:textId="77777777" w:rsidR="00A35488" w:rsidRPr="002576C5" w:rsidRDefault="00A35488" w:rsidP="00593BB1">
            <w:pPr>
              <w:pStyle w:val="TableBodyText"/>
              <w:keepNext w:val="0"/>
              <w:keepLines w:val="0"/>
              <w:spacing w:before="60" w:after="120"/>
              <w:jc w:val="left"/>
            </w:pPr>
            <w:r w:rsidRPr="002576C5">
              <w:rPr>
                <w:b/>
              </w:rPr>
              <w:t>Transfer household</w:t>
            </w:r>
          </w:p>
        </w:tc>
        <w:tc>
          <w:tcPr>
            <w:tcW w:w="6379" w:type="dxa"/>
          </w:tcPr>
          <w:p w14:paraId="00A66E11" w14:textId="77777777" w:rsidR="00A35488" w:rsidRPr="002576C5" w:rsidRDefault="00A35488" w:rsidP="00593BB1">
            <w:pPr>
              <w:pStyle w:val="TableBodyText"/>
              <w:keepNext w:val="0"/>
              <w:keepLines w:val="0"/>
              <w:spacing w:before="60" w:after="120"/>
              <w:jc w:val="left"/>
            </w:pPr>
            <w:r w:rsidRPr="002576C5">
              <w:t>A household, either rebated or market renting, that relocates (transfers) from one dwelling to another within the same social housing program. In the community housing data collection, a transfer household is a household that transfers within a single community housing organisation’s portfolio (not across the sector). This leads to under</w:t>
            </w:r>
            <w:r>
              <w:noBreakHyphen/>
            </w:r>
            <w:r w:rsidRPr="002576C5">
              <w:t>reporting of transfers.</w:t>
            </w:r>
          </w:p>
        </w:tc>
      </w:tr>
      <w:tr w:rsidR="00A35488" w:rsidRPr="002576C5" w14:paraId="34A56218" w14:textId="77777777" w:rsidTr="0033431F">
        <w:tc>
          <w:tcPr>
            <w:tcW w:w="2410" w:type="dxa"/>
          </w:tcPr>
          <w:p w14:paraId="27425577" w14:textId="77777777" w:rsidR="00A35488" w:rsidRPr="002576C5" w:rsidRDefault="00A35488" w:rsidP="00593BB1">
            <w:pPr>
              <w:pStyle w:val="TableBodyText"/>
              <w:keepNext w:val="0"/>
              <w:keepLines w:val="0"/>
              <w:spacing w:before="60" w:after="120"/>
              <w:jc w:val="left"/>
            </w:pPr>
            <w:r w:rsidRPr="002576C5">
              <w:rPr>
                <w:b/>
              </w:rPr>
              <w:t>Turnaround time</w:t>
            </w:r>
          </w:p>
        </w:tc>
        <w:tc>
          <w:tcPr>
            <w:tcW w:w="6379" w:type="dxa"/>
          </w:tcPr>
          <w:p w14:paraId="36D56C38" w14:textId="77777777" w:rsidR="00A35488" w:rsidRPr="002576C5" w:rsidRDefault="00A35488" w:rsidP="00593BB1">
            <w:pPr>
              <w:pStyle w:val="TableBodyText"/>
              <w:keepNext w:val="0"/>
              <w:keepLines w:val="0"/>
              <w:spacing w:before="60" w:after="120"/>
              <w:jc w:val="left"/>
            </w:pPr>
            <w:r w:rsidRPr="002576C5">
              <w:t>The average time taken in days for vacant dwellings, which are available for letting, to be occupied.</w:t>
            </w:r>
          </w:p>
        </w:tc>
      </w:tr>
      <w:tr w:rsidR="00A35488" w:rsidRPr="002576C5" w14:paraId="72206861" w14:textId="77777777" w:rsidTr="0033431F">
        <w:tc>
          <w:tcPr>
            <w:tcW w:w="2410" w:type="dxa"/>
          </w:tcPr>
          <w:p w14:paraId="47B10849" w14:textId="77777777" w:rsidR="00A35488" w:rsidRPr="002576C5" w:rsidRDefault="00A35488" w:rsidP="00593BB1">
            <w:pPr>
              <w:pStyle w:val="TableBodyText"/>
              <w:keepNext w:val="0"/>
              <w:keepLines w:val="0"/>
              <w:spacing w:before="60" w:after="120"/>
              <w:jc w:val="left"/>
            </w:pPr>
            <w:r w:rsidRPr="002576C5">
              <w:rPr>
                <w:b/>
              </w:rPr>
              <w:t>Underutilisation</w:t>
            </w:r>
          </w:p>
        </w:tc>
        <w:tc>
          <w:tcPr>
            <w:tcW w:w="6379" w:type="dxa"/>
          </w:tcPr>
          <w:p w14:paraId="6D97C2FD" w14:textId="77777777" w:rsidR="00A35488" w:rsidRPr="002576C5" w:rsidRDefault="00A35488" w:rsidP="00593BB1">
            <w:pPr>
              <w:pStyle w:val="TableBodyText"/>
              <w:keepNext w:val="0"/>
              <w:keepLines w:val="0"/>
              <w:spacing w:before="60" w:after="120"/>
              <w:jc w:val="left"/>
              <w:rPr>
                <w:rStyle w:val="DraftingNote"/>
                <w:b w:val="0"/>
                <w:color w:val="auto"/>
                <w:sz w:val="20"/>
                <w:u w:val="none"/>
              </w:rPr>
            </w:pPr>
            <w:r w:rsidRPr="002576C5">
              <w:t>A situation where a dwelling contains two or more bedrooms surplus to the needs of the household occupying it, according to the Canadian National Occupancy Standard.</w:t>
            </w:r>
          </w:p>
        </w:tc>
      </w:tr>
      <w:tr w:rsidR="00A35488" w:rsidRPr="002576C5" w14:paraId="7AED9397" w14:textId="77777777">
        <w:tc>
          <w:tcPr>
            <w:tcW w:w="2410" w:type="dxa"/>
          </w:tcPr>
          <w:p w14:paraId="605156D5" w14:textId="77777777" w:rsidR="00A35488" w:rsidRPr="002576C5" w:rsidRDefault="00A35488" w:rsidP="00593BB1">
            <w:pPr>
              <w:pStyle w:val="TableBodyText"/>
              <w:keepNext w:val="0"/>
              <w:keepLines w:val="0"/>
              <w:spacing w:before="60" w:after="120"/>
              <w:jc w:val="left"/>
            </w:pPr>
            <w:proofErr w:type="spellStart"/>
            <w:r w:rsidRPr="002576C5">
              <w:rPr>
                <w:b/>
              </w:rPr>
              <w:t>Untenantable</w:t>
            </w:r>
            <w:proofErr w:type="spellEnd"/>
            <w:r w:rsidRPr="002576C5">
              <w:rPr>
                <w:b/>
              </w:rPr>
              <w:t xml:space="preserve"> dwelling</w:t>
            </w:r>
          </w:p>
        </w:tc>
        <w:tc>
          <w:tcPr>
            <w:tcW w:w="6379" w:type="dxa"/>
          </w:tcPr>
          <w:p w14:paraId="2B7D247D" w14:textId="77777777" w:rsidR="00A35488" w:rsidRPr="002576C5" w:rsidRDefault="00A35488" w:rsidP="00593BB1">
            <w:pPr>
              <w:pStyle w:val="TableBodyText"/>
              <w:keepNext w:val="0"/>
              <w:keepLines w:val="0"/>
              <w:spacing w:before="60" w:after="120"/>
              <w:jc w:val="left"/>
            </w:pPr>
            <w:r w:rsidRPr="002576C5">
              <w:t>A dwelling not currently occupied by a tenant, where maintenance has been either deferred or not completed at 30 June.</w:t>
            </w:r>
          </w:p>
        </w:tc>
      </w:tr>
    </w:tbl>
    <w:p w14:paraId="0744134D" w14:textId="45CC14DB" w:rsidR="002D1CAE" w:rsidRPr="008F2728" w:rsidRDefault="00040F38" w:rsidP="000B66EF">
      <w:pPr>
        <w:pStyle w:val="Heading2"/>
      </w:pPr>
      <w:bookmarkStart w:id="23" w:name="_Toc314211354"/>
      <w:bookmarkStart w:id="24" w:name="_Toc396143037"/>
      <w:bookmarkStart w:id="25" w:name="_Toc459884659"/>
      <w:r>
        <w:t>18.</w:t>
      </w:r>
      <w:r w:rsidR="007D5A6B">
        <w:rPr>
          <w:noProof/>
        </w:rPr>
        <w:t>5</w:t>
      </w:r>
      <w:r>
        <w:tab/>
      </w:r>
      <w:r w:rsidR="002D1CAE" w:rsidRPr="000B66EF">
        <w:t>References</w:t>
      </w:r>
      <w:bookmarkEnd w:id="23"/>
      <w:bookmarkEnd w:id="24"/>
      <w:bookmarkEnd w:id="25"/>
    </w:p>
    <w:p w14:paraId="2FA7DF1F" w14:textId="623E70E4" w:rsidR="0058332F" w:rsidRDefault="0058332F" w:rsidP="00CB1081">
      <w:pPr>
        <w:pStyle w:val="Reference"/>
      </w:pPr>
      <w:proofErr w:type="spellStart"/>
      <w:r w:rsidRPr="0058332F">
        <w:t>AIHW</w:t>
      </w:r>
      <w:proofErr w:type="spellEnd"/>
      <w:r w:rsidRPr="0058332F">
        <w:t xml:space="preserve"> (</w:t>
      </w:r>
      <w:r>
        <w:t>Australian Institute of Health and Welfare) 201</w:t>
      </w:r>
      <w:r w:rsidR="008D5B68">
        <w:t>7</w:t>
      </w:r>
      <w:r>
        <w:t xml:space="preserve">, </w:t>
      </w:r>
      <w:r w:rsidRPr="00C36F3C">
        <w:rPr>
          <w:i/>
        </w:rPr>
        <w:t xml:space="preserve">Housing assistance in </w:t>
      </w:r>
      <w:r w:rsidRPr="00090804">
        <w:rPr>
          <w:i/>
        </w:rPr>
        <w:t>Australia</w:t>
      </w:r>
      <w:r>
        <w:t xml:space="preserve">, </w:t>
      </w:r>
      <w:proofErr w:type="spellStart"/>
      <w:r w:rsidR="008D5B68" w:rsidRPr="007A4180">
        <w:t>www.aihw.gov.au</w:t>
      </w:r>
      <w:proofErr w:type="spellEnd"/>
      <w:r w:rsidR="008D5B68" w:rsidRPr="007A4180">
        <w:t>/housing-assistance/</w:t>
      </w:r>
      <w:proofErr w:type="spellStart"/>
      <w:r w:rsidR="008D5B68" w:rsidRPr="007A4180">
        <w:t>haa</w:t>
      </w:r>
      <w:proofErr w:type="spellEnd"/>
      <w:r w:rsidR="008D5B68" w:rsidRPr="007A4180">
        <w:t>/2017/priority-groups</w:t>
      </w:r>
      <w:r w:rsidR="008D5B68">
        <w:t xml:space="preserve"> (accessed 20 November 201</w:t>
      </w:r>
      <w:r w:rsidR="00982D6E">
        <w:t>7</w:t>
      </w:r>
      <w:r w:rsidR="008D5B68">
        <w:t>).</w:t>
      </w:r>
    </w:p>
    <w:p w14:paraId="56278433" w14:textId="7D5047FB" w:rsidR="00EB182B" w:rsidRPr="0058332F" w:rsidRDefault="00EB182B" w:rsidP="00C36F3C">
      <w:pPr>
        <w:pStyle w:val="Reference"/>
        <w:jc w:val="left"/>
      </w:pPr>
      <w:r w:rsidRPr="00C36F3C">
        <w:t xml:space="preserve">—— 2015, </w:t>
      </w:r>
      <w:r w:rsidRPr="00C36F3C">
        <w:rPr>
          <w:i/>
        </w:rPr>
        <w:t>National Social Housing Surve</w:t>
      </w:r>
      <w:r w:rsidR="00C36F3C" w:rsidRPr="00C36F3C">
        <w:rPr>
          <w:i/>
        </w:rPr>
        <w:t>y</w:t>
      </w:r>
      <w:r w:rsidR="00C36F3C" w:rsidRPr="00BB35CB">
        <w:rPr>
          <w:i/>
        </w:rPr>
        <w:t>: detaile</w:t>
      </w:r>
      <w:r w:rsidR="00593BB1" w:rsidRPr="00BB35CB">
        <w:rPr>
          <w:i/>
        </w:rPr>
        <w:t>d results 2014</w:t>
      </w:r>
      <w:r w:rsidR="00593BB1">
        <w:t>. Cat. no. </w:t>
      </w:r>
      <w:proofErr w:type="spellStart"/>
      <w:r w:rsidR="00C36F3C">
        <w:t>HOU</w:t>
      </w:r>
      <w:proofErr w:type="spellEnd"/>
      <w:r w:rsidR="007D1214">
        <w:noBreakHyphen/>
      </w:r>
      <w:r w:rsidR="00C36F3C">
        <w:t>278, Canberra</w:t>
      </w:r>
      <w:r w:rsidR="00FA189C">
        <w:t>.</w:t>
      </w:r>
    </w:p>
    <w:p w14:paraId="49007A3A" w14:textId="77777777" w:rsidR="002D1CAE" w:rsidRPr="00F13C00" w:rsidRDefault="002D1CAE" w:rsidP="00C36F3C">
      <w:pPr>
        <w:pStyle w:val="Reference"/>
        <w:jc w:val="left"/>
      </w:pPr>
      <w:r w:rsidRPr="00F13C00">
        <w:t xml:space="preserve">Yates, J. and Gabriel, M. 2006, </w:t>
      </w:r>
      <w:r w:rsidRPr="00F13C00">
        <w:rPr>
          <w:i/>
        </w:rPr>
        <w:t>Housing Affordability in Australia</w:t>
      </w:r>
      <w:r w:rsidR="00F44E27" w:rsidRPr="00F13C00">
        <w:t>, Research Paper No. </w:t>
      </w:r>
      <w:r w:rsidRPr="00F13C00">
        <w:t>3, Australian Housing and Urba</w:t>
      </w:r>
      <w:r w:rsidR="00A043C1" w:rsidRPr="00F13C00">
        <w:t>n Research Institute, Melbourne</w:t>
      </w:r>
      <w:r w:rsidR="00FA189C">
        <w:t>.</w:t>
      </w:r>
    </w:p>
    <w:p w14:paraId="325DDBC9" w14:textId="6E348FCC" w:rsidR="000B66EF" w:rsidRDefault="002D1CAE" w:rsidP="000B66EF">
      <w:pPr>
        <w:pStyle w:val="Reference"/>
        <w:jc w:val="left"/>
      </w:pPr>
      <w:r w:rsidRPr="00F13C00">
        <w:t xml:space="preserve">Yates, J. and Milligan, V. 2007, </w:t>
      </w:r>
      <w:r w:rsidRPr="00F13C00">
        <w:rPr>
          <w:i/>
        </w:rPr>
        <w:t>Housing affordability: a 21st century problem</w:t>
      </w:r>
      <w:r w:rsidR="00F44E27" w:rsidRPr="00F13C00">
        <w:t>, Final</w:t>
      </w:r>
      <w:r w:rsidR="00593BB1">
        <w:t xml:space="preserve"> R</w:t>
      </w:r>
      <w:r w:rsidR="00F44E27" w:rsidRPr="00F13C00">
        <w:t>eport No. </w:t>
      </w:r>
      <w:r w:rsidRPr="00F13C00">
        <w:t>105, Australian Housing and Urban Research Institute, Melbourne.</w:t>
      </w:r>
    </w:p>
    <w:sectPr w:rsidR="000B66EF" w:rsidSect="00E62304">
      <w:headerReference w:type="even" r:id="rId33"/>
      <w:headerReference w:type="default" r:id="rId34"/>
      <w:footerReference w:type="even" r:id="rId35"/>
      <w:footerReference w:type="default" r:id="rId36"/>
      <w:pgSz w:w="11907" w:h="16840" w:code="9"/>
      <w:pgMar w:top="1984" w:right="1304" w:bottom="1247" w:left="1814" w:header="1701" w:footer="397" w:gutter="0"/>
      <w:pgNumType w:start="1" w:chapSep="period"/>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63E0A" w14:textId="77777777" w:rsidR="00DA0428" w:rsidRDefault="00DA0428">
      <w:r>
        <w:separator/>
      </w:r>
    </w:p>
  </w:endnote>
  <w:endnote w:type="continuationSeparator" w:id="0">
    <w:p w14:paraId="4A1CD451" w14:textId="77777777" w:rsidR="00DA0428" w:rsidRDefault="00DA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A0428" w14:paraId="46C8F0AB" w14:textId="77777777" w:rsidTr="00AE5190">
      <w:trPr>
        <w:trHeight w:hRule="exact" w:val="567"/>
      </w:trPr>
      <w:tc>
        <w:tcPr>
          <w:tcW w:w="510" w:type="dxa"/>
        </w:tcPr>
        <w:p w14:paraId="3AA38540" w14:textId="77777777" w:rsidR="00DA0428" w:rsidRPr="00A24443" w:rsidRDefault="00DA0428" w:rsidP="0019293B">
          <w:pPr>
            <w:pStyle w:val="Footer"/>
            <w:tabs>
              <w:tab w:val="left" w:pos="0"/>
            </w:tabs>
            <w:ind w:right="0"/>
            <w:rPr>
              <w:rStyle w:val="PageNumber"/>
              <w:caps w:val="0"/>
            </w:rPr>
          </w:pPr>
          <w:r>
            <w:rPr>
              <w:rStyle w:val="PageNumber"/>
              <w:caps w:val="0"/>
            </w:rPr>
            <w:t>18.</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57908">
            <w:rPr>
              <w:rStyle w:val="PageNumber"/>
              <w:caps w:val="0"/>
              <w:noProof/>
            </w:rPr>
            <w:t>22</w:t>
          </w:r>
          <w:r w:rsidRPr="00A24443">
            <w:rPr>
              <w:rStyle w:val="PageNumber"/>
              <w:caps w:val="0"/>
            </w:rPr>
            <w:fldChar w:fldCharType="end"/>
          </w:r>
        </w:p>
      </w:tc>
      <w:tc>
        <w:tcPr>
          <w:tcW w:w="7767" w:type="dxa"/>
        </w:tcPr>
        <w:p w14:paraId="2E3BA8EA" w14:textId="6A30D20D" w:rsidR="00DA0428" w:rsidRPr="0013739A" w:rsidRDefault="00DA0428" w:rsidP="00AE5190">
          <w:pPr>
            <w:pStyle w:val="Footer"/>
            <w:rPr>
              <w:rFonts w:cs="Arial"/>
            </w:rPr>
          </w:pPr>
          <w:r>
            <w:rPr>
              <w:rFonts w:cs="Arial"/>
            </w:rPr>
            <w:t>Report on Government Services 2018</w:t>
          </w:r>
          <w:bookmarkStart w:id="26" w:name="DraftReportEven"/>
          <w:bookmarkEnd w:id="26"/>
        </w:p>
      </w:tc>
      <w:tc>
        <w:tcPr>
          <w:tcW w:w="510" w:type="dxa"/>
        </w:tcPr>
        <w:p w14:paraId="41CBE97B" w14:textId="77777777" w:rsidR="00DA0428" w:rsidRDefault="00DA0428" w:rsidP="0019293B">
          <w:pPr>
            <w:pStyle w:val="Footer"/>
          </w:pPr>
        </w:p>
      </w:tc>
    </w:tr>
  </w:tbl>
  <w:p w14:paraId="25C5B9EC" w14:textId="77777777" w:rsidR="00DA0428" w:rsidRDefault="00DA0428" w:rsidP="0019293B">
    <w:pPr>
      <w:pStyle w:val="FooterEnd"/>
    </w:pPr>
  </w:p>
  <w:p w14:paraId="2D7A587E" w14:textId="77777777" w:rsidR="00DA0428" w:rsidRDefault="00DA0428"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A0428" w14:paraId="334A622B" w14:textId="77777777" w:rsidTr="00AE5190">
      <w:trPr>
        <w:trHeight w:hRule="exact" w:val="567"/>
      </w:trPr>
      <w:tc>
        <w:tcPr>
          <w:tcW w:w="510" w:type="dxa"/>
        </w:tcPr>
        <w:p w14:paraId="5C127898" w14:textId="77777777" w:rsidR="00DA0428" w:rsidRDefault="00DA0428">
          <w:pPr>
            <w:pStyle w:val="Footer"/>
            <w:ind w:right="360" w:firstLine="360"/>
          </w:pPr>
        </w:p>
      </w:tc>
      <w:tc>
        <w:tcPr>
          <w:tcW w:w="7767" w:type="dxa"/>
        </w:tcPr>
        <w:p w14:paraId="4BA93C21" w14:textId="1DE3F72E" w:rsidR="00DA0428" w:rsidRPr="00BA5B14" w:rsidRDefault="00DA0428" w:rsidP="00AE5190">
          <w:pPr>
            <w:pStyle w:val="Footer"/>
            <w:jc w:val="right"/>
            <w:rPr>
              <w:rFonts w:cs="Arial"/>
            </w:rPr>
          </w:pPr>
          <w:r>
            <w:rPr>
              <w:rFonts w:cs="Arial"/>
            </w:rPr>
            <w:t>Housing</w:t>
          </w:r>
        </w:p>
      </w:tc>
      <w:tc>
        <w:tcPr>
          <w:tcW w:w="510" w:type="dxa"/>
        </w:tcPr>
        <w:p w14:paraId="3674A0D2" w14:textId="77777777" w:rsidR="00DA0428" w:rsidRPr="00A24443" w:rsidRDefault="00DA0428" w:rsidP="00D04B31">
          <w:pPr>
            <w:pStyle w:val="Footer"/>
            <w:jc w:val="right"/>
            <w:rPr>
              <w:caps w:val="0"/>
            </w:rPr>
          </w:pPr>
          <w:r>
            <w:rPr>
              <w:rStyle w:val="PageNumber"/>
              <w:caps w:val="0"/>
            </w:rPr>
            <w:t>18.</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57908">
            <w:rPr>
              <w:rStyle w:val="PageNumber"/>
              <w:caps w:val="0"/>
              <w:noProof/>
            </w:rPr>
            <w:t>21</w:t>
          </w:r>
          <w:r w:rsidRPr="00A24443">
            <w:rPr>
              <w:rStyle w:val="PageNumber"/>
              <w:caps w:val="0"/>
            </w:rPr>
            <w:fldChar w:fldCharType="end"/>
          </w:r>
        </w:p>
      </w:tc>
    </w:tr>
  </w:tbl>
  <w:p w14:paraId="47A4E935" w14:textId="77777777" w:rsidR="00DA0428" w:rsidRDefault="00DA0428">
    <w:pPr>
      <w:pStyle w:val="FooterEnd"/>
    </w:pPr>
  </w:p>
  <w:p w14:paraId="1C936B13" w14:textId="77777777" w:rsidR="00DA0428" w:rsidRDefault="00DA0428" w:rsidP="003666C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A7259" w14:textId="77777777" w:rsidR="00DA0428" w:rsidRDefault="00DA0428">
      <w:r>
        <w:separator/>
      </w:r>
    </w:p>
  </w:footnote>
  <w:footnote w:type="continuationSeparator" w:id="0">
    <w:p w14:paraId="201B8622" w14:textId="77777777" w:rsidR="00DA0428" w:rsidRDefault="00DA0428">
      <w:r>
        <w:continuationSeparator/>
      </w:r>
    </w:p>
  </w:footnote>
  <w:footnote w:id="1">
    <w:p w14:paraId="3B702E7C" w14:textId="3E319059" w:rsidR="00DA0428" w:rsidRDefault="00DA0428">
      <w:pPr>
        <w:pStyle w:val="FootnoteText"/>
      </w:pPr>
      <w:r>
        <w:rPr>
          <w:rStyle w:val="FootnoteReference"/>
        </w:rPr>
        <w:footnoteRef/>
      </w:r>
      <w:r>
        <w:t xml:space="preserve"> </w:t>
      </w:r>
      <w:r>
        <w:tab/>
      </w:r>
      <w:r w:rsidRPr="0071472E">
        <w:t xml:space="preserve">This chapter does not consider housing programs not provided under the NAHA (for example, those provided by the Department of Veterans’ Affairs or rental or home purchase assistance </w:t>
      </w:r>
      <w:r>
        <w:t xml:space="preserve">— </w:t>
      </w:r>
      <w:r w:rsidRPr="0071472E">
        <w:t>the latter is discussed in sector overview G).</w:t>
      </w:r>
    </w:p>
  </w:footnote>
  <w:footnote w:id="2">
    <w:p w14:paraId="5EB094D7" w14:textId="718CDDE8" w:rsidR="00DA0428" w:rsidRDefault="00DA0428">
      <w:pPr>
        <w:pStyle w:val="FootnoteText"/>
      </w:pPr>
      <w:r>
        <w:rPr>
          <w:rStyle w:val="FootnoteReference"/>
        </w:rPr>
        <w:footnoteRef/>
      </w:r>
      <w:r>
        <w:t xml:space="preserve"> </w:t>
      </w:r>
      <w:r>
        <w:tab/>
      </w:r>
      <w:r w:rsidRPr="00D51E02">
        <w:t xml:space="preserve">The NAHA and </w:t>
      </w:r>
      <w:r w:rsidRPr="00475ACA">
        <w:t>National Partnership Agreement on Homelessness</w:t>
      </w:r>
      <w:r w:rsidRPr="00D51E02">
        <w:t xml:space="preserve"> are due to expire 1 July 2018. A new National Housing and Homelessness Agreement is currently under negotiation.</w:t>
      </w:r>
    </w:p>
  </w:footnote>
  <w:footnote w:id="3">
    <w:p w14:paraId="59B41C91" w14:textId="4429FDE6" w:rsidR="00DA0428" w:rsidRPr="00120ED2" w:rsidRDefault="00DA0428" w:rsidP="0033604C">
      <w:pPr>
        <w:pStyle w:val="FootnoteText"/>
        <w:rPr>
          <w:rStyle w:val="BodyTextChar"/>
        </w:rPr>
      </w:pPr>
      <w:r>
        <w:rPr>
          <w:rStyle w:val="FootnoteReference"/>
        </w:rPr>
        <w:footnoteRef/>
      </w:r>
      <w:r>
        <w:t xml:space="preserve"> </w:t>
      </w:r>
      <w:r>
        <w:tab/>
      </w:r>
      <w:r w:rsidRPr="00D51E02">
        <w:t xml:space="preserve">The NT commenced data reporting for its </w:t>
      </w:r>
      <w:proofErr w:type="spellStart"/>
      <w:r w:rsidRPr="00D51E02">
        <w:t>SOMIH</w:t>
      </w:r>
      <w:proofErr w:type="spellEnd"/>
      <w:r w:rsidRPr="00D51E02">
        <w:t xml:space="preserve"> program in 2016-17. Limited aggregate data are available and include the number of dwellings (5032), but not the number of households. </w:t>
      </w:r>
      <w:r>
        <w:t>T</w:t>
      </w:r>
      <w:r w:rsidRPr="00D51E02">
        <w:t xml:space="preserve">hese dwellings </w:t>
      </w:r>
      <w:r>
        <w:t>were</w:t>
      </w:r>
      <w:r w:rsidRPr="00D51E02">
        <w:t xml:space="preserve"> not included in administrative data collections used in this Report </w:t>
      </w:r>
      <w:r>
        <w:t>for 2015-16 and previous years following</w:t>
      </w:r>
      <w:r w:rsidRPr="00D51E02">
        <w:t xml:space="preserve"> their transfer from </w:t>
      </w:r>
      <w:proofErr w:type="spellStart"/>
      <w:r w:rsidRPr="00D51E02">
        <w:t>ICH</w:t>
      </w:r>
      <w:proofErr w:type="spellEnd"/>
      <w:r w:rsidRPr="00D51E02">
        <w:t xml:space="preserve"> management in the period 2008–2010.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000" w:firstRow="0" w:lastRow="0" w:firstColumn="0" w:lastColumn="0" w:noHBand="0" w:noVBand="0"/>
    </w:tblPr>
    <w:tblGrid>
      <w:gridCol w:w="2155"/>
      <w:gridCol w:w="6634"/>
    </w:tblGrid>
    <w:tr w:rsidR="00DA0428" w14:paraId="6F4909A6" w14:textId="77777777" w:rsidTr="00110D9E">
      <w:tc>
        <w:tcPr>
          <w:tcW w:w="2155" w:type="dxa"/>
          <w:tcBorders>
            <w:top w:val="single" w:sz="24" w:space="0" w:color="auto"/>
          </w:tcBorders>
        </w:tcPr>
        <w:p w14:paraId="4F2FB03E" w14:textId="77777777" w:rsidR="00DA0428" w:rsidRDefault="00DA0428" w:rsidP="00110D9E">
          <w:pPr>
            <w:pStyle w:val="HeaderEven"/>
            <w:jc w:val="right"/>
          </w:pPr>
        </w:p>
      </w:tc>
      <w:tc>
        <w:tcPr>
          <w:tcW w:w="6634" w:type="dxa"/>
          <w:tcBorders>
            <w:top w:val="single" w:sz="6" w:space="0" w:color="auto"/>
          </w:tcBorders>
        </w:tcPr>
        <w:p w14:paraId="73892478" w14:textId="41A871F1" w:rsidR="00DA0428" w:rsidRDefault="00DA0428" w:rsidP="00771488">
          <w:pPr>
            <w:pStyle w:val="HeaderEven"/>
            <w:jc w:val="right"/>
          </w:pPr>
        </w:p>
      </w:tc>
    </w:tr>
  </w:tbl>
  <w:p w14:paraId="60042176" w14:textId="77777777" w:rsidR="00DA0428" w:rsidRDefault="00DA0428" w:rsidP="00110D9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A0428" w14:paraId="6D6D1E1B" w14:textId="77777777" w:rsidTr="006C0D79">
      <w:tc>
        <w:tcPr>
          <w:tcW w:w="6634" w:type="dxa"/>
          <w:tcBorders>
            <w:top w:val="single" w:sz="6" w:space="0" w:color="auto"/>
          </w:tcBorders>
        </w:tcPr>
        <w:p w14:paraId="0BED83B9" w14:textId="152C7DDF" w:rsidR="00DA0428" w:rsidRDefault="00DA0428" w:rsidP="006C0D79">
          <w:pPr>
            <w:pStyle w:val="HeaderOdd"/>
          </w:pPr>
        </w:p>
      </w:tc>
      <w:tc>
        <w:tcPr>
          <w:tcW w:w="2155" w:type="dxa"/>
          <w:tcBorders>
            <w:top w:val="single" w:sz="24" w:space="0" w:color="auto"/>
          </w:tcBorders>
        </w:tcPr>
        <w:p w14:paraId="31E30615" w14:textId="77777777" w:rsidR="00DA0428" w:rsidRDefault="00DA0428" w:rsidP="00110D9E">
          <w:pPr>
            <w:pStyle w:val="HeaderOdd"/>
            <w:jc w:val="right"/>
          </w:pPr>
        </w:p>
      </w:tc>
    </w:tr>
  </w:tbl>
  <w:p w14:paraId="0E28E0C8" w14:textId="77777777" w:rsidR="00DA0428" w:rsidRDefault="00DA0428" w:rsidP="00110D9E">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BE3422D"/>
    <w:multiLevelType w:val="hybridMultilevel"/>
    <w:tmpl w:val="FD7E8178"/>
    <w:lvl w:ilvl="0" w:tplc="A0B4C768">
      <w:start w:val="1"/>
      <w:numFmt w:val="bullet"/>
      <w:pStyle w:val="DHSBulletText"/>
      <w:lvlText w:val=""/>
      <w:lvlJc w:val="left"/>
      <w:pPr>
        <w:tabs>
          <w:tab w:val="num" w:pos="36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6D56DC"/>
    <w:multiLevelType w:val="hybridMultilevel"/>
    <w:tmpl w:val="F6FE027C"/>
    <w:lvl w:ilvl="0" w:tplc="029C98D6">
      <w:start w:val="17"/>
      <w:numFmt w:val="bullet"/>
      <w:lvlText w:val="—"/>
      <w:lvlJc w:val="left"/>
      <w:pPr>
        <w:ind w:left="840" w:hanging="48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4B179C9"/>
    <w:multiLevelType w:val="hybridMultilevel"/>
    <w:tmpl w:val="00A0676C"/>
    <w:lvl w:ilvl="0" w:tplc="251C1690">
      <w:start w:val="17"/>
      <w:numFmt w:val="bullet"/>
      <w:lvlText w:val="—"/>
      <w:lvlJc w:val="left"/>
      <w:pPr>
        <w:ind w:left="1834" w:hanging="360"/>
      </w:pPr>
      <w:rPr>
        <w:rFonts w:ascii="Arial" w:eastAsia="Times New Roman" w:hAnsi="Arial" w:cs="Arial" w:hint="default"/>
        <w:b/>
        <w:sz w:val="24"/>
      </w:rPr>
    </w:lvl>
    <w:lvl w:ilvl="1" w:tplc="0C090003" w:tentative="1">
      <w:start w:val="1"/>
      <w:numFmt w:val="bullet"/>
      <w:lvlText w:val="o"/>
      <w:lvlJc w:val="left"/>
      <w:pPr>
        <w:ind w:left="2554" w:hanging="360"/>
      </w:pPr>
      <w:rPr>
        <w:rFonts w:ascii="Courier New" w:hAnsi="Courier New" w:cs="Courier New" w:hint="default"/>
      </w:rPr>
    </w:lvl>
    <w:lvl w:ilvl="2" w:tplc="0C090005" w:tentative="1">
      <w:start w:val="1"/>
      <w:numFmt w:val="bullet"/>
      <w:lvlText w:val=""/>
      <w:lvlJc w:val="left"/>
      <w:pPr>
        <w:ind w:left="3274" w:hanging="360"/>
      </w:pPr>
      <w:rPr>
        <w:rFonts w:ascii="Wingdings" w:hAnsi="Wingdings" w:hint="default"/>
      </w:rPr>
    </w:lvl>
    <w:lvl w:ilvl="3" w:tplc="0C090001" w:tentative="1">
      <w:start w:val="1"/>
      <w:numFmt w:val="bullet"/>
      <w:lvlText w:val=""/>
      <w:lvlJc w:val="left"/>
      <w:pPr>
        <w:ind w:left="3994" w:hanging="360"/>
      </w:pPr>
      <w:rPr>
        <w:rFonts w:ascii="Symbol" w:hAnsi="Symbol" w:hint="default"/>
      </w:rPr>
    </w:lvl>
    <w:lvl w:ilvl="4" w:tplc="0C090003" w:tentative="1">
      <w:start w:val="1"/>
      <w:numFmt w:val="bullet"/>
      <w:lvlText w:val="o"/>
      <w:lvlJc w:val="left"/>
      <w:pPr>
        <w:ind w:left="4714" w:hanging="360"/>
      </w:pPr>
      <w:rPr>
        <w:rFonts w:ascii="Courier New" w:hAnsi="Courier New" w:cs="Courier New" w:hint="default"/>
      </w:rPr>
    </w:lvl>
    <w:lvl w:ilvl="5" w:tplc="0C090005" w:tentative="1">
      <w:start w:val="1"/>
      <w:numFmt w:val="bullet"/>
      <w:lvlText w:val=""/>
      <w:lvlJc w:val="left"/>
      <w:pPr>
        <w:ind w:left="5434" w:hanging="360"/>
      </w:pPr>
      <w:rPr>
        <w:rFonts w:ascii="Wingdings" w:hAnsi="Wingdings" w:hint="default"/>
      </w:rPr>
    </w:lvl>
    <w:lvl w:ilvl="6" w:tplc="0C090001" w:tentative="1">
      <w:start w:val="1"/>
      <w:numFmt w:val="bullet"/>
      <w:lvlText w:val=""/>
      <w:lvlJc w:val="left"/>
      <w:pPr>
        <w:ind w:left="6154" w:hanging="360"/>
      </w:pPr>
      <w:rPr>
        <w:rFonts w:ascii="Symbol" w:hAnsi="Symbol" w:hint="default"/>
      </w:rPr>
    </w:lvl>
    <w:lvl w:ilvl="7" w:tplc="0C090003" w:tentative="1">
      <w:start w:val="1"/>
      <w:numFmt w:val="bullet"/>
      <w:lvlText w:val="o"/>
      <w:lvlJc w:val="left"/>
      <w:pPr>
        <w:ind w:left="6874" w:hanging="360"/>
      </w:pPr>
      <w:rPr>
        <w:rFonts w:ascii="Courier New" w:hAnsi="Courier New" w:cs="Courier New" w:hint="default"/>
      </w:rPr>
    </w:lvl>
    <w:lvl w:ilvl="8" w:tplc="0C090005" w:tentative="1">
      <w:start w:val="1"/>
      <w:numFmt w:val="bullet"/>
      <w:lvlText w:val=""/>
      <w:lvlJc w:val="left"/>
      <w:pPr>
        <w:ind w:left="7594"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54910B1"/>
    <w:multiLevelType w:val="hybridMultilevel"/>
    <w:tmpl w:val="E8D6220A"/>
    <w:lvl w:ilvl="0" w:tplc="A7DC2F1E">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28B720D8"/>
    <w:multiLevelType w:val="multilevel"/>
    <w:tmpl w:val="4DA8762E"/>
    <w:lvl w:ilvl="0">
      <w:start w:val="17"/>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9097887"/>
    <w:multiLevelType w:val="hybridMultilevel"/>
    <w:tmpl w:val="96A4C0A4"/>
    <w:lvl w:ilvl="0" w:tplc="2850E214">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C853038"/>
    <w:multiLevelType w:val="hybridMultilevel"/>
    <w:tmpl w:val="387AE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2EA78BD"/>
    <w:multiLevelType w:val="hybridMultilevel"/>
    <w:tmpl w:val="E3FE3906"/>
    <w:lvl w:ilvl="0" w:tplc="129E802E">
      <w:start w:val="17"/>
      <w:numFmt w:val="bullet"/>
      <w:lvlText w:val="—"/>
      <w:lvlJc w:val="left"/>
      <w:pPr>
        <w:ind w:left="840" w:hanging="48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A2766C"/>
    <w:multiLevelType w:val="hybridMultilevel"/>
    <w:tmpl w:val="75AA8E5A"/>
    <w:lvl w:ilvl="0" w:tplc="63C0438A">
      <w:start w:val="17"/>
      <w:numFmt w:val="bullet"/>
      <w:lvlText w:val="—"/>
      <w:lvlJc w:val="left"/>
      <w:pPr>
        <w:ind w:left="840" w:hanging="48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B21FD3"/>
    <w:multiLevelType w:val="hybridMultilevel"/>
    <w:tmpl w:val="1F7A12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1" w15:restartNumberingAfterBreak="0">
    <w:nsid w:val="6D6B5FCB"/>
    <w:multiLevelType w:val="hybridMultilevel"/>
    <w:tmpl w:val="7A22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804322"/>
    <w:multiLevelType w:val="hybridMultilevel"/>
    <w:tmpl w:val="F89C0C04"/>
    <w:lvl w:ilvl="0" w:tplc="03AEA63C">
      <w:numFmt w:val="bullet"/>
      <w:lvlText w:val="-"/>
      <w:lvlJc w:val="left"/>
      <w:pPr>
        <w:ind w:left="480" w:hanging="360"/>
      </w:pPr>
      <w:rPr>
        <w:rFonts w:ascii="Times New Roman" w:eastAsia="Times New Roman" w:hAnsi="Times New Roman" w:cs="Times New Roman"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33" w15:restartNumberingAfterBreak="0">
    <w:nsid w:val="6FA56D18"/>
    <w:multiLevelType w:val="hybridMultilevel"/>
    <w:tmpl w:val="45C893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5" w15:restartNumberingAfterBreak="0">
    <w:nsid w:val="7B147C3B"/>
    <w:multiLevelType w:val="multilevel"/>
    <w:tmpl w:val="8F0AE852"/>
    <w:lvl w:ilvl="0">
      <w:start w:val="17"/>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0"/>
  </w:num>
  <w:num w:numId="2">
    <w:abstractNumId w:val="6"/>
  </w:num>
  <w:num w:numId="3">
    <w:abstractNumId w:val="34"/>
  </w:num>
  <w:num w:numId="4">
    <w:abstractNumId w:val="4"/>
  </w:num>
  <w:num w:numId="5">
    <w:abstractNumId w:val="25"/>
  </w:num>
  <w:num w:numId="6">
    <w:abstractNumId w:val="5"/>
  </w:num>
  <w:num w:numId="7">
    <w:abstractNumId w:val="30"/>
  </w:num>
  <w:num w:numId="8">
    <w:abstractNumId w:val="27"/>
  </w:num>
  <w:num w:numId="9">
    <w:abstractNumId w:val="36"/>
  </w:num>
  <w:num w:numId="10">
    <w:abstractNumId w:val="14"/>
  </w:num>
  <w:num w:numId="11">
    <w:abstractNumId w:val="11"/>
  </w:num>
  <w:num w:numId="12">
    <w:abstractNumId w:val="26"/>
  </w:num>
  <w:num w:numId="13">
    <w:abstractNumId w:val="10"/>
  </w:num>
  <w:num w:numId="14">
    <w:abstractNumId w:val="9"/>
  </w:num>
  <w:num w:numId="15">
    <w:abstractNumId w:val="3"/>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16">
    <w:abstractNumId w:val="18"/>
  </w:num>
  <w:num w:numId="17">
    <w:abstractNumId w:val="24"/>
  </w:num>
  <w:num w:numId="18">
    <w:abstractNumId w:val="28"/>
  </w:num>
  <w:num w:numId="19">
    <w:abstractNumId w:val="35"/>
  </w:num>
  <w:num w:numId="20">
    <w:abstractNumId w:val="16"/>
  </w:num>
  <w:num w:numId="21">
    <w:abstractNumId w:val="7"/>
  </w:num>
  <w:num w:numId="22">
    <w:abstractNumId w:val="29"/>
  </w:num>
  <w:num w:numId="23">
    <w:abstractNumId w:val="12"/>
  </w:num>
  <w:num w:numId="24">
    <w:abstractNumId w:val="0"/>
  </w:num>
  <w:num w:numId="25">
    <w:abstractNumId w:val="2"/>
  </w:num>
  <w:num w:numId="26">
    <w:abstractNumId w:val="3"/>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7">
    <w:abstractNumId w:val="1"/>
  </w:num>
  <w:num w:numId="28">
    <w:abstractNumId w:val="31"/>
  </w:num>
  <w:num w:numId="29">
    <w:abstractNumId w:val="23"/>
  </w:num>
  <w:num w:numId="30">
    <w:abstractNumId w:val="19"/>
  </w:num>
  <w:num w:numId="31">
    <w:abstractNumId w:val="22"/>
  </w:num>
  <w:num w:numId="32">
    <w:abstractNumId w:val="8"/>
  </w:num>
  <w:num w:numId="33">
    <w:abstractNumId w:val="21"/>
  </w:num>
  <w:num w:numId="34">
    <w:abstractNumId w:val="13"/>
  </w:num>
  <w:num w:numId="35">
    <w:abstractNumId w:val="25"/>
  </w:num>
  <w:num w:numId="36">
    <w:abstractNumId w:val="25"/>
  </w:num>
  <w:num w:numId="37">
    <w:abstractNumId w:val="20"/>
  </w:num>
  <w:num w:numId="38">
    <w:abstractNumId w:val="15"/>
  </w:num>
  <w:num w:numId="39">
    <w:abstractNumId w:val="33"/>
  </w:num>
  <w:num w:numId="40">
    <w:abstractNumId w:val="20"/>
  </w:num>
  <w:num w:numId="41">
    <w:abstractNumId w:val="20"/>
  </w:num>
  <w:num w:numId="42">
    <w:abstractNumId w:val="32"/>
  </w:num>
  <w:num w:numId="43">
    <w:abstractNumId w:val="26"/>
  </w:num>
  <w:num w:numId="44">
    <w:abstractNumId w:val="20"/>
  </w:num>
  <w:num w:numId="45">
    <w:abstractNumId w:val="17"/>
  </w:num>
  <w:num w:numId="4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2"/>
  <w:mirrorMargins/>
  <w:proofState w:spelling="clean"/>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Housing"/>
    <w:docVar w:name="ShortReportTitle" w:val="Report on Government Services 2017"/>
  </w:docVars>
  <w:rsids>
    <w:rsidRoot w:val="00337686"/>
    <w:rsid w:val="00000249"/>
    <w:rsid w:val="000005B8"/>
    <w:rsid w:val="000005F8"/>
    <w:rsid w:val="00000F24"/>
    <w:rsid w:val="00000F51"/>
    <w:rsid w:val="00001288"/>
    <w:rsid w:val="00001457"/>
    <w:rsid w:val="0000153C"/>
    <w:rsid w:val="000016AA"/>
    <w:rsid w:val="000016B2"/>
    <w:rsid w:val="00001B30"/>
    <w:rsid w:val="00001F48"/>
    <w:rsid w:val="00002763"/>
    <w:rsid w:val="0000278E"/>
    <w:rsid w:val="00002B56"/>
    <w:rsid w:val="00002C75"/>
    <w:rsid w:val="00002DCA"/>
    <w:rsid w:val="00002E51"/>
    <w:rsid w:val="00002ED2"/>
    <w:rsid w:val="00002F04"/>
    <w:rsid w:val="00003478"/>
    <w:rsid w:val="0000350F"/>
    <w:rsid w:val="0000376F"/>
    <w:rsid w:val="00003B2E"/>
    <w:rsid w:val="00003C8B"/>
    <w:rsid w:val="00003C92"/>
    <w:rsid w:val="00003D7B"/>
    <w:rsid w:val="00003F92"/>
    <w:rsid w:val="00004660"/>
    <w:rsid w:val="0000473A"/>
    <w:rsid w:val="00004874"/>
    <w:rsid w:val="00004BDD"/>
    <w:rsid w:val="00004FBF"/>
    <w:rsid w:val="00005071"/>
    <w:rsid w:val="00005643"/>
    <w:rsid w:val="00005B2C"/>
    <w:rsid w:val="00006088"/>
    <w:rsid w:val="00006B39"/>
    <w:rsid w:val="00006CD3"/>
    <w:rsid w:val="00006D3A"/>
    <w:rsid w:val="00006DC5"/>
    <w:rsid w:val="00007225"/>
    <w:rsid w:val="0000797A"/>
    <w:rsid w:val="00007A51"/>
    <w:rsid w:val="00010249"/>
    <w:rsid w:val="00010257"/>
    <w:rsid w:val="000104D2"/>
    <w:rsid w:val="0001078A"/>
    <w:rsid w:val="00010E1B"/>
    <w:rsid w:val="00011143"/>
    <w:rsid w:val="000112BA"/>
    <w:rsid w:val="000114B6"/>
    <w:rsid w:val="000114CE"/>
    <w:rsid w:val="000115D7"/>
    <w:rsid w:val="00011654"/>
    <w:rsid w:val="000119F4"/>
    <w:rsid w:val="00012263"/>
    <w:rsid w:val="0001229D"/>
    <w:rsid w:val="000124DA"/>
    <w:rsid w:val="000124EE"/>
    <w:rsid w:val="00012561"/>
    <w:rsid w:val="0001289E"/>
    <w:rsid w:val="00012AAF"/>
    <w:rsid w:val="00012AFA"/>
    <w:rsid w:val="00012BAE"/>
    <w:rsid w:val="00012C3F"/>
    <w:rsid w:val="00012C88"/>
    <w:rsid w:val="00012E95"/>
    <w:rsid w:val="00013467"/>
    <w:rsid w:val="0001387A"/>
    <w:rsid w:val="0001390E"/>
    <w:rsid w:val="000142C6"/>
    <w:rsid w:val="00014449"/>
    <w:rsid w:val="000145D1"/>
    <w:rsid w:val="00014766"/>
    <w:rsid w:val="00014850"/>
    <w:rsid w:val="0001494A"/>
    <w:rsid w:val="00014BF7"/>
    <w:rsid w:val="00015146"/>
    <w:rsid w:val="00015408"/>
    <w:rsid w:val="0001544C"/>
    <w:rsid w:val="00015C2D"/>
    <w:rsid w:val="00015CC2"/>
    <w:rsid w:val="00016028"/>
    <w:rsid w:val="00016032"/>
    <w:rsid w:val="00016056"/>
    <w:rsid w:val="000160B3"/>
    <w:rsid w:val="00016391"/>
    <w:rsid w:val="0001694A"/>
    <w:rsid w:val="00016B7F"/>
    <w:rsid w:val="0001710F"/>
    <w:rsid w:val="00017323"/>
    <w:rsid w:val="0001745F"/>
    <w:rsid w:val="0001777A"/>
    <w:rsid w:val="00017B79"/>
    <w:rsid w:val="00017E6D"/>
    <w:rsid w:val="00020B0A"/>
    <w:rsid w:val="00020CBB"/>
    <w:rsid w:val="00020F6B"/>
    <w:rsid w:val="00021212"/>
    <w:rsid w:val="0002126F"/>
    <w:rsid w:val="00021400"/>
    <w:rsid w:val="00021A17"/>
    <w:rsid w:val="00021B0F"/>
    <w:rsid w:val="000222ED"/>
    <w:rsid w:val="0002281E"/>
    <w:rsid w:val="000229AE"/>
    <w:rsid w:val="00023053"/>
    <w:rsid w:val="000232BE"/>
    <w:rsid w:val="0002377E"/>
    <w:rsid w:val="000238B8"/>
    <w:rsid w:val="00023CD6"/>
    <w:rsid w:val="00023DED"/>
    <w:rsid w:val="00023FE1"/>
    <w:rsid w:val="000240E0"/>
    <w:rsid w:val="0002426B"/>
    <w:rsid w:val="000242A6"/>
    <w:rsid w:val="00024406"/>
    <w:rsid w:val="000247DC"/>
    <w:rsid w:val="00024AC8"/>
    <w:rsid w:val="00024BA2"/>
    <w:rsid w:val="00024C72"/>
    <w:rsid w:val="00024D24"/>
    <w:rsid w:val="00024F8B"/>
    <w:rsid w:val="00025506"/>
    <w:rsid w:val="00025580"/>
    <w:rsid w:val="0002564A"/>
    <w:rsid w:val="00025C85"/>
    <w:rsid w:val="00025ED3"/>
    <w:rsid w:val="00025EF4"/>
    <w:rsid w:val="00026187"/>
    <w:rsid w:val="000275D4"/>
    <w:rsid w:val="00027623"/>
    <w:rsid w:val="00027BC9"/>
    <w:rsid w:val="000301BC"/>
    <w:rsid w:val="00030245"/>
    <w:rsid w:val="00030255"/>
    <w:rsid w:val="000302FA"/>
    <w:rsid w:val="000305D7"/>
    <w:rsid w:val="00030693"/>
    <w:rsid w:val="00030B2C"/>
    <w:rsid w:val="00030E5B"/>
    <w:rsid w:val="00030EEC"/>
    <w:rsid w:val="00031967"/>
    <w:rsid w:val="00031B37"/>
    <w:rsid w:val="00031BB6"/>
    <w:rsid w:val="000326D8"/>
    <w:rsid w:val="00032710"/>
    <w:rsid w:val="000329EA"/>
    <w:rsid w:val="00032C95"/>
    <w:rsid w:val="00032E86"/>
    <w:rsid w:val="00032ED8"/>
    <w:rsid w:val="00032F17"/>
    <w:rsid w:val="00033266"/>
    <w:rsid w:val="0003375C"/>
    <w:rsid w:val="000337AA"/>
    <w:rsid w:val="00034A91"/>
    <w:rsid w:val="00034D6C"/>
    <w:rsid w:val="0003504C"/>
    <w:rsid w:val="000352C6"/>
    <w:rsid w:val="00035C82"/>
    <w:rsid w:val="000361D1"/>
    <w:rsid w:val="00036428"/>
    <w:rsid w:val="0003664B"/>
    <w:rsid w:val="000366E7"/>
    <w:rsid w:val="00036A0E"/>
    <w:rsid w:val="00036B00"/>
    <w:rsid w:val="00037B75"/>
    <w:rsid w:val="00037D23"/>
    <w:rsid w:val="00037FC5"/>
    <w:rsid w:val="000404D8"/>
    <w:rsid w:val="000405EE"/>
    <w:rsid w:val="00040955"/>
    <w:rsid w:val="00040B59"/>
    <w:rsid w:val="00040D7C"/>
    <w:rsid w:val="00040EF4"/>
    <w:rsid w:val="00040F38"/>
    <w:rsid w:val="000410FF"/>
    <w:rsid w:val="0004111F"/>
    <w:rsid w:val="00041329"/>
    <w:rsid w:val="000417CC"/>
    <w:rsid w:val="00041C41"/>
    <w:rsid w:val="000420F9"/>
    <w:rsid w:val="0004243F"/>
    <w:rsid w:val="00042A5A"/>
    <w:rsid w:val="00042BC9"/>
    <w:rsid w:val="00042C82"/>
    <w:rsid w:val="00043169"/>
    <w:rsid w:val="00043270"/>
    <w:rsid w:val="0004347B"/>
    <w:rsid w:val="00044269"/>
    <w:rsid w:val="00044529"/>
    <w:rsid w:val="00044610"/>
    <w:rsid w:val="00044764"/>
    <w:rsid w:val="00044D16"/>
    <w:rsid w:val="00045062"/>
    <w:rsid w:val="000451AD"/>
    <w:rsid w:val="0004527B"/>
    <w:rsid w:val="000466CA"/>
    <w:rsid w:val="00046841"/>
    <w:rsid w:val="00046AC3"/>
    <w:rsid w:val="00046F24"/>
    <w:rsid w:val="00046FF4"/>
    <w:rsid w:val="0004721D"/>
    <w:rsid w:val="000475F2"/>
    <w:rsid w:val="0004767D"/>
    <w:rsid w:val="000500CB"/>
    <w:rsid w:val="0005039D"/>
    <w:rsid w:val="000506F5"/>
    <w:rsid w:val="000508CB"/>
    <w:rsid w:val="000513A7"/>
    <w:rsid w:val="00051663"/>
    <w:rsid w:val="0005258C"/>
    <w:rsid w:val="000527F0"/>
    <w:rsid w:val="00052944"/>
    <w:rsid w:val="00052B29"/>
    <w:rsid w:val="00052D8D"/>
    <w:rsid w:val="000530C2"/>
    <w:rsid w:val="000534E4"/>
    <w:rsid w:val="000535B7"/>
    <w:rsid w:val="000538C3"/>
    <w:rsid w:val="00053C73"/>
    <w:rsid w:val="00053E71"/>
    <w:rsid w:val="00053F78"/>
    <w:rsid w:val="000544F8"/>
    <w:rsid w:val="000546FD"/>
    <w:rsid w:val="00054841"/>
    <w:rsid w:val="000549E8"/>
    <w:rsid w:val="00054AAF"/>
    <w:rsid w:val="00054CE2"/>
    <w:rsid w:val="000553FB"/>
    <w:rsid w:val="0005549B"/>
    <w:rsid w:val="000558C3"/>
    <w:rsid w:val="00055D4E"/>
    <w:rsid w:val="000561BC"/>
    <w:rsid w:val="00056FE4"/>
    <w:rsid w:val="00056FE5"/>
    <w:rsid w:val="00057016"/>
    <w:rsid w:val="00057056"/>
    <w:rsid w:val="0005728A"/>
    <w:rsid w:val="000574B3"/>
    <w:rsid w:val="00057FB8"/>
    <w:rsid w:val="00057FC1"/>
    <w:rsid w:val="000602D2"/>
    <w:rsid w:val="00060531"/>
    <w:rsid w:val="0006104E"/>
    <w:rsid w:val="000617DB"/>
    <w:rsid w:val="00061C68"/>
    <w:rsid w:val="00061D3D"/>
    <w:rsid w:val="00061ECB"/>
    <w:rsid w:val="00062144"/>
    <w:rsid w:val="0006223E"/>
    <w:rsid w:val="000625A0"/>
    <w:rsid w:val="000626E5"/>
    <w:rsid w:val="000627F9"/>
    <w:rsid w:val="00062951"/>
    <w:rsid w:val="00062C54"/>
    <w:rsid w:val="00062CBF"/>
    <w:rsid w:val="00062CE1"/>
    <w:rsid w:val="000631DB"/>
    <w:rsid w:val="00063911"/>
    <w:rsid w:val="00064188"/>
    <w:rsid w:val="00064204"/>
    <w:rsid w:val="00064526"/>
    <w:rsid w:val="000646EB"/>
    <w:rsid w:val="00065068"/>
    <w:rsid w:val="00065086"/>
    <w:rsid w:val="000650F5"/>
    <w:rsid w:val="000653BD"/>
    <w:rsid w:val="00065516"/>
    <w:rsid w:val="00065872"/>
    <w:rsid w:val="00065ACD"/>
    <w:rsid w:val="00065B0B"/>
    <w:rsid w:val="0006608D"/>
    <w:rsid w:val="000662C9"/>
    <w:rsid w:val="00066CF5"/>
    <w:rsid w:val="000673F6"/>
    <w:rsid w:val="0006748A"/>
    <w:rsid w:val="00067512"/>
    <w:rsid w:val="000677FF"/>
    <w:rsid w:val="00070A4E"/>
    <w:rsid w:val="00070D9C"/>
    <w:rsid w:val="00070EC9"/>
    <w:rsid w:val="00070F7A"/>
    <w:rsid w:val="000710B7"/>
    <w:rsid w:val="0007150B"/>
    <w:rsid w:val="00071B79"/>
    <w:rsid w:val="00071EC6"/>
    <w:rsid w:val="00072B72"/>
    <w:rsid w:val="00072D3A"/>
    <w:rsid w:val="0007349E"/>
    <w:rsid w:val="000735EA"/>
    <w:rsid w:val="000736E1"/>
    <w:rsid w:val="000737C4"/>
    <w:rsid w:val="00073BB9"/>
    <w:rsid w:val="00074739"/>
    <w:rsid w:val="000748D5"/>
    <w:rsid w:val="00074A47"/>
    <w:rsid w:val="00074DB9"/>
    <w:rsid w:val="000758DA"/>
    <w:rsid w:val="00076302"/>
    <w:rsid w:val="0007680E"/>
    <w:rsid w:val="0007716B"/>
    <w:rsid w:val="00077195"/>
    <w:rsid w:val="000772C9"/>
    <w:rsid w:val="000773E4"/>
    <w:rsid w:val="000774AC"/>
    <w:rsid w:val="0007796F"/>
    <w:rsid w:val="000779DA"/>
    <w:rsid w:val="00077C2A"/>
    <w:rsid w:val="00077C3B"/>
    <w:rsid w:val="00077D20"/>
    <w:rsid w:val="00077D4F"/>
    <w:rsid w:val="00077E7D"/>
    <w:rsid w:val="0008018E"/>
    <w:rsid w:val="00080B0B"/>
    <w:rsid w:val="00080FFB"/>
    <w:rsid w:val="00081024"/>
    <w:rsid w:val="00081296"/>
    <w:rsid w:val="000812CB"/>
    <w:rsid w:val="00081787"/>
    <w:rsid w:val="000817B5"/>
    <w:rsid w:val="00081EB9"/>
    <w:rsid w:val="0008233B"/>
    <w:rsid w:val="0008249A"/>
    <w:rsid w:val="00082519"/>
    <w:rsid w:val="00082548"/>
    <w:rsid w:val="00082A03"/>
    <w:rsid w:val="00082B8D"/>
    <w:rsid w:val="00082CEB"/>
    <w:rsid w:val="0008416B"/>
    <w:rsid w:val="0008423F"/>
    <w:rsid w:val="00084413"/>
    <w:rsid w:val="0008455A"/>
    <w:rsid w:val="0008480F"/>
    <w:rsid w:val="00084844"/>
    <w:rsid w:val="00084DD1"/>
    <w:rsid w:val="00084EEB"/>
    <w:rsid w:val="00084F54"/>
    <w:rsid w:val="00085040"/>
    <w:rsid w:val="0008515D"/>
    <w:rsid w:val="000854D1"/>
    <w:rsid w:val="00085928"/>
    <w:rsid w:val="000859C2"/>
    <w:rsid w:val="00085AD4"/>
    <w:rsid w:val="00085E9E"/>
    <w:rsid w:val="00086233"/>
    <w:rsid w:val="00086242"/>
    <w:rsid w:val="000863C0"/>
    <w:rsid w:val="00086605"/>
    <w:rsid w:val="00086999"/>
    <w:rsid w:val="00086BB3"/>
    <w:rsid w:val="00087119"/>
    <w:rsid w:val="00087268"/>
    <w:rsid w:val="0008731C"/>
    <w:rsid w:val="00087481"/>
    <w:rsid w:val="00087741"/>
    <w:rsid w:val="00087994"/>
    <w:rsid w:val="00087A91"/>
    <w:rsid w:val="00087BD7"/>
    <w:rsid w:val="00087F87"/>
    <w:rsid w:val="0009023D"/>
    <w:rsid w:val="00090414"/>
    <w:rsid w:val="000904F1"/>
    <w:rsid w:val="00090804"/>
    <w:rsid w:val="00090ABF"/>
    <w:rsid w:val="00090F97"/>
    <w:rsid w:val="000910DF"/>
    <w:rsid w:val="00091282"/>
    <w:rsid w:val="00091C19"/>
    <w:rsid w:val="00091C9C"/>
    <w:rsid w:val="00091D00"/>
    <w:rsid w:val="000920E3"/>
    <w:rsid w:val="00092D60"/>
    <w:rsid w:val="0009307C"/>
    <w:rsid w:val="000931B6"/>
    <w:rsid w:val="000937EA"/>
    <w:rsid w:val="000938F5"/>
    <w:rsid w:val="00093C25"/>
    <w:rsid w:val="000944F9"/>
    <w:rsid w:val="00094EB3"/>
    <w:rsid w:val="00095008"/>
    <w:rsid w:val="000958E6"/>
    <w:rsid w:val="00096575"/>
    <w:rsid w:val="00096B56"/>
    <w:rsid w:val="00096CE8"/>
    <w:rsid w:val="000970DF"/>
    <w:rsid w:val="0009722E"/>
    <w:rsid w:val="00097753"/>
    <w:rsid w:val="00097C85"/>
    <w:rsid w:val="00097EF8"/>
    <w:rsid w:val="00097F34"/>
    <w:rsid w:val="000A00AC"/>
    <w:rsid w:val="000A02FD"/>
    <w:rsid w:val="000A04F2"/>
    <w:rsid w:val="000A063D"/>
    <w:rsid w:val="000A06B1"/>
    <w:rsid w:val="000A0716"/>
    <w:rsid w:val="000A0859"/>
    <w:rsid w:val="000A09B2"/>
    <w:rsid w:val="000A0AA7"/>
    <w:rsid w:val="000A0BA8"/>
    <w:rsid w:val="000A0D02"/>
    <w:rsid w:val="000A0D33"/>
    <w:rsid w:val="000A10D4"/>
    <w:rsid w:val="000A152B"/>
    <w:rsid w:val="000A1C0E"/>
    <w:rsid w:val="000A1DDC"/>
    <w:rsid w:val="000A2123"/>
    <w:rsid w:val="000A2259"/>
    <w:rsid w:val="000A22C2"/>
    <w:rsid w:val="000A273A"/>
    <w:rsid w:val="000A2CD9"/>
    <w:rsid w:val="000A2F10"/>
    <w:rsid w:val="000A2FE2"/>
    <w:rsid w:val="000A309A"/>
    <w:rsid w:val="000A3D47"/>
    <w:rsid w:val="000A3D61"/>
    <w:rsid w:val="000A3DCC"/>
    <w:rsid w:val="000A3EC0"/>
    <w:rsid w:val="000A4093"/>
    <w:rsid w:val="000A4207"/>
    <w:rsid w:val="000A4576"/>
    <w:rsid w:val="000A4E9D"/>
    <w:rsid w:val="000A4F99"/>
    <w:rsid w:val="000A52EB"/>
    <w:rsid w:val="000A5330"/>
    <w:rsid w:val="000A5406"/>
    <w:rsid w:val="000A59A1"/>
    <w:rsid w:val="000A5DDB"/>
    <w:rsid w:val="000A621E"/>
    <w:rsid w:val="000A6389"/>
    <w:rsid w:val="000A6752"/>
    <w:rsid w:val="000A6AAE"/>
    <w:rsid w:val="000A6D9F"/>
    <w:rsid w:val="000A7B4E"/>
    <w:rsid w:val="000B0020"/>
    <w:rsid w:val="000B0440"/>
    <w:rsid w:val="000B0586"/>
    <w:rsid w:val="000B0CB9"/>
    <w:rsid w:val="000B1355"/>
    <w:rsid w:val="000B1B4C"/>
    <w:rsid w:val="000B1E28"/>
    <w:rsid w:val="000B2205"/>
    <w:rsid w:val="000B257B"/>
    <w:rsid w:val="000B2B72"/>
    <w:rsid w:val="000B2DD1"/>
    <w:rsid w:val="000B30AE"/>
    <w:rsid w:val="000B344E"/>
    <w:rsid w:val="000B36F5"/>
    <w:rsid w:val="000B3B28"/>
    <w:rsid w:val="000B3D36"/>
    <w:rsid w:val="000B4232"/>
    <w:rsid w:val="000B4324"/>
    <w:rsid w:val="000B4367"/>
    <w:rsid w:val="000B47FD"/>
    <w:rsid w:val="000B497A"/>
    <w:rsid w:val="000B4C83"/>
    <w:rsid w:val="000B4D53"/>
    <w:rsid w:val="000B4D9B"/>
    <w:rsid w:val="000B4FF4"/>
    <w:rsid w:val="000B542D"/>
    <w:rsid w:val="000B5512"/>
    <w:rsid w:val="000B5515"/>
    <w:rsid w:val="000B588E"/>
    <w:rsid w:val="000B5B0D"/>
    <w:rsid w:val="000B5BE9"/>
    <w:rsid w:val="000B5BF1"/>
    <w:rsid w:val="000B5F00"/>
    <w:rsid w:val="000B5F9E"/>
    <w:rsid w:val="000B601B"/>
    <w:rsid w:val="000B66EF"/>
    <w:rsid w:val="000B68FD"/>
    <w:rsid w:val="000B6C96"/>
    <w:rsid w:val="000B6DF5"/>
    <w:rsid w:val="000B7223"/>
    <w:rsid w:val="000B739B"/>
    <w:rsid w:val="000B744D"/>
    <w:rsid w:val="000B75B4"/>
    <w:rsid w:val="000B7D85"/>
    <w:rsid w:val="000B7DEC"/>
    <w:rsid w:val="000B7E82"/>
    <w:rsid w:val="000B7E98"/>
    <w:rsid w:val="000C00BA"/>
    <w:rsid w:val="000C0126"/>
    <w:rsid w:val="000C0320"/>
    <w:rsid w:val="000C0893"/>
    <w:rsid w:val="000C0A69"/>
    <w:rsid w:val="000C18CC"/>
    <w:rsid w:val="000C207E"/>
    <w:rsid w:val="000C214E"/>
    <w:rsid w:val="000C215C"/>
    <w:rsid w:val="000C3144"/>
    <w:rsid w:val="000C35CC"/>
    <w:rsid w:val="000C38EC"/>
    <w:rsid w:val="000C39DB"/>
    <w:rsid w:val="000C3DF9"/>
    <w:rsid w:val="000C4A43"/>
    <w:rsid w:val="000C4D74"/>
    <w:rsid w:val="000C4DFF"/>
    <w:rsid w:val="000C51A4"/>
    <w:rsid w:val="000C5568"/>
    <w:rsid w:val="000C5700"/>
    <w:rsid w:val="000C573A"/>
    <w:rsid w:val="000C5F5B"/>
    <w:rsid w:val="000C5FCB"/>
    <w:rsid w:val="000C64FF"/>
    <w:rsid w:val="000C69C3"/>
    <w:rsid w:val="000C6CF1"/>
    <w:rsid w:val="000C6CF8"/>
    <w:rsid w:val="000C73E9"/>
    <w:rsid w:val="000C73F4"/>
    <w:rsid w:val="000C741A"/>
    <w:rsid w:val="000C7B80"/>
    <w:rsid w:val="000C7D91"/>
    <w:rsid w:val="000C7F2A"/>
    <w:rsid w:val="000D0333"/>
    <w:rsid w:val="000D04FA"/>
    <w:rsid w:val="000D056C"/>
    <w:rsid w:val="000D0C6F"/>
    <w:rsid w:val="000D110C"/>
    <w:rsid w:val="000D18AE"/>
    <w:rsid w:val="000D1B2E"/>
    <w:rsid w:val="000D1CC9"/>
    <w:rsid w:val="000D2055"/>
    <w:rsid w:val="000D223E"/>
    <w:rsid w:val="000D265E"/>
    <w:rsid w:val="000D282B"/>
    <w:rsid w:val="000D2A00"/>
    <w:rsid w:val="000D2AF9"/>
    <w:rsid w:val="000D2BC5"/>
    <w:rsid w:val="000D33B1"/>
    <w:rsid w:val="000D37AC"/>
    <w:rsid w:val="000D4042"/>
    <w:rsid w:val="000D4120"/>
    <w:rsid w:val="000D4A8C"/>
    <w:rsid w:val="000D4C9C"/>
    <w:rsid w:val="000D4DB8"/>
    <w:rsid w:val="000D4F60"/>
    <w:rsid w:val="000D5006"/>
    <w:rsid w:val="000D59D3"/>
    <w:rsid w:val="000D5AD9"/>
    <w:rsid w:val="000D5DCD"/>
    <w:rsid w:val="000D6255"/>
    <w:rsid w:val="000D654F"/>
    <w:rsid w:val="000D6E88"/>
    <w:rsid w:val="000D788D"/>
    <w:rsid w:val="000D79BA"/>
    <w:rsid w:val="000D79F2"/>
    <w:rsid w:val="000D7CFC"/>
    <w:rsid w:val="000D7E15"/>
    <w:rsid w:val="000D7FA9"/>
    <w:rsid w:val="000E0114"/>
    <w:rsid w:val="000E02F8"/>
    <w:rsid w:val="000E07C3"/>
    <w:rsid w:val="000E09CC"/>
    <w:rsid w:val="000E1427"/>
    <w:rsid w:val="000E152D"/>
    <w:rsid w:val="000E168B"/>
    <w:rsid w:val="000E19B6"/>
    <w:rsid w:val="000E2139"/>
    <w:rsid w:val="000E25AE"/>
    <w:rsid w:val="000E26D7"/>
    <w:rsid w:val="000E27F6"/>
    <w:rsid w:val="000E2893"/>
    <w:rsid w:val="000E29C7"/>
    <w:rsid w:val="000E2C91"/>
    <w:rsid w:val="000E2EA2"/>
    <w:rsid w:val="000E39C7"/>
    <w:rsid w:val="000E3E32"/>
    <w:rsid w:val="000E4402"/>
    <w:rsid w:val="000E4426"/>
    <w:rsid w:val="000E4457"/>
    <w:rsid w:val="000E4754"/>
    <w:rsid w:val="000E482B"/>
    <w:rsid w:val="000E4922"/>
    <w:rsid w:val="000E49EF"/>
    <w:rsid w:val="000E49F4"/>
    <w:rsid w:val="000E4AD6"/>
    <w:rsid w:val="000E5629"/>
    <w:rsid w:val="000E582C"/>
    <w:rsid w:val="000E58EB"/>
    <w:rsid w:val="000E5A49"/>
    <w:rsid w:val="000E5C2C"/>
    <w:rsid w:val="000E5F84"/>
    <w:rsid w:val="000E644A"/>
    <w:rsid w:val="000E65EC"/>
    <w:rsid w:val="000E6AE9"/>
    <w:rsid w:val="000E6DD3"/>
    <w:rsid w:val="000E71D5"/>
    <w:rsid w:val="000E7211"/>
    <w:rsid w:val="000E7A5A"/>
    <w:rsid w:val="000E7B1A"/>
    <w:rsid w:val="000E7B33"/>
    <w:rsid w:val="000E7E52"/>
    <w:rsid w:val="000F0098"/>
    <w:rsid w:val="000F0DE9"/>
    <w:rsid w:val="000F0E09"/>
    <w:rsid w:val="000F1054"/>
    <w:rsid w:val="000F1064"/>
    <w:rsid w:val="000F1824"/>
    <w:rsid w:val="000F217E"/>
    <w:rsid w:val="000F21B5"/>
    <w:rsid w:val="000F243E"/>
    <w:rsid w:val="000F2514"/>
    <w:rsid w:val="000F2683"/>
    <w:rsid w:val="000F28AE"/>
    <w:rsid w:val="000F2B74"/>
    <w:rsid w:val="000F3408"/>
    <w:rsid w:val="000F37DD"/>
    <w:rsid w:val="000F3A42"/>
    <w:rsid w:val="000F3A46"/>
    <w:rsid w:val="000F3A82"/>
    <w:rsid w:val="000F3B84"/>
    <w:rsid w:val="000F3C72"/>
    <w:rsid w:val="000F3D06"/>
    <w:rsid w:val="000F3E2F"/>
    <w:rsid w:val="000F4045"/>
    <w:rsid w:val="000F46A8"/>
    <w:rsid w:val="000F47EB"/>
    <w:rsid w:val="000F494E"/>
    <w:rsid w:val="000F538B"/>
    <w:rsid w:val="000F55F8"/>
    <w:rsid w:val="000F58E4"/>
    <w:rsid w:val="000F5C71"/>
    <w:rsid w:val="000F64E1"/>
    <w:rsid w:val="000F6521"/>
    <w:rsid w:val="000F6678"/>
    <w:rsid w:val="000F6968"/>
    <w:rsid w:val="000F69E7"/>
    <w:rsid w:val="000F6B8B"/>
    <w:rsid w:val="000F6C0F"/>
    <w:rsid w:val="000F6DD6"/>
    <w:rsid w:val="000F6DE1"/>
    <w:rsid w:val="000F6E23"/>
    <w:rsid w:val="000F706A"/>
    <w:rsid w:val="000F71AC"/>
    <w:rsid w:val="000F7860"/>
    <w:rsid w:val="000F7A62"/>
    <w:rsid w:val="000F7F7B"/>
    <w:rsid w:val="001007EB"/>
    <w:rsid w:val="00100EA7"/>
    <w:rsid w:val="00100EEB"/>
    <w:rsid w:val="0010174D"/>
    <w:rsid w:val="00101790"/>
    <w:rsid w:val="00101A99"/>
    <w:rsid w:val="00101B80"/>
    <w:rsid w:val="00101C2B"/>
    <w:rsid w:val="00101D1E"/>
    <w:rsid w:val="00101E69"/>
    <w:rsid w:val="0010218A"/>
    <w:rsid w:val="00102A7D"/>
    <w:rsid w:val="0010300D"/>
    <w:rsid w:val="0010353C"/>
    <w:rsid w:val="0010361E"/>
    <w:rsid w:val="001037FB"/>
    <w:rsid w:val="0010391F"/>
    <w:rsid w:val="00103E02"/>
    <w:rsid w:val="0010401B"/>
    <w:rsid w:val="0010445B"/>
    <w:rsid w:val="0010489E"/>
    <w:rsid w:val="00104B98"/>
    <w:rsid w:val="00104FBA"/>
    <w:rsid w:val="001054E5"/>
    <w:rsid w:val="001054FB"/>
    <w:rsid w:val="00105BE0"/>
    <w:rsid w:val="00105EFD"/>
    <w:rsid w:val="00106F5B"/>
    <w:rsid w:val="00107296"/>
    <w:rsid w:val="0010734B"/>
    <w:rsid w:val="001076B4"/>
    <w:rsid w:val="001077A2"/>
    <w:rsid w:val="00107ACE"/>
    <w:rsid w:val="00107F5E"/>
    <w:rsid w:val="00110116"/>
    <w:rsid w:val="00110466"/>
    <w:rsid w:val="00110D9E"/>
    <w:rsid w:val="001116D9"/>
    <w:rsid w:val="001118F8"/>
    <w:rsid w:val="00111968"/>
    <w:rsid w:val="00111CA3"/>
    <w:rsid w:val="00112639"/>
    <w:rsid w:val="0011274E"/>
    <w:rsid w:val="00112A18"/>
    <w:rsid w:val="00112AEA"/>
    <w:rsid w:val="00112DFB"/>
    <w:rsid w:val="001130D1"/>
    <w:rsid w:val="001135D2"/>
    <w:rsid w:val="00113F79"/>
    <w:rsid w:val="001140AB"/>
    <w:rsid w:val="00114108"/>
    <w:rsid w:val="001141AB"/>
    <w:rsid w:val="0011465C"/>
    <w:rsid w:val="001146AC"/>
    <w:rsid w:val="001147DF"/>
    <w:rsid w:val="00114B88"/>
    <w:rsid w:val="00115080"/>
    <w:rsid w:val="00115291"/>
    <w:rsid w:val="001155BE"/>
    <w:rsid w:val="001156FF"/>
    <w:rsid w:val="0011598E"/>
    <w:rsid w:val="00115CF8"/>
    <w:rsid w:val="00116F71"/>
    <w:rsid w:val="001171BA"/>
    <w:rsid w:val="001174A0"/>
    <w:rsid w:val="001175C8"/>
    <w:rsid w:val="00117A0C"/>
    <w:rsid w:val="00117A73"/>
    <w:rsid w:val="00117DFD"/>
    <w:rsid w:val="001204D9"/>
    <w:rsid w:val="0012087E"/>
    <w:rsid w:val="001209BF"/>
    <w:rsid w:val="00120ED2"/>
    <w:rsid w:val="001213F0"/>
    <w:rsid w:val="0012148B"/>
    <w:rsid w:val="00121885"/>
    <w:rsid w:val="00121A6E"/>
    <w:rsid w:val="00121CE2"/>
    <w:rsid w:val="00122175"/>
    <w:rsid w:val="001224B3"/>
    <w:rsid w:val="00122ED8"/>
    <w:rsid w:val="0012329D"/>
    <w:rsid w:val="0012332F"/>
    <w:rsid w:val="00123A48"/>
    <w:rsid w:val="00123C38"/>
    <w:rsid w:val="00123CFE"/>
    <w:rsid w:val="00123F5D"/>
    <w:rsid w:val="001240A7"/>
    <w:rsid w:val="0012441B"/>
    <w:rsid w:val="001244CE"/>
    <w:rsid w:val="00124927"/>
    <w:rsid w:val="00124C56"/>
    <w:rsid w:val="00125B59"/>
    <w:rsid w:val="00125CD4"/>
    <w:rsid w:val="00125FE9"/>
    <w:rsid w:val="0012631E"/>
    <w:rsid w:val="0012658E"/>
    <w:rsid w:val="00126650"/>
    <w:rsid w:val="001269E6"/>
    <w:rsid w:val="00126EB8"/>
    <w:rsid w:val="001271FB"/>
    <w:rsid w:val="00127672"/>
    <w:rsid w:val="00127B0B"/>
    <w:rsid w:val="00127C94"/>
    <w:rsid w:val="00127CD2"/>
    <w:rsid w:val="00130407"/>
    <w:rsid w:val="00131182"/>
    <w:rsid w:val="001313D5"/>
    <w:rsid w:val="0013141B"/>
    <w:rsid w:val="00131C1E"/>
    <w:rsid w:val="001322CD"/>
    <w:rsid w:val="001322EB"/>
    <w:rsid w:val="001323E0"/>
    <w:rsid w:val="00132F95"/>
    <w:rsid w:val="00133288"/>
    <w:rsid w:val="001334B7"/>
    <w:rsid w:val="00133541"/>
    <w:rsid w:val="00133C0C"/>
    <w:rsid w:val="00133D14"/>
    <w:rsid w:val="001340ED"/>
    <w:rsid w:val="00134428"/>
    <w:rsid w:val="00134720"/>
    <w:rsid w:val="00134EDB"/>
    <w:rsid w:val="001350A0"/>
    <w:rsid w:val="001351F5"/>
    <w:rsid w:val="001354F6"/>
    <w:rsid w:val="0013550D"/>
    <w:rsid w:val="00135840"/>
    <w:rsid w:val="001359AC"/>
    <w:rsid w:val="00135B1B"/>
    <w:rsid w:val="00135D78"/>
    <w:rsid w:val="001363AA"/>
    <w:rsid w:val="001363B3"/>
    <w:rsid w:val="001363DF"/>
    <w:rsid w:val="0013665B"/>
    <w:rsid w:val="00136941"/>
    <w:rsid w:val="00136F4A"/>
    <w:rsid w:val="001372CC"/>
    <w:rsid w:val="00137408"/>
    <w:rsid w:val="00137702"/>
    <w:rsid w:val="001379EE"/>
    <w:rsid w:val="00137A01"/>
    <w:rsid w:val="00137B97"/>
    <w:rsid w:val="0014042A"/>
    <w:rsid w:val="00140700"/>
    <w:rsid w:val="00140C65"/>
    <w:rsid w:val="00140DAA"/>
    <w:rsid w:val="001415F0"/>
    <w:rsid w:val="00141734"/>
    <w:rsid w:val="00141A40"/>
    <w:rsid w:val="00141C57"/>
    <w:rsid w:val="00141C95"/>
    <w:rsid w:val="00141CF1"/>
    <w:rsid w:val="00142827"/>
    <w:rsid w:val="001429B3"/>
    <w:rsid w:val="001430AE"/>
    <w:rsid w:val="00143193"/>
    <w:rsid w:val="00143246"/>
    <w:rsid w:val="0014337C"/>
    <w:rsid w:val="00143730"/>
    <w:rsid w:val="00143848"/>
    <w:rsid w:val="001438AA"/>
    <w:rsid w:val="00143CAB"/>
    <w:rsid w:val="00143CC9"/>
    <w:rsid w:val="00143E12"/>
    <w:rsid w:val="00144043"/>
    <w:rsid w:val="0014407F"/>
    <w:rsid w:val="00144097"/>
    <w:rsid w:val="0014426C"/>
    <w:rsid w:val="00144297"/>
    <w:rsid w:val="001448F4"/>
    <w:rsid w:val="00144C16"/>
    <w:rsid w:val="00144C1F"/>
    <w:rsid w:val="00145E3B"/>
    <w:rsid w:val="00145E6A"/>
    <w:rsid w:val="00145F48"/>
    <w:rsid w:val="00145FBA"/>
    <w:rsid w:val="00146424"/>
    <w:rsid w:val="001469A9"/>
    <w:rsid w:val="00146D1B"/>
    <w:rsid w:val="00146DC9"/>
    <w:rsid w:val="00146F7D"/>
    <w:rsid w:val="00147493"/>
    <w:rsid w:val="001477AD"/>
    <w:rsid w:val="001478F8"/>
    <w:rsid w:val="00147D49"/>
    <w:rsid w:val="00147E3C"/>
    <w:rsid w:val="0015048A"/>
    <w:rsid w:val="001505D7"/>
    <w:rsid w:val="001514D3"/>
    <w:rsid w:val="0015152C"/>
    <w:rsid w:val="00151A02"/>
    <w:rsid w:val="00151C46"/>
    <w:rsid w:val="00151D93"/>
    <w:rsid w:val="001521A8"/>
    <w:rsid w:val="00152771"/>
    <w:rsid w:val="00152DFC"/>
    <w:rsid w:val="00152E8E"/>
    <w:rsid w:val="0015342B"/>
    <w:rsid w:val="00153679"/>
    <w:rsid w:val="00153A66"/>
    <w:rsid w:val="00153BE4"/>
    <w:rsid w:val="00153C3C"/>
    <w:rsid w:val="00153CFD"/>
    <w:rsid w:val="001545F1"/>
    <w:rsid w:val="00154675"/>
    <w:rsid w:val="0015497B"/>
    <w:rsid w:val="00154CCB"/>
    <w:rsid w:val="00154CFE"/>
    <w:rsid w:val="00154E76"/>
    <w:rsid w:val="00154F0C"/>
    <w:rsid w:val="0015518A"/>
    <w:rsid w:val="001553C4"/>
    <w:rsid w:val="00155AFB"/>
    <w:rsid w:val="001560D7"/>
    <w:rsid w:val="0015673A"/>
    <w:rsid w:val="00156754"/>
    <w:rsid w:val="001570BE"/>
    <w:rsid w:val="001572ED"/>
    <w:rsid w:val="001573EB"/>
    <w:rsid w:val="00157ABC"/>
    <w:rsid w:val="00157EF2"/>
    <w:rsid w:val="00160184"/>
    <w:rsid w:val="0016048C"/>
    <w:rsid w:val="001607FA"/>
    <w:rsid w:val="001609E8"/>
    <w:rsid w:val="00160CB6"/>
    <w:rsid w:val="00160EFC"/>
    <w:rsid w:val="001610D3"/>
    <w:rsid w:val="001612D5"/>
    <w:rsid w:val="00161994"/>
    <w:rsid w:val="00161A56"/>
    <w:rsid w:val="00161C37"/>
    <w:rsid w:val="00161C72"/>
    <w:rsid w:val="0016221A"/>
    <w:rsid w:val="001627E2"/>
    <w:rsid w:val="00162ABC"/>
    <w:rsid w:val="00162C94"/>
    <w:rsid w:val="00163060"/>
    <w:rsid w:val="00163F2B"/>
    <w:rsid w:val="001642C0"/>
    <w:rsid w:val="001644E4"/>
    <w:rsid w:val="0016467D"/>
    <w:rsid w:val="001646DC"/>
    <w:rsid w:val="0016487F"/>
    <w:rsid w:val="0016499A"/>
    <w:rsid w:val="00164A5F"/>
    <w:rsid w:val="00164C2F"/>
    <w:rsid w:val="001650FD"/>
    <w:rsid w:val="001651A9"/>
    <w:rsid w:val="0016521B"/>
    <w:rsid w:val="001652C4"/>
    <w:rsid w:val="0016539C"/>
    <w:rsid w:val="001659B3"/>
    <w:rsid w:val="00165FDE"/>
    <w:rsid w:val="0016660A"/>
    <w:rsid w:val="00166831"/>
    <w:rsid w:val="001668C7"/>
    <w:rsid w:val="00167143"/>
    <w:rsid w:val="00167324"/>
    <w:rsid w:val="001674BE"/>
    <w:rsid w:val="001677EF"/>
    <w:rsid w:val="001678BA"/>
    <w:rsid w:val="00167BD9"/>
    <w:rsid w:val="00167C4B"/>
    <w:rsid w:val="00167D9E"/>
    <w:rsid w:val="001701BA"/>
    <w:rsid w:val="00170215"/>
    <w:rsid w:val="001704AF"/>
    <w:rsid w:val="00170596"/>
    <w:rsid w:val="001708D5"/>
    <w:rsid w:val="00170945"/>
    <w:rsid w:val="00170C93"/>
    <w:rsid w:val="0017117E"/>
    <w:rsid w:val="001711E0"/>
    <w:rsid w:val="001713F2"/>
    <w:rsid w:val="0017167A"/>
    <w:rsid w:val="001716DB"/>
    <w:rsid w:val="001719AB"/>
    <w:rsid w:val="00171D01"/>
    <w:rsid w:val="00171D2F"/>
    <w:rsid w:val="00171F8A"/>
    <w:rsid w:val="00171F9A"/>
    <w:rsid w:val="00171FCB"/>
    <w:rsid w:val="001726BF"/>
    <w:rsid w:val="00172865"/>
    <w:rsid w:val="00172B44"/>
    <w:rsid w:val="0017317C"/>
    <w:rsid w:val="00173A16"/>
    <w:rsid w:val="00173D65"/>
    <w:rsid w:val="001742B2"/>
    <w:rsid w:val="00174411"/>
    <w:rsid w:val="00174D0E"/>
    <w:rsid w:val="001752D3"/>
    <w:rsid w:val="00175361"/>
    <w:rsid w:val="00175AE9"/>
    <w:rsid w:val="0017602F"/>
    <w:rsid w:val="0017632B"/>
    <w:rsid w:val="001764D0"/>
    <w:rsid w:val="0017667D"/>
    <w:rsid w:val="001770E3"/>
    <w:rsid w:val="00177341"/>
    <w:rsid w:val="001779E0"/>
    <w:rsid w:val="00177D4B"/>
    <w:rsid w:val="00177F00"/>
    <w:rsid w:val="0018024D"/>
    <w:rsid w:val="00180AEE"/>
    <w:rsid w:val="00180BF3"/>
    <w:rsid w:val="00180BF5"/>
    <w:rsid w:val="00180F30"/>
    <w:rsid w:val="00181281"/>
    <w:rsid w:val="001814CF"/>
    <w:rsid w:val="001817DA"/>
    <w:rsid w:val="00182069"/>
    <w:rsid w:val="00182348"/>
    <w:rsid w:val="00182DD7"/>
    <w:rsid w:val="001830C9"/>
    <w:rsid w:val="0018393B"/>
    <w:rsid w:val="0018396E"/>
    <w:rsid w:val="0018403D"/>
    <w:rsid w:val="00184620"/>
    <w:rsid w:val="00184675"/>
    <w:rsid w:val="0018468B"/>
    <w:rsid w:val="00184851"/>
    <w:rsid w:val="00184A42"/>
    <w:rsid w:val="00184C75"/>
    <w:rsid w:val="00184EB9"/>
    <w:rsid w:val="001851FB"/>
    <w:rsid w:val="00185364"/>
    <w:rsid w:val="00185EED"/>
    <w:rsid w:val="00185F20"/>
    <w:rsid w:val="0018644B"/>
    <w:rsid w:val="00186500"/>
    <w:rsid w:val="00186616"/>
    <w:rsid w:val="001867F0"/>
    <w:rsid w:val="00186832"/>
    <w:rsid w:val="00187CAF"/>
    <w:rsid w:val="00187DBF"/>
    <w:rsid w:val="00187DDF"/>
    <w:rsid w:val="00187FEA"/>
    <w:rsid w:val="00190D32"/>
    <w:rsid w:val="00191412"/>
    <w:rsid w:val="0019199D"/>
    <w:rsid w:val="00191CCF"/>
    <w:rsid w:val="00191D57"/>
    <w:rsid w:val="00192312"/>
    <w:rsid w:val="00192428"/>
    <w:rsid w:val="0019293B"/>
    <w:rsid w:val="0019331C"/>
    <w:rsid w:val="001935A1"/>
    <w:rsid w:val="00193930"/>
    <w:rsid w:val="00193D26"/>
    <w:rsid w:val="00193E33"/>
    <w:rsid w:val="00193E40"/>
    <w:rsid w:val="00193EAA"/>
    <w:rsid w:val="0019402D"/>
    <w:rsid w:val="001941AD"/>
    <w:rsid w:val="001941E9"/>
    <w:rsid w:val="001946E2"/>
    <w:rsid w:val="001948ED"/>
    <w:rsid w:val="00194A58"/>
    <w:rsid w:val="00195157"/>
    <w:rsid w:val="0019562B"/>
    <w:rsid w:val="00195657"/>
    <w:rsid w:val="001959A3"/>
    <w:rsid w:val="001959B1"/>
    <w:rsid w:val="00195BD1"/>
    <w:rsid w:val="00196214"/>
    <w:rsid w:val="00196491"/>
    <w:rsid w:val="0019649E"/>
    <w:rsid w:val="0019729C"/>
    <w:rsid w:val="00197484"/>
    <w:rsid w:val="0019756F"/>
    <w:rsid w:val="001976AF"/>
    <w:rsid w:val="001A06BB"/>
    <w:rsid w:val="001A0F41"/>
    <w:rsid w:val="001A1190"/>
    <w:rsid w:val="001A12A0"/>
    <w:rsid w:val="001A1558"/>
    <w:rsid w:val="001A1637"/>
    <w:rsid w:val="001A1996"/>
    <w:rsid w:val="001A1F6F"/>
    <w:rsid w:val="001A25A7"/>
    <w:rsid w:val="001A2A7F"/>
    <w:rsid w:val="001A2EBF"/>
    <w:rsid w:val="001A32B5"/>
    <w:rsid w:val="001A3420"/>
    <w:rsid w:val="001A36F5"/>
    <w:rsid w:val="001A39A7"/>
    <w:rsid w:val="001A3CAE"/>
    <w:rsid w:val="001A44F3"/>
    <w:rsid w:val="001A478F"/>
    <w:rsid w:val="001A49DB"/>
    <w:rsid w:val="001A4C98"/>
    <w:rsid w:val="001A505C"/>
    <w:rsid w:val="001A5965"/>
    <w:rsid w:val="001A5A9D"/>
    <w:rsid w:val="001A5D10"/>
    <w:rsid w:val="001A5D3D"/>
    <w:rsid w:val="001A63C3"/>
    <w:rsid w:val="001A670C"/>
    <w:rsid w:val="001A6766"/>
    <w:rsid w:val="001A677B"/>
    <w:rsid w:val="001A6AA4"/>
    <w:rsid w:val="001A6E67"/>
    <w:rsid w:val="001A6FCA"/>
    <w:rsid w:val="001A7714"/>
    <w:rsid w:val="001A7980"/>
    <w:rsid w:val="001A7A50"/>
    <w:rsid w:val="001A7C33"/>
    <w:rsid w:val="001B00D0"/>
    <w:rsid w:val="001B04C6"/>
    <w:rsid w:val="001B057F"/>
    <w:rsid w:val="001B0997"/>
    <w:rsid w:val="001B0DCF"/>
    <w:rsid w:val="001B1089"/>
    <w:rsid w:val="001B10F6"/>
    <w:rsid w:val="001B116E"/>
    <w:rsid w:val="001B1456"/>
    <w:rsid w:val="001B167A"/>
    <w:rsid w:val="001B1793"/>
    <w:rsid w:val="001B1B52"/>
    <w:rsid w:val="001B1C5D"/>
    <w:rsid w:val="001B2128"/>
    <w:rsid w:val="001B229C"/>
    <w:rsid w:val="001B2443"/>
    <w:rsid w:val="001B2A83"/>
    <w:rsid w:val="001B2D4E"/>
    <w:rsid w:val="001B310A"/>
    <w:rsid w:val="001B384C"/>
    <w:rsid w:val="001B3851"/>
    <w:rsid w:val="001B3A3B"/>
    <w:rsid w:val="001B3A4E"/>
    <w:rsid w:val="001B3AB4"/>
    <w:rsid w:val="001B4043"/>
    <w:rsid w:val="001B4050"/>
    <w:rsid w:val="001B465C"/>
    <w:rsid w:val="001B49D7"/>
    <w:rsid w:val="001B4D55"/>
    <w:rsid w:val="001B58EA"/>
    <w:rsid w:val="001B64AB"/>
    <w:rsid w:val="001B65F0"/>
    <w:rsid w:val="001B6BDB"/>
    <w:rsid w:val="001B6D22"/>
    <w:rsid w:val="001B6EBE"/>
    <w:rsid w:val="001B705C"/>
    <w:rsid w:val="001B70DD"/>
    <w:rsid w:val="001B76FA"/>
    <w:rsid w:val="001B7A0C"/>
    <w:rsid w:val="001B7E51"/>
    <w:rsid w:val="001C018D"/>
    <w:rsid w:val="001C01EC"/>
    <w:rsid w:val="001C0696"/>
    <w:rsid w:val="001C0865"/>
    <w:rsid w:val="001C08DE"/>
    <w:rsid w:val="001C1300"/>
    <w:rsid w:val="001C15D7"/>
    <w:rsid w:val="001C16E0"/>
    <w:rsid w:val="001C1960"/>
    <w:rsid w:val="001C1DDC"/>
    <w:rsid w:val="001C1E61"/>
    <w:rsid w:val="001C2228"/>
    <w:rsid w:val="001C2CF8"/>
    <w:rsid w:val="001C305C"/>
    <w:rsid w:val="001C37A4"/>
    <w:rsid w:val="001C38AF"/>
    <w:rsid w:val="001C3ABA"/>
    <w:rsid w:val="001C3C92"/>
    <w:rsid w:val="001C427D"/>
    <w:rsid w:val="001C4339"/>
    <w:rsid w:val="001C4B02"/>
    <w:rsid w:val="001C4BC6"/>
    <w:rsid w:val="001C4E82"/>
    <w:rsid w:val="001C5662"/>
    <w:rsid w:val="001C58F6"/>
    <w:rsid w:val="001C5C53"/>
    <w:rsid w:val="001C5F57"/>
    <w:rsid w:val="001C641C"/>
    <w:rsid w:val="001C647C"/>
    <w:rsid w:val="001C6590"/>
    <w:rsid w:val="001C7437"/>
    <w:rsid w:val="001C7BAF"/>
    <w:rsid w:val="001D0333"/>
    <w:rsid w:val="001D04D7"/>
    <w:rsid w:val="001D0613"/>
    <w:rsid w:val="001D0880"/>
    <w:rsid w:val="001D0CA3"/>
    <w:rsid w:val="001D0F2E"/>
    <w:rsid w:val="001D1195"/>
    <w:rsid w:val="001D120C"/>
    <w:rsid w:val="001D1490"/>
    <w:rsid w:val="001D1497"/>
    <w:rsid w:val="001D1B32"/>
    <w:rsid w:val="001D1C87"/>
    <w:rsid w:val="001D21B1"/>
    <w:rsid w:val="001D2645"/>
    <w:rsid w:val="001D2D56"/>
    <w:rsid w:val="001D32C5"/>
    <w:rsid w:val="001D3533"/>
    <w:rsid w:val="001D35B6"/>
    <w:rsid w:val="001D3C52"/>
    <w:rsid w:val="001D3E65"/>
    <w:rsid w:val="001D4385"/>
    <w:rsid w:val="001D4944"/>
    <w:rsid w:val="001D4CD5"/>
    <w:rsid w:val="001D50CE"/>
    <w:rsid w:val="001D5158"/>
    <w:rsid w:val="001D56AC"/>
    <w:rsid w:val="001D5C73"/>
    <w:rsid w:val="001D61D1"/>
    <w:rsid w:val="001D61FF"/>
    <w:rsid w:val="001D664B"/>
    <w:rsid w:val="001D6859"/>
    <w:rsid w:val="001D75ED"/>
    <w:rsid w:val="001D7A25"/>
    <w:rsid w:val="001D7DC3"/>
    <w:rsid w:val="001E0323"/>
    <w:rsid w:val="001E0366"/>
    <w:rsid w:val="001E09AA"/>
    <w:rsid w:val="001E0ADD"/>
    <w:rsid w:val="001E12CE"/>
    <w:rsid w:val="001E1BC2"/>
    <w:rsid w:val="001E1CC2"/>
    <w:rsid w:val="001E2330"/>
    <w:rsid w:val="001E25B7"/>
    <w:rsid w:val="001E26BC"/>
    <w:rsid w:val="001E2D09"/>
    <w:rsid w:val="001E3503"/>
    <w:rsid w:val="001E388C"/>
    <w:rsid w:val="001E3B6B"/>
    <w:rsid w:val="001E41C4"/>
    <w:rsid w:val="001E478E"/>
    <w:rsid w:val="001E48FC"/>
    <w:rsid w:val="001E4AF3"/>
    <w:rsid w:val="001E4C3E"/>
    <w:rsid w:val="001E4E08"/>
    <w:rsid w:val="001E5100"/>
    <w:rsid w:val="001E5C4B"/>
    <w:rsid w:val="001E5C5B"/>
    <w:rsid w:val="001E606D"/>
    <w:rsid w:val="001E6561"/>
    <w:rsid w:val="001E65EE"/>
    <w:rsid w:val="001E67EC"/>
    <w:rsid w:val="001E6B48"/>
    <w:rsid w:val="001E7797"/>
    <w:rsid w:val="001E7815"/>
    <w:rsid w:val="001E791B"/>
    <w:rsid w:val="001E7BE8"/>
    <w:rsid w:val="001E7CC6"/>
    <w:rsid w:val="001E7CE2"/>
    <w:rsid w:val="001F0036"/>
    <w:rsid w:val="001F0064"/>
    <w:rsid w:val="001F0248"/>
    <w:rsid w:val="001F098F"/>
    <w:rsid w:val="001F09B4"/>
    <w:rsid w:val="001F0A49"/>
    <w:rsid w:val="001F0BA4"/>
    <w:rsid w:val="001F0E26"/>
    <w:rsid w:val="001F0F29"/>
    <w:rsid w:val="001F0F4F"/>
    <w:rsid w:val="001F1185"/>
    <w:rsid w:val="001F13A5"/>
    <w:rsid w:val="001F13B6"/>
    <w:rsid w:val="001F15DA"/>
    <w:rsid w:val="001F1621"/>
    <w:rsid w:val="001F16BC"/>
    <w:rsid w:val="001F1B84"/>
    <w:rsid w:val="001F1E7C"/>
    <w:rsid w:val="001F2352"/>
    <w:rsid w:val="001F26FD"/>
    <w:rsid w:val="001F29CA"/>
    <w:rsid w:val="001F3011"/>
    <w:rsid w:val="001F33C8"/>
    <w:rsid w:val="001F3404"/>
    <w:rsid w:val="001F34E8"/>
    <w:rsid w:val="001F3811"/>
    <w:rsid w:val="001F3B41"/>
    <w:rsid w:val="001F402B"/>
    <w:rsid w:val="001F4106"/>
    <w:rsid w:val="001F4A33"/>
    <w:rsid w:val="001F4C0B"/>
    <w:rsid w:val="001F4C5D"/>
    <w:rsid w:val="001F4CAE"/>
    <w:rsid w:val="001F5561"/>
    <w:rsid w:val="001F5803"/>
    <w:rsid w:val="001F5E9F"/>
    <w:rsid w:val="001F6672"/>
    <w:rsid w:val="001F6A0D"/>
    <w:rsid w:val="001F7114"/>
    <w:rsid w:val="001F735C"/>
    <w:rsid w:val="001F7A37"/>
    <w:rsid w:val="001F7D6D"/>
    <w:rsid w:val="001F7F04"/>
    <w:rsid w:val="002000F9"/>
    <w:rsid w:val="002002AA"/>
    <w:rsid w:val="00201442"/>
    <w:rsid w:val="002017B4"/>
    <w:rsid w:val="002017CC"/>
    <w:rsid w:val="002017DE"/>
    <w:rsid w:val="00201A0B"/>
    <w:rsid w:val="00201D3F"/>
    <w:rsid w:val="00201E3B"/>
    <w:rsid w:val="0020255B"/>
    <w:rsid w:val="0020296D"/>
    <w:rsid w:val="00202A98"/>
    <w:rsid w:val="00202BAB"/>
    <w:rsid w:val="00202C2C"/>
    <w:rsid w:val="0020345F"/>
    <w:rsid w:val="002034BA"/>
    <w:rsid w:val="00203BB2"/>
    <w:rsid w:val="00204043"/>
    <w:rsid w:val="00204577"/>
    <w:rsid w:val="002047FD"/>
    <w:rsid w:val="00204932"/>
    <w:rsid w:val="00204A2A"/>
    <w:rsid w:val="00204AF9"/>
    <w:rsid w:val="00204C94"/>
    <w:rsid w:val="002050F8"/>
    <w:rsid w:val="002051FF"/>
    <w:rsid w:val="00205544"/>
    <w:rsid w:val="00205635"/>
    <w:rsid w:val="00205938"/>
    <w:rsid w:val="00205AC8"/>
    <w:rsid w:val="00205C9A"/>
    <w:rsid w:val="00205DE4"/>
    <w:rsid w:val="002061F6"/>
    <w:rsid w:val="00206352"/>
    <w:rsid w:val="002063F3"/>
    <w:rsid w:val="002064AB"/>
    <w:rsid w:val="00206A5F"/>
    <w:rsid w:val="00206A6F"/>
    <w:rsid w:val="00206DC5"/>
    <w:rsid w:val="00206E13"/>
    <w:rsid w:val="00206E3D"/>
    <w:rsid w:val="0020717E"/>
    <w:rsid w:val="00207355"/>
    <w:rsid w:val="0020739B"/>
    <w:rsid w:val="0020741C"/>
    <w:rsid w:val="00207588"/>
    <w:rsid w:val="0020796D"/>
    <w:rsid w:val="00207BA0"/>
    <w:rsid w:val="00207D65"/>
    <w:rsid w:val="002101ED"/>
    <w:rsid w:val="0021057E"/>
    <w:rsid w:val="00211376"/>
    <w:rsid w:val="00211442"/>
    <w:rsid w:val="002114F4"/>
    <w:rsid w:val="00211820"/>
    <w:rsid w:val="002118B8"/>
    <w:rsid w:val="00211A61"/>
    <w:rsid w:val="00211C36"/>
    <w:rsid w:val="00211C41"/>
    <w:rsid w:val="00212011"/>
    <w:rsid w:val="00212164"/>
    <w:rsid w:val="00212372"/>
    <w:rsid w:val="00212399"/>
    <w:rsid w:val="0021255E"/>
    <w:rsid w:val="002125EB"/>
    <w:rsid w:val="002126ED"/>
    <w:rsid w:val="00212ABE"/>
    <w:rsid w:val="00213455"/>
    <w:rsid w:val="00213BF5"/>
    <w:rsid w:val="00214004"/>
    <w:rsid w:val="00214A88"/>
    <w:rsid w:val="00214D2E"/>
    <w:rsid w:val="00215011"/>
    <w:rsid w:val="00215485"/>
    <w:rsid w:val="00215759"/>
    <w:rsid w:val="002157D9"/>
    <w:rsid w:val="00215BB8"/>
    <w:rsid w:val="00215FA5"/>
    <w:rsid w:val="002160C7"/>
    <w:rsid w:val="00216242"/>
    <w:rsid w:val="0021640A"/>
    <w:rsid w:val="00216721"/>
    <w:rsid w:val="00216849"/>
    <w:rsid w:val="00216ADB"/>
    <w:rsid w:val="00216B08"/>
    <w:rsid w:val="00216B9B"/>
    <w:rsid w:val="00216C24"/>
    <w:rsid w:val="00216EF2"/>
    <w:rsid w:val="002173F3"/>
    <w:rsid w:val="00217EF3"/>
    <w:rsid w:val="00220131"/>
    <w:rsid w:val="00220797"/>
    <w:rsid w:val="00220798"/>
    <w:rsid w:val="0022083A"/>
    <w:rsid w:val="00220CB7"/>
    <w:rsid w:val="00220E9F"/>
    <w:rsid w:val="0022182D"/>
    <w:rsid w:val="0022319C"/>
    <w:rsid w:val="00223450"/>
    <w:rsid w:val="00223485"/>
    <w:rsid w:val="0022359E"/>
    <w:rsid w:val="002237A2"/>
    <w:rsid w:val="00223C4D"/>
    <w:rsid w:val="002248BA"/>
    <w:rsid w:val="002249BB"/>
    <w:rsid w:val="00224B26"/>
    <w:rsid w:val="00225267"/>
    <w:rsid w:val="002255CC"/>
    <w:rsid w:val="00225994"/>
    <w:rsid w:val="002262BF"/>
    <w:rsid w:val="00226498"/>
    <w:rsid w:val="0022670B"/>
    <w:rsid w:val="00226710"/>
    <w:rsid w:val="002268D8"/>
    <w:rsid w:val="002274AD"/>
    <w:rsid w:val="002276EC"/>
    <w:rsid w:val="00227930"/>
    <w:rsid w:val="00227A91"/>
    <w:rsid w:val="00227BC8"/>
    <w:rsid w:val="00227CA5"/>
    <w:rsid w:val="002300E8"/>
    <w:rsid w:val="00230780"/>
    <w:rsid w:val="00230905"/>
    <w:rsid w:val="00230C95"/>
    <w:rsid w:val="00230F42"/>
    <w:rsid w:val="002310A6"/>
    <w:rsid w:val="0023113F"/>
    <w:rsid w:val="00231179"/>
    <w:rsid w:val="002312D2"/>
    <w:rsid w:val="002312E9"/>
    <w:rsid w:val="002313E7"/>
    <w:rsid w:val="002314A1"/>
    <w:rsid w:val="0023151F"/>
    <w:rsid w:val="0023172E"/>
    <w:rsid w:val="00231D5D"/>
    <w:rsid w:val="00231E9A"/>
    <w:rsid w:val="00231EC7"/>
    <w:rsid w:val="002325A4"/>
    <w:rsid w:val="00232FBB"/>
    <w:rsid w:val="0023314C"/>
    <w:rsid w:val="00233222"/>
    <w:rsid w:val="002337AE"/>
    <w:rsid w:val="00233BC0"/>
    <w:rsid w:val="00234577"/>
    <w:rsid w:val="002349C4"/>
    <w:rsid w:val="00235998"/>
    <w:rsid w:val="00235CC3"/>
    <w:rsid w:val="00236172"/>
    <w:rsid w:val="00236198"/>
    <w:rsid w:val="00236428"/>
    <w:rsid w:val="002365F3"/>
    <w:rsid w:val="00236915"/>
    <w:rsid w:val="00236DE7"/>
    <w:rsid w:val="00236F2C"/>
    <w:rsid w:val="00237209"/>
    <w:rsid w:val="00237597"/>
    <w:rsid w:val="00237742"/>
    <w:rsid w:val="002379B6"/>
    <w:rsid w:val="00237D93"/>
    <w:rsid w:val="00237FE5"/>
    <w:rsid w:val="002405BB"/>
    <w:rsid w:val="0024081F"/>
    <w:rsid w:val="00241277"/>
    <w:rsid w:val="00241320"/>
    <w:rsid w:val="002414BA"/>
    <w:rsid w:val="002414F8"/>
    <w:rsid w:val="002414F9"/>
    <w:rsid w:val="002414FA"/>
    <w:rsid w:val="00241617"/>
    <w:rsid w:val="00241A33"/>
    <w:rsid w:val="00242279"/>
    <w:rsid w:val="0024255E"/>
    <w:rsid w:val="00242B0A"/>
    <w:rsid w:val="00242B91"/>
    <w:rsid w:val="00242F3A"/>
    <w:rsid w:val="0024378F"/>
    <w:rsid w:val="00243A6A"/>
    <w:rsid w:val="00243B3F"/>
    <w:rsid w:val="00243EEA"/>
    <w:rsid w:val="002446A3"/>
    <w:rsid w:val="00244749"/>
    <w:rsid w:val="00244A8E"/>
    <w:rsid w:val="00244CF6"/>
    <w:rsid w:val="00244D29"/>
    <w:rsid w:val="002450D2"/>
    <w:rsid w:val="0024564C"/>
    <w:rsid w:val="00245CAE"/>
    <w:rsid w:val="00245EF6"/>
    <w:rsid w:val="00246087"/>
    <w:rsid w:val="00246379"/>
    <w:rsid w:val="00246955"/>
    <w:rsid w:val="00246B7F"/>
    <w:rsid w:val="00246C0B"/>
    <w:rsid w:val="00246EB8"/>
    <w:rsid w:val="00246ECA"/>
    <w:rsid w:val="00246F87"/>
    <w:rsid w:val="00246F9D"/>
    <w:rsid w:val="002472D8"/>
    <w:rsid w:val="00247370"/>
    <w:rsid w:val="00247395"/>
    <w:rsid w:val="00247642"/>
    <w:rsid w:val="00247670"/>
    <w:rsid w:val="00247B3D"/>
    <w:rsid w:val="00247B6C"/>
    <w:rsid w:val="00247E35"/>
    <w:rsid w:val="002505E1"/>
    <w:rsid w:val="00250D14"/>
    <w:rsid w:val="00250E4E"/>
    <w:rsid w:val="00250FBC"/>
    <w:rsid w:val="00251319"/>
    <w:rsid w:val="00251562"/>
    <w:rsid w:val="00251583"/>
    <w:rsid w:val="0025180B"/>
    <w:rsid w:val="00251D23"/>
    <w:rsid w:val="00251E0C"/>
    <w:rsid w:val="00251E1C"/>
    <w:rsid w:val="00251FC2"/>
    <w:rsid w:val="002520DE"/>
    <w:rsid w:val="0025252F"/>
    <w:rsid w:val="002528FC"/>
    <w:rsid w:val="00252B80"/>
    <w:rsid w:val="00252C38"/>
    <w:rsid w:val="00252CAA"/>
    <w:rsid w:val="00252DF3"/>
    <w:rsid w:val="00252EC6"/>
    <w:rsid w:val="00253255"/>
    <w:rsid w:val="002532C8"/>
    <w:rsid w:val="00253760"/>
    <w:rsid w:val="00253A9E"/>
    <w:rsid w:val="00253B1C"/>
    <w:rsid w:val="00253F4F"/>
    <w:rsid w:val="00254BB3"/>
    <w:rsid w:val="00254BCB"/>
    <w:rsid w:val="00255187"/>
    <w:rsid w:val="0025527F"/>
    <w:rsid w:val="00255470"/>
    <w:rsid w:val="0025555D"/>
    <w:rsid w:val="00255583"/>
    <w:rsid w:val="00255C3A"/>
    <w:rsid w:val="002568E7"/>
    <w:rsid w:val="00256FBB"/>
    <w:rsid w:val="002571D5"/>
    <w:rsid w:val="0025733F"/>
    <w:rsid w:val="002576C5"/>
    <w:rsid w:val="00257A0C"/>
    <w:rsid w:val="00257B85"/>
    <w:rsid w:val="00260302"/>
    <w:rsid w:val="0026088F"/>
    <w:rsid w:val="0026118D"/>
    <w:rsid w:val="002614EE"/>
    <w:rsid w:val="0026170F"/>
    <w:rsid w:val="00262219"/>
    <w:rsid w:val="00262CF3"/>
    <w:rsid w:val="002636CE"/>
    <w:rsid w:val="00263A8E"/>
    <w:rsid w:val="00263ABD"/>
    <w:rsid w:val="00263DA4"/>
    <w:rsid w:val="00263F08"/>
    <w:rsid w:val="00263FCA"/>
    <w:rsid w:val="002644FD"/>
    <w:rsid w:val="0026454E"/>
    <w:rsid w:val="00264956"/>
    <w:rsid w:val="00264B5F"/>
    <w:rsid w:val="0026526B"/>
    <w:rsid w:val="0026590F"/>
    <w:rsid w:val="00265940"/>
    <w:rsid w:val="00265B4D"/>
    <w:rsid w:val="00265DB7"/>
    <w:rsid w:val="00266488"/>
    <w:rsid w:val="00266A59"/>
    <w:rsid w:val="00266BC4"/>
    <w:rsid w:val="00266D16"/>
    <w:rsid w:val="0026711E"/>
    <w:rsid w:val="0026766A"/>
    <w:rsid w:val="00267A06"/>
    <w:rsid w:val="00267C29"/>
    <w:rsid w:val="00267D3B"/>
    <w:rsid w:val="00267E4F"/>
    <w:rsid w:val="00267F76"/>
    <w:rsid w:val="002702C4"/>
    <w:rsid w:val="00270972"/>
    <w:rsid w:val="00270E9E"/>
    <w:rsid w:val="00271141"/>
    <w:rsid w:val="00271B5C"/>
    <w:rsid w:val="002723B0"/>
    <w:rsid w:val="00272A85"/>
    <w:rsid w:val="00272D6D"/>
    <w:rsid w:val="00273135"/>
    <w:rsid w:val="002735A7"/>
    <w:rsid w:val="0027398D"/>
    <w:rsid w:val="00273D1E"/>
    <w:rsid w:val="002744CE"/>
    <w:rsid w:val="00274890"/>
    <w:rsid w:val="00274E55"/>
    <w:rsid w:val="002750E3"/>
    <w:rsid w:val="002751A4"/>
    <w:rsid w:val="002751A7"/>
    <w:rsid w:val="00275431"/>
    <w:rsid w:val="00275F9E"/>
    <w:rsid w:val="002761C8"/>
    <w:rsid w:val="0027625B"/>
    <w:rsid w:val="00276671"/>
    <w:rsid w:val="00276C2C"/>
    <w:rsid w:val="00276FA0"/>
    <w:rsid w:val="0027744B"/>
    <w:rsid w:val="00277719"/>
    <w:rsid w:val="00277C09"/>
    <w:rsid w:val="00277D73"/>
    <w:rsid w:val="002803F8"/>
    <w:rsid w:val="002806F0"/>
    <w:rsid w:val="00280724"/>
    <w:rsid w:val="00280A35"/>
    <w:rsid w:val="00280BB2"/>
    <w:rsid w:val="00280E56"/>
    <w:rsid w:val="002810B7"/>
    <w:rsid w:val="002816D8"/>
    <w:rsid w:val="002816FB"/>
    <w:rsid w:val="00281B9E"/>
    <w:rsid w:val="00281CB5"/>
    <w:rsid w:val="00281DAA"/>
    <w:rsid w:val="0028236B"/>
    <w:rsid w:val="0028249D"/>
    <w:rsid w:val="00282770"/>
    <w:rsid w:val="002828D3"/>
    <w:rsid w:val="00282A83"/>
    <w:rsid w:val="00282F7F"/>
    <w:rsid w:val="002833BC"/>
    <w:rsid w:val="0028380A"/>
    <w:rsid w:val="00284174"/>
    <w:rsid w:val="002841DB"/>
    <w:rsid w:val="0028432A"/>
    <w:rsid w:val="002843B4"/>
    <w:rsid w:val="00284627"/>
    <w:rsid w:val="00284728"/>
    <w:rsid w:val="0028495D"/>
    <w:rsid w:val="002849B0"/>
    <w:rsid w:val="00284C6D"/>
    <w:rsid w:val="002850FA"/>
    <w:rsid w:val="0028570A"/>
    <w:rsid w:val="00285B7A"/>
    <w:rsid w:val="00285C39"/>
    <w:rsid w:val="0028629C"/>
    <w:rsid w:val="00286658"/>
    <w:rsid w:val="00286A74"/>
    <w:rsid w:val="00286DEC"/>
    <w:rsid w:val="002870BB"/>
    <w:rsid w:val="002871DB"/>
    <w:rsid w:val="002875F4"/>
    <w:rsid w:val="002876B4"/>
    <w:rsid w:val="002878E8"/>
    <w:rsid w:val="00290029"/>
    <w:rsid w:val="002901C2"/>
    <w:rsid w:val="002905A7"/>
    <w:rsid w:val="0029097A"/>
    <w:rsid w:val="00290F56"/>
    <w:rsid w:val="002910C9"/>
    <w:rsid w:val="002911E2"/>
    <w:rsid w:val="00291305"/>
    <w:rsid w:val="002919B8"/>
    <w:rsid w:val="00291B40"/>
    <w:rsid w:val="00291E55"/>
    <w:rsid w:val="00291F6E"/>
    <w:rsid w:val="002922E5"/>
    <w:rsid w:val="0029231D"/>
    <w:rsid w:val="002929FD"/>
    <w:rsid w:val="00292DDD"/>
    <w:rsid w:val="00293007"/>
    <w:rsid w:val="00293119"/>
    <w:rsid w:val="00293211"/>
    <w:rsid w:val="00293350"/>
    <w:rsid w:val="0029339D"/>
    <w:rsid w:val="00293768"/>
    <w:rsid w:val="00293868"/>
    <w:rsid w:val="002941F1"/>
    <w:rsid w:val="002945E5"/>
    <w:rsid w:val="002947F6"/>
    <w:rsid w:val="00294A0B"/>
    <w:rsid w:val="00295628"/>
    <w:rsid w:val="002956A4"/>
    <w:rsid w:val="00295811"/>
    <w:rsid w:val="0029588E"/>
    <w:rsid w:val="002959C4"/>
    <w:rsid w:val="002959CA"/>
    <w:rsid w:val="00295AC5"/>
    <w:rsid w:val="00295FEF"/>
    <w:rsid w:val="00296661"/>
    <w:rsid w:val="00296AB6"/>
    <w:rsid w:val="00296EBF"/>
    <w:rsid w:val="00296FE9"/>
    <w:rsid w:val="00297723"/>
    <w:rsid w:val="002977A8"/>
    <w:rsid w:val="0029795B"/>
    <w:rsid w:val="002979E7"/>
    <w:rsid w:val="00297CBA"/>
    <w:rsid w:val="00297E5E"/>
    <w:rsid w:val="002A003B"/>
    <w:rsid w:val="002A08DC"/>
    <w:rsid w:val="002A0AF1"/>
    <w:rsid w:val="002A0D6E"/>
    <w:rsid w:val="002A0D8F"/>
    <w:rsid w:val="002A0E01"/>
    <w:rsid w:val="002A10CA"/>
    <w:rsid w:val="002A1944"/>
    <w:rsid w:val="002A1A37"/>
    <w:rsid w:val="002A1ACE"/>
    <w:rsid w:val="002A1B59"/>
    <w:rsid w:val="002A1C87"/>
    <w:rsid w:val="002A1FC0"/>
    <w:rsid w:val="002A23A8"/>
    <w:rsid w:val="002A27C9"/>
    <w:rsid w:val="002A293E"/>
    <w:rsid w:val="002A2AAF"/>
    <w:rsid w:val="002A2E76"/>
    <w:rsid w:val="002A2EEE"/>
    <w:rsid w:val="002A3AD4"/>
    <w:rsid w:val="002A4593"/>
    <w:rsid w:val="002A4B30"/>
    <w:rsid w:val="002A4E05"/>
    <w:rsid w:val="002A4EA1"/>
    <w:rsid w:val="002A4F6B"/>
    <w:rsid w:val="002A4F70"/>
    <w:rsid w:val="002A5121"/>
    <w:rsid w:val="002A541D"/>
    <w:rsid w:val="002A5743"/>
    <w:rsid w:val="002A5CE6"/>
    <w:rsid w:val="002A5EE5"/>
    <w:rsid w:val="002A693E"/>
    <w:rsid w:val="002A6E44"/>
    <w:rsid w:val="002A6EDB"/>
    <w:rsid w:val="002A7490"/>
    <w:rsid w:val="002A762C"/>
    <w:rsid w:val="002A7EDF"/>
    <w:rsid w:val="002B00F5"/>
    <w:rsid w:val="002B029A"/>
    <w:rsid w:val="002B02BB"/>
    <w:rsid w:val="002B0B9A"/>
    <w:rsid w:val="002B0E67"/>
    <w:rsid w:val="002B0EAC"/>
    <w:rsid w:val="002B10F1"/>
    <w:rsid w:val="002B11E7"/>
    <w:rsid w:val="002B1201"/>
    <w:rsid w:val="002B136B"/>
    <w:rsid w:val="002B1520"/>
    <w:rsid w:val="002B1DB3"/>
    <w:rsid w:val="002B1EB7"/>
    <w:rsid w:val="002B2103"/>
    <w:rsid w:val="002B2391"/>
    <w:rsid w:val="002B2D38"/>
    <w:rsid w:val="002B316E"/>
    <w:rsid w:val="002B3DB8"/>
    <w:rsid w:val="002B3FFA"/>
    <w:rsid w:val="002B4008"/>
    <w:rsid w:val="002B40DA"/>
    <w:rsid w:val="002B49FC"/>
    <w:rsid w:val="002B54EE"/>
    <w:rsid w:val="002B5642"/>
    <w:rsid w:val="002B5679"/>
    <w:rsid w:val="002B570E"/>
    <w:rsid w:val="002B57AB"/>
    <w:rsid w:val="002B59A3"/>
    <w:rsid w:val="002B5AD5"/>
    <w:rsid w:val="002B5EE5"/>
    <w:rsid w:val="002B60D1"/>
    <w:rsid w:val="002B61E4"/>
    <w:rsid w:val="002B6B78"/>
    <w:rsid w:val="002B6EFE"/>
    <w:rsid w:val="002B7180"/>
    <w:rsid w:val="002B72D4"/>
    <w:rsid w:val="002B7397"/>
    <w:rsid w:val="002B791F"/>
    <w:rsid w:val="002B7AEB"/>
    <w:rsid w:val="002B7C00"/>
    <w:rsid w:val="002B7D99"/>
    <w:rsid w:val="002C0000"/>
    <w:rsid w:val="002C05A7"/>
    <w:rsid w:val="002C0857"/>
    <w:rsid w:val="002C0D06"/>
    <w:rsid w:val="002C0DB8"/>
    <w:rsid w:val="002C176C"/>
    <w:rsid w:val="002C1DEC"/>
    <w:rsid w:val="002C21C4"/>
    <w:rsid w:val="002C2577"/>
    <w:rsid w:val="002C2675"/>
    <w:rsid w:val="002C27DC"/>
    <w:rsid w:val="002C283D"/>
    <w:rsid w:val="002C2EA1"/>
    <w:rsid w:val="002C3021"/>
    <w:rsid w:val="002C3391"/>
    <w:rsid w:val="002C3616"/>
    <w:rsid w:val="002C3DD9"/>
    <w:rsid w:val="002C49C3"/>
    <w:rsid w:val="002C4B37"/>
    <w:rsid w:val="002C4ECF"/>
    <w:rsid w:val="002C525D"/>
    <w:rsid w:val="002C5CFB"/>
    <w:rsid w:val="002C64CF"/>
    <w:rsid w:val="002C65C4"/>
    <w:rsid w:val="002C6812"/>
    <w:rsid w:val="002C6907"/>
    <w:rsid w:val="002C6C7D"/>
    <w:rsid w:val="002C6FDF"/>
    <w:rsid w:val="002C7449"/>
    <w:rsid w:val="002C791A"/>
    <w:rsid w:val="002C79A4"/>
    <w:rsid w:val="002C79AB"/>
    <w:rsid w:val="002C7C98"/>
    <w:rsid w:val="002C7CFA"/>
    <w:rsid w:val="002C7DF9"/>
    <w:rsid w:val="002D0061"/>
    <w:rsid w:val="002D02F8"/>
    <w:rsid w:val="002D037C"/>
    <w:rsid w:val="002D091B"/>
    <w:rsid w:val="002D0E8E"/>
    <w:rsid w:val="002D0FD5"/>
    <w:rsid w:val="002D1308"/>
    <w:rsid w:val="002D1438"/>
    <w:rsid w:val="002D1571"/>
    <w:rsid w:val="002D1C08"/>
    <w:rsid w:val="002D1C1B"/>
    <w:rsid w:val="002D1CAE"/>
    <w:rsid w:val="002D207B"/>
    <w:rsid w:val="002D20E6"/>
    <w:rsid w:val="002D21AF"/>
    <w:rsid w:val="002D27A9"/>
    <w:rsid w:val="002D27D3"/>
    <w:rsid w:val="002D2864"/>
    <w:rsid w:val="002D2DA2"/>
    <w:rsid w:val="002D2E09"/>
    <w:rsid w:val="002D2FC0"/>
    <w:rsid w:val="002D338A"/>
    <w:rsid w:val="002D33E4"/>
    <w:rsid w:val="002D34F0"/>
    <w:rsid w:val="002D3710"/>
    <w:rsid w:val="002D3951"/>
    <w:rsid w:val="002D3DE4"/>
    <w:rsid w:val="002D42E9"/>
    <w:rsid w:val="002D4338"/>
    <w:rsid w:val="002D45FC"/>
    <w:rsid w:val="002D47D2"/>
    <w:rsid w:val="002D55F7"/>
    <w:rsid w:val="002D574E"/>
    <w:rsid w:val="002D58AB"/>
    <w:rsid w:val="002D590D"/>
    <w:rsid w:val="002D5934"/>
    <w:rsid w:val="002D5C11"/>
    <w:rsid w:val="002D6944"/>
    <w:rsid w:val="002D6ADF"/>
    <w:rsid w:val="002D6D0A"/>
    <w:rsid w:val="002D715A"/>
    <w:rsid w:val="002D73AB"/>
    <w:rsid w:val="002D7543"/>
    <w:rsid w:val="002D758F"/>
    <w:rsid w:val="002D7D5E"/>
    <w:rsid w:val="002D7D65"/>
    <w:rsid w:val="002E00FF"/>
    <w:rsid w:val="002E0352"/>
    <w:rsid w:val="002E0483"/>
    <w:rsid w:val="002E06BF"/>
    <w:rsid w:val="002E079A"/>
    <w:rsid w:val="002E0894"/>
    <w:rsid w:val="002E094B"/>
    <w:rsid w:val="002E0A5F"/>
    <w:rsid w:val="002E0AF9"/>
    <w:rsid w:val="002E0DD6"/>
    <w:rsid w:val="002E0F02"/>
    <w:rsid w:val="002E0F0F"/>
    <w:rsid w:val="002E10E1"/>
    <w:rsid w:val="002E1345"/>
    <w:rsid w:val="002E157E"/>
    <w:rsid w:val="002E1CC7"/>
    <w:rsid w:val="002E1DE3"/>
    <w:rsid w:val="002E1F16"/>
    <w:rsid w:val="002E204D"/>
    <w:rsid w:val="002E25D5"/>
    <w:rsid w:val="002E25DC"/>
    <w:rsid w:val="002E25F9"/>
    <w:rsid w:val="002E28BA"/>
    <w:rsid w:val="002E35B5"/>
    <w:rsid w:val="002E39D6"/>
    <w:rsid w:val="002E3AFC"/>
    <w:rsid w:val="002E3E0D"/>
    <w:rsid w:val="002E44E3"/>
    <w:rsid w:val="002E494B"/>
    <w:rsid w:val="002E4A26"/>
    <w:rsid w:val="002E5A7F"/>
    <w:rsid w:val="002E5B3D"/>
    <w:rsid w:val="002E5C30"/>
    <w:rsid w:val="002E5C55"/>
    <w:rsid w:val="002E62A2"/>
    <w:rsid w:val="002E6346"/>
    <w:rsid w:val="002E658D"/>
    <w:rsid w:val="002E65DB"/>
    <w:rsid w:val="002E67B5"/>
    <w:rsid w:val="002E6FEA"/>
    <w:rsid w:val="002E74DC"/>
    <w:rsid w:val="002E7500"/>
    <w:rsid w:val="002E7762"/>
    <w:rsid w:val="002E7905"/>
    <w:rsid w:val="002E7B83"/>
    <w:rsid w:val="002F0287"/>
    <w:rsid w:val="002F0417"/>
    <w:rsid w:val="002F0C19"/>
    <w:rsid w:val="002F0F45"/>
    <w:rsid w:val="002F1054"/>
    <w:rsid w:val="002F1CD1"/>
    <w:rsid w:val="002F1D44"/>
    <w:rsid w:val="002F211A"/>
    <w:rsid w:val="002F21A9"/>
    <w:rsid w:val="002F2412"/>
    <w:rsid w:val="002F2CB6"/>
    <w:rsid w:val="002F2E1E"/>
    <w:rsid w:val="002F3040"/>
    <w:rsid w:val="002F3187"/>
    <w:rsid w:val="002F31B4"/>
    <w:rsid w:val="002F328C"/>
    <w:rsid w:val="002F3361"/>
    <w:rsid w:val="002F36D7"/>
    <w:rsid w:val="002F3AC7"/>
    <w:rsid w:val="002F40FE"/>
    <w:rsid w:val="002F4164"/>
    <w:rsid w:val="002F4416"/>
    <w:rsid w:val="002F4419"/>
    <w:rsid w:val="002F44A8"/>
    <w:rsid w:val="002F458B"/>
    <w:rsid w:val="002F481B"/>
    <w:rsid w:val="002F4C8D"/>
    <w:rsid w:val="002F4EF0"/>
    <w:rsid w:val="002F4F9A"/>
    <w:rsid w:val="002F5AE2"/>
    <w:rsid w:val="002F5E4C"/>
    <w:rsid w:val="002F5F42"/>
    <w:rsid w:val="002F60CF"/>
    <w:rsid w:val="002F6276"/>
    <w:rsid w:val="002F6328"/>
    <w:rsid w:val="002F6543"/>
    <w:rsid w:val="002F6554"/>
    <w:rsid w:val="002F7229"/>
    <w:rsid w:val="002F73C8"/>
    <w:rsid w:val="002F7628"/>
    <w:rsid w:val="002F798D"/>
    <w:rsid w:val="002F7FC7"/>
    <w:rsid w:val="00300329"/>
    <w:rsid w:val="0030072E"/>
    <w:rsid w:val="00300F79"/>
    <w:rsid w:val="00301189"/>
    <w:rsid w:val="003020A9"/>
    <w:rsid w:val="00302291"/>
    <w:rsid w:val="003022A0"/>
    <w:rsid w:val="00302360"/>
    <w:rsid w:val="00302501"/>
    <w:rsid w:val="003029CE"/>
    <w:rsid w:val="00302BB3"/>
    <w:rsid w:val="00302C59"/>
    <w:rsid w:val="00302CFB"/>
    <w:rsid w:val="00302DDE"/>
    <w:rsid w:val="00302F35"/>
    <w:rsid w:val="00302FD2"/>
    <w:rsid w:val="00303074"/>
    <w:rsid w:val="003030F0"/>
    <w:rsid w:val="003031C1"/>
    <w:rsid w:val="003031FA"/>
    <w:rsid w:val="00303E27"/>
    <w:rsid w:val="00304733"/>
    <w:rsid w:val="00304A00"/>
    <w:rsid w:val="00304BCB"/>
    <w:rsid w:val="00304DE7"/>
    <w:rsid w:val="003069A0"/>
    <w:rsid w:val="00307095"/>
    <w:rsid w:val="0030760C"/>
    <w:rsid w:val="0030783A"/>
    <w:rsid w:val="00307BC1"/>
    <w:rsid w:val="00310447"/>
    <w:rsid w:val="00310860"/>
    <w:rsid w:val="00310DF5"/>
    <w:rsid w:val="00310F84"/>
    <w:rsid w:val="003112F0"/>
    <w:rsid w:val="00311360"/>
    <w:rsid w:val="003114D0"/>
    <w:rsid w:val="003117B9"/>
    <w:rsid w:val="00312401"/>
    <w:rsid w:val="00312C05"/>
    <w:rsid w:val="00313323"/>
    <w:rsid w:val="00313367"/>
    <w:rsid w:val="00313653"/>
    <w:rsid w:val="00313B53"/>
    <w:rsid w:val="00313C3B"/>
    <w:rsid w:val="00314085"/>
    <w:rsid w:val="0031452F"/>
    <w:rsid w:val="0031470A"/>
    <w:rsid w:val="0031506D"/>
    <w:rsid w:val="00315666"/>
    <w:rsid w:val="00316902"/>
    <w:rsid w:val="0031695E"/>
    <w:rsid w:val="00316B8A"/>
    <w:rsid w:val="00316C44"/>
    <w:rsid w:val="00316C95"/>
    <w:rsid w:val="00316D2B"/>
    <w:rsid w:val="00316D3A"/>
    <w:rsid w:val="00316DD6"/>
    <w:rsid w:val="00316E68"/>
    <w:rsid w:val="0031744E"/>
    <w:rsid w:val="0031794B"/>
    <w:rsid w:val="0032022D"/>
    <w:rsid w:val="0032023D"/>
    <w:rsid w:val="0032032F"/>
    <w:rsid w:val="00320380"/>
    <w:rsid w:val="003206DA"/>
    <w:rsid w:val="0032079A"/>
    <w:rsid w:val="00320C76"/>
    <w:rsid w:val="00320FC4"/>
    <w:rsid w:val="0032118B"/>
    <w:rsid w:val="003211C5"/>
    <w:rsid w:val="003212B5"/>
    <w:rsid w:val="0032135C"/>
    <w:rsid w:val="0032143F"/>
    <w:rsid w:val="003215AD"/>
    <w:rsid w:val="003218FB"/>
    <w:rsid w:val="003219CE"/>
    <w:rsid w:val="00321DEA"/>
    <w:rsid w:val="00321F5F"/>
    <w:rsid w:val="003221DF"/>
    <w:rsid w:val="00322B5B"/>
    <w:rsid w:val="00322F94"/>
    <w:rsid w:val="00323342"/>
    <w:rsid w:val="0032336C"/>
    <w:rsid w:val="00323E09"/>
    <w:rsid w:val="00323F7E"/>
    <w:rsid w:val="00324B3F"/>
    <w:rsid w:val="00325014"/>
    <w:rsid w:val="00325156"/>
    <w:rsid w:val="003252E4"/>
    <w:rsid w:val="003254F0"/>
    <w:rsid w:val="003258B2"/>
    <w:rsid w:val="00325C1B"/>
    <w:rsid w:val="00325E75"/>
    <w:rsid w:val="00325EE8"/>
    <w:rsid w:val="00326328"/>
    <w:rsid w:val="00326879"/>
    <w:rsid w:val="00326BD3"/>
    <w:rsid w:val="00326EE4"/>
    <w:rsid w:val="00326F7B"/>
    <w:rsid w:val="003270E8"/>
    <w:rsid w:val="003271AB"/>
    <w:rsid w:val="0032735E"/>
    <w:rsid w:val="003273ED"/>
    <w:rsid w:val="0032755E"/>
    <w:rsid w:val="00327589"/>
    <w:rsid w:val="00327779"/>
    <w:rsid w:val="0033047E"/>
    <w:rsid w:val="00330E0A"/>
    <w:rsid w:val="00331AC7"/>
    <w:rsid w:val="00331CCC"/>
    <w:rsid w:val="003320CB"/>
    <w:rsid w:val="003322E6"/>
    <w:rsid w:val="00332446"/>
    <w:rsid w:val="00332831"/>
    <w:rsid w:val="00332C8A"/>
    <w:rsid w:val="00332DAA"/>
    <w:rsid w:val="0033317F"/>
    <w:rsid w:val="0033344E"/>
    <w:rsid w:val="00333606"/>
    <w:rsid w:val="003336E7"/>
    <w:rsid w:val="00333715"/>
    <w:rsid w:val="00333932"/>
    <w:rsid w:val="00333A40"/>
    <w:rsid w:val="00333D76"/>
    <w:rsid w:val="00334274"/>
    <w:rsid w:val="0033429D"/>
    <w:rsid w:val="0033431F"/>
    <w:rsid w:val="00334BF7"/>
    <w:rsid w:val="00334D33"/>
    <w:rsid w:val="00334F07"/>
    <w:rsid w:val="003354D3"/>
    <w:rsid w:val="0033576D"/>
    <w:rsid w:val="003358BB"/>
    <w:rsid w:val="00335A2C"/>
    <w:rsid w:val="00335F80"/>
    <w:rsid w:val="00335FFD"/>
    <w:rsid w:val="0033604C"/>
    <w:rsid w:val="0033647F"/>
    <w:rsid w:val="00336812"/>
    <w:rsid w:val="00336C71"/>
    <w:rsid w:val="00337237"/>
    <w:rsid w:val="00337686"/>
    <w:rsid w:val="00337798"/>
    <w:rsid w:val="00337C3D"/>
    <w:rsid w:val="00340220"/>
    <w:rsid w:val="00340641"/>
    <w:rsid w:val="0034089D"/>
    <w:rsid w:val="003408C7"/>
    <w:rsid w:val="003409D4"/>
    <w:rsid w:val="00340BB1"/>
    <w:rsid w:val="00341E25"/>
    <w:rsid w:val="00342565"/>
    <w:rsid w:val="0034265B"/>
    <w:rsid w:val="003430B0"/>
    <w:rsid w:val="00343135"/>
    <w:rsid w:val="00343212"/>
    <w:rsid w:val="00343268"/>
    <w:rsid w:val="00343354"/>
    <w:rsid w:val="00343ADF"/>
    <w:rsid w:val="00343B93"/>
    <w:rsid w:val="00343D9D"/>
    <w:rsid w:val="00343DED"/>
    <w:rsid w:val="00343DF1"/>
    <w:rsid w:val="00343F63"/>
    <w:rsid w:val="003440B9"/>
    <w:rsid w:val="003445D0"/>
    <w:rsid w:val="003448C0"/>
    <w:rsid w:val="00344AF7"/>
    <w:rsid w:val="00345321"/>
    <w:rsid w:val="0034585E"/>
    <w:rsid w:val="0034596D"/>
    <w:rsid w:val="00346194"/>
    <w:rsid w:val="00346261"/>
    <w:rsid w:val="00346293"/>
    <w:rsid w:val="00346295"/>
    <w:rsid w:val="0034669F"/>
    <w:rsid w:val="003468D0"/>
    <w:rsid w:val="00346A92"/>
    <w:rsid w:val="00347317"/>
    <w:rsid w:val="00347335"/>
    <w:rsid w:val="003473BE"/>
    <w:rsid w:val="00347990"/>
    <w:rsid w:val="0035010E"/>
    <w:rsid w:val="003504F0"/>
    <w:rsid w:val="003505F6"/>
    <w:rsid w:val="00350BE7"/>
    <w:rsid w:val="00350CCF"/>
    <w:rsid w:val="0035134C"/>
    <w:rsid w:val="00351478"/>
    <w:rsid w:val="003518AA"/>
    <w:rsid w:val="00351D29"/>
    <w:rsid w:val="00351D58"/>
    <w:rsid w:val="00351DEA"/>
    <w:rsid w:val="00351F8C"/>
    <w:rsid w:val="00351FFC"/>
    <w:rsid w:val="003523F8"/>
    <w:rsid w:val="003526A3"/>
    <w:rsid w:val="00352719"/>
    <w:rsid w:val="00352BDD"/>
    <w:rsid w:val="00352C9D"/>
    <w:rsid w:val="00352D73"/>
    <w:rsid w:val="003530C2"/>
    <w:rsid w:val="003530F6"/>
    <w:rsid w:val="00353182"/>
    <w:rsid w:val="003531DF"/>
    <w:rsid w:val="0035360A"/>
    <w:rsid w:val="0035373E"/>
    <w:rsid w:val="00353914"/>
    <w:rsid w:val="00353A4B"/>
    <w:rsid w:val="003540F1"/>
    <w:rsid w:val="0035412E"/>
    <w:rsid w:val="00354230"/>
    <w:rsid w:val="0035458F"/>
    <w:rsid w:val="0035464B"/>
    <w:rsid w:val="00354742"/>
    <w:rsid w:val="00354B44"/>
    <w:rsid w:val="00354D50"/>
    <w:rsid w:val="00355005"/>
    <w:rsid w:val="00355130"/>
    <w:rsid w:val="00355798"/>
    <w:rsid w:val="003571EA"/>
    <w:rsid w:val="003576CB"/>
    <w:rsid w:val="003602E1"/>
    <w:rsid w:val="003604BE"/>
    <w:rsid w:val="00360589"/>
    <w:rsid w:val="00360735"/>
    <w:rsid w:val="00360E96"/>
    <w:rsid w:val="00361AD2"/>
    <w:rsid w:val="00361BA9"/>
    <w:rsid w:val="00361BFA"/>
    <w:rsid w:val="00362136"/>
    <w:rsid w:val="00362522"/>
    <w:rsid w:val="00362AB0"/>
    <w:rsid w:val="00362FB5"/>
    <w:rsid w:val="0036304F"/>
    <w:rsid w:val="003632A0"/>
    <w:rsid w:val="00363578"/>
    <w:rsid w:val="003635A1"/>
    <w:rsid w:val="00363CDA"/>
    <w:rsid w:val="00364166"/>
    <w:rsid w:val="00364183"/>
    <w:rsid w:val="00364C5C"/>
    <w:rsid w:val="00364CF8"/>
    <w:rsid w:val="00364E4D"/>
    <w:rsid w:val="00364FED"/>
    <w:rsid w:val="0036598F"/>
    <w:rsid w:val="00365E36"/>
    <w:rsid w:val="00366008"/>
    <w:rsid w:val="0036604F"/>
    <w:rsid w:val="00366143"/>
    <w:rsid w:val="003666CD"/>
    <w:rsid w:val="003669B2"/>
    <w:rsid w:val="00367541"/>
    <w:rsid w:val="003679BA"/>
    <w:rsid w:val="00367F38"/>
    <w:rsid w:val="00370107"/>
    <w:rsid w:val="00370692"/>
    <w:rsid w:val="00371041"/>
    <w:rsid w:val="003710FC"/>
    <w:rsid w:val="003711C6"/>
    <w:rsid w:val="00371240"/>
    <w:rsid w:val="00371309"/>
    <w:rsid w:val="00371551"/>
    <w:rsid w:val="00371761"/>
    <w:rsid w:val="00371B4A"/>
    <w:rsid w:val="00372376"/>
    <w:rsid w:val="003729CC"/>
    <w:rsid w:val="003729FB"/>
    <w:rsid w:val="00372DB8"/>
    <w:rsid w:val="00372E16"/>
    <w:rsid w:val="003731BF"/>
    <w:rsid w:val="00373282"/>
    <w:rsid w:val="00373458"/>
    <w:rsid w:val="00373A1C"/>
    <w:rsid w:val="00373A24"/>
    <w:rsid w:val="00373D2D"/>
    <w:rsid w:val="00373F78"/>
    <w:rsid w:val="003740E4"/>
    <w:rsid w:val="0037419A"/>
    <w:rsid w:val="00374547"/>
    <w:rsid w:val="00374622"/>
    <w:rsid w:val="00374716"/>
    <w:rsid w:val="00374731"/>
    <w:rsid w:val="00374922"/>
    <w:rsid w:val="00374AD4"/>
    <w:rsid w:val="00374B17"/>
    <w:rsid w:val="00374F17"/>
    <w:rsid w:val="00375266"/>
    <w:rsid w:val="003754B8"/>
    <w:rsid w:val="003758F5"/>
    <w:rsid w:val="0037665F"/>
    <w:rsid w:val="00376E68"/>
    <w:rsid w:val="00377029"/>
    <w:rsid w:val="003770C0"/>
    <w:rsid w:val="0037761D"/>
    <w:rsid w:val="00377737"/>
    <w:rsid w:val="00377898"/>
    <w:rsid w:val="003779D7"/>
    <w:rsid w:val="00377AEC"/>
    <w:rsid w:val="00377CD4"/>
    <w:rsid w:val="00377CF4"/>
    <w:rsid w:val="00377E2E"/>
    <w:rsid w:val="00377E9F"/>
    <w:rsid w:val="00377FE9"/>
    <w:rsid w:val="003804D0"/>
    <w:rsid w:val="00380692"/>
    <w:rsid w:val="00380959"/>
    <w:rsid w:val="00380CA0"/>
    <w:rsid w:val="00380D02"/>
    <w:rsid w:val="00380FBB"/>
    <w:rsid w:val="003812D5"/>
    <w:rsid w:val="003815A7"/>
    <w:rsid w:val="00381A6B"/>
    <w:rsid w:val="00381D18"/>
    <w:rsid w:val="00381E39"/>
    <w:rsid w:val="00382233"/>
    <w:rsid w:val="003826C2"/>
    <w:rsid w:val="00382742"/>
    <w:rsid w:val="00382B49"/>
    <w:rsid w:val="00382BAC"/>
    <w:rsid w:val="00382C70"/>
    <w:rsid w:val="00382EEB"/>
    <w:rsid w:val="003836D4"/>
    <w:rsid w:val="003837AA"/>
    <w:rsid w:val="003839FC"/>
    <w:rsid w:val="00383CD1"/>
    <w:rsid w:val="00383CF2"/>
    <w:rsid w:val="00383DCF"/>
    <w:rsid w:val="00383F46"/>
    <w:rsid w:val="0038492D"/>
    <w:rsid w:val="00384A15"/>
    <w:rsid w:val="0038592B"/>
    <w:rsid w:val="00385D8E"/>
    <w:rsid w:val="00386EB4"/>
    <w:rsid w:val="00386FED"/>
    <w:rsid w:val="003876D5"/>
    <w:rsid w:val="003876E0"/>
    <w:rsid w:val="00387856"/>
    <w:rsid w:val="00387ADB"/>
    <w:rsid w:val="00387C2D"/>
    <w:rsid w:val="00387C67"/>
    <w:rsid w:val="00390503"/>
    <w:rsid w:val="00390552"/>
    <w:rsid w:val="003908A4"/>
    <w:rsid w:val="003908A9"/>
    <w:rsid w:val="00390937"/>
    <w:rsid w:val="0039098A"/>
    <w:rsid w:val="00390E9A"/>
    <w:rsid w:val="00391570"/>
    <w:rsid w:val="0039164D"/>
    <w:rsid w:val="00391722"/>
    <w:rsid w:val="003919DB"/>
    <w:rsid w:val="00391B7E"/>
    <w:rsid w:val="0039258B"/>
    <w:rsid w:val="00392F8A"/>
    <w:rsid w:val="0039313C"/>
    <w:rsid w:val="00393346"/>
    <w:rsid w:val="0039346D"/>
    <w:rsid w:val="00393491"/>
    <w:rsid w:val="00393493"/>
    <w:rsid w:val="0039355B"/>
    <w:rsid w:val="00393E4D"/>
    <w:rsid w:val="00393F15"/>
    <w:rsid w:val="00394074"/>
    <w:rsid w:val="00394585"/>
    <w:rsid w:val="00394E50"/>
    <w:rsid w:val="00395037"/>
    <w:rsid w:val="00395253"/>
    <w:rsid w:val="003958D3"/>
    <w:rsid w:val="00395D29"/>
    <w:rsid w:val="00395D73"/>
    <w:rsid w:val="00396211"/>
    <w:rsid w:val="003962F7"/>
    <w:rsid w:val="0039702F"/>
    <w:rsid w:val="003970EB"/>
    <w:rsid w:val="00397C21"/>
    <w:rsid w:val="00397C5A"/>
    <w:rsid w:val="00397D04"/>
    <w:rsid w:val="003A00FD"/>
    <w:rsid w:val="003A0282"/>
    <w:rsid w:val="003A09BE"/>
    <w:rsid w:val="003A14EB"/>
    <w:rsid w:val="003A1686"/>
    <w:rsid w:val="003A179E"/>
    <w:rsid w:val="003A181F"/>
    <w:rsid w:val="003A1D2C"/>
    <w:rsid w:val="003A1DA5"/>
    <w:rsid w:val="003A1EA5"/>
    <w:rsid w:val="003A2217"/>
    <w:rsid w:val="003A25CC"/>
    <w:rsid w:val="003A2958"/>
    <w:rsid w:val="003A2B33"/>
    <w:rsid w:val="003A2FF6"/>
    <w:rsid w:val="003A33BE"/>
    <w:rsid w:val="003A341A"/>
    <w:rsid w:val="003A36F6"/>
    <w:rsid w:val="003A3707"/>
    <w:rsid w:val="003A375F"/>
    <w:rsid w:val="003A3B98"/>
    <w:rsid w:val="003A3BF4"/>
    <w:rsid w:val="003A3D2A"/>
    <w:rsid w:val="003A4149"/>
    <w:rsid w:val="003A4656"/>
    <w:rsid w:val="003A4767"/>
    <w:rsid w:val="003A4A74"/>
    <w:rsid w:val="003A4DF3"/>
    <w:rsid w:val="003A52FE"/>
    <w:rsid w:val="003A53C8"/>
    <w:rsid w:val="003A55C8"/>
    <w:rsid w:val="003A57D0"/>
    <w:rsid w:val="003A5B1B"/>
    <w:rsid w:val="003A600D"/>
    <w:rsid w:val="003A629D"/>
    <w:rsid w:val="003A64D6"/>
    <w:rsid w:val="003A6509"/>
    <w:rsid w:val="003A68C5"/>
    <w:rsid w:val="003A6C24"/>
    <w:rsid w:val="003A74F3"/>
    <w:rsid w:val="003A76E9"/>
    <w:rsid w:val="003A7B81"/>
    <w:rsid w:val="003B021A"/>
    <w:rsid w:val="003B02C9"/>
    <w:rsid w:val="003B06EC"/>
    <w:rsid w:val="003B083B"/>
    <w:rsid w:val="003B0BC6"/>
    <w:rsid w:val="003B0D7B"/>
    <w:rsid w:val="003B0EBA"/>
    <w:rsid w:val="003B0FCF"/>
    <w:rsid w:val="003B1177"/>
    <w:rsid w:val="003B12B5"/>
    <w:rsid w:val="003B1591"/>
    <w:rsid w:val="003B1982"/>
    <w:rsid w:val="003B1A76"/>
    <w:rsid w:val="003B27B6"/>
    <w:rsid w:val="003B2986"/>
    <w:rsid w:val="003B2AE9"/>
    <w:rsid w:val="003B2D31"/>
    <w:rsid w:val="003B2D48"/>
    <w:rsid w:val="003B2F43"/>
    <w:rsid w:val="003B3524"/>
    <w:rsid w:val="003B3F43"/>
    <w:rsid w:val="003B4139"/>
    <w:rsid w:val="003B41AC"/>
    <w:rsid w:val="003B434F"/>
    <w:rsid w:val="003B4875"/>
    <w:rsid w:val="003B49A1"/>
    <w:rsid w:val="003B4A40"/>
    <w:rsid w:val="003B4EB7"/>
    <w:rsid w:val="003B50FC"/>
    <w:rsid w:val="003B5353"/>
    <w:rsid w:val="003B53E6"/>
    <w:rsid w:val="003B54BD"/>
    <w:rsid w:val="003B54E5"/>
    <w:rsid w:val="003B5808"/>
    <w:rsid w:val="003B5ABA"/>
    <w:rsid w:val="003B5BD1"/>
    <w:rsid w:val="003B5D50"/>
    <w:rsid w:val="003B6140"/>
    <w:rsid w:val="003B6422"/>
    <w:rsid w:val="003B6474"/>
    <w:rsid w:val="003B648A"/>
    <w:rsid w:val="003B654D"/>
    <w:rsid w:val="003B6814"/>
    <w:rsid w:val="003B68B2"/>
    <w:rsid w:val="003B6AF5"/>
    <w:rsid w:val="003B6B34"/>
    <w:rsid w:val="003B6EF8"/>
    <w:rsid w:val="003B7689"/>
    <w:rsid w:val="003B7AC8"/>
    <w:rsid w:val="003B7B3F"/>
    <w:rsid w:val="003B7D35"/>
    <w:rsid w:val="003C021E"/>
    <w:rsid w:val="003C023B"/>
    <w:rsid w:val="003C0640"/>
    <w:rsid w:val="003C0C80"/>
    <w:rsid w:val="003C0CDD"/>
    <w:rsid w:val="003C0EA6"/>
    <w:rsid w:val="003C1056"/>
    <w:rsid w:val="003C153E"/>
    <w:rsid w:val="003C1688"/>
    <w:rsid w:val="003C21E8"/>
    <w:rsid w:val="003C21EF"/>
    <w:rsid w:val="003C278A"/>
    <w:rsid w:val="003C2817"/>
    <w:rsid w:val="003C28D7"/>
    <w:rsid w:val="003C2F75"/>
    <w:rsid w:val="003C367F"/>
    <w:rsid w:val="003C38B5"/>
    <w:rsid w:val="003C39D3"/>
    <w:rsid w:val="003C39D8"/>
    <w:rsid w:val="003C3F93"/>
    <w:rsid w:val="003C45DA"/>
    <w:rsid w:val="003C47C9"/>
    <w:rsid w:val="003C4A94"/>
    <w:rsid w:val="003C4AE6"/>
    <w:rsid w:val="003C5046"/>
    <w:rsid w:val="003C55B1"/>
    <w:rsid w:val="003C58FB"/>
    <w:rsid w:val="003C5B15"/>
    <w:rsid w:val="003C5D99"/>
    <w:rsid w:val="003C5FE0"/>
    <w:rsid w:val="003C6021"/>
    <w:rsid w:val="003C6643"/>
    <w:rsid w:val="003C6E8B"/>
    <w:rsid w:val="003C723F"/>
    <w:rsid w:val="003C7345"/>
    <w:rsid w:val="003C7A24"/>
    <w:rsid w:val="003C7DA4"/>
    <w:rsid w:val="003D0374"/>
    <w:rsid w:val="003D0955"/>
    <w:rsid w:val="003D0ADE"/>
    <w:rsid w:val="003D1142"/>
    <w:rsid w:val="003D1194"/>
    <w:rsid w:val="003D14B5"/>
    <w:rsid w:val="003D17F2"/>
    <w:rsid w:val="003D1BAF"/>
    <w:rsid w:val="003D1FC4"/>
    <w:rsid w:val="003D3063"/>
    <w:rsid w:val="003D31AD"/>
    <w:rsid w:val="003D3451"/>
    <w:rsid w:val="003D37C8"/>
    <w:rsid w:val="003D3803"/>
    <w:rsid w:val="003D3990"/>
    <w:rsid w:val="003D4285"/>
    <w:rsid w:val="003D457A"/>
    <w:rsid w:val="003D4FBB"/>
    <w:rsid w:val="003D5CDE"/>
    <w:rsid w:val="003D5EEF"/>
    <w:rsid w:val="003D5F3C"/>
    <w:rsid w:val="003D618F"/>
    <w:rsid w:val="003D6283"/>
    <w:rsid w:val="003D6C52"/>
    <w:rsid w:val="003D6DA7"/>
    <w:rsid w:val="003D6F50"/>
    <w:rsid w:val="003D7311"/>
    <w:rsid w:val="003D7979"/>
    <w:rsid w:val="003D7B14"/>
    <w:rsid w:val="003E00C5"/>
    <w:rsid w:val="003E0482"/>
    <w:rsid w:val="003E04DF"/>
    <w:rsid w:val="003E067B"/>
    <w:rsid w:val="003E0795"/>
    <w:rsid w:val="003E0845"/>
    <w:rsid w:val="003E11B3"/>
    <w:rsid w:val="003E1208"/>
    <w:rsid w:val="003E1273"/>
    <w:rsid w:val="003E1872"/>
    <w:rsid w:val="003E1A0E"/>
    <w:rsid w:val="003E1E2C"/>
    <w:rsid w:val="003E2295"/>
    <w:rsid w:val="003E2920"/>
    <w:rsid w:val="003E2FAF"/>
    <w:rsid w:val="003E306E"/>
    <w:rsid w:val="003E3250"/>
    <w:rsid w:val="003E3577"/>
    <w:rsid w:val="003E3A19"/>
    <w:rsid w:val="003E3BB5"/>
    <w:rsid w:val="003E3BBD"/>
    <w:rsid w:val="003E3BF2"/>
    <w:rsid w:val="003E3F5E"/>
    <w:rsid w:val="003E4188"/>
    <w:rsid w:val="003E4261"/>
    <w:rsid w:val="003E44C5"/>
    <w:rsid w:val="003E45C4"/>
    <w:rsid w:val="003E4784"/>
    <w:rsid w:val="003E5211"/>
    <w:rsid w:val="003E5461"/>
    <w:rsid w:val="003E5758"/>
    <w:rsid w:val="003E5FAE"/>
    <w:rsid w:val="003E6223"/>
    <w:rsid w:val="003E64B5"/>
    <w:rsid w:val="003E684C"/>
    <w:rsid w:val="003E6967"/>
    <w:rsid w:val="003E7639"/>
    <w:rsid w:val="003E7718"/>
    <w:rsid w:val="003F0457"/>
    <w:rsid w:val="003F0789"/>
    <w:rsid w:val="003F0D27"/>
    <w:rsid w:val="003F0D8E"/>
    <w:rsid w:val="003F0F53"/>
    <w:rsid w:val="003F1ADD"/>
    <w:rsid w:val="003F28E5"/>
    <w:rsid w:val="003F2988"/>
    <w:rsid w:val="003F2C9A"/>
    <w:rsid w:val="003F2FBD"/>
    <w:rsid w:val="003F301D"/>
    <w:rsid w:val="003F31CA"/>
    <w:rsid w:val="003F3CEC"/>
    <w:rsid w:val="003F43C4"/>
    <w:rsid w:val="003F4524"/>
    <w:rsid w:val="003F505E"/>
    <w:rsid w:val="003F50DE"/>
    <w:rsid w:val="003F511D"/>
    <w:rsid w:val="003F5B08"/>
    <w:rsid w:val="003F6378"/>
    <w:rsid w:val="003F64DE"/>
    <w:rsid w:val="003F67BB"/>
    <w:rsid w:val="003F67CE"/>
    <w:rsid w:val="003F71D9"/>
    <w:rsid w:val="003F722C"/>
    <w:rsid w:val="003F7285"/>
    <w:rsid w:val="003F7377"/>
    <w:rsid w:val="003F77CC"/>
    <w:rsid w:val="003F7A73"/>
    <w:rsid w:val="003F7BC4"/>
    <w:rsid w:val="003F7C9E"/>
    <w:rsid w:val="00400194"/>
    <w:rsid w:val="00400551"/>
    <w:rsid w:val="00400814"/>
    <w:rsid w:val="00400967"/>
    <w:rsid w:val="00401210"/>
    <w:rsid w:val="004014FD"/>
    <w:rsid w:val="00401672"/>
    <w:rsid w:val="00401882"/>
    <w:rsid w:val="004019DC"/>
    <w:rsid w:val="004024C8"/>
    <w:rsid w:val="0040254F"/>
    <w:rsid w:val="0040285F"/>
    <w:rsid w:val="00403062"/>
    <w:rsid w:val="004030A8"/>
    <w:rsid w:val="00403B7E"/>
    <w:rsid w:val="00403FB9"/>
    <w:rsid w:val="0040437B"/>
    <w:rsid w:val="00404644"/>
    <w:rsid w:val="00404669"/>
    <w:rsid w:val="00404AA7"/>
    <w:rsid w:val="00405260"/>
    <w:rsid w:val="004052A1"/>
    <w:rsid w:val="00405508"/>
    <w:rsid w:val="004062E9"/>
    <w:rsid w:val="0040669E"/>
    <w:rsid w:val="004067F0"/>
    <w:rsid w:val="00406831"/>
    <w:rsid w:val="00406A10"/>
    <w:rsid w:val="00406A64"/>
    <w:rsid w:val="0040710C"/>
    <w:rsid w:val="00407334"/>
    <w:rsid w:val="0040739C"/>
    <w:rsid w:val="0040759F"/>
    <w:rsid w:val="004079AD"/>
    <w:rsid w:val="00407A34"/>
    <w:rsid w:val="00407BC2"/>
    <w:rsid w:val="00407CB8"/>
    <w:rsid w:val="004100C8"/>
    <w:rsid w:val="00410428"/>
    <w:rsid w:val="00410641"/>
    <w:rsid w:val="004108F1"/>
    <w:rsid w:val="00410A16"/>
    <w:rsid w:val="0041102D"/>
    <w:rsid w:val="0041115D"/>
    <w:rsid w:val="004111E4"/>
    <w:rsid w:val="004114D4"/>
    <w:rsid w:val="0041156E"/>
    <w:rsid w:val="00411C92"/>
    <w:rsid w:val="00411D0E"/>
    <w:rsid w:val="004121F9"/>
    <w:rsid w:val="004123E0"/>
    <w:rsid w:val="0041251C"/>
    <w:rsid w:val="00412534"/>
    <w:rsid w:val="00412624"/>
    <w:rsid w:val="00412733"/>
    <w:rsid w:val="00412A16"/>
    <w:rsid w:val="00412ACE"/>
    <w:rsid w:val="00412F3C"/>
    <w:rsid w:val="00413387"/>
    <w:rsid w:val="004134C8"/>
    <w:rsid w:val="0041385E"/>
    <w:rsid w:val="00413873"/>
    <w:rsid w:val="00413AF8"/>
    <w:rsid w:val="00413EF6"/>
    <w:rsid w:val="00414150"/>
    <w:rsid w:val="004141F1"/>
    <w:rsid w:val="0041427D"/>
    <w:rsid w:val="00414411"/>
    <w:rsid w:val="00414555"/>
    <w:rsid w:val="004145D6"/>
    <w:rsid w:val="00414D77"/>
    <w:rsid w:val="00414E5E"/>
    <w:rsid w:val="00415378"/>
    <w:rsid w:val="00415458"/>
    <w:rsid w:val="004157AE"/>
    <w:rsid w:val="00415B59"/>
    <w:rsid w:val="00415BF2"/>
    <w:rsid w:val="00415C0C"/>
    <w:rsid w:val="00415CD0"/>
    <w:rsid w:val="00415F37"/>
    <w:rsid w:val="0041630B"/>
    <w:rsid w:val="00416897"/>
    <w:rsid w:val="004169AC"/>
    <w:rsid w:val="0041729B"/>
    <w:rsid w:val="00417C64"/>
    <w:rsid w:val="00417E61"/>
    <w:rsid w:val="0042006B"/>
    <w:rsid w:val="00420244"/>
    <w:rsid w:val="004203D6"/>
    <w:rsid w:val="00420D4C"/>
    <w:rsid w:val="00420F05"/>
    <w:rsid w:val="00420F0E"/>
    <w:rsid w:val="00421027"/>
    <w:rsid w:val="00421A89"/>
    <w:rsid w:val="00421DA1"/>
    <w:rsid w:val="004220A1"/>
    <w:rsid w:val="0042212D"/>
    <w:rsid w:val="0042276D"/>
    <w:rsid w:val="00422DE5"/>
    <w:rsid w:val="00422E7D"/>
    <w:rsid w:val="00423072"/>
    <w:rsid w:val="00423277"/>
    <w:rsid w:val="004232D9"/>
    <w:rsid w:val="004237A3"/>
    <w:rsid w:val="00423C1C"/>
    <w:rsid w:val="00423C4F"/>
    <w:rsid w:val="00423CFD"/>
    <w:rsid w:val="0042431B"/>
    <w:rsid w:val="0042445E"/>
    <w:rsid w:val="004249E8"/>
    <w:rsid w:val="00424CC4"/>
    <w:rsid w:val="00424D0A"/>
    <w:rsid w:val="00425020"/>
    <w:rsid w:val="0042516A"/>
    <w:rsid w:val="004253F0"/>
    <w:rsid w:val="00425616"/>
    <w:rsid w:val="00425722"/>
    <w:rsid w:val="00425B39"/>
    <w:rsid w:val="00425BE8"/>
    <w:rsid w:val="00425C5C"/>
    <w:rsid w:val="00425DDF"/>
    <w:rsid w:val="00426197"/>
    <w:rsid w:val="0042657C"/>
    <w:rsid w:val="00426C10"/>
    <w:rsid w:val="0042740C"/>
    <w:rsid w:val="00427710"/>
    <w:rsid w:val="0043065D"/>
    <w:rsid w:val="00430CF6"/>
    <w:rsid w:val="00430D05"/>
    <w:rsid w:val="00430F4F"/>
    <w:rsid w:val="00430FB3"/>
    <w:rsid w:val="00430FD1"/>
    <w:rsid w:val="0043106A"/>
    <w:rsid w:val="00431249"/>
    <w:rsid w:val="00431C62"/>
    <w:rsid w:val="00431CDA"/>
    <w:rsid w:val="00432294"/>
    <w:rsid w:val="004323A7"/>
    <w:rsid w:val="004326B0"/>
    <w:rsid w:val="00432786"/>
    <w:rsid w:val="004328A8"/>
    <w:rsid w:val="00432A5F"/>
    <w:rsid w:val="00432B4C"/>
    <w:rsid w:val="00432E86"/>
    <w:rsid w:val="00432EC7"/>
    <w:rsid w:val="004338C8"/>
    <w:rsid w:val="00433B71"/>
    <w:rsid w:val="00433E29"/>
    <w:rsid w:val="00434194"/>
    <w:rsid w:val="004344E0"/>
    <w:rsid w:val="0043490B"/>
    <w:rsid w:val="00434C19"/>
    <w:rsid w:val="00434FA8"/>
    <w:rsid w:val="00435399"/>
    <w:rsid w:val="0043547A"/>
    <w:rsid w:val="0043558F"/>
    <w:rsid w:val="00435B71"/>
    <w:rsid w:val="00435BB6"/>
    <w:rsid w:val="0043619D"/>
    <w:rsid w:val="004361C5"/>
    <w:rsid w:val="00436303"/>
    <w:rsid w:val="00436436"/>
    <w:rsid w:val="004365F3"/>
    <w:rsid w:val="0043661C"/>
    <w:rsid w:val="00436891"/>
    <w:rsid w:val="00436D4F"/>
    <w:rsid w:val="00436DA9"/>
    <w:rsid w:val="004371BE"/>
    <w:rsid w:val="0043771B"/>
    <w:rsid w:val="004377D8"/>
    <w:rsid w:val="004401EF"/>
    <w:rsid w:val="00440367"/>
    <w:rsid w:val="004405CB"/>
    <w:rsid w:val="004407EA"/>
    <w:rsid w:val="00440C6A"/>
    <w:rsid w:val="00440FB7"/>
    <w:rsid w:val="004410F5"/>
    <w:rsid w:val="00441DB8"/>
    <w:rsid w:val="0044275D"/>
    <w:rsid w:val="00442AA3"/>
    <w:rsid w:val="00442DE1"/>
    <w:rsid w:val="00443258"/>
    <w:rsid w:val="00443D56"/>
    <w:rsid w:val="00443ECD"/>
    <w:rsid w:val="00444C46"/>
    <w:rsid w:val="00444EDD"/>
    <w:rsid w:val="00445A60"/>
    <w:rsid w:val="00445BA8"/>
    <w:rsid w:val="00446013"/>
    <w:rsid w:val="00446017"/>
    <w:rsid w:val="0044615F"/>
    <w:rsid w:val="004465F6"/>
    <w:rsid w:val="00446660"/>
    <w:rsid w:val="004466D7"/>
    <w:rsid w:val="00446998"/>
    <w:rsid w:val="00446AC0"/>
    <w:rsid w:val="00446B4B"/>
    <w:rsid w:val="0044735A"/>
    <w:rsid w:val="004476E0"/>
    <w:rsid w:val="00447BB2"/>
    <w:rsid w:val="00447CA5"/>
    <w:rsid w:val="00447EE5"/>
    <w:rsid w:val="004505A0"/>
    <w:rsid w:val="00450810"/>
    <w:rsid w:val="00450BC6"/>
    <w:rsid w:val="00450FA2"/>
    <w:rsid w:val="0045114E"/>
    <w:rsid w:val="00451301"/>
    <w:rsid w:val="004514A4"/>
    <w:rsid w:val="00451B09"/>
    <w:rsid w:val="00451C44"/>
    <w:rsid w:val="00451CB0"/>
    <w:rsid w:val="00451DEA"/>
    <w:rsid w:val="00452058"/>
    <w:rsid w:val="00452282"/>
    <w:rsid w:val="0045297E"/>
    <w:rsid w:val="00452985"/>
    <w:rsid w:val="00452B3E"/>
    <w:rsid w:val="00452BA4"/>
    <w:rsid w:val="00452E18"/>
    <w:rsid w:val="004530CD"/>
    <w:rsid w:val="004530FE"/>
    <w:rsid w:val="004533A4"/>
    <w:rsid w:val="0045377F"/>
    <w:rsid w:val="00453DBC"/>
    <w:rsid w:val="004541A3"/>
    <w:rsid w:val="00454676"/>
    <w:rsid w:val="004547DD"/>
    <w:rsid w:val="00454A91"/>
    <w:rsid w:val="00454AFB"/>
    <w:rsid w:val="00454DE0"/>
    <w:rsid w:val="00454EB2"/>
    <w:rsid w:val="00455DCF"/>
    <w:rsid w:val="00455F27"/>
    <w:rsid w:val="00456175"/>
    <w:rsid w:val="004561D7"/>
    <w:rsid w:val="0045632D"/>
    <w:rsid w:val="00456348"/>
    <w:rsid w:val="004563A4"/>
    <w:rsid w:val="004564E5"/>
    <w:rsid w:val="00456B69"/>
    <w:rsid w:val="00456C55"/>
    <w:rsid w:val="004572CD"/>
    <w:rsid w:val="004573A3"/>
    <w:rsid w:val="0045744F"/>
    <w:rsid w:val="00457C2D"/>
    <w:rsid w:val="00457EC6"/>
    <w:rsid w:val="00457EC9"/>
    <w:rsid w:val="00460322"/>
    <w:rsid w:val="00460406"/>
    <w:rsid w:val="0046050F"/>
    <w:rsid w:val="0046051A"/>
    <w:rsid w:val="0046054D"/>
    <w:rsid w:val="00460D45"/>
    <w:rsid w:val="0046125A"/>
    <w:rsid w:val="004614A2"/>
    <w:rsid w:val="004614DE"/>
    <w:rsid w:val="00461630"/>
    <w:rsid w:val="004616D0"/>
    <w:rsid w:val="00461721"/>
    <w:rsid w:val="0046192C"/>
    <w:rsid w:val="004619A8"/>
    <w:rsid w:val="00461AAB"/>
    <w:rsid w:val="00462295"/>
    <w:rsid w:val="004624B1"/>
    <w:rsid w:val="0046261A"/>
    <w:rsid w:val="004628A4"/>
    <w:rsid w:val="00462933"/>
    <w:rsid w:val="004629DF"/>
    <w:rsid w:val="00462EAC"/>
    <w:rsid w:val="00463387"/>
    <w:rsid w:val="00463546"/>
    <w:rsid w:val="0046355B"/>
    <w:rsid w:val="004635B1"/>
    <w:rsid w:val="00463649"/>
    <w:rsid w:val="004637BA"/>
    <w:rsid w:val="00463F0A"/>
    <w:rsid w:val="0046428B"/>
    <w:rsid w:val="00464829"/>
    <w:rsid w:val="00464B55"/>
    <w:rsid w:val="00465488"/>
    <w:rsid w:val="0046557A"/>
    <w:rsid w:val="00465ED7"/>
    <w:rsid w:val="004662A7"/>
    <w:rsid w:val="0046687B"/>
    <w:rsid w:val="00466AAF"/>
    <w:rsid w:val="00466ADE"/>
    <w:rsid w:val="00466AE8"/>
    <w:rsid w:val="00466CEF"/>
    <w:rsid w:val="00466E46"/>
    <w:rsid w:val="00466EE0"/>
    <w:rsid w:val="00466F7E"/>
    <w:rsid w:val="0046702C"/>
    <w:rsid w:val="00467258"/>
    <w:rsid w:val="0046746F"/>
    <w:rsid w:val="0046768A"/>
    <w:rsid w:val="00467808"/>
    <w:rsid w:val="004679A4"/>
    <w:rsid w:val="004679C6"/>
    <w:rsid w:val="00470109"/>
    <w:rsid w:val="00470462"/>
    <w:rsid w:val="0047051C"/>
    <w:rsid w:val="0047058D"/>
    <w:rsid w:val="00470DA2"/>
    <w:rsid w:val="0047107E"/>
    <w:rsid w:val="004710B6"/>
    <w:rsid w:val="004715E3"/>
    <w:rsid w:val="00471750"/>
    <w:rsid w:val="0047192F"/>
    <w:rsid w:val="00471D66"/>
    <w:rsid w:val="00471FA0"/>
    <w:rsid w:val="00471FE3"/>
    <w:rsid w:val="00472142"/>
    <w:rsid w:val="004726CE"/>
    <w:rsid w:val="00472E6C"/>
    <w:rsid w:val="004731B2"/>
    <w:rsid w:val="0047327D"/>
    <w:rsid w:val="00473E44"/>
    <w:rsid w:val="00473F2B"/>
    <w:rsid w:val="00473F9D"/>
    <w:rsid w:val="004740F2"/>
    <w:rsid w:val="004744F1"/>
    <w:rsid w:val="00474706"/>
    <w:rsid w:val="00474841"/>
    <w:rsid w:val="00474858"/>
    <w:rsid w:val="00474E0C"/>
    <w:rsid w:val="00475232"/>
    <w:rsid w:val="004754B5"/>
    <w:rsid w:val="00475ACA"/>
    <w:rsid w:val="00475BAB"/>
    <w:rsid w:val="00476459"/>
    <w:rsid w:val="00476510"/>
    <w:rsid w:val="0047653D"/>
    <w:rsid w:val="00476868"/>
    <w:rsid w:val="00477137"/>
    <w:rsid w:val="00477144"/>
    <w:rsid w:val="0047739E"/>
    <w:rsid w:val="004803EB"/>
    <w:rsid w:val="00480587"/>
    <w:rsid w:val="004805C8"/>
    <w:rsid w:val="004809CE"/>
    <w:rsid w:val="00480B01"/>
    <w:rsid w:val="00480C89"/>
    <w:rsid w:val="00481196"/>
    <w:rsid w:val="0048140D"/>
    <w:rsid w:val="00481F7C"/>
    <w:rsid w:val="00482553"/>
    <w:rsid w:val="00482569"/>
    <w:rsid w:val="00482FFB"/>
    <w:rsid w:val="004837AA"/>
    <w:rsid w:val="00484296"/>
    <w:rsid w:val="004843DE"/>
    <w:rsid w:val="00484589"/>
    <w:rsid w:val="0048472C"/>
    <w:rsid w:val="00484AB1"/>
    <w:rsid w:val="00484ACF"/>
    <w:rsid w:val="00484EE3"/>
    <w:rsid w:val="00485226"/>
    <w:rsid w:val="00485447"/>
    <w:rsid w:val="004858DC"/>
    <w:rsid w:val="00486028"/>
    <w:rsid w:val="00486458"/>
    <w:rsid w:val="00486854"/>
    <w:rsid w:val="0048696D"/>
    <w:rsid w:val="004869B6"/>
    <w:rsid w:val="00486DD0"/>
    <w:rsid w:val="00486FAF"/>
    <w:rsid w:val="00487362"/>
    <w:rsid w:val="00487498"/>
    <w:rsid w:val="00487BE2"/>
    <w:rsid w:val="00487C8B"/>
    <w:rsid w:val="00487E08"/>
    <w:rsid w:val="0049056B"/>
    <w:rsid w:val="0049059C"/>
    <w:rsid w:val="00490994"/>
    <w:rsid w:val="00490A13"/>
    <w:rsid w:val="00490A99"/>
    <w:rsid w:val="00490E02"/>
    <w:rsid w:val="00490E96"/>
    <w:rsid w:val="004915CA"/>
    <w:rsid w:val="00491A9B"/>
    <w:rsid w:val="00491AEA"/>
    <w:rsid w:val="004926A8"/>
    <w:rsid w:val="004926F8"/>
    <w:rsid w:val="004930B8"/>
    <w:rsid w:val="00493390"/>
    <w:rsid w:val="0049393F"/>
    <w:rsid w:val="004940BD"/>
    <w:rsid w:val="0049459F"/>
    <w:rsid w:val="00494800"/>
    <w:rsid w:val="00494EEE"/>
    <w:rsid w:val="00495675"/>
    <w:rsid w:val="00495CB3"/>
    <w:rsid w:val="00495DA7"/>
    <w:rsid w:val="00495E68"/>
    <w:rsid w:val="00495E79"/>
    <w:rsid w:val="00495FF4"/>
    <w:rsid w:val="004961F7"/>
    <w:rsid w:val="0049702E"/>
    <w:rsid w:val="0049731E"/>
    <w:rsid w:val="0049779C"/>
    <w:rsid w:val="004979ED"/>
    <w:rsid w:val="00497DEF"/>
    <w:rsid w:val="004A008B"/>
    <w:rsid w:val="004A01AA"/>
    <w:rsid w:val="004A024F"/>
    <w:rsid w:val="004A0290"/>
    <w:rsid w:val="004A0351"/>
    <w:rsid w:val="004A0FFF"/>
    <w:rsid w:val="004A1A78"/>
    <w:rsid w:val="004A1C4B"/>
    <w:rsid w:val="004A1E37"/>
    <w:rsid w:val="004A1F27"/>
    <w:rsid w:val="004A23CF"/>
    <w:rsid w:val="004A24E9"/>
    <w:rsid w:val="004A2950"/>
    <w:rsid w:val="004A31CB"/>
    <w:rsid w:val="004A3346"/>
    <w:rsid w:val="004A3721"/>
    <w:rsid w:val="004A3805"/>
    <w:rsid w:val="004A3870"/>
    <w:rsid w:val="004A3A1C"/>
    <w:rsid w:val="004A3EAD"/>
    <w:rsid w:val="004A3EAE"/>
    <w:rsid w:val="004A40C1"/>
    <w:rsid w:val="004A43E6"/>
    <w:rsid w:val="004A4849"/>
    <w:rsid w:val="004A4A79"/>
    <w:rsid w:val="004A4D78"/>
    <w:rsid w:val="004A4D9A"/>
    <w:rsid w:val="004A4F52"/>
    <w:rsid w:val="004A5117"/>
    <w:rsid w:val="004A5202"/>
    <w:rsid w:val="004A54D0"/>
    <w:rsid w:val="004A5512"/>
    <w:rsid w:val="004A5D11"/>
    <w:rsid w:val="004A5EEA"/>
    <w:rsid w:val="004A6250"/>
    <w:rsid w:val="004A67A4"/>
    <w:rsid w:val="004A6C03"/>
    <w:rsid w:val="004A713F"/>
    <w:rsid w:val="004A774B"/>
    <w:rsid w:val="004A7BCD"/>
    <w:rsid w:val="004B0AE6"/>
    <w:rsid w:val="004B0F2C"/>
    <w:rsid w:val="004B1135"/>
    <w:rsid w:val="004B11E6"/>
    <w:rsid w:val="004B186A"/>
    <w:rsid w:val="004B1A5B"/>
    <w:rsid w:val="004B1B09"/>
    <w:rsid w:val="004B1CF0"/>
    <w:rsid w:val="004B2130"/>
    <w:rsid w:val="004B2834"/>
    <w:rsid w:val="004B2C15"/>
    <w:rsid w:val="004B32E5"/>
    <w:rsid w:val="004B336D"/>
    <w:rsid w:val="004B3ACA"/>
    <w:rsid w:val="004B407E"/>
    <w:rsid w:val="004B43AE"/>
    <w:rsid w:val="004B4435"/>
    <w:rsid w:val="004B4481"/>
    <w:rsid w:val="004B4575"/>
    <w:rsid w:val="004B4B47"/>
    <w:rsid w:val="004B51C3"/>
    <w:rsid w:val="004B571A"/>
    <w:rsid w:val="004B5764"/>
    <w:rsid w:val="004B5FFD"/>
    <w:rsid w:val="004B64B5"/>
    <w:rsid w:val="004B6715"/>
    <w:rsid w:val="004B6893"/>
    <w:rsid w:val="004B6A7A"/>
    <w:rsid w:val="004B7440"/>
    <w:rsid w:val="004B7795"/>
    <w:rsid w:val="004B7C48"/>
    <w:rsid w:val="004C007C"/>
    <w:rsid w:val="004C06CB"/>
    <w:rsid w:val="004C0762"/>
    <w:rsid w:val="004C0A3F"/>
    <w:rsid w:val="004C1475"/>
    <w:rsid w:val="004C18A5"/>
    <w:rsid w:val="004C27F9"/>
    <w:rsid w:val="004C2A40"/>
    <w:rsid w:val="004C2A9E"/>
    <w:rsid w:val="004C2BF5"/>
    <w:rsid w:val="004C30ED"/>
    <w:rsid w:val="004C337C"/>
    <w:rsid w:val="004C357D"/>
    <w:rsid w:val="004C3693"/>
    <w:rsid w:val="004C3840"/>
    <w:rsid w:val="004C3859"/>
    <w:rsid w:val="004C3973"/>
    <w:rsid w:val="004C3B34"/>
    <w:rsid w:val="004C42F5"/>
    <w:rsid w:val="004C46FA"/>
    <w:rsid w:val="004C49E8"/>
    <w:rsid w:val="004C4A51"/>
    <w:rsid w:val="004C4D69"/>
    <w:rsid w:val="004C5114"/>
    <w:rsid w:val="004C5597"/>
    <w:rsid w:val="004C6315"/>
    <w:rsid w:val="004C63F4"/>
    <w:rsid w:val="004C6763"/>
    <w:rsid w:val="004C678D"/>
    <w:rsid w:val="004C6D54"/>
    <w:rsid w:val="004C6F5D"/>
    <w:rsid w:val="004C7161"/>
    <w:rsid w:val="004C7183"/>
    <w:rsid w:val="004C753C"/>
    <w:rsid w:val="004C75E9"/>
    <w:rsid w:val="004C7644"/>
    <w:rsid w:val="004C7713"/>
    <w:rsid w:val="004C789B"/>
    <w:rsid w:val="004C7DE1"/>
    <w:rsid w:val="004D0509"/>
    <w:rsid w:val="004D0537"/>
    <w:rsid w:val="004D0624"/>
    <w:rsid w:val="004D087C"/>
    <w:rsid w:val="004D0C05"/>
    <w:rsid w:val="004D0D2E"/>
    <w:rsid w:val="004D0D39"/>
    <w:rsid w:val="004D0E59"/>
    <w:rsid w:val="004D142A"/>
    <w:rsid w:val="004D151C"/>
    <w:rsid w:val="004D1B73"/>
    <w:rsid w:val="004D1E68"/>
    <w:rsid w:val="004D1F79"/>
    <w:rsid w:val="004D208B"/>
    <w:rsid w:val="004D210D"/>
    <w:rsid w:val="004D23C6"/>
    <w:rsid w:val="004D27AA"/>
    <w:rsid w:val="004D2864"/>
    <w:rsid w:val="004D2A59"/>
    <w:rsid w:val="004D2B06"/>
    <w:rsid w:val="004D2C4B"/>
    <w:rsid w:val="004D2CEE"/>
    <w:rsid w:val="004D343A"/>
    <w:rsid w:val="004D3B88"/>
    <w:rsid w:val="004D3BF4"/>
    <w:rsid w:val="004D3C50"/>
    <w:rsid w:val="004D3F84"/>
    <w:rsid w:val="004D40AD"/>
    <w:rsid w:val="004D45F2"/>
    <w:rsid w:val="004D4944"/>
    <w:rsid w:val="004D49C4"/>
    <w:rsid w:val="004D4E9E"/>
    <w:rsid w:val="004D507C"/>
    <w:rsid w:val="004D5B90"/>
    <w:rsid w:val="004D5C60"/>
    <w:rsid w:val="004D5EE4"/>
    <w:rsid w:val="004D63B2"/>
    <w:rsid w:val="004D65AF"/>
    <w:rsid w:val="004D662F"/>
    <w:rsid w:val="004D6AFF"/>
    <w:rsid w:val="004D6DFD"/>
    <w:rsid w:val="004D6EFE"/>
    <w:rsid w:val="004D72F7"/>
    <w:rsid w:val="004D7519"/>
    <w:rsid w:val="004D76A8"/>
    <w:rsid w:val="004D76B9"/>
    <w:rsid w:val="004D7739"/>
    <w:rsid w:val="004D77ED"/>
    <w:rsid w:val="004D7A01"/>
    <w:rsid w:val="004E0008"/>
    <w:rsid w:val="004E04D8"/>
    <w:rsid w:val="004E066B"/>
    <w:rsid w:val="004E0714"/>
    <w:rsid w:val="004E07D1"/>
    <w:rsid w:val="004E0A44"/>
    <w:rsid w:val="004E0E39"/>
    <w:rsid w:val="004E10D5"/>
    <w:rsid w:val="004E180F"/>
    <w:rsid w:val="004E19E2"/>
    <w:rsid w:val="004E1FB9"/>
    <w:rsid w:val="004E203E"/>
    <w:rsid w:val="004E2312"/>
    <w:rsid w:val="004E2CE6"/>
    <w:rsid w:val="004E2DAB"/>
    <w:rsid w:val="004E30B1"/>
    <w:rsid w:val="004E3131"/>
    <w:rsid w:val="004E3331"/>
    <w:rsid w:val="004E33D7"/>
    <w:rsid w:val="004E3509"/>
    <w:rsid w:val="004E37D0"/>
    <w:rsid w:val="004E3BA1"/>
    <w:rsid w:val="004E3F4D"/>
    <w:rsid w:val="004E3F61"/>
    <w:rsid w:val="004E45D3"/>
    <w:rsid w:val="004E534E"/>
    <w:rsid w:val="004E53A3"/>
    <w:rsid w:val="004E53EF"/>
    <w:rsid w:val="004E5CD4"/>
    <w:rsid w:val="004E5F25"/>
    <w:rsid w:val="004E6030"/>
    <w:rsid w:val="004E6210"/>
    <w:rsid w:val="004E6245"/>
    <w:rsid w:val="004E64EF"/>
    <w:rsid w:val="004E65AE"/>
    <w:rsid w:val="004E66E2"/>
    <w:rsid w:val="004E6985"/>
    <w:rsid w:val="004E6A88"/>
    <w:rsid w:val="004E6C74"/>
    <w:rsid w:val="004E73C5"/>
    <w:rsid w:val="004E75F3"/>
    <w:rsid w:val="004E7755"/>
    <w:rsid w:val="004E7921"/>
    <w:rsid w:val="004E7A4C"/>
    <w:rsid w:val="004F031C"/>
    <w:rsid w:val="004F0546"/>
    <w:rsid w:val="004F055D"/>
    <w:rsid w:val="004F0736"/>
    <w:rsid w:val="004F0753"/>
    <w:rsid w:val="004F0EC5"/>
    <w:rsid w:val="004F122A"/>
    <w:rsid w:val="004F1364"/>
    <w:rsid w:val="004F15B5"/>
    <w:rsid w:val="004F16B0"/>
    <w:rsid w:val="004F17B4"/>
    <w:rsid w:val="004F19E9"/>
    <w:rsid w:val="004F2123"/>
    <w:rsid w:val="004F2308"/>
    <w:rsid w:val="004F2385"/>
    <w:rsid w:val="004F2740"/>
    <w:rsid w:val="004F2AD4"/>
    <w:rsid w:val="004F2D04"/>
    <w:rsid w:val="004F2EE1"/>
    <w:rsid w:val="004F2F11"/>
    <w:rsid w:val="004F30C6"/>
    <w:rsid w:val="004F310E"/>
    <w:rsid w:val="004F3198"/>
    <w:rsid w:val="004F40A1"/>
    <w:rsid w:val="004F4352"/>
    <w:rsid w:val="004F459C"/>
    <w:rsid w:val="004F4906"/>
    <w:rsid w:val="004F4A48"/>
    <w:rsid w:val="004F4E71"/>
    <w:rsid w:val="004F5372"/>
    <w:rsid w:val="004F5985"/>
    <w:rsid w:val="004F5A2F"/>
    <w:rsid w:val="004F5B22"/>
    <w:rsid w:val="004F5D54"/>
    <w:rsid w:val="004F695B"/>
    <w:rsid w:val="004F6C9D"/>
    <w:rsid w:val="004F715A"/>
    <w:rsid w:val="004F72EC"/>
    <w:rsid w:val="004F73C5"/>
    <w:rsid w:val="004F76DB"/>
    <w:rsid w:val="004F7F57"/>
    <w:rsid w:val="005000C8"/>
    <w:rsid w:val="00500CAD"/>
    <w:rsid w:val="00500E8E"/>
    <w:rsid w:val="005012BF"/>
    <w:rsid w:val="00501660"/>
    <w:rsid w:val="00501A18"/>
    <w:rsid w:val="00501A34"/>
    <w:rsid w:val="00501CFF"/>
    <w:rsid w:val="00502271"/>
    <w:rsid w:val="00502752"/>
    <w:rsid w:val="00502997"/>
    <w:rsid w:val="00502A46"/>
    <w:rsid w:val="00502B75"/>
    <w:rsid w:val="00502BB1"/>
    <w:rsid w:val="00503486"/>
    <w:rsid w:val="005037C7"/>
    <w:rsid w:val="00503B2C"/>
    <w:rsid w:val="00503B56"/>
    <w:rsid w:val="00503E02"/>
    <w:rsid w:val="00504096"/>
    <w:rsid w:val="005040A2"/>
    <w:rsid w:val="005041B4"/>
    <w:rsid w:val="0050481D"/>
    <w:rsid w:val="005048B3"/>
    <w:rsid w:val="00504B2D"/>
    <w:rsid w:val="00504E74"/>
    <w:rsid w:val="0050546B"/>
    <w:rsid w:val="00505782"/>
    <w:rsid w:val="00505B7F"/>
    <w:rsid w:val="00505C0D"/>
    <w:rsid w:val="00506142"/>
    <w:rsid w:val="0050635E"/>
    <w:rsid w:val="00506821"/>
    <w:rsid w:val="005068DC"/>
    <w:rsid w:val="00506904"/>
    <w:rsid w:val="005069A4"/>
    <w:rsid w:val="005071BE"/>
    <w:rsid w:val="00507336"/>
    <w:rsid w:val="00507779"/>
    <w:rsid w:val="00507D6D"/>
    <w:rsid w:val="00510010"/>
    <w:rsid w:val="00510056"/>
    <w:rsid w:val="005101E8"/>
    <w:rsid w:val="00510E72"/>
    <w:rsid w:val="00511015"/>
    <w:rsid w:val="005110A2"/>
    <w:rsid w:val="00511341"/>
    <w:rsid w:val="005115A6"/>
    <w:rsid w:val="0051200D"/>
    <w:rsid w:val="00512248"/>
    <w:rsid w:val="0051262E"/>
    <w:rsid w:val="00512A4B"/>
    <w:rsid w:val="00512D74"/>
    <w:rsid w:val="00512ECA"/>
    <w:rsid w:val="005138B7"/>
    <w:rsid w:val="00513E19"/>
    <w:rsid w:val="0051409F"/>
    <w:rsid w:val="0051416B"/>
    <w:rsid w:val="005141A8"/>
    <w:rsid w:val="0051440A"/>
    <w:rsid w:val="00514533"/>
    <w:rsid w:val="005148EB"/>
    <w:rsid w:val="00514E4F"/>
    <w:rsid w:val="00514E83"/>
    <w:rsid w:val="00515293"/>
    <w:rsid w:val="00515626"/>
    <w:rsid w:val="00516157"/>
    <w:rsid w:val="005165C4"/>
    <w:rsid w:val="005168D0"/>
    <w:rsid w:val="00516C9B"/>
    <w:rsid w:val="00516D0B"/>
    <w:rsid w:val="005172A0"/>
    <w:rsid w:val="005172FE"/>
    <w:rsid w:val="005173BC"/>
    <w:rsid w:val="005174AE"/>
    <w:rsid w:val="00517647"/>
    <w:rsid w:val="00517902"/>
    <w:rsid w:val="00517BF7"/>
    <w:rsid w:val="005200FE"/>
    <w:rsid w:val="005203F8"/>
    <w:rsid w:val="005207F1"/>
    <w:rsid w:val="00520A31"/>
    <w:rsid w:val="00520F7B"/>
    <w:rsid w:val="005215C1"/>
    <w:rsid w:val="00521799"/>
    <w:rsid w:val="0052183E"/>
    <w:rsid w:val="00521968"/>
    <w:rsid w:val="00521B5D"/>
    <w:rsid w:val="005225AF"/>
    <w:rsid w:val="00522C23"/>
    <w:rsid w:val="00523445"/>
    <w:rsid w:val="005235F9"/>
    <w:rsid w:val="00523908"/>
    <w:rsid w:val="00523977"/>
    <w:rsid w:val="00524384"/>
    <w:rsid w:val="00524516"/>
    <w:rsid w:val="00524666"/>
    <w:rsid w:val="00524740"/>
    <w:rsid w:val="00524823"/>
    <w:rsid w:val="00524CC4"/>
    <w:rsid w:val="00525062"/>
    <w:rsid w:val="00525AB3"/>
    <w:rsid w:val="00525D57"/>
    <w:rsid w:val="00526087"/>
    <w:rsid w:val="00526291"/>
    <w:rsid w:val="005262E8"/>
    <w:rsid w:val="005267D7"/>
    <w:rsid w:val="005268FF"/>
    <w:rsid w:val="00526BAA"/>
    <w:rsid w:val="00526BEA"/>
    <w:rsid w:val="00526DCD"/>
    <w:rsid w:val="005271E6"/>
    <w:rsid w:val="005272F2"/>
    <w:rsid w:val="00527467"/>
    <w:rsid w:val="0052764D"/>
    <w:rsid w:val="005300D1"/>
    <w:rsid w:val="005303DD"/>
    <w:rsid w:val="00530462"/>
    <w:rsid w:val="005306BE"/>
    <w:rsid w:val="00530876"/>
    <w:rsid w:val="00531453"/>
    <w:rsid w:val="0053179C"/>
    <w:rsid w:val="00531DB2"/>
    <w:rsid w:val="0053221F"/>
    <w:rsid w:val="00532280"/>
    <w:rsid w:val="0053239E"/>
    <w:rsid w:val="005324D5"/>
    <w:rsid w:val="00532C20"/>
    <w:rsid w:val="00533150"/>
    <w:rsid w:val="005333D6"/>
    <w:rsid w:val="00533474"/>
    <w:rsid w:val="00533819"/>
    <w:rsid w:val="005339DE"/>
    <w:rsid w:val="00533AA8"/>
    <w:rsid w:val="005343A0"/>
    <w:rsid w:val="005350D6"/>
    <w:rsid w:val="00535409"/>
    <w:rsid w:val="00535739"/>
    <w:rsid w:val="005358A5"/>
    <w:rsid w:val="005358CD"/>
    <w:rsid w:val="00535926"/>
    <w:rsid w:val="00535B95"/>
    <w:rsid w:val="00536160"/>
    <w:rsid w:val="0053684D"/>
    <w:rsid w:val="00536AC3"/>
    <w:rsid w:val="00536F13"/>
    <w:rsid w:val="005371E9"/>
    <w:rsid w:val="0053763B"/>
    <w:rsid w:val="00537BCC"/>
    <w:rsid w:val="00537CE7"/>
    <w:rsid w:val="00537F7B"/>
    <w:rsid w:val="005402DA"/>
    <w:rsid w:val="005407D7"/>
    <w:rsid w:val="00540A44"/>
    <w:rsid w:val="005416EE"/>
    <w:rsid w:val="00541B96"/>
    <w:rsid w:val="00541CC0"/>
    <w:rsid w:val="00541F1C"/>
    <w:rsid w:val="005423BA"/>
    <w:rsid w:val="00542465"/>
    <w:rsid w:val="00542C9E"/>
    <w:rsid w:val="0054334A"/>
    <w:rsid w:val="00543624"/>
    <w:rsid w:val="00543903"/>
    <w:rsid w:val="0054391E"/>
    <w:rsid w:val="00543B22"/>
    <w:rsid w:val="00543E21"/>
    <w:rsid w:val="0054405B"/>
    <w:rsid w:val="00544558"/>
    <w:rsid w:val="005445E4"/>
    <w:rsid w:val="005447E6"/>
    <w:rsid w:val="00544B17"/>
    <w:rsid w:val="0054542F"/>
    <w:rsid w:val="005455CC"/>
    <w:rsid w:val="00545611"/>
    <w:rsid w:val="0054584B"/>
    <w:rsid w:val="005458BE"/>
    <w:rsid w:val="00545A67"/>
    <w:rsid w:val="00546176"/>
    <w:rsid w:val="0054650E"/>
    <w:rsid w:val="00546674"/>
    <w:rsid w:val="005467AE"/>
    <w:rsid w:val="00546CA1"/>
    <w:rsid w:val="00546FA2"/>
    <w:rsid w:val="00547056"/>
    <w:rsid w:val="005470C0"/>
    <w:rsid w:val="005471F5"/>
    <w:rsid w:val="005475F7"/>
    <w:rsid w:val="005479F0"/>
    <w:rsid w:val="00547A12"/>
    <w:rsid w:val="00547CD6"/>
    <w:rsid w:val="00547F8B"/>
    <w:rsid w:val="00550191"/>
    <w:rsid w:val="00550406"/>
    <w:rsid w:val="005509E2"/>
    <w:rsid w:val="00550E1A"/>
    <w:rsid w:val="00550EDF"/>
    <w:rsid w:val="0055261B"/>
    <w:rsid w:val="005527F4"/>
    <w:rsid w:val="005529DD"/>
    <w:rsid w:val="00552FFF"/>
    <w:rsid w:val="005536B0"/>
    <w:rsid w:val="00553A03"/>
    <w:rsid w:val="00553C06"/>
    <w:rsid w:val="00553D99"/>
    <w:rsid w:val="00553E02"/>
    <w:rsid w:val="00554051"/>
    <w:rsid w:val="005541B6"/>
    <w:rsid w:val="005544BF"/>
    <w:rsid w:val="00554B88"/>
    <w:rsid w:val="00554C1C"/>
    <w:rsid w:val="00554E84"/>
    <w:rsid w:val="00555622"/>
    <w:rsid w:val="005559A7"/>
    <w:rsid w:val="00555AC1"/>
    <w:rsid w:val="0055677D"/>
    <w:rsid w:val="005569FE"/>
    <w:rsid w:val="00556B81"/>
    <w:rsid w:val="00557329"/>
    <w:rsid w:val="005573B2"/>
    <w:rsid w:val="005574FB"/>
    <w:rsid w:val="00557656"/>
    <w:rsid w:val="00557FEA"/>
    <w:rsid w:val="005604AB"/>
    <w:rsid w:val="0056061F"/>
    <w:rsid w:val="00560822"/>
    <w:rsid w:val="00561456"/>
    <w:rsid w:val="005616BF"/>
    <w:rsid w:val="00561EEF"/>
    <w:rsid w:val="0056230F"/>
    <w:rsid w:val="005623FD"/>
    <w:rsid w:val="00562E2A"/>
    <w:rsid w:val="00563439"/>
    <w:rsid w:val="00563582"/>
    <w:rsid w:val="0056363C"/>
    <w:rsid w:val="00563D1F"/>
    <w:rsid w:val="00563D37"/>
    <w:rsid w:val="00563E83"/>
    <w:rsid w:val="005641A1"/>
    <w:rsid w:val="005642BD"/>
    <w:rsid w:val="0056458F"/>
    <w:rsid w:val="005645F8"/>
    <w:rsid w:val="0056469F"/>
    <w:rsid w:val="005649E6"/>
    <w:rsid w:val="00564A49"/>
    <w:rsid w:val="00564A56"/>
    <w:rsid w:val="00564B54"/>
    <w:rsid w:val="00564BED"/>
    <w:rsid w:val="00565162"/>
    <w:rsid w:val="00565317"/>
    <w:rsid w:val="005657A3"/>
    <w:rsid w:val="005657DA"/>
    <w:rsid w:val="005658F9"/>
    <w:rsid w:val="00565AD7"/>
    <w:rsid w:val="00565BA9"/>
    <w:rsid w:val="00565DA8"/>
    <w:rsid w:val="00565E48"/>
    <w:rsid w:val="00565ED1"/>
    <w:rsid w:val="00565F24"/>
    <w:rsid w:val="00565F7E"/>
    <w:rsid w:val="00565F9A"/>
    <w:rsid w:val="005663CD"/>
    <w:rsid w:val="00566658"/>
    <w:rsid w:val="0056674C"/>
    <w:rsid w:val="0056685C"/>
    <w:rsid w:val="005668BA"/>
    <w:rsid w:val="00566D79"/>
    <w:rsid w:val="00566DB0"/>
    <w:rsid w:val="0056707E"/>
    <w:rsid w:val="005671CD"/>
    <w:rsid w:val="005672DE"/>
    <w:rsid w:val="00567557"/>
    <w:rsid w:val="00567D98"/>
    <w:rsid w:val="00567EDB"/>
    <w:rsid w:val="005710D1"/>
    <w:rsid w:val="00571784"/>
    <w:rsid w:val="00571847"/>
    <w:rsid w:val="00571927"/>
    <w:rsid w:val="00571C92"/>
    <w:rsid w:val="00572457"/>
    <w:rsid w:val="00572823"/>
    <w:rsid w:val="0057293A"/>
    <w:rsid w:val="00572F88"/>
    <w:rsid w:val="0057342D"/>
    <w:rsid w:val="0057364E"/>
    <w:rsid w:val="005736D7"/>
    <w:rsid w:val="00573CF5"/>
    <w:rsid w:val="00574275"/>
    <w:rsid w:val="00574366"/>
    <w:rsid w:val="005743CD"/>
    <w:rsid w:val="00574AD8"/>
    <w:rsid w:val="00574BC9"/>
    <w:rsid w:val="00574F11"/>
    <w:rsid w:val="005750D7"/>
    <w:rsid w:val="00575413"/>
    <w:rsid w:val="0057570E"/>
    <w:rsid w:val="005757CB"/>
    <w:rsid w:val="00575914"/>
    <w:rsid w:val="00575BD2"/>
    <w:rsid w:val="00575BEF"/>
    <w:rsid w:val="00575D04"/>
    <w:rsid w:val="00575ED3"/>
    <w:rsid w:val="00575F58"/>
    <w:rsid w:val="005760A6"/>
    <w:rsid w:val="005760CA"/>
    <w:rsid w:val="005761AF"/>
    <w:rsid w:val="00576379"/>
    <w:rsid w:val="00576679"/>
    <w:rsid w:val="00576DDC"/>
    <w:rsid w:val="0057714A"/>
    <w:rsid w:val="00577180"/>
    <w:rsid w:val="0057724C"/>
    <w:rsid w:val="00577496"/>
    <w:rsid w:val="00577A43"/>
    <w:rsid w:val="00577B12"/>
    <w:rsid w:val="00577D6F"/>
    <w:rsid w:val="00577FF5"/>
    <w:rsid w:val="00580055"/>
    <w:rsid w:val="00580356"/>
    <w:rsid w:val="00580511"/>
    <w:rsid w:val="0058090F"/>
    <w:rsid w:val="00580A73"/>
    <w:rsid w:val="00580CEE"/>
    <w:rsid w:val="00580E18"/>
    <w:rsid w:val="0058114B"/>
    <w:rsid w:val="0058121C"/>
    <w:rsid w:val="0058126F"/>
    <w:rsid w:val="005813C9"/>
    <w:rsid w:val="0058195C"/>
    <w:rsid w:val="00581A52"/>
    <w:rsid w:val="00582121"/>
    <w:rsid w:val="0058213F"/>
    <w:rsid w:val="0058284B"/>
    <w:rsid w:val="00582952"/>
    <w:rsid w:val="0058296E"/>
    <w:rsid w:val="00582979"/>
    <w:rsid w:val="005830F3"/>
    <w:rsid w:val="00583315"/>
    <w:rsid w:val="0058332F"/>
    <w:rsid w:val="00583556"/>
    <w:rsid w:val="00583563"/>
    <w:rsid w:val="00583C39"/>
    <w:rsid w:val="005841D9"/>
    <w:rsid w:val="0058438C"/>
    <w:rsid w:val="005844DC"/>
    <w:rsid w:val="0058454D"/>
    <w:rsid w:val="00584815"/>
    <w:rsid w:val="00584EE6"/>
    <w:rsid w:val="00585299"/>
    <w:rsid w:val="00585834"/>
    <w:rsid w:val="0058586C"/>
    <w:rsid w:val="00586075"/>
    <w:rsid w:val="0058615B"/>
    <w:rsid w:val="005862AA"/>
    <w:rsid w:val="005864C9"/>
    <w:rsid w:val="00586745"/>
    <w:rsid w:val="0058674F"/>
    <w:rsid w:val="00586ACA"/>
    <w:rsid w:val="00586CA1"/>
    <w:rsid w:val="00586CB6"/>
    <w:rsid w:val="00586CC7"/>
    <w:rsid w:val="00587169"/>
    <w:rsid w:val="00587968"/>
    <w:rsid w:val="00587A0C"/>
    <w:rsid w:val="005900AC"/>
    <w:rsid w:val="005907F0"/>
    <w:rsid w:val="005909CF"/>
    <w:rsid w:val="00590A4B"/>
    <w:rsid w:val="00590EE6"/>
    <w:rsid w:val="00590FC8"/>
    <w:rsid w:val="00591309"/>
    <w:rsid w:val="0059152D"/>
    <w:rsid w:val="00591AB4"/>
    <w:rsid w:val="00591CC5"/>
    <w:rsid w:val="00591E20"/>
    <w:rsid w:val="00591E3C"/>
    <w:rsid w:val="00591E71"/>
    <w:rsid w:val="005925A1"/>
    <w:rsid w:val="00592D8E"/>
    <w:rsid w:val="0059333B"/>
    <w:rsid w:val="00593762"/>
    <w:rsid w:val="00593771"/>
    <w:rsid w:val="005937BC"/>
    <w:rsid w:val="005937FC"/>
    <w:rsid w:val="00593BB1"/>
    <w:rsid w:val="00594B23"/>
    <w:rsid w:val="00594E92"/>
    <w:rsid w:val="00594FCA"/>
    <w:rsid w:val="005950DA"/>
    <w:rsid w:val="005955AB"/>
    <w:rsid w:val="0059564D"/>
    <w:rsid w:val="00595819"/>
    <w:rsid w:val="00595965"/>
    <w:rsid w:val="00595F0B"/>
    <w:rsid w:val="00595F3A"/>
    <w:rsid w:val="005962F0"/>
    <w:rsid w:val="00596527"/>
    <w:rsid w:val="00596555"/>
    <w:rsid w:val="00596C02"/>
    <w:rsid w:val="00596D22"/>
    <w:rsid w:val="005977ED"/>
    <w:rsid w:val="00597ECA"/>
    <w:rsid w:val="005A0340"/>
    <w:rsid w:val="005A0A18"/>
    <w:rsid w:val="005A0B21"/>
    <w:rsid w:val="005A0C1B"/>
    <w:rsid w:val="005A0D0E"/>
    <w:rsid w:val="005A1146"/>
    <w:rsid w:val="005A11E6"/>
    <w:rsid w:val="005A14DA"/>
    <w:rsid w:val="005A1779"/>
    <w:rsid w:val="005A189D"/>
    <w:rsid w:val="005A1923"/>
    <w:rsid w:val="005A2037"/>
    <w:rsid w:val="005A2122"/>
    <w:rsid w:val="005A215A"/>
    <w:rsid w:val="005A2378"/>
    <w:rsid w:val="005A2615"/>
    <w:rsid w:val="005A2CD1"/>
    <w:rsid w:val="005A2F5B"/>
    <w:rsid w:val="005A2FB7"/>
    <w:rsid w:val="005A3390"/>
    <w:rsid w:val="005A3464"/>
    <w:rsid w:val="005A3577"/>
    <w:rsid w:val="005A3BC7"/>
    <w:rsid w:val="005A3F2B"/>
    <w:rsid w:val="005A412E"/>
    <w:rsid w:val="005A426B"/>
    <w:rsid w:val="005A4423"/>
    <w:rsid w:val="005A4AB5"/>
    <w:rsid w:val="005A4C8C"/>
    <w:rsid w:val="005A4F93"/>
    <w:rsid w:val="005A5042"/>
    <w:rsid w:val="005A607E"/>
    <w:rsid w:val="005A634B"/>
    <w:rsid w:val="005A63D6"/>
    <w:rsid w:val="005A64C5"/>
    <w:rsid w:val="005A6657"/>
    <w:rsid w:val="005A67D2"/>
    <w:rsid w:val="005A6A40"/>
    <w:rsid w:val="005A6DBB"/>
    <w:rsid w:val="005A71E4"/>
    <w:rsid w:val="005A72C4"/>
    <w:rsid w:val="005A791C"/>
    <w:rsid w:val="005A7B67"/>
    <w:rsid w:val="005A7CF4"/>
    <w:rsid w:val="005A7FB9"/>
    <w:rsid w:val="005B050B"/>
    <w:rsid w:val="005B0954"/>
    <w:rsid w:val="005B13D6"/>
    <w:rsid w:val="005B1A11"/>
    <w:rsid w:val="005B23DA"/>
    <w:rsid w:val="005B241A"/>
    <w:rsid w:val="005B2643"/>
    <w:rsid w:val="005B2D10"/>
    <w:rsid w:val="005B2EF5"/>
    <w:rsid w:val="005B2F82"/>
    <w:rsid w:val="005B3015"/>
    <w:rsid w:val="005B351E"/>
    <w:rsid w:val="005B365D"/>
    <w:rsid w:val="005B3986"/>
    <w:rsid w:val="005B3C86"/>
    <w:rsid w:val="005B4447"/>
    <w:rsid w:val="005B46A6"/>
    <w:rsid w:val="005B4F88"/>
    <w:rsid w:val="005B51D7"/>
    <w:rsid w:val="005B51FE"/>
    <w:rsid w:val="005B5652"/>
    <w:rsid w:val="005B58D9"/>
    <w:rsid w:val="005B6059"/>
    <w:rsid w:val="005B6081"/>
    <w:rsid w:val="005B64EC"/>
    <w:rsid w:val="005B654D"/>
    <w:rsid w:val="005B6C33"/>
    <w:rsid w:val="005B7F8E"/>
    <w:rsid w:val="005C0462"/>
    <w:rsid w:val="005C06ED"/>
    <w:rsid w:val="005C1109"/>
    <w:rsid w:val="005C1B47"/>
    <w:rsid w:val="005C2190"/>
    <w:rsid w:val="005C222E"/>
    <w:rsid w:val="005C2299"/>
    <w:rsid w:val="005C2370"/>
    <w:rsid w:val="005C2E04"/>
    <w:rsid w:val="005C2E48"/>
    <w:rsid w:val="005C2FDF"/>
    <w:rsid w:val="005C308F"/>
    <w:rsid w:val="005C318E"/>
    <w:rsid w:val="005C3211"/>
    <w:rsid w:val="005C3542"/>
    <w:rsid w:val="005C35F5"/>
    <w:rsid w:val="005C372B"/>
    <w:rsid w:val="005C3A62"/>
    <w:rsid w:val="005C4331"/>
    <w:rsid w:val="005C4523"/>
    <w:rsid w:val="005C4647"/>
    <w:rsid w:val="005C47D0"/>
    <w:rsid w:val="005C4ACA"/>
    <w:rsid w:val="005C4C2B"/>
    <w:rsid w:val="005C509E"/>
    <w:rsid w:val="005C522C"/>
    <w:rsid w:val="005C53C9"/>
    <w:rsid w:val="005C559A"/>
    <w:rsid w:val="005C5747"/>
    <w:rsid w:val="005C5F39"/>
    <w:rsid w:val="005C662A"/>
    <w:rsid w:val="005C69E7"/>
    <w:rsid w:val="005C6E3C"/>
    <w:rsid w:val="005C7082"/>
    <w:rsid w:val="005C78A1"/>
    <w:rsid w:val="005C79CA"/>
    <w:rsid w:val="005C79DE"/>
    <w:rsid w:val="005D0027"/>
    <w:rsid w:val="005D01E8"/>
    <w:rsid w:val="005D0454"/>
    <w:rsid w:val="005D0792"/>
    <w:rsid w:val="005D0CE6"/>
    <w:rsid w:val="005D1999"/>
    <w:rsid w:val="005D19D6"/>
    <w:rsid w:val="005D1E07"/>
    <w:rsid w:val="005D23E1"/>
    <w:rsid w:val="005D2523"/>
    <w:rsid w:val="005D25CB"/>
    <w:rsid w:val="005D26CC"/>
    <w:rsid w:val="005D2953"/>
    <w:rsid w:val="005D29AB"/>
    <w:rsid w:val="005D2E5D"/>
    <w:rsid w:val="005D2EEA"/>
    <w:rsid w:val="005D3232"/>
    <w:rsid w:val="005D3F10"/>
    <w:rsid w:val="005D45AF"/>
    <w:rsid w:val="005D46D4"/>
    <w:rsid w:val="005D48D7"/>
    <w:rsid w:val="005D4958"/>
    <w:rsid w:val="005D4F93"/>
    <w:rsid w:val="005D535E"/>
    <w:rsid w:val="005D574F"/>
    <w:rsid w:val="005D6033"/>
    <w:rsid w:val="005D64CD"/>
    <w:rsid w:val="005D65F9"/>
    <w:rsid w:val="005D6F27"/>
    <w:rsid w:val="005D70AB"/>
    <w:rsid w:val="005D72A4"/>
    <w:rsid w:val="005D7305"/>
    <w:rsid w:val="005D75DD"/>
    <w:rsid w:val="005D7959"/>
    <w:rsid w:val="005D7F59"/>
    <w:rsid w:val="005E008A"/>
    <w:rsid w:val="005E0280"/>
    <w:rsid w:val="005E0479"/>
    <w:rsid w:val="005E07CC"/>
    <w:rsid w:val="005E1126"/>
    <w:rsid w:val="005E166B"/>
    <w:rsid w:val="005E1980"/>
    <w:rsid w:val="005E28DC"/>
    <w:rsid w:val="005E3172"/>
    <w:rsid w:val="005E340A"/>
    <w:rsid w:val="005E363B"/>
    <w:rsid w:val="005E3698"/>
    <w:rsid w:val="005E3ACF"/>
    <w:rsid w:val="005E3D4D"/>
    <w:rsid w:val="005E4448"/>
    <w:rsid w:val="005E46FB"/>
    <w:rsid w:val="005E495B"/>
    <w:rsid w:val="005E4CA5"/>
    <w:rsid w:val="005E4F22"/>
    <w:rsid w:val="005E4F57"/>
    <w:rsid w:val="005E5226"/>
    <w:rsid w:val="005E5357"/>
    <w:rsid w:val="005E563B"/>
    <w:rsid w:val="005E5F36"/>
    <w:rsid w:val="005E5FC2"/>
    <w:rsid w:val="005E5FEF"/>
    <w:rsid w:val="005E6769"/>
    <w:rsid w:val="005E683B"/>
    <w:rsid w:val="005E6D08"/>
    <w:rsid w:val="005E6E80"/>
    <w:rsid w:val="005F02B3"/>
    <w:rsid w:val="005F0342"/>
    <w:rsid w:val="005F0DBA"/>
    <w:rsid w:val="005F0EFD"/>
    <w:rsid w:val="005F13A4"/>
    <w:rsid w:val="005F15E8"/>
    <w:rsid w:val="005F2034"/>
    <w:rsid w:val="005F229B"/>
    <w:rsid w:val="005F23B2"/>
    <w:rsid w:val="005F265B"/>
    <w:rsid w:val="005F277E"/>
    <w:rsid w:val="005F2BA7"/>
    <w:rsid w:val="005F3704"/>
    <w:rsid w:val="005F3AB3"/>
    <w:rsid w:val="005F45E7"/>
    <w:rsid w:val="005F4695"/>
    <w:rsid w:val="005F4B00"/>
    <w:rsid w:val="005F4CA5"/>
    <w:rsid w:val="005F53D5"/>
    <w:rsid w:val="005F57BB"/>
    <w:rsid w:val="005F5B8C"/>
    <w:rsid w:val="005F5F15"/>
    <w:rsid w:val="005F6411"/>
    <w:rsid w:val="005F65ED"/>
    <w:rsid w:val="005F6834"/>
    <w:rsid w:val="005F6BE0"/>
    <w:rsid w:val="005F6EE1"/>
    <w:rsid w:val="005F73B1"/>
    <w:rsid w:val="005F7575"/>
    <w:rsid w:val="005F7815"/>
    <w:rsid w:val="005F791C"/>
    <w:rsid w:val="005F7A34"/>
    <w:rsid w:val="005F7A71"/>
    <w:rsid w:val="005F7E75"/>
    <w:rsid w:val="0060027A"/>
    <w:rsid w:val="006003A7"/>
    <w:rsid w:val="00600501"/>
    <w:rsid w:val="00600C57"/>
    <w:rsid w:val="00600E92"/>
    <w:rsid w:val="00600F5C"/>
    <w:rsid w:val="00601007"/>
    <w:rsid w:val="006013FA"/>
    <w:rsid w:val="006014B0"/>
    <w:rsid w:val="0060165B"/>
    <w:rsid w:val="00601C0D"/>
    <w:rsid w:val="00601C40"/>
    <w:rsid w:val="00601EC6"/>
    <w:rsid w:val="006027B1"/>
    <w:rsid w:val="00602ACF"/>
    <w:rsid w:val="00602BDD"/>
    <w:rsid w:val="00602D97"/>
    <w:rsid w:val="0060327C"/>
    <w:rsid w:val="0060333F"/>
    <w:rsid w:val="0060360A"/>
    <w:rsid w:val="006039ED"/>
    <w:rsid w:val="00603AF7"/>
    <w:rsid w:val="00603D0A"/>
    <w:rsid w:val="00603F41"/>
    <w:rsid w:val="00603FDC"/>
    <w:rsid w:val="00604BD2"/>
    <w:rsid w:val="00604CB2"/>
    <w:rsid w:val="00604ED9"/>
    <w:rsid w:val="00604F8C"/>
    <w:rsid w:val="006054E2"/>
    <w:rsid w:val="00605B33"/>
    <w:rsid w:val="00605E56"/>
    <w:rsid w:val="006061B0"/>
    <w:rsid w:val="00606CC5"/>
    <w:rsid w:val="00606E40"/>
    <w:rsid w:val="00606EB4"/>
    <w:rsid w:val="00607963"/>
    <w:rsid w:val="00607A6D"/>
    <w:rsid w:val="00607A86"/>
    <w:rsid w:val="00607B04"/>
    <w:rsid w:val="00607BF1"/>
    <w:rsid w:val="00607E8B"/>
    <w:rsid w:val="00607F84"/>
    <w:rsid w:val="0061008D"/>
    <w:rsid w:val="006100DD"/>
    <w:rsid w:val="00610306"/>
    <w:rsid w:val="0061039E"/>
    <w:rsid w:val="00610882"/>
    <w:rsid w:val="00610A69"/>
    <w:rsid w:val="00610B85"/>
    <w:rsid w:val="0061105D"/>
    <w:rsid w:val="006110A5"/>
    <w:rsid w:val="0061128F"/>
    <w:rsid w:val="00611293"/>
    <w:rsid w:val="0061130A"/>
    <w:rsid w:val="0061197A"/>
    <w:rsid w:val="00612161"/>
    <w:rsid w:val="00612384"/>
    <w:rsid w:val="0061259D"/>
    <w:rsid w:val="006125A0"/>
    <w:rsid w:val="00612614"/>
    <w:rsid w:val="0061273E"/>
    <w:rsid w:val="00612B0B"/>
    <w:rsid w:val="00612BBA"/>
    <w:rsid w:val="006131F2"/>
    <w:rsid w:val="006133F0"/>
    <w:rsid w:val="00613408"/>
    <w:rsid w:val="006137AC"/>
    <w:rsid w:val="00613B6D"/>
    <w:rsid w:val="00613F18"/>
    <w:rsid w:val="00613FF7"/>
    <w:rsid w:val="0061492C"/>
    <w:rsid w:val="00615338"/>
    <w:rsid w:val="0061547C"/>
    <w:rsid w:val="00615842"/>
    <w:rsid w:val="006159E5"/>
    <w:rsid w:val="00615DF5"/>
    <w:rsid w:val="006160CF"/>
    <w:rsid w:val="0061656A"/>
    <w:rsid w:val="00616646"/>
    <w:rsid w:val="006167FB"/>
    <w:rsid w:val="00616B32"/>
    <w:rsid w:val="00616C3E"/>
    <w:rsid w:val="00616CC6"/>
    <w:rsid w:val="00616D94"/>
    <w:rsid w:val="006177B4"/>
    <w:rsid w:val="00617E3D"/>
    <w:rsid w:val="00617E52"/>
    <w:rsid w:val="0062013B"/>
    <w:rsid w:val="0062039A"/>
    <w:rsid w:val="00620779"/>
    <w:rsid w:val="006207A7"/>
    <w:rsid w:val="00620D4F"/>
    <w:rsid w:val="00621057"/>
    <w:rsid w:val="00621376"/>
    <w:rsid w:val="006217B6"/>
    <w:rsid w:val="00621A35"/>
    <w:rsid w:val="00621D36"/>
    <w:rsid w:val="00621E7E"/>
    <w:rsid w:val="00621E94"/>
    <w:rsid w:val="00622160"/>
    <w:rsid w:val="006225AB"/>
    <w:rsid w:val="006228F9"/>
    <w:rsid w:val="00622A76"/>
    <w:rsid w:val="00622B8D"/>
    <w:rsid w:val="00622DA3"/>
    <w:rsid w:val="00622ED8"/>
    <w:rsid w:val="006230D9"/>
    <w:rsid w:val="00623457"/>
    <w:rsid w:val="006235AB"/>
    <w:rsid w:val="00623B47"/>
    <w:rsid w:val="00623C31"/>
    <w:rsid w:val="00623E51"/>
    <w:rsid w:val="00623F39"/>
    <w:rsid w:val="006243D9"/>
    <w:rsid w:val="00624B41"/>
    <w:rsid w:val="006258DC"/>
    <w:rsid w:val="006258F3"/>
    <w:rsid w:val="0062631C"/>
    <w:rsid w:val="00626AF2"/>
    <w:rsid w:val="00626C98"/>
    <w:rsid w:val="0062711C"/>
    <w:rsid w:val="00627213"/>
    <w:rsid w:val="0062741B"/>
    <w:rsid w:val="00627FCE"/>
    <w:rsid w:val="00630004"/>
    <w:rsid w:val="00630655"/>
    <w:rsid w:val="00630A95"/>
    <w:rsid w:val="00630B7B"/>
    <w:rsid w:val="00630D4D"/>
    <w:rsid w:val="006311A8"/>
    <w:rsid w:val="0063129D"/>
    <w:rsid w:val="00631502"/>
    <w:rsid w:val="006317DD"/>
    <w:rsid w:val="00632250"/>
    <w:rsid w:val="00632513"/>
    <w:rsid w:val="00632684"/>
    <w:rsid w:val="00632A74"/>
    <w:rsid w:val="00632AE9"/>
    <w:rsid w:val="00633265"/>
    <w:rsid w:val="0063394D"/>
    <w:rsid w:val="0063402C"/>
    <w:rsid w:val="00634038"/>
    <w:rsid w:val="00634318"/>
    <w:rsid w:val="00634842"/>
    <w:rsid w:val="00634ACE"/>
    <w:rsid w:val="00634BCF"/>
    <w:rsid w:val="00634C77"/>
    <w:rsid w:val="00634F31"/>
    <w:rsid w:val="006355D7"/>
    <w:rsid w:val="00635684"/>
    <w:rsid w:val="00635A69"/>
    <w:rsid w:val="00635ABB"/>
    <w:rsid w:val="00635E77"/>
    <w:rsid w:val="00636719"/>
    <w:rsid w:val="006374EE"/>
    <w:rsid w:val="006400F5"/>
    <w:rsid w:val="00640327"/>
    <w:rsid w:val="0064046A"/>
    <w:rsid w:val="006407E5"/>
    <w:rsid w:val="00640BCF"/>
    <w:rsid w:val="00640F08"/>
    <w:rsid w:val="0064100F"/>
    <w:rsid w:val="00641860"/>
    <w:rsid w:val="00641877"/>
    <w:rsid w:val="00641E49"/>
    <w:rsid w:val="00641EB8"/>
    <w:rsid w:val="00641F0D"/>
    <w:rsid w:val="00642320"/>
    <w:rsid w:val="00642C30"/>
    <w:rsid w:val="00642D65"/>
    <w:rsid w:val="0064324A"/>
    <w:rsid w:val="00643D88"/>
    <w:rsid w:val="00643F4D"/>
    <w:rsid w:val="00643FA5"/>
    <w:rsid w:val="006443A4"/>
    <w:rsid w:val="00644455"/>
    <w:rsid w:val="00644A62"/>
    <w:rsid w:val="00644AE3"/>
    <w:rsid w:val="006453E7"/>
    <w:rsid w:val="00645438"/>
    <w:rsid w:val="0064553C"/>
    <w:rsid w:val="00645598"/>
    <w:rsid w:val="0064595A"/>
    <w:rsid w:val="00645E29"/>
    <w:rsid w:val="00645EE0"/>
    <w:rsid w:val="006461BA"/>
    <w:rsid w:val="006465A9"/>
    <w:rsid w:val="00646665"/>
    <w:rsid w:val="006466C5"/>
    <w:rsid w:val="0064678D"/>
    <w:rsid w:val="00646CD3"/>
    <w:rsid w:val="00646FC7"/>
    <w:rsid w:val="0064715A"/>
    <w:rsid w:val="006475D1"/>
    <w:rsid w:val="006475E5"/>
    <w:rsid w:val="006478C7"/>
    <w:rsid w:val="00647A83"/>
    <w:rsid w:val="00647C13"/>
    <w:rsid w:val="00647E0D"/>
    <w:rsid w:val="006500AB"/>
    <w:rsid w:val="006502D4"/>
    <w:rsid w:val="006506D0"/>
    <w:rsid w:val="0065071E"/>
    <w:rsid w:val="00650D47"/>
    <w:rsid w:val="00651011"/>
    <w:rsid w:val="00651042"/>
    <w:rsid w:val="006513B5"/>
    <w:rsid w:val="0065145D"/>
    <w:rsid w:val="00651D5A"/>
    <w:rsid w:val="00652315"/>
    <w:rsid w:val="006523FA"/>
    <w:rsid w:val="006526F4"/>
    <w:rsid w:val="00652A7B"/>
    <w:rsid w:val="00652AD7"/>
    <w:rsid w:val="00652F20"/>
    <w:rsid w:val="006530AE"/>
    <w:rsid w:val="00653694"/>
    <w:rsid w:val="0065371B"/>
    <w:rsid w:val="00653C17"/>
    <w:rsid w:val="00653C7C"/>
    <w:rsid w:val="00653D04"/>
    <w:rsid w:val="00653F85"/>
    <w:rsid w:val="00653FB1"/>
    <w:rsid w:val="006547C8"/>
    <w:rsid w:val="0065490B"/>
    <w:rsid w:val="0065492B"/>
    <w:rsid w:val="00654CBC"/>
    <w:rsid w:val="006558DF"/>
    <w:rsid w:val="006563D2"/>
    <w:rsid w:val="00656447"/>
    <w:rsid w:val="0065661C"/>
    <w:rsid w:val="0065687D"/>
    <w:rsid w:val="00656B95"/>
    <w:rsid w:val="00656C10"/>
    <w:rsid w:val="00656DE5"/>
    <w:rsid w:val="00657270"/>
    <w:rsid w:val="00657554"/>
    <w:rsid w:val="006577E7"/>
    <w:rsid w:val="00657C20"/>
    <w:rsid w:val="00660372"/>
    <w:rsid w:val="006609C0"/>
    <w:rsid w:val="00660AF6"/>
    <w:rsid w:val="00660B07"/>
    <w:rsid w:val="00660EB1"/>
    <w:rsid w:val="00660F55"/>
    <w:rsid w:val="00661335"/>
    <w:rsid w:val="00661478"/>
    <w:rsid w:val="00661C0F"/>
    <w:rsid w:val="0066278D"/>
    <w:rsid w:val="00662A3E"/>
    <w:rsid w:val="00662B34"/>
    <w:rsid w:val="00662C4C"/>
    <w:rsid w:val="00662EBA"/>
    <w:rsid w:val="00662EED"/>
    <w:rsid w:val="006631CD"/>
    <w:rsid w:val="00663349"/>
    <w:rsid w:val="0066348F"/>
    <w:rsid w:val="006635D0"/>
    <w:rsid w:val="0066383E"/>
    <w:rsid w:val="006643D4"/>
    <w:rsid w:val="00664504"/>
    <w:rsid w:val="006648EB"/>
    <w:rsid w:val="006649E6"/>
    <w:rsid w:val="00664D05"/>
    <w:rsid w:val="00664E4A"/>
    <w:rsid w:val="00664ED5"/>
    <w:rsid w:val="00665088"/>
    <w:rsid w:val="006653DB"/>
    <w:rsid w:val="00665999"/>
    <w:rsid w:val="00665B6B"/>
    <w:rsid w:val="00665C00"/>
    <w:rsid w:val="00665E9F"/>
    <w:rsid w:val="006662E0"/>
    <w:rsid w:val="006665FB"/>
    <w:rsid w:val="00666CA3"/>
    <w:rsid w:val="00666E29"/>
    <w:rsid w:val="00666E54"/>
    <w:rsid w:val="0066742E"/>
    <w:rsid w:val="00667795"/>
    <w:rsid w:val="00667E50"/>
    <w:rsid w:val="00670642"/>
    <w:rsid w:val="00670713"/>
    <w:rsid w:val="00670A9B"/>
    <w:rsid w:val="0067121C"/>
    <w:rsid w:val="006712A8"/>
    <w:rsid w:val="00671330"/>
    <w:rsid w:val="00671406"/>
    <w:rsid w:val="0067142B"/>
    <w:rsid w:val="00672018"/>
    <w:rsid w:val="00672453"/>
    <w:rsid w:val="00672812"/>
    <w:rsid w:val="0067307B"/>
    <w:rsid w:val="00673BB3"/>
    <w:rsid w:val="00673D99"/>
    <w:rsid w:val="0067422B"/>
    <w:rsid w:val="006744FC"/>
    <w:rsid w:val="00674805"/>
    <w:rsid w:val="00675082"/>
    <w:rsid w:val="00675758"/>
    <w:rsid w:val="0067579B"/>
    <w:rsid w:val="00675D02"/>
    <w:rsid w:val="00675FC7"/>
    <w:rsid w:val="006760D1"/>
    <w:rsid w:val="006760F1"/>
    <w:rsid w:val="00676155"/>
    <w:rsid w:val="0067681F"/>
    <w:rsid w:val="0067708F"/>
    <w:rsid w:val="006772D1"/>
    <w:rsid w:val="006775A6"/>
    <w:rsid w:val="006776BA"/>
    <w:rsid w:val="00677711"/>
    <w:rsid w:val="00677928"/>
    <w:rsid w:val="00677A45"/>
    <w:rsid w:val="00677D43"/>
    <w:rsid w:val="00677D81"/>
    <w:rsid w:val="00677E3E"/>
    <w:rsid w:val="00677E8B"/>
    <w:rsid w:val="006802B4"/>
    <w:rsid w:val="006805BE"/>
    <w:rsid w:val="006805F0"/>
    <w:rsid w:val="0068098A"/>
    <w:rsid w:val="00680CBA"/>
    <w:rsid w:val="00680E31"/>
    <w:rsid w:val="00681013"/>
    <w:rsid w:val="0068105D"/>
    <w:rsid w:val="006810AA"/>
    <w:rsid w:val="00681A55"/>
    <w:rsid w:val="006821CB"/>
    <w:rsid w:val="006822EE"/>
    <w:rsid w:val="006824F6"/>
    <w:rsid w:val="00682DD9"/>
    <w:rsid w:val="006831E1"/>
    <w:rsid w:val="00683472"/>
    <w:rsid w:val="006838EF"/>
    <w:rsid w:val="00683E77"/>
    <w:rsid w:val="006845AD"/>
    <w:rsid w:val="0068475E"/>
    <w:rsid w:val="006849F8"/>
    <w:rsid w:val="00684E9C"/>
    <w:rsid w:val="006856A7"/>
    <w:rsid w:val="006858C2"/>
    <w:rsid w:val="00685A37"/>
    <w:rsid w:val="00685B4E"/>
    <w:rsid w:val="00685D41"/>
    <w:rsid w:val="00685E06"/>
    <w:rsid w:val="006860C6"/>
    <w:rsid w:val="006861A0"/>
    <w:rsid w:val="0068664D"/>
    <w:rsid w:val="00686E6D"/>
    <w:rsid w:val="0068708B"/>
    <w:rsid w:val="00687177"/>
    <w:rsid w:val="00687547"/>
    <w:rsid w:val="0069002D"/>
    <w:rsid w:val="0069003F"/>
    <w:rsid w:val="006901E0"/>
    <w:rsid w:val="00690484"/>
    <w:rsid w:val="0069074D"/>
    <w:rsid w:val="00690765"/>
    <w:rsid w:val="006907C1"/>
    <w:rsid w:val="00690D51"/>
    <w:rsid w:val="0069131B"/>
    <w:rsid w:val="00691493"/>
    <w:rsid w:val="0069149B"/>
    <w:rsid w:val="006914EA"/>
    <w:rsid w:val="006915EB"/>
    <w:rsid w:val="00691DD9"/>
    <w:rsid w:val="0069275C"/>
    <w:rsid w:val="00692801"/>
    <w:rsid w:val="006928AC"/>
    <w:rsid w:val="00692D1F"/>
    <w:rsid w:val="00692DF8"/>
    <w:rsid w:val="00692E3A"/>
    <w:rsid w:val="00693009"/>
    <w:rsid w:val="0069318F"/>
    <w:rsid w:val="00693782"/>
    <w:rsid w:val="00693A63"/>
    <w:rsid w:val="00694180"/>
    <w:rsid w:val="0069418C"/>
    <w:rsid w:val="006944E3"/>
    <w:rsid w:val="006945C2"/>
    <w:rsid w:val="00694650"/>
    <w:rsid w:val="006948A7"/>
    <w:rsid w:val="00694A2C"/>
    <w:rsid w:val="00694BE4"/>
    <w:rsid w:val="006950F7"/>
    <w:rsid w:val="00695813"/>
    <w:rsid w:val="00695CAF"/>
    <w:rsid w:val="00696071"/>
    <w:rsid w:val="006966B4"/>
    <w:rsid w:val="006967A0"/>
    <w:rsid w:val="0069694B"/>
    <w:rsid w:val="00696C94"/>
    <w:rsid w:val="00696E61"/>
    <w:rsid w:val="00697726"/>
    <w:rsid w:val="00697901"/>
    <w:rsid w:val="006979A2"/>
    <w:rsid w:val="00697A9D"/>
    <w:rsid w:val="00697B5E"/>
    <w:rsid w:val="00697DA1"/>
    <w:rsid w:val="00697DD7"/>
    <w:rsid w:val="006A0749"/>
    <w:rsid w:val="006A092F"/>
    <w:rsid w:val="006A1117"/>
    <w:rsid w:val="006A2352"/>
    <w:rsid w:val="006A23B8"/>
    <w:rsid w:val="006A2597"/>
    <w:rsid w:val="006A26EF"/>
    <w:rsid w:val="006A2DD5"/>
    <w:rsid w:val="006A3075"/>
    <w:rsid w:val="006A34E6"/>
    <w:rsid w:val="006A374C"/>
    <w:rsid w:val="006A4200"/>
    <w:rsid w:val="006A435A"/>
    <w:rsid w:val="006A4497"/>
    <w:rsid w:val="006A4655"/>
    <w:rsid w:val="006A472A"/>
    <w:rsid w:val="006A4D9A"/>
    <w:rsid w:val="006A51D8"/>
    <w:rsid w:val="006A56A3"/>
    <w:rsid w:val="006A5D4B"/>
    <w:rsid w:val="006A5E2D"/>
    <w:rsid w:val="006A5F34"/>
    <w:rsid w:val="006A609D"/>
    <w:rsid w:val="006A6828"/>
    <w:rsid w:val="006A69B3"/>
    <w:rsid w:val="006A7516"/>
    <w:rsid w:val="006A758E"/>
    <w:rsid w:val="006A7B23"/>
    <w:rsid w:val="006A7E09"/>
    <w:rsid w:val="006A7F5F"/>
    <w:rsid w:val="006B01C5"/>
    <w:rsid w:val="006B094E"/>
    <w:rsid w:val="006B110C"/>
    <w:rsid w:val="006B1472"/>
    <w:rsid w:val="006B15E7"/>
    <w:rsid w:val="006B181D"/>
    <w:rsid w:val="006B1AB7"/>
    <w:rsid w:val="006B1EB1"/>
    <w:rsid w:val="006B1F8B"/>
    <w:rsid w:val="006B231E"/>
    <w:rsid w:val="006B2494"/>
    <w:rsid w:val="006B2636"/>
    <w:rsid w:val="006B288C"/>
    <w:rsid w:val="006B2FBC"/>
    <w:rsid w:val="006B33EA"/>
    <w:rsid w:val="006B362A"/>
    <w:rsid w:val="006B37A8"/>
    <w:rsid w:val="006B38DE"/>
    <w:rsid w:val="006B39B0"/>
    <w:rsid w:val="006B3A24"/>
    <w:rsid w:val="006B3E55"/>
    <w:rsid w:val="006B3F13"/>
    <w:rsid w:val="006B3F40"/>
    <w:rsid w:val="006B47EC"/>
    <w:rsid w:val="006B50DB"/>
    <w:rsid w:val="006B53F0"/>
    <w:rsid w:val="006B5925"/>
    <w:rsid w:val="006B5A9A"/>
    <w:rsid w:val="006B5C6D"/>
    <w:rsid w:val="006B5E7D"/>
    <w:rsid w:val="006B60EB"/>
    <w:rsid w:val="006B62C3"/>
    <w:rsid w:val="006B64EE"/>
    <w:rsid w:val="006B6636"/>
    <w:rsid w:val="006B692D"/>
    <w:rsid w:val="006B6D28"/>
    <w:rsid w:val="006B6EC4"/>
    <w:rsid w:val="006B6F5B"/>
    <w:rsid w:val="006B7819"/>
    <w:rsid w:val="006B799D"/>
    <w:rsid w:val="006B7A11"/>
    <w:rsid w:val="006B7D83"/>
    <w:rsid w:val="006C0051"/>
    <w:rsid w:val="006C026D"/>
    <w:rsid w:val="006C09D1"/>
    <w:rsid w:val="006C0D79"/>
    <w:rsid w:val="006C1297"/>
    <w:rsid w:val="006C149C"/>
    <w:rsid w:val="006C15A0"/>
    <w:rsid w:val="006C15FC"/>
    <w:rsid w:val="006C1D91"/>
    <w:rsid w:val="006C2102"/>
    <w:rsid w:val="006C2612"/>
    <w:rsid w:val="006C2A1E"/>
    <w:rsid w:val="006C2B94"/>
    <w:rsid w:val="006C2E27"/>
    <w:rsid w:val="006C399C"/>
    <w:rsid w:val="006C3E57"/>
    <w:rsid w:val="006C4452"/>
    <w:rsid w:val="006C4B07"/>
    <w:rsid w:val="006C4E17"/>
    <w:rsid w:val="006C4F13"/>
    <w:rsid w:val="006C5808"/>
    <w:rsid w:val="006C595F"/>
    <w:rsid w:val="006C5B6B"/>
    <w:rsid w:val="006C6017"/>
    <w:rsid w:val="006C609B"/>
    <w:rsid w:val="006C62A0"/>
    <w:rsid w:val="006C6639"/>
    <w:rsid w:val="006C69BA"/>
    <w:rsid w:val="006C6A31"/>
    <w:rsid w:val="006C6D52"/>
    <w:rsid w:val="006C7038"/>
    <w:rsid w:val="006C771A"/>
    <w:rsid w:val="006C7A8F"/>
    <w:rsid w:val="006C7C20"/>
    <w:rsid w:val="006D0226"/>
    <w:rsid w:val="006D0BEA"/>
    <w:rsid w:val="006D0C53"/>
    <w:rsid w:val="006D0E8A"/>
    <w:rsid w:val="006D1130"/>
    <w:rsid w:val="006D13DB"/>
    <w:rsid w:val="006D1621"/>
    <w:rsid w:val="006D1A0A"/>
    <w:rsid w:val="006D2222"/>
    <w:rsid w:val="006D2B3E"/>
    <w:rsid w:val="006D2BCA"/>
    <w:rsid w:val="006D31CA"/>
    <w:rsid w:val="006D3889"/>
    <w:rsid w:val="006D38C1"/>
    <w:rsid w:val="006D397F"/>
    <w:rsid w:val="006D41E8"/>
    <w:rsid w:val="006D4246"/>
    <w:rsid w:val="006D4302"/>
    <w:rsid w:val="006D4368"/>
    <w:rsid w:val="006D4390"/>
    <w:rsid w:val="006D43CC"/>
    <w:rsid w:val="006D449C"/>
    <w:rsid w:val="006D464D"/>
    <w:rsid w:val="006D476A"/>
    <w:rsid w:val="006D4912"/>
    <w:rsid w:val="006D4B39"/>
    <w:rsid w:val="006D4D1E"/>
    <w:rsid w:val="006D4DDD"/>
    <w:rsid w:val="006D4FC4"/>
    <w:rsid w:val="006D5664"/>
    <w:rsid w:val="006D5DB8"/>
    <w:rsid w:val="006D6015"/>
    <w:rsid w:val="006D6200"/>
    <w:rsid w:val="006D6493"/>
    <w:rsid w:val="006D66DD"/>
    <w:rsid w:val="006D67FA"/>
    <w:rsid w:val="006D6CAF"/>
    <w:rsid w:val="006D6E4D"/>
    <w:rsid w:val="006D70BC"/>
    <w:rsid w:val="006D75F4"/>
    <w:rsid w:val="006D7648"/>
    <w:rsid w:val="006D7E05"/>
    <w:rsid w:val="006D7F73"/>
    <w:rsid w:val="006E0348"/>
    <w:rsid w:val="006E03E6"/>
    <w:rsid w:val="006E082B"/>
    <w:rsid w:val="006E086A"/>
    <w:rsid w:val="006E0B13"/>
    <w:rsid w:val="006E0C9F"/>
    <w:rsid w:val="006E0F08"/>
    <w:rsid w:val="006E0F57"/>
    <w:rsid w:val="006E12F3"/>
    <w:rsid w:val="006E1A19"/>
    <w:rsid w:val="006E29AD"/>
    <w:rsid w:val="006E2D6A"/>
    <w:rsid w:val="006E2F2C"/>
    <w:rsid w:val="006E320F"/>
    <w:rsid w:val="006E33B6"/>
    <w:rsid w:val="006E36DB"/>
    <w:rsid w:val="006E3B4A"/>
    <w:rsid w:val="006E3CAE"/>
    <w:rsid w:val="006E3EC9"/>
    <w:rsid w:val="006E4075"/>
    <w:rsid w:val="006E4436"/>
    <w:rsid w:val="006E4B3A"/>
    <w:rsid w:val="006E548C"/>
    <w:rsid w:val="006E5643"/>
    <w:rsid w:val="006E56A7"/>
    <w:rsid w:val="006E571B"/>
    <w:rsid w:val="006E5BB0"/>
    <w:rsid w:val="006E5C7D"/>
    <w:rsid w:val="006E5DED"/>
    <w:rsid w:val="006E5DF2"/>
    <w:rsid w:val="006E5FC4"/>
    <w:rsid w:val="006E6379"/>
    <w:rsid w:val="006E6B52"/>
    <w:rsid w:val="006E6CB2"/>
    <w:rsid w:val="006E6DD0"/>
    <w:rsid w:val="006E7170"/>
    <w:rsid w:val="006E73EF"/>
    <w:rsid w:val="006E7AEE"/>
    <w:rsid w:val="006F006A"/>
    <w:rsid w:val="006F015C"/>
    <w:rsid w:val="006F0331"/>
    <w:rsid w:val="006F0382"/>
    <w:rsid w:val="006F0664"/>
    <w:rsid w:val="006F07EF"/>
    <w:rsid w:val="006F0982"/>
    <w:rsid w:val="006F0B27"/>
    <w:rsid w:val="006F124C"/>
    <w:rsid w:val="006F12F0"/>
    <w:rsid w:val="006F12F4"/>
    <w:rsid w:val="006F17CE"/>
    <w:rsid w:val="006F198F"/>
    <w:rsid w:val="006F1CED"/>
    <w:rsid w:val="006F25B9"/>
    <w:rsid w:val="006F31C3"/>
    <w:rsid w:val="006F33B9"/>
    <w:rsid w:val="006F386D"/>
    <w:rsid w:val="006F3B3B"/>
    <w:rsid w:val="006F4619"/>
    <w:rsid w:val="006F467F"/>
    <w:rsid w:val="006F50F7"/>
    <w:rsid w:val="006F537E"/>
    <w:rsid w:val="006F5704"/>
    <w:rsid w:val="006F57E7"/>
    <w:rsid w:val="006F59BC"/>
    <w:rsid w:val="006F5CA7"/>
    <w:rsid w:val="006F6031"/>
    <w:rsid w:val="006F6159"/>
    <w:rsid w:val="006F6486"/>
    <w:rsid w:val="006F675D"/>
    <w:rsid w:val="006F68D5"/>
    <w:rsid w:val="006F6A26"/>
    <w:rsid w:val="006F6A74"/>
    <w:rsid w:val="006F6C51"/>
    <w:rsid w:val="006F7245"/>
    <w:rsid w:val="006F7719"/>
    <w:rsid w:val="006F794B"/>
    <w:rsid w:val="006F7A0C"/>
    <w:rsid w:val="006F7C2E"/>
    <w:rsid w:val="006F7D23"/>
    <w:rsid w:val="007008AE"/>
    <w:rsid w:val="00700906"/>
    <w:rsid w:val="00700CB3"/>
    <w:rsid w:val="00700E00"/>
    <w:rsid w:val="00701649"/>
    <w:rsid w:val="0070166F"/>
    <w:rsid w:val="007018AC"/>
    <w:rsid w:val="007018CD"/>
    <w:rsid w:val="00701D94"/>
    <w:rsid w:val="00701DAC"/>
    <w:rsid w:val="0070211E"/>
    <w:rsid w:val="007021DE"/>
    <w:rsid w:val="007025BD"/>
    <w:rsid w:val="0070271E"/>
    <w:rsid w:val="00702B86"/>
    <w:rsid w:val="00703239"/>
    <w:rsid w:val="007032F9"/>
    <w:rsid w:val="00703357"/>
    <w:rsid w:val="007034CC"/>
    <w:rsid w:val="00703538"/>
    <w:rsid w:val="007039B2"/>
    <w:rsid w:val="00703AD0"/>
    <w:rsid w:val="00703DDB"/>
    <w:rsid w:val="00704430"/>
    <w:rsid w:val="00704746"/>
    <w:rsid w:val="00704858"/>
    <w:rsid w:val="007049C5"/>
    <w:rsid w:val="00704A94"/>
    <w:rsid w:val="00704BC2"/>
    <w:rsid w:val="00704D10"/>
    <w:rsid w:val="00704D9C"/>
    <w:rsid w:val="00705266"/>
    <w:rsid w:val="00705789"/>
    <w:rsid w:val="007057C4"/>
    <w:rsid w:val="00705A21"/>
    <w:rsid w:val="00705C01"/>
    <w:rsid w:val="00705CB9"/>
    <w:rsid w:val="007069E4"/>
    <w:rsid w:val="00706A72"/>
    <w:rsid w:val="007070A8"/>
    <w:rsid w:val="00707656"/>
    <w:rsid w:val="00707669"/>
    <w:rsid w:val="00707A42"/>
    <w:rsid w:val="00707A4D"/>
    <w:rsid w:val="00710056"/>
    <w:rsid w:val="00710107"/>
    <w:rsid w:val="00710258"/>
    <w:rsid w:val="0071068A"/>
    <w:rsid w:val="00710A2E"/>
    <w:rsid w:val="00710B71"/>
    <w:rsid w:val="00711416"/>
    <w:rsid w:val="00711A65"/>
    <w:rsid w:val="00711A92"/>
    <w:rsid w:val="00711B6F"/>
    <w:rsid w:val="00711C27"/>
    <w:rsid w:val="00711ED1"/>
    <w:rsid w:val="0071202B"/>
    <w:rsid w:val="0071231C"/>
    <w:rsid w:val="00712BE3"/>
    <w:rsid w:val="00712C5E"/>
    <w:rsid w:val="0071309B"/>
    <w:rsid w:val="0071335B"/>
    <w:rsid w:val="00713552"/>
    <w:rsid w:val="00713563"/>
    <w:rsid w:val="007135C9"/>
    <w:rsid w:val="0071425E"/>
    <w:rsid w:val="00714348"/>
    <w:rsid w:val="007146A9"/>
    <w:rsid w:val="0071472E"/>
    <w:rsid w:val="00714766"/>
    <w:rsid w:val="0071499D"/>
    <w:rsid w:val="00714A0D"/>
    <w:rsid w:val="007152DC"/>
    <w:rsid w:val="0071551B"/>
    <w:rsid w:val="00715A60"/>
    <w:rsid w:val="00715D72"/>
    <w:rsid w:val="00715FA0"/>
    <w:rsid w:val="00716251"/>
    <w:rsid w:val="007162E3"/>
    <w:rsid w:val="007166DC"/>
    <w:rsid w:val="0071670A"/>
    <w:rsid w:val="00716EE3"/>
    <w:rsid w:val="00717344"/>
    <w:rsid w:val="0071745A"/>
    <w:rsid w:val="00717655"/>
    <w:rsid w:val="00717689"/>
    <w:rsid w:val="00717C51"/>
    <w:rsid w:val="00717C63"/>
    <w:rsid w:val="00717F6C"/>
    <w:rsid w:val="0072018A"/>
    <w:rsid w:val="007204CD"/>
    <w:rsid w:val="00720887"/>
    <w:rsid w:val="00720943"/>
    <w:rsid w:val="00720BC3"/>
    <w:rsid w:val="0072103E"/>
    <w:rsid w:val="0072137D"/>
    <w:rsid w:val="0072143E"/>
    <w:rsid w:val="00721581"/>
    <w:rsid w:val="007215E2"/>
    <w:rsid w:val="00721F0D"/>
    <w:rsid w:val="00722372"/>
    <w:rsid w:val="00722980"/>
    <w:rsid w:val="00722E8D"/>
    <w:rsid w:val="00723343"/>
    <w:rsid w:val="00723718"/>
    <w:rsid w:val="0072382A"/>
    <w:rsid w:val="00723C6E"/>
    <w:rsid w:val="00723CD2"/>
    <w:rsid w:val="00723CEF"/>
    <w:rsid w:val="00723D6B"/>
    <w:rsid w:val="007243D9"/>
    <w:rsid w:val="007247B0"/>
    <w:rsid w:val="007249B7"/>
    <w:rsid w:val="00724A2B"/>
    <w:rsid w:val="00725040"/>
    <w:rsid w:val="00725280"/>
    <w:rsid w:val="007252E3"/>
    <w:rsid w:val="00725444"/>
    <w:rsid w:val="00725498"/>
    <w:rsid w:val="0072568D"/>
    <w:rsid w:val="007257A1"/>
    <w:rsid w:val="007257F2"/>
    <w:rsid w:val="00725998"/>
    <w:rsid w:val="00725DE2"/>
    <w:rsid w:val="00725DE6"/>
    <w:rsid w:val="00726031"/>
    <w:rsid w:val="007262E6"/>
    <w:rsid w:val="007266B7"/>
    <w:rsid w:val="0072683D"/>
    <w:rsid w:val="00726AF8"/>
    <w:rsid w:val="00726C15"/>
    <w:rsid w:val="00726FA9"/>
    <w:rsid w:val="007273D2"/>
    <w:rsid w:val="0072747E"/>
    <w:rsid w:val="007275D3"/>
    <w:rsid w:val="00727BBB"/>
    <w:rsid w:val="00727ECF"/>
    <w:rsid w:val="00727FC9"/>
    <w:rsid w:val="00730027"/>
    <w:rsid w:val="00730262"/>
    <w:rsid w:val="007305E1"/>
    <w:rsid w:val="00730892"/>
    <w:rsid w:val="00730FBD"/>
    <w:rsid w:val="0073124D"/>
    <w:rsid w:val="00731733"/>
    <w:rsid w:val="00731A7F"/>
    <w:rsid w:val="00731E34"/>
    <w:rsid w:val="00731EC3"/>
    <w:rsid w:val="007321CF"/>
    <w:rsid w:val="007323F3"/>
    <w:rsid w:val="0073265C"/>
    <w:rsid w:val="007327B1"/>
    <w:rsid w:val="00732A43"/>
    <w:rsid w:val="00732ABF"/>
    <w:rsid w:val="007333D9"/>
    <w:rsid w:val="0073348B"/>
    <w:rsid w:val="00733573"/>
    <w:rsid w:val="00733579"/>
    <w:rsid w:val="0073367E"/>
    <w:rsid w:val="007338D3"/>
    <w:rsid w:val="00733EE6"/>
    <w:rsid w:val="00733F11"/>
    <w:rsid w:val="0073413D"/>
    <w:rsid w:val="00734779"/>
    <w:rsid w:val="00734AF3"/>
    <w:rsid w:val="00734EDC"/>
    <w:rsid w:val="00735117"/>
    <w:rsid w:val="0073525F"/>
    <w:rsid w:val="00735457"/>
    <w:rsid w:val="0073557F"/>
    <w:rsid w:val="007355FF"/>
    <w:rsid w:val="0073583C"/>
    <w:rsid w:val="00735C62"/>
    <w:rsid w:val="00736035"/>
    <w:rsid w:val="0073625E"/>
    <w:rsid w:val="0073679E"/>
    <w:rsid w:val="00736B4D"/>
    <w:rsid w:val="00736F4E"/>
    <w:rsid w:val="00736F94"/>
    <w:rsid w:val="00737191"/>
    <w:rsid w:val="0073728E"/>
    <w:rsid w:val="00737430"/>
    <w:rsid w:val="0073755A"/>
    <w:rsid w:val="00737AC0"/>
    <w:rsid w:val="00737B3E"/>
    <w:rsid w:val="00737B89"/>
    <w:rsid w:val="00740132"/>
    <w:rsid w:val="007402E4"/>
    <w:rsid w:val="00740873"/>
    <w:rsid w:val="00740951"/>
    <w:rsid w:val="00740C30"/>
    <w:rsid w:val="00740E18"/>
    <w:rsid w:val="00741239"/>
    <w:rsid w:val="007413A9"/>
    <w:rsid w:val="00741628"/>
    <w:rsid w:val="007417A6"/>
    <w:rsid w:val="00741C0A"/>
    <w:rsid w:val="0074207D"/>
    <w:rsid w:val="00742429"/>
    <w:rsid w:val="007424FB"/>
    <w:rsid w:val="00743251"/>
    <w:rsid w:val="00743633"/>
    <w:rsid w:val="00743A12"/>
    <w:rsid w:val="0074400A"/>
    <w:rsid w:val="007444A3"/>
    <w:rsid w:val="007446F3"/>
    <w:rsid w:val="0074472E"/>
    <w:rsid w:val="00744AA0"/>
    <w:rsid w:val="00744D8D"/>
    <w:rsid w:val="00744E66"/>
    <w:rsid w:val="00744F32"/>
    <w:rsid w:val="0074564E"/>
    <w:rsid w:val="007456D6"/>
    <w:rsid w:val="00745705"/>
    <w:rsid w:val="00745A49"/>
    <w:rsid w:val="00745D90"/>
    <w:rsid w:val="00745DCA"/>
    <w:rsid w:val="00745E52"/>
    <w:rsid w:val="0074643D"/>
    <w:rsid w:val="00746442"/>
    <w:rsid w:val="00746E44"/>
    <w:rsid w:val="00746EF5"/>
    <w:rsid w:val="00746F59"/>
    <w:rsid w:val="00746FD2"/>
    <w:rsid w:val="0074744C"/>
    <w:rsid w:val="0074768E"/>
    <w:rsid w:val="00747C32"/>
    <w:rsid w:val="00750258"/>
    <w:rsid w:val="007504E5"/>
    <w:rsid w:val="00750622"/>
    <w:rsid w:val="007506E0"/>
    <w:rsid w:val="0075081E"/>
    <w:rsid w:val="007508BC"/>
    <w:rsid w:val="007509CB"/>
    <w:rsid w:val="00750B24"/>
    <w:rsid w:val="00750FF6"/>
    <w:rsid w:val="007510B3"/>
    <w:rsid w:val="007517CA"/>
    <w:rsid w:val="00751B62"/>
    <w:rsid w:val="00751BC3"/>
    <w:rsid w:val="00751F3F"/>
    <w:rsid w:val="0075232B"/>
    <w:rsid w:val="00752523"/>
    <w:rsid w:val="0075288E"/>
    <w:rsid w:val="00752966"/>
    <w:rsid w:val="00752C37"/>
    <w:rsid w:val="00752D32"/>
    <w:rsid w:val="00752EFD"/>
    <w:rsid w:val="00752FF4"/>
    <w:rsid w:val="00753539"/>
    <w:rsid w:val="00753684"/>
    <w:rsid w:val="00753748"/>
    <w:rsid w:val="0075376C"/>
    <w:rsid w:val="0075384B"/>
    <w:rsid w:val="0075393A"/>
    <w:rsid w:val="00753B16"/>
    <w:rsid w:val="00753BB3"/>
    <w:rsid w:val="00753C31"/>
    <w:rsid w:val="00753DD2"/>
    <w:rsid w:val="00753FE7"/>
    <w:rsid w:val="00753FF6"/>
    <w:rsid w:val="00754267"/>
    <w:rsid w:val="0075470F"/>
    <w:rsid w:val="00754817"/>
    <w:rsid w:val="00754AA1"/>
    <w:rsid w:val="00754B8C"/>
    <w:rsid w:val="00755009"/>
    <w:rsid w:val="00755074"/>
    <w:rsid w:val="007551F1"/>
    <w:rsid w:val="007554A2"/>
    <w:rsid w:val="00755823"/>
    <w:rsid w:val="007559BA"/>
    <w:rsid w:val="00755F29"/>
    <w:rsid w:val="0075631F"/>
    <w:rsid w:val="00756881"/>
    <w:rsid w:val="007569E4"/>
    <w:rsid w:val="00756A32"/>
    <w:rsid w:val="00756A57"/>
    <w:rsid w:val="007570DB"/>
    <w:rsid w:val="007573E9"/>
    <w:rsid w:val="0075789B"/>
    <w:rsid w:val="0075796A"/>
    <w:rsid w:val="00757AC2"/>
    <w:rsid w:val="0076007E"/>
    <w:rsid w:val="007602D5"/>
    <w:rsid w:val="00760347"/>
    <w:rsid w:val="007604BB"/>
    <w:rsid w:val="00760601"/>
    <w:rsid w:val="00760744"/>
    <w:rsid w:val="00760CC3"/>
    <w:rsid w:val="0076107D"/>
    <w:rsid w:val="007616B4"/>
    <w:rsid w:val="0076196B"/>
    <w:rsid w:val="0076201B"/>
    <w:rsid w:val="00762108"/>
    <w:rsid w:val="007622D9"/>
    <w:rsid w:val="00762530"/>
    <w:rsid w:val="00762602"/>
    <w:rsid w:val="0076332F"/>
    <w:rsid w:val="00763453"/>
    <w:rsid w:val="0076348C"/>
    <w:rsid w:val="007634DB"/>
    <w:rsid w:val="007634FC"/>
    <w:rsid w:val="007639A5"/>
    <w:rsid w:val="00763B51"/>
    <w:rsid w:val="00763C97"/>
    <w:rsid w:val="00763F88"/>
    <w:rsid w:val="00764213"/>
    <w:rsid w:val="00764B88"/>
    <w:rsid w:val="00764B8D"/>
    <w:rsid w:val="00764C7F"/>
    <w:rsid w:val="00764D0B"/>
    <w:rsid w:val="00765000"/>
    <w:rsid w:val="0076558D"/>
    <w:rsid w:val="007655E0"/>
    <w:rsid w:val="007655F7"/>
    <w:rsid w:val="0076579D"/>
    <w:rsid w:val="007658B6"/>
    <w:rsid w:val="00765A48"/>
    <w:rsid w:val="00765F8F"/>
    <w:rsid w:val="0076646E"/>
    <w:rsid w:val="00766897"/>
    <w:rsid w:val="00766E02"/>
    <w:rsid w:val="00766F98"/>
    <w:rsid w:val="00767265"/>
    <w:rsid w:val="00767451"/>
    <w:rsid w:val="0076752A"/>
    <w:rsid w:val="007679CD"/>
    <w:rsid w:val="00767B1E"/>
    <w:rsid w:val="00767CDE"/>
    <w:rsid w:val="007700C2"/>
    <w:rsid w:val="007702D6"/>
    <w:rsid w:val="0077031D"/>
    <w:rsid w:val="0077057C"/>
    <w:rsid w:val="00770969"/>
    <w:rsid w:val="00770AD9"/>
    <w:rsid w:val="00770B41"/>
    <w:rsid w:val="00770C17"/>
    <w:rsid w:val="00770D96"/>
    <w:rsid w:val="00771346"/>
    <w:rsid w:val="00771488"/>
    <w:rsid w:val="007721AB"/>
    <w:rsid w:val="00772380"/>
    <w:rsid w:val="00772841"/>
    <w:rsid w:val="0077295D"/>
    <w:rsid w:val="00772EA9"/>
    <w:rsid w:val="0077307F"/>
    <w:rsid w:val="00773114"/>
    <w:rsid w:val="00773AA3"/>
    <w:rsid w:val="00773BA4"/>
    <w:rsid w:val="0077410B"/>
    <w:rsid w:val="00774392"/>
    <w:rsid w:val="00774518"/>
    <w:rsid w:val="00774AF1"/>
    <w:rsid w:val="007752F1"/>
    <w:rsid w:val="00775577"/>
    <w:rsid w:val="0077589E"/>
    <w:rsid w:val="00776420"/>
    <w:rsid w:val="00776465"/>
    <w:rsid w:val="007769E2"/>
    <w:rsid w:val="00776CC9"/>
    <w:rsid w:val="00776FFA"/>
    <w:rsid w:val="00777256"/>
    <w:rsid w:val="00777290"/>
    <w:rsid w:val="00777582"/>
    <w:rsid w:val="00777607"/>
    <w:rsid w:val="007778D6"/>
    <w:rsid w:val="00777B70"/>
    <w:rsid w:val="00777BCC"/>
    <w:rsid w:val="0078041D"/>
    <w:rsid w:val="00780700"/>
    <w:rsid w:val="007809D0"/>
    <w:rsid w:val="00780A18"/>
    <w:rsid w:val="00780EBF"/>
    <w:rsid w:val="00781124"/>
    <w:rsid w:val="007813BF"/>
    <w:rsid w:val="007819C4"/>
    <w:rsid w:val="00781A07"/>
    <w:rsid w:val="00781C7C"/>
    <w:rsid w:val="00781CD1"/>
    <w:rsid w:val="00781E7A"/>
    <w:rsid w:val="007822A1"/>
    <w:rsid w:val="0078276C"/>
    <w:rsid w:val="0078292F"/>
    <w:rsid w:val="00782A00"/>
    <w:rsid w:val="00782FB5"/>
    <w:rsid w:val="00783175"/>
    <w:rsid w:val="00783382"/>
    <w:rsid w:val="0078387D"/>
    <w:rsid w:val="00783AF0"/>
    <w:rsid w:val="00783D19"/>
    <w:rsid w:val="00783D8D"/>
    <w:rsid w:val="00783EF8"/>
    <w:rsid w:val="00783FA4"/>
    <w:rsid w:val="0078457E"/>
    <w:rsid w:val="007846A9"/>
    <w:rsid w:val="0078562A"/>
    <w:rsid w:val="0078599A"/>
    <w:rsid w:val="00785EFE"/>
    <w:rsid w:val="007861AF"/>
    <w:rsid w:val="00786253"/>
    <w:rsid w:val="0078633C"/>
    <w:rsid w:val="007863D9"/>
    <w:rsid w:val="0078642D"/>
    <w:rsid w:val="00786453"/>
    <w:rsid w:val="00786797"/>
    <w:rsid w:val="00786B50"/>
    <w:rsid w:val="00786D9A"/>
    <w:rsid w:val="00786FD2"/>
    <w:rsid w:val="007875AA"/>
    <w:rsid w:val="007875AB"/>
    <w:rsid w:val="00787BF3"/>
    <w:rsid w:val="007900FA"/>
    <w:rsid w:val="00790790"/>
    <w:rsid w:val="00790CB2"/>
    <w:rsid w:val="00790D37"/>
    <w:rsid w:val="00790FC6"/>
    <w:rsid w:val="00791422"/>
    <w:rsid w:val="0079162B"/>
    <w:rsid w:val="00791695"/>
    <w:rsid w:val="00791C44"/>
    <w:rsid w:val="00791D51"/>
    <w:rsid w:val="007920FD"/>
    <w:rsid w:val="00792395"/>
    <w:rsid w:val="00792896"/>
    <w:rsid w:val="007929F8"/>
    <w:rsid w:val="00792ECF"/>
    <w:rsid w:val="00792EEE"/>
    <w:rsid w:val="0079320C"/>
    <w:rsid w:val="007933EF"/>
    <w:rsid w:val="00793A38"/>
    <w:rsid w:val="00793BA3"/>
    <w:rsid w:val="00794228"/>
    <w:rsid w:val="007946B4"/>
    <w:rsid w:val="007947DB"/>
    <w:rsid w:val="00794E06"/>
    <w:rsid w:val="00795490"/>
    <w:rsid w:val="007956F5"/>
    <w:rsid w:val="007959DF"/>
    <w:rsid w:val="00796335"/>
    <w:rsid w:val="00796803"/>
    <w:rsid w:val="00796AC0"/>
    <w:rsid w:val="00796B1B"/>
    <w:rsid w:val="00796D8C"/>
    <w:rsid w:val="0079766B"/>
    <w:rsid w:val="00797ED6"/>
    <w:rsid w:val="007A000D"/>
    <w:rsid w:val="007A0227"/>
    <w:rsid w:val="007A0592"/>
    <w:rsid w:val="007A0967"/>
    <w:rsid w:val="007A0D90"/>
    <w:rsid w:val="007A1001"/>
    <w:rsid w:val="007A1233"/>
    <w:rsid w:val="007A13CA"/>
    <w:rsid w:val="007A16E1"/>
    <w:rsid w:val="007A19C4"/>
    <w:rsid w:val="007A1DA0"/>
    <w:rsid w:val="007A1E3F"/>
    <w:rsid w:val="007A1F63"/>
    <w:rsid w:val="007A2170"/>
    <w:rsid w:val="007A21EB"/>
    <w:rsid w:val="007A26FE"/>
    <w:rsid w:val="007A2B06"/>
    <w:rsid w:val="007A35D8"/>
    <w:rsid w:val="007A3AE0"/>
    <w:rsid w:val="007A3E13"/>
    <w:rsid w:val="007A3E57"/>
    <w:rsid w:val="007A3EAB"/>
    <w:rsid w:val="007A4180"/>
    <w:rsid w:val="007A5213"/>
    <w:rsid w:val="007A578F"/>
    <w:rsid w:val="007A5DA1"/>
    <w:rsid w:val="007A5F19"/>
    <w:rsid w:val="007A6493"/>
    <w:rsid w:val="007A64F9"/>
    <w:rsid w:val="007A6616"/>
    <w:rsid w:val="007A69BF"/>
    <w:rsid w:val="007A6FAD"/>
    <w:rsid w:val="007A7057"/>
    <w:rsid w:val="007A7941"/>
    <w:rsid w:val="007A7A94"/>
    <w:rsid w:val="007A7AF0"/>
    <w:rsid w:val="007A7CFA"/>
    <w:rsid w:val="007A7FCB"/>
    <w:rsid w:val="007B066C"/>
    <w:rsid w:val="007B07D0"/>
    <w:rsid w:val="007B07D3"/>
    <w:rsid w:val="007B0976"/>
    <w:rsid w:val="007B0B2E"/>
    <w:rsid w:val="007B0E52"/>
    <w:rsid w:val="007B0E7A"/>
    <w:rsid w:val="007B141F"/>
    <w:rsid w:val="007B1D0B"/>
    <w:rsid w:val="007B2007"/>
    <w:rsid w:val="007B2035"/>
    <w:rsid w:val="007B2191"/>
    <w:rsid w:val="007B2457"/>
    <w:rsid w:val="007B24D6"/>
    <w:rsid w:val="007B2541"/>
    <w:rsid w:val="007B2BED"/>
    <w:rsid w:val="007B3482"/>
    <w:rsid w:val="007B34A1"/>
    <w:rsid w:val="007B4A66"/>
    <w:rsid w:val="007B4AAF"/>
    <w:rsid w:val="007B524F"/>
    <w:rsid w:val="007B5ABF"/>
    <w:rsid w:val="007B5BAA"/>
    <w:rsid w:val="007B629F"/>
    <w:rsid w:val="007B6533"/>
    <w:rsid w:val="007B693C"/>
    <w:rsid w:val="007B6B48"/>
    <w:rsid w:val="007B6CFD"/>
    <w:rsid w:val="007B6ED7"/>
    <w:rsid w:val="007B7025"/>
    <w:rsid w:val="007B723B"/>
    <w:rsid w:val="007B7389"/>
    <w:rsid w:val="007B783F"/>
    <w:rsid w:val="007B78CA"/>
    <w:rsid w:val="007C012C"/>
    <w:rsid w:val="007C0358"/>
    <w:rsid w:val="007C084E"/>
    <w:rsid w:val="007C0856"/>
    <w:rsid w:val="007C0901"/>
    <w:rsid w:val="007C09EE"/>
    <w:rsid w:val="007C10FA"/>
    <w:rsid w:val="007C132D"/>
    <w:rsid w:val="007C183F"/>
    <w:rsid w:val="007C1904"/>
    <w:rsid w:val="007C1A4E"/>
    <w:rsid w:val="007C2228"/>
    <w:rsid w:val="007C2253"/>
    <w:rsid w:val="007C28DB"/>
    <w:rsid w:val="007C2E77"/>
    <w:rsid w:val="007C2F17"/>
    <w:rsid w:val="007C2FC9"/>
    <w:rsid w:val="007C32CB"/>
    <w:rsid w:val="007C3353"/>
    <w:rsid w:val="007C36C9"/>
    <w:rsid w:val="007C3706"/>
    <w:rsid w:val="007C371F"/>
    <w:rsid w:val="007C380B"/>
    <w:rsid w:val="007C3F35"/>
    <w:rsid w:val="007C40F5"/>
    <w:rsid w:val="007C495C"/>
    <w:rsid w:val="007C4C42"/>
    <w:rsid w:val="007C4F0F"/>
    <w:rsid w:val="007C5169"/>
    <w:rsid w:val="007C56AD"/>
    <w:rsid w:val="007C5C24"/>
    <w:rsid w:val="007C6179"/>
    <w:rsid w:val="007C628D"/>
    <w:rsid w:val="007C650C"/>
    <w:rsid w:val="007C66B7"/>
    <w:rsid w:val="007C67AF"/>
    <w:rsid w:val="007C6A51"/>
    <w:rsid w:val="007C6A95"/>
    <w:rsid w:val="007C6AC2"/>
    <w:rsid w:val="007C7153"/>
    <w:rsid w:val="007C7543"/>
    <w:rsid w:val="007C789F"/>
    <w:rsid w:val="007D0295"/>
    <w:rsid w:val="007D06F7"/>
    <w:rsid w:val="007D0B2C"/>
    <w:rsid w:val="007D0BA9"/>
    <w:rsid w:val="007D0E12"/>
    <w:rsid w:val="007D1076"/>
    <w:rsid w:val="007D118B"/>
    <w:rsid w:val="007D1214"/>
    <w:rsid w:val="007D13D9"/>
    <w:rsid w:val="007D1D45"/>
    <w:rsid w:val="007D1D9F"/>
    <w:rsid w:val="007D22DB"/>
    <w:rsid w:val="007D2346"/>
    <w:rsid w:val="007D2363"/>
    <w:rsid w:val="007D27FF"/>
    <w:rsid w:val="007D29D8"/>
    <w:rsid w:val="007D2DA3"/>
    <w:rsid w:val="007D32E2"/>
    <w:rsid w:val="007D33B7"/>
    <w:rsid w:val="007D33F6"/>
    <w:rsid w:val="007D3682"/>
    <w:rsid w:val="007D3748"/>
    <w:rsid w:val="007D38F4"/>
    <w:rsid w:val="007D3DE7"/>
    <w:rsid w:val="007D3E50"/>
    <w:rsid w:val="007D4057"/>
    <w:rsid w:val="007D441B"/>
    <w:rsid w:val="007D44B3"/>
    <w:rsid w:val="007D47BB"/>
    <w:rsid w:val="007D4BCA"/>
    <w:rsid w:val="007D4BFD"/>
    <w:rsid w:val="007D5294"/>
    <w:rsid w:val="007D5A6B"/>
    <w:rsid w:val="007D5B1A"/>
    <w:rsid w:val="007D5E17"/>
    <w:rsid w:val="007D6644"/>
    <w:rsid w:val="007D6826"/>
    <w:rsid w:val="007D6959"/>
    <w:rsid w:val="007D6C6E"/>
    <w:rsid w:val="007D6FA0"/>
    <w:rsid w:val="007D71BE"/>
    <w:rsid w:val="007D72C7"/>
    <w:rsid w:val="007D74BA"/>
    <w:rsid w:val="007D788A"/>
    <w:rsid w:val="007D79A3"/>
    <w:rsid w:val="007D7A79"/>
    <w:rsid w:val="007E01E4"/>
    <w:rsid w:val="007E03E6"/>
    <w:rsid w:val="007E0546"/>
    <w:rsid w:val="007E05F0"/>
    <w:rsid w:val="007E1041"/>
    <w:rsid w:val="007E118A"/>
    <w:rsid w:val="007E11A9"/>
    <w:rsid w:val="007E135F"/>
    <w:rsid w:val="007E1616"/>
    <w:rsid w:val="007E1926"/>
    <w:rsid w:val="007E1942"/>
    <w:rsid w:val="007E29B0"/>
    <w:rsid w:val="007E2D10"/>
    <w:rsid w:val="007E302E"/>
    <w:rsid w:val="007E306A"/>
    <w:rsid w:val="007E339C"/>
    <w:rsid w:val="007E397C"/>
    <w:rsid w:val="007E3A1E"/>
    <w:rsid w:val="007E3E64"/>
    <w:rsid w:val="007E40C3"/>
    <w:rsid w:val="007E43C0"/>
    <w:rsid w:val="007E4601"/>
    <w:rsid w:val="007E51C5"/>
    <w:rsid w:val="007E5666"/>
    <w:rsid w:val="007E57B0"/>
    <w:rsid w:val="007E58A1"/>
    <w:rsid w:val="007E6044"/>
    <w:rsid w:val="007E625A"/>
    <w:rsid w:val="007E677D"/>
    <w:rsid w:val="007E67E4"/>
    <w:rsid w:val="007E68BF"/>
    <w:rsid w:val="007E6BE4"/>
    <w:rsid w:val="007E6C6C"/>
    <w:rsid w:val="007E6F3D"/>
    <w:rsid w:val="007E73DA"/>
    <w:rsid w:val="007E7892"/>
    <w:rsid w:val="007E7EB5"/>
    <w:rsid w:val="007E7F5A"/>
    <w:rsid w:val="007F0808"/>
    <w:rsid w:val="007F0975"/>
    <w:rsid w:val="007F0A12"/>
    <w:rsid w:val="007F12AF"/>
    <w:rsid w:val="007F14EF"/>
    <w:rsid w:val="007F1650"/>
    <w:rsid w:val="007F1671"/>
    <w:rsid w:val="007F169F"/>
    <w:rsid w:val="007F1BFE"/>
    <w:rsid w:val="007F20AC"/>
    <w:rsid w:val="007F2305"/>
    <w:rsid w:val="007F2363"/>
    <w:rsid w:val="007F23F8"/>
    <w:rsid w:val="007F2912"/>
    <w:rsid w:val="007F299D"/>
    <w:rsid w:val="007F2CD8"/>
    <w:rsid w:val="007F2F30"/>
    <w:rsid w:val="007F30DB"/>
    <w:rsid w:val="007F37CD"/>
    <w:rsid w:val="007F3874"/>
    <w:rsid w:val="007F3A9C"/>
    <w:rsid w:val="007F3C47"/>
    <w:rsid w:val="007F3F3D"/>
    <w:rsid w:val="007F4247"/>
    <w:rsid w:val="007F476A"/>
    <w:rsid w:val="007F4C0F"/>
    <w:rsid w:val="007F4C39"/>
    <w:rsid w:val="007F547D"/>
    <w:rsid w:val="007F56BA"/>
    <w:rsid w:val="007F5742"/>
    <w:rsid w:val="007F59A6"/>
    <w:rsid w:val="007F59D7"/>
    <w:rsid w:val="007F5B9B"/>
    <w:rsid w:val="007F615A"/>
    <w:rsid w:val="007F6C4F"/>
    <w:rsid w:val="007F6C70"/>
    <w:rsid w:val="007F7107"/>
    <w:rsid w:val="007F7352"/>
    <w:rsid w:val="007F756D"/>
    <w:rsid w:val="007F75B8"/>
    <w:rsid w:val="007F7F70"/>
    <w:rsid w:val="007F7FAA"/>
    <w:rsid w:val="008006F4"/>
    <w:rsid w:val="008008DB"/>
    <w:rsid w:val="00800E88"/>
    <w:rsid w:val="008011F2"/>
    <w:rsid w:val="00801A2E"/>
    <w:rsid w:val="00801C87"/>
    <w:rsid w:val="00801C91"/>
    <w:rsid w:val="008023AD"/>
    <w:rsid w:val="008026B0"/>
    <w:rsid w:val="00802D5A"/>
    <w:rsid w:val="0080324C"/>
    <w:rsid w:val="00803394"/>
    <w:rsid w:val="00803690"/>
    <w:rsid w:val="00804172"/>
    <w:rsid w:val="00804838"/>
    <w:rsid w:val="008049BB"/>
    <w:rsid w:val="0080527F"/>
    <w:rsid w:val="00805362"/>
    <w:rsid w:val="00805683"/>
    <w:rsid w:val="00805950"/>
    <w:rsid w:val="0080599C"/>
    <w:rsid w:val="0080617C"/>
    <w:rsid w:val="0080643E"/>
    <w:rsid w:val="0080675E"/>
    <w:rsid w:val="008068F2"/>
    <w:rsid w:val="0080696E"/>
    <w:rsid w:val="00806CC7"/>
    <w:rsid w:val="00807001"/>
    <w:rsid w:val="00807004"/>
    <w:rsid w:val="00807504"/>
    <w:rsid w:val="00807FDE"/>
    <w:rsid w:val="0081030F"/>
    <w:rsid w:val="0081047F"/>
    <w:rsid w:val="00811501"/>
    <w:rsid w:val="008116C5"/>
    <w:rsid w:val="00811E52"/>
    <w:rsid w:val="00811E84"/>
    <w:rsid w:val="00811F90"/>
    <w:rsid w:val="008120D6"/>
    <w:rsid w:val="00812779"/>
    <w:rsid w:val="00812F58"/>
    <w:rsid w:val="008132E4"/>
    <w:rsid w:val="00813749"/>
    <w:rsid w:val="00813E54"/>
    <w:rsid w:val="00813FC1"/>
    <w:rsid w:val="00814104"/>
    <w:rsid w:val="008144EC"/>
    <w:rsid w:val="008145D3"/>
    <w:rsid w:val="00814799"/>
    <w:rsid w:val="0081489C"/>
    <w:rsid w:val="00814EA8"/>
    <w:rsid w:val="0081536E"/>
    <w:rsid w:val="00815817"/>
    <w:rsid w:val="00815F53"/>
    <w:rsid w:val="00816949"/>
    <w:rsid w:val="008169AB"/>
    <w:rsid w:val="00816E3E"/>
    <w:rsid w:val="0081710A"/>
    <w:rsid w:val="00817897"/>
    <w:rsid w:val="008178DE"/>
    <w:rsid w:val="00817AB3"/>
    <w:rsid w:val="00817D86"/>
    <w:rsid w:val="00820255"/>
    <w:rsid w:val="0082051D"/>
    <w:rsid w:val="0082087D"/>
    <w:rsid w:val="00820F59"/>
    <w:rsid w:val="00821434"/>
    <w:rsid w:val="00821EFC"/>
    <w:rsid w:val="0082238A"/>
    <w:rsid w:val="0082291E"/>
    <w:rsid w:val="00822967"/>
    <w:rsid w:val="00822F00"/>
    <w:rsid w:val="008236C2"/>
    <w:rsid w:val="00823B10"/>
    <w:rsid w:val="00823EDB"/>
    <w:rsid w:val="00823F9E"/>
    <w:rsid w:val="00824196"/>
    <w:rsid w:val="008242EB"/>
    <w:rsid w:val="0082497C"/>
    <w:rsid w:val="00824C8D"/>
    <w:rsid w:val="00825406"/>
    <w:rsid w:val="0082562D"/>
    <w:rsid w:val="00825714"/>
    <w:rsid w:val="0082586F"/>
    <w:rsid w:val="00825CC6"/>
    <w:rsid w:val="00825EC7"/>
    <w:rsid w:val="008261BB"/>
    <w:rsid w:val="00826627"/>
    <w:rsid w:val="008266FE"/>
    <w:rsid w:val="00826A68"/>
    <w:rsid w:val="00826A6A"/>
    <w:rsid w:val="00826C0D"/>
    <w:rsid w:val="00826EF9"/>
    <w:rsid w:val="00826F16"/>
    <w:rsid w:val="00827244"/>
    <w:rsid w:val="00827488"/>
    <w:rsid w:val="0082757F"/>
    <w:rsid w:val="00827683"/>
    <w:rsid w:val="0082791A"/>
    <w:rsid w:val="008300C4"/>
    <w:rsid w:val="0083073F"/>
    <w:rsid w:val="008308DF"/>
    <w:rsid w:val="008309AB"/>
    <w:rsid w:val="00830E13"/>
    <w:rsid w:val="00830F4D"/>
    <w:rsid w:val="0083168D"/>
    <w:rsid w:val="00831B3F"/>
    <w:rsid w:val="00831ED7"/>
    <w:rsid w:val="0083233D"/>
    <w:rsid w:val="00832351"/>
    <w:rsid w:val="00832455"/>
    <w:rsid w:val="0083270D"/>
    <w:rsid w:val="008327AF"/>
    <w:rsid w:val="00832A58"/>
    <w:rsid w:val="00832DA1"/>
    <w:rsid w:val="008334D4"/>
    <w:rsid w:val="008343E0"/>
    <w:rsid w:val="00834D64"/>
    <w:rsid w:val="00834D9C"/>
    <w:rsid w:val="008352E0"/>
    <w:rsid w:val="008355AE"/>
    <w:rsid w:val="008359DF"/>
    <w:rsid w:val="00835C85"/>
    <w:rsid w:val="00836550"/>
    <w:rsid w:val="0083665D"/>
    <w:rsid w:val="0083686E"/>
    <w:rsid w:val="00836C84"/>
    <w:rsid w:val="00836F79"/>
    <w:rsid w:val="00837086"/>
    <w:rsid w:val="00837B42"/>
    <w:rsid w:val="00837E75"/>
    <w:rsid w:val="00840153"/>
    <w:rsid w:val="008402F6"/>
    <w:rsid w:val="008402F8"/>
    <w:rsid w:val="0084041D"/>
    <w:rsid w:val="00840599"/>
    <w:rsid w:val="008405CF"/>
    <w:rsid w:val="0084067C"/>
    <w:rsid w:val="008408F0"/>
    <w:rsid w:val="00840BC3"/>
    <w:rsid w:val="008411B4"/>
    <w:rsid w:val="0084124C"/>
    <w:rsid w:val="008414E1"/>
    <w:rsid w:val="008416A9"/>
    <w:rsid w:val="00841836"/>
    <w:rsid w:val="00841C15"/>
    <w:rsid w:val="008424C2"/>
    <w:rsid w:val="00842B35"/>
    <w:rsid w:val="00842DFC"/>
    <w:rsid w:val="00842F9F"/>
    <w:rsid w:val="008432FB"/>
    <w:rsid w:val="0084357A"/>
    <w:rsid w:val="008438A2"/>
    <w:rsid w:val="00844043"/>
    <w:rsid w:val="00844198"/>
    <w:rsid w:val="008441B4"/>
    <w:rsid w:val="00844277"/>
    <w:rsid w:val="0084448E"/>
    <w:rsid w:val="008448F3"/>
    <w:rsid w:val="00844A6F"/>
    <w:rsid w:val="00844EFC"/>
    <w:rsid w:val="00845FBC"/>
    <w:rsid w:val="0084601B"/>
    <w:rsid w:val="008462CA"/>
    <w:rsid w:val="0084642D"/>
    <w:rsid w:val="00846675"/>
    <w:rsid w:val="00846682"/>
    <w:rsid w:val="00846945"/>
    <w:rsid w:val="00846C8A"/>
    <w:rsid w:val="00846FA2"/>
    <w:rsid w:val="0084709B"/>
    <w:rsid w:val="008473A0"/>
    <w:rsid w:val="008475DF"/>
    <w:rsid w:val="00847A15"/>
    <w:rsid w:val="00850257"/>
    <w:rsid w:val="0085025F"/>
    <w:rsid w:val="008502FB"/>
    <w:rsid w:val="008505E8"/>
    <w:rsid w:val="0085060A"/>
    <w:rsid w:val="00851573"/>
    <w:rsid w:val="00851834"/>
    <w:rsid w:val="00851952"/>
    <w:rsid w:val="00851C7D"/>
    <w:rsid w:val="00851E6E"/>
    <w:rsid w:val="0085216C"/>
    <w:rsid w:val="00852E25"/>
    <w:rsid w:val="008531A8"/>
    <w:rsid w:val="008536C8"/>
    <w:rsid w:val="00853908"/>
    <w:rsid w:val="00853C87"/>
    <w:rsid w:val="00854050"/>
    <w:rsid w:val="00854961"/>
    <w:rsid w:val="00854BDA"/>
    <w:rsid w:val="00854C92"/>
    <w:rsid w:val="008550BB"/>
    <w:rsid w:val="0085518A"/>
    <w:rsid w:val="008551B9"/>
    <w:rsid w:val="008551D0"/>
    <w:rsid w:val="008555EB"/>
    <w:rsid w:val="00855766"/>
    <w:rsid w:val="008559D1"/>
    <w:rsid w:val="00855D4F"/>
    <w:rsid w:val="00855E3D"/>
    <w:rsid w:val="00855E84"/>
    <w:rsid w:val="0085609E"/>
    <w:rsid w:val="00856264"/>
    <w:rsid w:val="008562FD"/>
    <w:rsid w:val="00856590"/>
    <w:rsid w:val="00856794"/>
    <w:rsid w:val="0085693A"/>
    <w:rsid w:val="008569C2"/>
    <w:rsid w:val="008569CC"/>
    <w:rsid w:val="00856ECB"/>
    <w:rsid w:val="00856F85"/>
    <w:rsid w:val="008573B3"/>
    <w:rsid w:val="008573F6"/>
    <w:rsid w:val="008575C9"/>
    <w:rsid w:val="008578DA"/>
    <w:rsid w:val="00857908"/>
    <w:rsid w:val="00857A36"/>
    <w:rsid w:val="00857DD4"/>
    <w:rsid w:val="00860054"/>
    <w:rsid w:val="008600EF"/>
    <w:rsid w:val="00860238"/>
    <w:rsid w:val="0086061E"/>
    <w:rsid w:val="008606A6"/>
    <w:rsid w:val="0086082C"/>
    <w:rsid w:val="008619BE"/>
    <w:rsid w:val="00861F64"/>
    <w:rsid w:val="008625F7"/>
    <w:rsid w:val="00862837"/>
    <w:rsid w:val="00863499"/>
    <w:rsid w:val="0086352C"/>
    <w:rsid w:val="0086393D"/>
    <w:rsid w:val="008639BA"/>
    <w:rsid w:val="00863AEB"/>
    <w:rsid w:val="00863BEE"/>
    <w:rsid w:val="00863C3D"/>
    <w:rsid w:val="00863C5C"/>
    <w:rsid w:val="00863D05"/>
    <w:rsid w:val="0086431A"/>
    <w:rsid w:val="0086447C"/>
    <w:rsid w:val="0086457F"/>
    <w:rsid w:val="008645EA"/>
    <w:rsid w:val="0086461F"/>
    <w:rsid w:val="00864ADC"/>
    <w:rsid w:val="00864CD6"/>
    <w:rsid w:val="00864D9F"/>
    <w:rsid w:val="00864F44"/>
    <w:rsid w:val="00865349"/>
    <w:rsid w:val="0086558C"/>
    <w:rsid w:val="00865699"/>
    <w:rsid w:val="00865861"/>
    <w:rsid w:val="00865AE0"/>
    <w:rsid w:val="00865FB5"/>
    <w:rsid w:val="0086616B"/>
    <w:rsid w:val="008665A7"/>
    <w:rsid w:val="0086665B"/>
    <w:rsid w:val="00866D08"/>
    <w:rsid w:val="00866DD2"/>
    <w:rsid w:val="00866FF8"/>
    <w:rsid w:val="008670BA"/>
    <w:rsid w:val="00867716"/>
    <w:rsid w:val="008677B8"/>
    <w:rsid w:val="00867A28"/>
    <w:rsid w:val="00870139"/>
    <w:rsid w:val="00870553"/>
    <w:rsid w:val="008705E6"/>
    <w:rsid w:val="008708C0"/>
    <w:rsid w:val="008714AB"/>
    <w:rsid w:val="00871C10"/>
    <w:rsid w:val="00872159"/>
    <w:rsid w:val="00872181"/>
    <w:rsid w:val="008721C4"/>
    <w:rsid w:val="00872780"/>
    <w:rsid w:val="00872899"/>
    <w:rsid w:val="00872BAA"/>
    <w:rsid w:val="0087300E"/>
    <w:rsid w:val="0087335F"/>
    <w:rsid w:val="008734FE"/>
    <w:rsid w:val="00873E1C"/>
    <w:rsid w:val="008741D0"/>
    <w:rsid w:val="00874419"/>
    <w:rsid w:val="0087486F"/>
    <w:rsid w:val="008748A3"/>
    <w:rsid w:val="0087503F"/>
    <w:rsid w:val="0087515A"/>
    <w:rsid w:val="008752CE"/>
    <w:rsid w:val="00875372"/>
    <w:rsid w:val="008755AD"/>
    <w:rsid w:val="00875B08"/>
    <w:rsid w:val="00875CA6"/>
    <w:rsid w:val="0087611F"/>
    <w:rsid w:val="008763B9"/>
    <w:rsid w:val="0087640C"/>
    <w:rsid w:val="00876411"/>
    <w:rsid w:val="00876479"/>
    <w:rsid w:val="0087691D"/>
    <w:rsid w:val="00877220"/>
    <w:rsid w:val="008773D7"/>
    <w:rsid w:val="008774F7"/>
    <w:rsid w:val="00877581"/>
    <w:rsid w:val="00877AB2"/>
    <w:rsid w:val="00877BE6"/>
    <w:rsid w:val="00877E2A"/>
    <w:rsid w:val="00877EFB"/>
    <w:rsid w:val="00880153"/>
    <w:rsid w:val="0088043D"/>
    <w:rsid w:val="0088048C"/>
    <w:rsid w:val="00880870"/>
    <w:rsid w:val="00880A00"/>
    <w:rsid w:val="00880D13"/>
    <w:rsid w:val="00880F97"/>
    <w:rsid w:val="00880FAC"/>
    <w:rsid w:val="00881037"/>
    <w:rsid w:val="00881254"/>
    <w:rsid w:val="0088133A"/>
    <w:rsid w:val="008814A0"/>
    <w:rsid w:val="00881899"/>
    <w:rsid w:val="00881A12"/>
    <w:rsid w:val="00881B0D"/>
    <w:rsid w:val="00881C23"/>
    <w:rsid w:val="00881CCB"/>
    <w:rsid w:val="00881FB8"/>
    <w:rsid w:val="0088234B"/>
    <w:rsid w:val="00882736"/>
    <w:rsid w:val="00882774"/>
    <w:rsid w:val="00882A1F"/>
    <w:rsid w:val="00882BE3"/>
    <w:rsid w:val="00882DDC"/>
    <w:rsid w:val="00882EA8"/>
    <w:rsid w:val="00883293"/>
    <w:rsid w:val="0088340B"/>
    <w:rsid w:val="00884642"/>
    <w:rsid w:val="00884651"/>
    <w:rsid w:val="0088477C"/>
    <w:rsid w:val="00884EE5"/>
    <w:rsid w:val="008850F6"/>
    <w:rsid w:val="0088513E"/>
    <w:rsid w:val="0088521C"/>
    <w:rsid w:val="008854F7"/>
    <w:rsid w:val="0088552E"/>
    <w:rsid w:val="00885545"/>
    <w:rsid w:val="0088562B"/>
    <w:rsid w:val="008858D8"/>
    <w:rsid w:val="00885EE3"/>
    <w:rsid w:val="00885F7B"/>
    <w:rsid w:val="00886087"/>
    <w:rsid w:val="008861F8"/>
    <w:rsid w:val="008869F6"/>
    <w:rsid w:val="00886C8B"/>
    <w:rsid w:val="008875A6"/>
    <w:rsid w:val="0088785E"/>
    <w:rsid w:val="0088786D"/>
    <w:rsid w:val="00887DB5"/>
    <w:rsid w:val="00887F6C"/>
    <w:rsid w:val="00890011"/>
    <w:rsid w:val="008900BD"/>
    <w:rsid w:val="0089019E"/>
    <w:rsid w:val="00890407"/>
    <w:rsid w:val="00890461"/>
    <w:rsid w:val="00890571"/>
    <w:rsid w:val="0089066C"/>
    <w:rsid w:val="0089071C"/>
    <w:rsid w:val="00890A55"/>
    <w:rsid w:val="00890BBA"/>
    <w:rsid w:val="00891089"/>
    <w:rsid w:val="008912B7"/>
    <w:rsid w:val="008912EF"/>
    <w:rsid w:val="008916F2"/>
    <w:rsid w:val="00891A39"/>
    <w:rsid w:val="0089205B"/>
    <w:rsid w:val="00892671"/>
    <w:rsid w:val="008926EC"/>
    <w:rsid w:val="00892757"/>
    <w:rsid w:val="0089285E"/>
    <w:rsid w:val="00892902"/>
    <w:rsid w:val="00892A4D"/>
    <w:rsid w:val="00892AF4"/>
    <w:rsid w:val="00892B64"/>
    <w:rsid w:val="00892C22"/>
    <w:rsid w:val="00893589"/>
    <w:rsid w:val="008940DC"/>
    <w:rsid w:val="0089436C"/>
    <w:rsid w:val="008947CC"/>
    <w:rsid w:val="0089548C"/>
    <w:rsid w:val="00895627"/>
    <w:rsid w:val="008956B9"/>
    <w:rsid w:val="0089584A"/>
    <w:rsid w:val="00895C37"/>
    <w:rsid w:val="00895C55"/>
    <w:rsid w:val="00895F79"/>
    <w:rsid w:val="00896437"/>
    <w:rsid w:val="008965F7"/>
    <w:rsid w:val="00896711"/>
    <w:rsid w:val="00896907"/>
    <w:rsid w:val="00896B0E"/>
    <w:rsid w:val="00896C66"/>
    <w:rsid w:val="00896F44"/>
    <w:rsid w:val="00897083"/>
    <w:rsid w:val="00897392"/>
    <w:rsid w:val="00897429"/>
    <w:rsid w:val="008978B6"/>
    <w:rsid w:val="00897A42"/>
    <w:rsid w:val="00897BFE"/>
    <w:rsid w:val="00897C4B"/>
    <w:rsid w:val="008A0425"/>
    <w:rsid w:val="008A057D"/>
    <w:rsid w:val="008A05DB"/>
    <w:rsid w:val="008A078B"/>
    <w:rsid w:val="008A0CC1"/>
    <w:rsid w:val="008A0CCE"/>
    <w:rsid w:val="008A1097"/>
    <w:rsid w:val="008A11D9"/>
    <w:rsid w:val="008A1421"/>
    <w:rsid w:val="008A197C"/>
    <w:rsid w:val="008A1C7F"/>
    <w:rsid w:val="008A20C5"/>
    <w:rsid w:val="008A21D8"/>
    <w:rsid w:val="008A249E"/>
    <w:rsid w:val="008A2B61"/>
    <w:rsid w:val="008A2E39"/>
    <w:rsid w:val="008A30F3"/>
    <w:rsid w:val="008A346D"/>
    <w:rsid w:val="008A379F"/>
    <w:rsid w:val="008A3AA2"/>
    <w:rsid w:val="008A3CDF"/>
    <w:rsid w:val="008A3EB6"/>
    <w:rsid w:val="008A4113"/>
    <w:rsid w:val="008A4187"/>
    <w:rsid w:val="008A41D1"/>
    <w:rsid w:val="008A4426"/>
    <w:rsid w:val="008A4565"/>
    <w:rsid w:val="008A47FF"/>
    <w:rsid w:val="008A4A97"/>
    <w:rsid w:val="008A4B3E"/>
    <w:rsid w:val="008A532A"/>
    <w:rsid w:val="008A5836"/>
    <w:rsid w:val="008A5E1C"/>
    <w:rsid w:val="008A604F"/>
    <w:rsid w:val="008A62A4"/>
    <w:rsid w:val="008A6488"/>
    <w:rsid w:val="008A663C"/>
    <w:rsid w:val="008A69A5"/>
    <w:rsid w:val="008A6BBB"/>
    <w:rsid w:val="008A6CA0"/>
    <w:rsid w:val="008A7040"/>
    <w:rsid w:val="008A71B9"/>
    <w:rsid w:val="008A740F"/>
    <w:rsid w:val="008A7507"/>
    <w:rsid w:val="008A7879"/>
    <w:rsid w:val="008A7880"/>
    <w:rsid w:val="008A7BC7"/>
    <w:rsid w:val="008A7ECA"/>
    <w:rsid w:val="008B0C9F"/>
    <w:rsid w:val="008B0FA3"/>
    <w:rsid w:val="008B1292"/>
    <w:rsid w:val="008B16BC"/>
    <w:rsid w:val="008B16E5"/>
    <w:rsid w:val="008B19A4"/>
    <w:rsid w:val="008B1B46"/>
    <w:rsid w:val="008B1C4C"/>
    <w:rsid w:val="008B21E9"/>
    <w:rsid w:val="008B221C"/>
    <w:rsid w:val="008B23F6"/>
    <w:rsid w:val="008B286E"/>
    <w:rsid w:val="008B2965"/>
    <w:rsid w:val="008B2DD2"/>
    <w:rsid w:val="008B3690"/>
    <w:rsid w:val="008B3C81"/>
    <w:rsid w:val="008B444E"/>
    <w:rsid w:val="008B4A5F"/>
    <w:rsid w:val="008B4B13"/>
    <w:rsid w:val="008B53C7"/>
    <w:rsid w:val="008B555F"/>
    <w:rsid w:val="008B5FFD"/>
    <w:rsid w:val="008B607D"/>
    <w:rsid w:val="008B6436"/>
    <w:rsid w:val="008B684A"/>
    <w:rsid w:val="008B68D3"/>
    <w:rsid w:val="008B7064"/>
    <w:rsid w:val="008B7299"/>
    <w:rsid w:val="008C07F0"/>
    <w:rsid w:val="008C0F34"/>
    <w:rsid w:val="008C1093"/>
    <w:rsid w:val="008C13FC"/>
    <w:rsid w:val="008C15C1"/>
    <w:rsid w:val="008C18A0"/>
    <w:rsid w:val="008C1987"/>
    <w:rsid w:val="008C1B8A"/>
    <w:rsid w:val="008C1C1B"/>
    <w:rsid w:val="008C26AC"/>
    <w:rsid w:val="008C2877"/>
    <w:rsid w:val="008C2A33"/>
    <w:rsid w:val="008C2E20"/>
    <w:rsid w:val="008C3945"/>
    <w:rsid w:val="008C3C2F"/>
    <w:rsid w:val="008C4337"/>
    <w:rsid w:val="008C47D8"/>
    <w:rsid w:val="008C4955"/>
    <w:rsid w:val="008C505C"/>
    <w:rsid w:val="008C58A7"/>
    <w:rsid w:val="008C6063"/>
    <w:rsid w:val="008C651C"/>
    <w:rsid w:val="008C67B4"/>
    <w:rsid w:val="008C6D12"/>
    <w:rsid w:val="008C6D75"/>
    <w:rsid w:val="008C6EFD"/>
    <w:rsid w:val="008C73A0"/>
    <w:rsid w:val="008C78BA"/>
    <w:rsid w:val="008C7B36"/>
    <w:rsid w:val="008C7E7F"/>
    <w:rsid w:val="008D0120"/>
    <w:rsid w:val="008D04B2"/>
    <w:rsid w:val="008D0830"/>
    <w:rsid w:val="008D0EC1"/>
    <w:rsid w:val="008D0F9B"/>
    <w:rsid w:val="008D10D6"/>
    <w:rsid w:val="008D1105"/>
    <w:rsid w:val="008D1144"/>
    <w:rsid w:val="008D120B"/>
    <w:rsid w:val="008D13F8"/>
    <w:rsid w:val="008D1761"/>
    <w:rsid w:val="008D1FBE"/>
    <w:rsid w:val="008D2137"/>
    <w:rsid w:val="008D219D"/>
    <w:rsid w:val="008D238A"/>
    <w:rsid w:val="008D27B8"/>
    <w:rsid w:val="008D3032"/>
    <w:rsid w:val="008D350D"/>
    <w:rsid w:val="008D3619"/>
    <w:rsid w:val="008D3EEB"/>
    <w:rsid w:val="008D4829"/>
    <w:rsid w:val="008D49B8"/>
    <w:rsid w:val="008D4B98"/>
    <w:rsid w:val="008D4B9C"/>
    <w:rsid w:val="008D4FB5"/>
    <w:rsid w:val="008D5586"/>
    <w:rsid w:val="008D5B68"/>
    <w:rsid w:val="008D5CFF"/>
    <w:rsid w:val="008D6171"/>
    <w:rsid w:val="008D61BA"/>
    <w:rsid w:val="008D6562"/>
    <w:rsid w:val="008D7737"/>
    <w:rsid w:val="008D7744"/>
    <w:rsid w:val="008D7C5C"/>
    <w:rsid w:val="008D7CF4"/>
    <w:rsid w:val="008D7D0D"/>
    <w:rsid w:val="008E014F"/>
    <w:rsid w:val="008E0571"/>
    <w:rsid w:val="008E0683"/>
    <w:rsid w:val="008E0E1B"/>
    <w:rsid w:val="008E11E4"/>
    <w:rsid w:val="008E1D76"/>
    <w:rsid w:val="008E1DDD"/>
    <w:rsid w:val="008E1E1D"/>
    <w:rsid w:val="008E2161"/>
    <w:rsid w:val="008E2562"/>
    <w:rsid w:val="008E2BAB"/>
    <w:rsid w:val="008E2E8A"/>
    <w:rsid w:val="008E2ED8"/>
    <w:rsid w:val="008E3074"/>
    <w:rsid w:val="008E316F"/>
    <w:rsid w:val="008E32C8"/>
    <w:rsid w:val="008E3361"/>
    <w:rsid w:val="008E3364"/>
    <w:rsid w:val="008E33B7"/>
    <w:rsid w:val="008E35F1"/>
    <w:rsid w:val="008E3AFF"/>
    <w:rsid w:val="008E3BA8"/>
    <w:rsid w:val="008E43FE"/>
    <w:rsid w:val="008E4725"/>
    <w:rsid w:val="008E4D77"/>
    <w:rsid w:val="008E50AD"/>
    <w:rsid w:val="008E5A62"/>
    <w:rsid w:val="008E5A98"/>
    <w:rsid w:val="008E5B95"/>
    <w:rsid w:val="008E69CB"/>
    <w:rsid w:val="008E6CE5"/>
    <w:rsid w:val="008E6D1F"/>
    <w:rsid w:val="008E709E"/>
    <w:rsid w:val="008E7147"/>
    <w:rsid w:val="008E760A"/>
    <w:rsid w:val="008F0BE5"/>
    <w:rsid w:val="008F0D14"/>
    <w:rsid w:val="008F14A5"/>
    <w:rsid w:val="008F165C"/>
    <w:rsid w:val="008F171A"/>
    <w:rsid w:val="008F22AD"/>
    <w:rsid w:val="008F23B5"/>
    <w:rsid w:val="008F2574"/>
    <w:rsid w:val="008F2728"/>
    <w:rsid w:val="008F2A76"/>
    <w:rsid w:val="008F30DB"/>
    <w:rsid w:val="008F3235"/>
    <w:rsid w:val="008F3BD3"/>
    <w:rsid w:val="008F3D04"/>
    <w:rsid w:val="008F46D1"/>
    <w:rsid w:val="008F4AC3"/>
    <w:rsid w:val="008F4FBA"/>
    <w:rsid w:val="008F554B"/>
    <w:rsid w:val="008F55E0"/>
    <w:rsid w:val="008F59A9"/>
    <w:rsid w:val="008F5A30"/>
    <w:rsid w:val="008F5EA0"/>
    <w:rsid w:val="008F62E0"/>
    <w:rsid w:val="008F638E"/>
    <w:rsid w:val="008F6462"/>
    <w:rsid w:val="008F6788"/>
    <w:rsid w:val="008F7080"/>
    <w:rsid w:val="008F718E"/>
    <w:rsid w:val="008F72A1"/>
    <w:rsid w:val="008F7785"/>
    <w:rsid w:val="008F782F"/>
    <w:rsid w:val="008F7C80"/>
    <w:rsid w:val="008F7C90"/>
    <w:rsid w:val="008F7E93"/>
    <w:rsid w:val="008F7EF2"/>
    <w:rsid w:val="0090007E"/>
    <w:rsid w:val="009002DC"/>
    <w:rsid w:val="0090051A"/>
    <w:rsid w:val="00900C3D"/>
    <w:rsid w:val="00901005"/>
    <w:rsid w:val="0090116D"/>
    <w:rsid w:val="00901686"/>
    <w:rsid w:val="0090194E"/>
    <w:rsid w:val="0090199A"/>
    <w:rsid w:val="00901B24"/>
    <w:rsid w:val="00901EC9"/>
    <w:rsid w:val="0090260A"/>
    <w:rsid w:val="009028B0"/>
    <w:rsid w:val="009030BF"/>
    <w:rsid w:val="0090319D"/>
    <w:rsid w:val="0090381D"/>
    <w:rsid w:val="00903A91"/>
    <w:rsid w:val="00903AEF"/>
    <w:rsid w:val="00903B4C"/>
    <w:rsid w:val="00903F9C"/>
    <w:rsid w:val="0090406F"/>
    <w:rsid w:val="0090457F"/>
    <w:rsid w:val="0090458C"/>
    <w:rsid w:val="00904925"/>
    <w:rsid w:val="009049E5"/>
    <w:rsid w:val="00904B30"/>
    <w:rsid w:val="00904B58"/>
    <w:rsid w:val="00904F67"/>
    <w:rsid w:val="009054CC"/>
    <w:rsid w:val="0090563B"/>
    <w:rsid w:val="00905844"/>
    <w:rsid w:val="009058F5"/>
    <w:rsid w:val="00905A9F"/>
    <w:rsid w:val="00905E80"/>
    <w:rsid w:val="00905FD8"/>
    <w:rsid w:val="009063B7"/>
    <w:rsid w:val="00906469"/>
    <w:rsid w:val="00906644"/>
    <w:rsid w:val="0090692C"/>
    <w:rsid w:val="00906931"/>
    <w:rsid w:val="00906A60"/>
    <w:rsid w:val="00906E02"/>
    <w:rsid w:val="0090715D"/>
    <w:rsid w:val="009073F1"/>
    <w:rsid w:val="009076BC"/>
    <w:rsid w:val="00907A09"/>
    <w:rsid w:val="00907D7D"/>
    <w:rsid w:val="00910235"/>
    <w:rsid w:val="009102F3"/>
    <w:rsid w:val="00910467"/>
    <w:rsid w:val="009104E7"/>
    <w:rsid w:val="00910676"/>
    <w:rsid w:val="00910DCA"/>
    <w:rsid w:val="0091132C"/>
    <w:rsid w:val="0091136C"/>
    <w:rsid w:val="00911BD6"/>
    <w:rsid w:val="00911C87"/>
    <w:rsid w:val="009122CF"/>
    <w:rsid w:val="00912739"/>
    <w:rsid w:val="00912D6E"/>
    <w:rsid w:val="00913645"/>
    <w:rsid w:val="0091384D"/>
    <w:rsid w:val="00913A1B"/>
    <w:rsid w:val="00913CDB"/>
    <w:rsid w:val="00913D74"/>
    <w:rsid w:val="0091406E"/>
    <w:rsid w:val="00914368"/>
    <w:rsid w:val="00914418"/>
    <w:rsid w:val="009144C1"/>
    <w:rsid w:val="00914AC7"/>
    <w:rsid w:val="00914EBD"/>
    <w:rsid w:val="00914FE8"/>
    <w:rsid w:val="00915234"/>
    <w:rsid w:val="0091542A"/>
    <w:rsid w:val="0091565B"/>
    <w:rsid w:val="00915CFA"/>
    <w:rsid w:val="00916406"/>
    <w:rsid w:val="00916803"/>
    <w:rsid w:val="00917014"/>
    <w:rsid w:val="009170BC"/>
    <w:rsid w:val="009170FF"/>
    <w:rsid w:val="0091737B"/>
    <w:rsid w:val="00917417"/>
    <w:rsid w:val="009174C8"/>
    <w:rsid w:val="009179F7"/>
    <w:rsid w:val="00917CD8"/>
    <w:rsid w:val="00920226"/>
    <w:rsid w:val="00920374"/>
    <w:rsid w:val="009204C2"/>
    <w:rsid w:val="00920B0B"/>
    <w:rsid w:val="00921224"/>
    <w:rsid w:val="009217BA"/>
    <w:rsid w:val="00921841"/>
    <w:rsid w:val="00921CE0"/>
    <w:rsid w:val="00921E25"/>
    <w:rsid w:val="00921F56"/>
    <w:rsid w:val="00922436"/>
    <w:rsid w:val="009229C6"/>
    <w:rsid w:val="00922B39"/>
    <w:rsid w:val="00922C9F"/>
    <w:rsid w:val="00922F98"/>
    <w:rsid w:val="009230D3"/>
    <w:rsid w:val="0092359F"/>
    <w:rsid w:val="009235B0"/>
    <w:rsid w:val="00923A31"/>
    <w:rsid w:val="00923B18"/>
    <w:rsid w:val="00923F0B"/>
    <w:rsid w:val="0092408B"/>
    <w:rsid w:val="00924920"/>
    <w:rsid w:val="00924BBC"/>
    <w:rsid w:val="00924C26"/>
    <w:rsid w:val="009250BD"/>
    <w:rsid w:val="0092548E"/>
    <w:rsid w:val="009256E0"/>
    <w:rsid w:val="00925DC0"/>
    <w:rsid w:val="00926272"/>
    <w:rsid w:val="009264D3"/>
    <w:rsid w:val="009264FC"/>
    <w:rsid w:val="00926774"/>
    <w:rsid w:val="0092686B"/>
    <w:rsid w:val="00926947"/>
    <w:rsid w:val="00926FF2"/>
    <w:rsid w:val="009274AD"/>
    <w:rsid w:val="00927968"/>
    <w:rsid w:val="00927A41"/>
    <w:rsid w:val="00927EC9"/>
    <w:rsid w:val="00930D9D"/>
    <w:rsid w:val="00930EF8"/>
    <w:rsid w:val="00931076"/>
    <w:rsid w:val="009319E5"/>
    <w:rsid w:val="00931FD5"/>
    <w:rsid w:val="009320BD"/>
    <w:rsid w:val="00932176"/>
    <w:rsid w:val="00932A5E"/>
    <w:rsid w:val="00932B3B"/>
    <w:rsid w:val="00932B3F"/>
    <w:rsid w:val="00932BC2"/>
    <w:rsid w:val="00932EB6"/>
    <w:rsid w:val="009333EC"/>
    <w:rsid w:val="0093345A"/>
    <w:rsid w:val="0093379E"/>
    <w:rsid w:val="009337F0"/>
    <w:rsid w:val="00933AA4"/>
    <w:rsid w:val="00933B6F"/>
    <w:rsid w:val="00933E6F"/>
    <w:rsid w:val="0093448F"/>
    <w:rsid w:val="009345BF"/>
    <w:rsid w:val="009345D9"/>
    <w:rsid w:val="00934B15"/>
    <w:rsid w:val="00934B2F"/>
    <w:rsid w:val="00934B93"/>
    <w:rsid w:val="00934C6C"/>
    <w:rsid w:val="009353AC"/>
    <w:rsid w:val="00935620"/>
    <w:rsid w:val="0093588E"/>
    <w:rsid w:val="00935E23"/>
    <w:rsid w:val="009361AB"/>
    <w:rsid w:val="0093677F"/>
    <w:rsid w:val="00936925"/>
    <w:rsid w:val="00936BC3"/>
    <w:rsid w:val="00936F99"/>
    <w:rsid w:val="00937439"/>
    <w:rsid w:val="0093755A"/>
    <w:rsid w:val="00937F0A"/>
    <w:rsid w:val="00940026"/>
    <w:rsid w:val="0094044B"/>
    <w:rsid w:val="00940F6C"/>
    <w:rsid w:val="009413EC"/>
    <w:rsid w:val="0094166E"/>
    <w:rsid w:val="00941869"/>
    <w:rsid w:val="00942196"/>
    <w:rsid w:val="00942A99"/>
    <w:rsid w:val="00942B62"/>
    <w:rsid w:val="00942F8F"/>
    <w:rsid w:val="00943052"/>
    <w:rsid w:val="00943172"/>
    <w:rsid w:val="00943215"/>
    <w:rsid w:val="009433FB"/>
    <w:rsid w:val="00943659"/>
    <w:rsid w:val="00943729"/>
    <w:rsid w:val="00943B2C"/>
    <w:rsid w:val="00943C9B"/>
    <w:rsid w:val="00944296"/>
    <w:rsid w:val="0094436A"/>
    <w:rsid w:val="00944931"/>
    <w:rsid w:val="00944B6C"/>
    <w:rsid w:val="00944BE1"/>
    <w:rsid w:val="00944EB7"/>
    <w:rsid w:val="00944F82"/>
    <w:rsid w:val="009450F1"/>
    <w:rsid w:val="00945100"/>
    <w:rsid w:val="00945211"/>
    <w:rsid w:val="00945829"/>
    <w:rsid w:val="00945A7E"/>
    <w:rsid w:val="00945B42"/>
    <w:rsid w:val="00945D54"/>
    <w:rsid w:val="00946013"/>
    <w:rsid w:val="0094624A"/>
    <w:rsid w:val="009463C2"/>
    <w:rsid w:val="0094673E"/>
    <w:rsid w:val="0094684B"/>
    <w:rsid w:val="00946ABF"/>
    <w:rsid w:val="00946C21"/>
    <w:rsid w:val="00946CB4"/>
    <w:rsid w:val="00947403"/>
    <w:rsid w:val="009478DB"/>
    <w:rsid w:val="00947B36"/>
    <w:rsid w:val="00947CDD"/>
    <w:rsid w:val="00947D2C"/>
    <w:rsid w:val="00947E21"/>
    <w:rsid w:val="00950093"/>
    <w:rsid w:val="009500B6"/>
    <w:rsid w:val="00950818"/>
    <w:rsid w:val="00950FC9"/>
    <w:rsid w:val="00951107"/>
    <w:rsid w:val="0095122E"/>
    <w:rsid w:val="00951ED2"/>
    <w:rsid w:val="00951FFB"/>
    <w:rsid w:val="00952220"/>
    <w:rsid w:val="00952340"/>
    <w:rsid w:val="009524D2"/>
    <w:rsid w:val="009524EB"/>
    <w:rsid w:val="00952534"/>
    <w:rsid w:val="009526EA"/>
    <w:rsid w:val="009530B9"/>
    <w:rsid w:val="00953304"/>
    <w:rsid w:val="0095341E"/>
    <w:rsid w:val="00953C75"/>
    <w:rsid w:val="00954135"/>
    <w:rsid w:val="00954201"/>
    <w:rsid w:val="00954224"/>
    <w:rsid w:val="0095487F"/>
    <w:rsid w:val="009549EF"/>
    <w:rsid w:val="00954F5E"/>
    <w:rsid w:val="009550F7"/>
    <w:rsid w:val="00955394"/>
    <w:rsid w:val="00955446"/>
    <w:rsid w:val="00955A2E"/>
    <w:rsid w:val="00955A78"/>
    <w:rsid w:val="0095633F"/>
    <w:rsid w:val="009563D2"/>
    <w:rsid w:val="00956826"/>
    <w:rsid w:val="00956A0C"/>
    <w:rsid w:val="00956A5B"/>
    <w:rsid w:val="00956AEC"/>
    <w:rsid w:val="00956BD9"/>
    <w:rsid w:val="00956E84"/>
    <w:rsid w:val="00956F08"/>
    <w:rsid w:val="00956F78"/>
    <w:rsid w:val="009573E8"/>
    <w:rsid w:val="00957670"/>
    <w:rsid w:val="00957955"/>
    <w:rsid w:val="00957D71"/>
    <w:rsid w:val="00957EA9"/>
    <w:rsid w:val="009602DB"/>
    <w:rsid w:val="009602FE"/>
    <w:rsid w:val="00960717"/>
    <w:rsid w:val="00960C9A"/>
    <w:rsid w:val="0096118E"/>
    <w:rsid w:val="009617F6"/>
    <w:rsid w:val="00962239"/>
    <w:rsid w:val="00962489"/>
    <w:rsid w:val="009626FD"/>
    <w:rsid w:val="00962A05"/>
    <w:rsid w:val="00962AEA"/>
    <w:rsid w:val="00963A1C"/>
    <w:rsid w:val="00963BE5"/>
    <w:rsid w:val="00963D7C"/>
    <w:rsid w:val="009640BD"/>
    <w:rsid w:val="00964231"/>
    <w:rsid w:val="009642CC"/>
    <w:rsid w:val="00964570"/>
    <w:rsid w:val="00964D65"/>
    <w:rsid w:val="00964D98"/>
    <w:rsid w:val="00964E55"/>
    <w:rsid w:val="00964E8C"/>
    <w:rsid w:val="0096533D"/>
    <w:rsid w:val="00965381"/>
    <w:rsid w:val="0096571C"/>
    <w:rsid w:val="00965908"/>
    <w:rsid w:val="00965D73"/>
    <w:rsid w:val="009661D2"/>
    <w:rsid w:val="009663F4"/>
    <w:rsid w:val="00966825"/>
    <w:rsid w:val="00966F16"/>
    <w:rsid w:val="00966F57"/>
    <w:rsid w:val="00966F7B"/>
    <w:rsid w:val="00967306"/>
    <w:rsid w:val="00967357"/>
    <w:rsid w:val="0096741F"/>
    <w:rsid w:val="00967F3C"/>
    <w:rsid w:val="00970173"/>
    <w:rsid w:val="00970362"/>
    <w:rsid w:val="0097052A"/>
    <w:rsid w:val="0097055B"/>
    <w:rsid w:val="00970616"/>
    <w:rsid w:val="00970A51"/>
    <w:rsid w:val="00970A67"/>
    <w:rsid w:val="00970B14"/>
    <w:rsid w:val="00970DA4"/>
    <w:rsid w:val="0097174F"/>
    <w:rsid w:val="0097191F"/>
    <w:rsid w:val="00971E23"/>
    <w:rsid w:val="00971E6B"/>
    <w:rsid w:val="00972046"/>
    <w:rsid w:val="009721B7"/>
    <w:rsid w:val="00972373"/>
    <w:rsid w:val="009725F7"/>
    <w:rsid w:val="00972AF4"/>
    <w:rsid w:val="00972C86"/>
    <w:rsid w:val="00972DD7"/>
    <w:rsid w:val="009731C4"/>
    <w:rsid w:val="009737F9"/>
    <w:rsid w:val="00973A29"/>
    <w:rsid w:val="00973B10"/>
    <w:rsid w:val="00973CFD"/>
    <w:rsid w:val="00973F8E"/>
    <w:rsid w:val="009746CB"/>
    <w:rsid w:val="009749BC"/>
    <w:rsid w:val="00974CA2"/>
    <w:rsid w:val="00974E64"/>
    <w:rsid w:val="0097505C"/>
    <w:rsid w:val="009751F9"/>
    <w:rsid w:val="0097567C"/>
    <w:rsid w:val="009758D9"/>
    <w:rsid w:val="00975A92"/>
    <w:rsid w:val="00975FD5"/>
    <w:rsid w:val="00976594"/>
    <w:rsid w:val="009765FB"/>
    <w:rsid w:val="00976B43"/>
    <w:rsid w:val="00976C7B"/>
    <w:rsid w:val="00977547"/>
    <w:rsid w:val="00977AB3"/>
    <w:rsid w:val="00977F06"/>
    <w:rsid w:val="0098005A"/>
    <w:rsid w:val="0098012B"/>
    <w:rsid w:val="0098070C"/>
    <w:rsid w:val="00980879"/>
    <w:rsid w:val="009809F6"/>
    <w:rsid w:val="00980CF3"/>
    <w:rsid w:val="00980FD7"/>
    <w:rsid w:val="00981442"/>
    <w:rsid w:val="0098154D"/>
    <w:rsid w:val="00981A96"/>
    <w:rsid w:val="00981F3C"/>
    <w:rsid w:val="00982836"/>
    <w:rsid w:val="00982A64"/>
    <w:rsid w:val="00982A70"/>
    <w:rsid w:val="00982CC2"/>
    <w:rsid w:val="00982D6E"/>
    <w:rsid w:val="00982E89"/>
    <w:rsid w:val="00982EE0"/>
    <w:rsid w:val="0098308B"/>
    <w:rsid w:val="009833A4"/>
    <w:rsid w:val="00983487"/>
    <w:rsid w:val="0098388B"/>
    <w:rsid w:val="00983992"/>
    <w:rsid w:val="00983C51"/>
    <w:rsid w:val="0098418B"/>
    <w:rsid w:val="009842D2"/>
    <w:rsid w:val="00984736"/>
    <w:rsid w:val="00984C14"/>
    <w:rsid w:val="00984CF3"/>
    <w:rsid w:val="00985027"/>
    <w:rsid w:val="00985396"/>
    <w:rsid w:val="009858DC"/>
    <w:rsid w:val="00985B01"/>
    <w:rsid w:val="00985B93"/>
    <w:rsid w:val="00985F8C"/>
    <w:rsid w:val="00986140"/>
    <w:rsid w:val="009862B6"/>
    <w:rsid w:val="009864C1"/>
    <w:rsid w:val="00986808"/>
    <w:rsid w:val="00986985"/>
    <w:rsid w:val="00986CD9"/>
    <w:rsid w:val="0098713D"/>
    <w:rsid w:val="00987469"/>
    <w:rsid w:val="00987AA8"/>
    <w:rsid w:val="00987CFB"/>
    <w:rsid w:val="00990220"/>
    <w:rsid w:val="00990302"/>
    <w:rsid w:val="0099044E"/>
    <w:rsid w:val="00990DCE"/>
    <w:rsid w:val="009914C3"/>
    <w:rsid w:val="009914FD"/>
    <w:rsid w:val="00991609"/>
    <w:rsid w:val="009916C8"/>
    <w:rsid w:val="009916CF"/>
    <w:rsid w:val="0099175B"/>
    <w:rsid w:val="00991F8B"/>
    <w:rsid w:val="0099204A"/>
    <w:rsid w:val="009921C6"/>
    <w:rsid w:val="009922EF"/>
    <w:rsid w:val="0099234D"/>
    <w:rsid w:val="0099286C"/>
    <w:rsid w:val="00992879"/>
    <w:rsid w:val="0099291B"/>
    <w:rsid w:val="00993126"/>
    <w:rsid w:val="0099317C"/>
    <w:rsid w:val="00993315"/>
    <w:rsid w:val="009936F9"/>
    <w:rsid w:val="00993959"/>
    <w:rsid w:val="00993D63"/>
    <w:rsid w:val="0099406B"/>
    <w:rsid w:val="009941BE"/>
    <w:rsid w:val="00994575"/>
    <w:rsid w:val="00994A56"/>
    <w:rsid w:val="009962FF"/>
    <w:rsid w:val="009963B6"/>
    <w:rsid w:val="009965D2"/>
    <w:rsid w:val="0099673D"/>
    <w:rsid w:val="00996AFF"/>
    <w:rsid w:val="00996FC9"/>
    <w:rsid w:val="00997321"/>
    <w:rsid w:val="00997676"/>
    <w:rsid w:val="0099777D"/>
    <w:rsid w:val="00997BFD"/>
    <w:rsid w:val="00997F64"/>
    <w:rsid w:val="009A0483"/>
    <w:rsid w:val="009A055A"/>
    <w:rsid w:val="009A0707"/>
    <w:rsid w:val="009A09A9"/>
    <w:rsid w:val="009A0A9E"/>
    <w:rsid w:val="009A0B19"/>
    <w:rsid w:val="009A0E86"/>
    <w:rsid w:val="009A12C1"/>
    <w:rsid w:val="009A1AFC"/>
    <w:rsid w:val="009A2170"/>
    <w:rsid w:val="009A22A7"/>
    <w:rsid w:val="009A2772"/>
    <w:rsid w:val="009A302D"/>
    <w:rsid w:val="009A349A"/>
    <w:rsid w:val="009A3766"/>
    <w:rsid w:val="009A3961"/>
    <w:rsid w:val="009A3B97"/>
    <w:rsid w:val="009A3E7B"/>
    <w:rsid w:val="009A40D8"/>
    <w:rsid w:val="009A424E"/>
    <w:rsid w:val="009A47B8"/>
    <w:rsid w:val="009A480F"/>
    <w:rsid w:val="009A49EC"/>
    <w:rsid w:val="009A4D30"/>
    <w:rsid w:val="009A50A5"/>
    <w:rsid w:val="009A5130"/>
    <w:rsid w:val="009A55C3"/>
    <w:rsid w:val="009A55C6"/>
    <w:rsid w:val="009A5872"/>
    <w:rsid w:val="009A5913"/>
    <w:rsid w:val="009A5BF8"/>
    <w:rsid w:val="009A6144"/>
    <w:rsid w:val="009A6263"/>
    <w:rsid w:val="009A6397"/>
    <w:rsid w:val="009A65E6"/>
    <w:rsid w:val="009A6BEE"/>
    <w:rsid w:val="009A6BF6"/>
    <w:rsid w:val="009A6D5E"/>
    <w:rsid w:val="009A6E2C"/>
    <w:rsid w:val="009A6F58"/>
    <w:rsid w:val="009A6FDC"/>
    <w:rsid w:val="009A7566"/>
    <w:rsid w:val="009A7C04"/>
    <w:rsid w:val="009A7D9C"/>
    <w:rsid w:val="009B0135"/>
    <w:rsid w:val="009B02AF"/>
    <w:rsid w:val="009B0993"/>
    <w:rsid w:val="009B0E87"/>
    <w:rsid w:val="009B119D"/>
    <w:rsid w:val="009B1221"/>
    <w:rsid w:val="009B1ACD"/>
    <w:rsid w:val="009B1EC3"/>
    <w:rsid w:val="009B25A6"/>
    <w:rsid w:val="009B26D4"/>
    <w:rsid w:val="009B300D"/>
    <w:rsid w:val="009B34AD"/>
    <w:rsid w:val="009B3C88"/>
    <w:rsid w:val="009B3CAF"/>
    <w:rsid w:val="009B418E"/>
    <w:rsid w:val="009B4588"/>
    <w:rsid w:val="009B473F"/>
    <w:rsid w:val="009B4ABE"/>
    <w:rsid w:val="009B4E91"/>
    <w:rsid w:val="009B522F"/>
    <w:rsid w:val="009B5869"/>
    <w:rsid w:val="009B58D7"/>
    <w:rsid w:val="009B5A03"/>
    <w:rsid w:val="009B5BC2"/>
    <w:rsid w:val="009B5C98"/>
    <w:rsid w:val="009B5E34"/>
    <w:rsid w:val="009B6125"/>
    <w:rsid w:val="009B61FF"/>
    <w:rsid w:val="009B631B"/>
    <w:rsid w:val="009B64E2"/>
    <w:rsid w:val="009B65C3"/>
    <w:rsid w:val="009B66FA"/>
    <w:rsid w:val="009B6D16"/>
    <w:rsid w:val="009B71B8"/>
    <w:rsid w:val="009B7439"/>
    <w:rsid w:val="009B751D"/>
    <w:rsid w:val="009B76C6"/>
    <w:rsid w:val="009B77BC"/>
    <w:rsid w:val="009B7F71"/>
    <w:rsid w:val="009B7F74"/>
    <w:rsid w:val="009C011B"/>
    <w:rsid w:val="009C0D03"/>
    <w:rsid w:val="009C18B7"/>
    <w:rsid w:val="009C1BDB"/>
    <w:rsid w:val="009C1D25"/>
    <w:rsid w:val="009C20FF"/>
    <w:rsid w:val="009C23FC"/>
    <w:rsid w:val="009C24C8"/>
    <w:rsid w:val="009C24D8"/>
    <w:rsid w:val="009C2563"/>
    <w:rsid w:val="009C28D5"/>
    <w:rsid w:val="009C2A4B"/>
    <w:rsid w:val="009C2D71"/>
    <w:rsid w:val="009C34CC"/>
    <w:rsid w:val="009C3548"/>
    <w:rsid w:val="009C371F"/>
    <w:rsid w:val="009C3859"/>
    <w:rsid w:val="009C38A2"/>
    <w:rsid w:val="009C39CF"/>
    <w:rsid w:val="009C3A7D"/>
    <w:rsid w:val="009C3AD3"/>
    <w:rsid w:val="009C3B12"/>
    <w:rsid w:val="009C426E"/>
    <w:rsid w:val="009C42D8"/>
    <w:rsid w:val="009C455A"/>
    <w:rsid w:val="009C4698"/>
    <w:rsid w:val="009C4A72"/>
    <w:rsid w:val="009C5471"/>
    <w:rsid w:val="009C56E8"/>
    <w:rsid w:val="009C5F5A"/>
    <w:rsid w:val="009C5F9E"/>
    <w:rsid w:val="009C672F"/>
    <w:rsid w:val="009C6D48"/>
    <w:rsid w:val="009C6D7B"/>
    <w:rsid w:val="009C6E6C"/>
    <w:rsid w:val="009C6F25"/>
    <w:rsid w:val="009C70DD"/>
    <w:rsid w:val="009C719A"/>
    <w:rsid w:val="009C72EB"/>
    <w:rsid w:val="009C7370"/>
    <w:rsid w:val="009C7DA4"/>
    <w:rsid w:val="009C7EFA"/>
    <w:rsid w:val="009D002A"/>
    <w:rsid w:val="009D00FA"/>
    <w:rsid w:val="009D053E"/>
    <w:rsid w:val="009D0548"/>
    <w:rsid w:val="009D0F15"/>
    <w:rsid w:val="009D124C"/>
    <w:rsid w:val="009D1739"/>
    <w:rsid w:val="009D17BE"/>
    <w:rsid w:val="009D2C4B"/>
    <w:rsid w:val="009D30E2"/>
    <w:rsid w:val="009D32FF"/>
    <w:rsid w:val="009D362C"/>
    <w:rsid w:val="009D363D"/>
    <w:rsid w:val="009D3817"/>
    <w:rsid w:val="009D43D6"/>
    <w:rsid w:val="009D4994"/>
    <w:rsid w:val="009D51B4"/>
    <w:rsid w:val="009D52B2"/>
    <w:rsid w:val="009D5C97"/>
    <w:rsid w:val="009D62A9"/>
    <w:rsid w:val="009D655C"/>
    <w:rsid w:val="009D679A"/>
    <w:rsid w:val="009D6923"/>
    <w:rsid w:val="009D6A29"/>
    <w:rsid w:val="009D6A80"/>
    <w:rsid w:val="009D6E68"/>
    <w:rsid w:val="009D72AC"/>
    <w:rsid w:val="009D759E"/>
    <w:rsid w:val="009D7939"/>
    <w:rsid w:val="009D7BB7"/>
    <w:rsid w:val="009E06F0"/>
    <w:rsid w:val="009E0792"/>
    <w:rsid w:val="009E0B6F"/>
    <w:rsid w:val="009E1040"/>
    <w:rsid w:val="009E14AD"/>
    <w:rsid w:val="009E1AD9"/>
    <w:rsid w:val="009E1D05"/>
    <w:rsid w:val="009E23D6"/>
    <w:rsid w:val="009E259F"/>
    <w:rsid w:val="009E293E"/>
    <w:rsid w:val="009E2CB3"/>
    <w:rsid w:val="009E3349"/>
    <w:rsid w:val="009E342B"/>
    <w:rsid w:val="009E3BA1"/>
    <w:rsid w:val="009E436C"/>
    <w:rsid w:val="009E4674"/>
    <w:rsid w:val="009E467E"/>
    <w:rsid w:val="009E49FC"/>
    <w:rsid w:val="009E4B6C"/>
    <w:rsid w:val="009E4F07"/>
    <w:rsid w:val="009E53C3"/>
    <w:rsid w:val="009E5B6E"/>
    <w:rsid w:val="009E5E05"/>
    <w:rsid w:val="009E6548"/>
    <w:rsid w:val="009E6A8B"/>
    <w:rsid w:val="009E714A"/>
    <w:rsid w:val="009E761E"/>
    <w:rsid w:val="009E7A42"/>
    <w:rsid w:val="009E7ABF"/>
    <w:rsid w:val="009E7C39"/>
    <w:rsid w:val="009F06B9"/>
    <w:rsid w:val="009F0D11"/>
    <w:rsid w:val="009F0D48"/>
    <w:rsid w:val="009F0F2A"/>
    <w:rsid w:val="009F0F32"/>
    <w:rsid w:val="009F11DF"/>
    <w:rsid w:val="009F1489"/>
    <w:rsid w:val="009F1A35"/>
    <w:rsid w:val="009F1D8D"/>
    <w:rsid w:val="009F2045"/>
    <w:rsid w:val="009F222E"/>
    <w:rsid w:val="009F2584"/>
    <w:rsid w:val="009F2BC7"/>
    <w:rsid w:val="009F2D87"/>
    <w:rsid w:val="009F2F68"/>
    <w:rsid w:val="009F2FBD"/>
    <w:rsid w:val="009F4569"/>
    <w:rsid w:val="009F4C90"/>
    <w:rsid w:val="009F4E5F"/>
    <w:rsid w:val="009F4EDE"/>
    <w:rsid w:val="009F503F"/>
    <w:rsid w:val="009F5887"/>
    <w:rsid w:val="009F5BC7"/>
    <w:rsid w:val="009F604E"/>
    <w:rsid w:val="009F63D8"/>
    <w:rsid w:val="009F696D"/>
    <w:rsid w:val="009F6A39"/>
    <w:rsid w:val="009F6BC6"/>
    <w:rsid w:val="009F6D2C"/>
    <w:rsid w:val="009F7629"/>
    <w:rsid w:val="009F7892"/>
    <w:rsid w:val="009F7A8F"/>
    <w:rsid w:val="009F7DE6"/>
    <w:rsid w:val="00A00951"/>
    <w:rsid w:val="00A00AB0"/>
    <w:rsid w:val="00A00C40"/>
    <w:rsid w:val="00A01217"/>
    <w:rsid w:val="00A014E8"/>
    <w:rsid w:val="00A0161E"/>
    <w:rsid w:val="00A01638"/>
    <w:rsid w:val="00A016B7"/>
    <w:rsid w:val="00A01758"/>
    <w:rsid w:val="00A01B08"/>
    <w:rsid w:val="00A01B5A"/>
    <w:rsid w:val="00A021FA"/>
    <w:rsid w:val="00A023BB"/>
    <w:rsid w:val="00A02563"/>
    <w:rsid w:val="00A02942"/>
    <w:rsid w:val="00A02B91"/>
    <w:rsid w:val="00A0372C"/>
    <w:rsid w:val="00A03A7F"/>
    <w:rsid w:val="00A03D43"/>
    <w:rsid w:val="00A03D7E"/>
    <w:rsid w:val="00A03EDA"/>
    <w:rsid w:val="00A03F07"/>
    <w:rsid w:val="00A043C1"/>
    <w:rsid w:val="00A043E8"/>
    <w:rsid w:val="00A0457C"/>
    <w:rsid w:val="00A04611"/>
    <w:rsid w:val="00A0470D"/>
    <w:rsid w:val="00A0483A"/>
    <w:rsid w:val="00A05466"/>
    <w:rsid w:val="00A0565F"/>
    <w:rsid w:val="00A0592F"/>
    <w:rsid w:val="00A05BD3"/>
    <w:rsid w:val="00A05DD5"/>
    <w:rsid w:val="00A05EF1"/>
    <w:rsid w:val="00A0633F"/>
    <w:rsid w:val="00A06389"/>
    <w:rsid w:val="00A063D9"/>
    <w:rsid w:val="00A0640E"/>
    <w:rsid w:val="00A06AAB"/>
    <w:rsid w:val="00A072EA"/>
    <w:rsid w:val="00A07416"/>
    <w:rsid w:val="00A07882"/>
    <w:rsid w:val="00A0796B"/>
    <w:rsid w:val="00A07F9A"/>
    <w:rsid w:val="00A100A4"/>
    <w:rsid w:val="00A10374"/>
    <w:rsid w:val="00A1045A"/>
    <w:rsid w:val="00A1072E"/>
    <w:rsid w:val="00A10BB8"/>
    <w:rsid w:val="00A10F67"/>
    <w:rsid w:val="00A10F68"/>
    <w:rsid w:val="00A11155"/>
    <w:rsid w:val="00A11723"/>
    <w:rsid w:val="00A11B36"/>
    <w:rsid w:val="00A120A4"/>
    <w:rsid w:val="00A121CB"/>
    <w:rsid w:val="00A12808"/>
    <w:rsid w:val="00A12A16"/>
    <w:rsid w:val="00A1303A"/>
    <w:rsid w:val="00A130DF"/>
    <w:rsid w:val="00A13557"/>
    <w:rsid w:val="00A13745"/>
    <w:rsid w:val="00A139D8"/>
    <w:rsid w:val="00A13B0A"/>
    <w:rsid w:val="00A13B89"/>
    <w:rsid w:val="00A13DE3"/>
    <w:rsid w:val="00A14122"/>
    <w:rsid w:val="00A1415B"/>
    <w:rsid w:val="00A1417D"/>
    <w:rsid w:val="00A145C3"/>
    <w:rsid w:val="00A145E9"/>
    <w:rsid w:val="00A14845"/>
    <w:rsid w:val="00A14D91"/>
    <w:rsid w:val="00A14DBC"/>
    <w:rsid w:val="00A14E32"/>
    <w:rsid w:val="00A1557E"/>
    <w:rsid w:val="00A15838"/>
    <w:rsid w:val="00A1598A"/>
    <w:rsid w:val="00A15FA1"/>
    <w:rsid w:val="00A160D9"/>
    <w:rsid w:val="00A16567"/>
    <w:rsid w:val="00A16760"/>
    <w:rsid w:val="00A167C8"/>
    <w:rsid w:val="00A16A2B"/>
    <w:rsid w:val="00A16FD5"/>
    <w:rsid w:val="00A1701B"/>
    <w:rsid w:val="00A1707B"/>
    <w:rsid w:val="00A17328"/>
    <w:rsid w:val="00A173B8"/>
    <w:rsid w:val="00A17424"/>
    <w:rsid w:val="00A17B9A"/>
    <w:rsid w:val="00A17C2C"/>
    <w:rsid w:val="00A201B6"/>
    <w:rsid w:val="00A203E2"/>
    <w:rsid w:val="00A20489"/>
    <w:rsid w:val="00A20761"/>
    <w:rsid w:val="00A20A3F"/>
    <w:rsid w:val="00A20CF3"/>
    <w:rsid w:val="00A20F78"/>
    <w:rsid w:val="00A20F8D"/>
    <w:rsid w:val="00A2112D"/>
    <w:rsid w:val="00A215CA"/>
    <w:rsid w:val="00A215E0"/>
    <w:rsid w:val="00A217E2"/>
    <w:rsid w:val="00A219BD"/>
    <w:rsid w:val="00A219F3"/>
    <w:rsid w:val="00A21E29"/>
    <w:rsid w:val="00A21E99"/>
    <w:rsid w:val="00A220D9"/>
    <w:rsid w:val="00A2213E"/>
    <w:rsid w:val="00A22788"/>
    <w:rsid w:val="00A22922"/>
    <w:rsid w:val="00A22BB3"/>
    <w:rsid w:val="00A23035"/>
    <w:rsid w:val="00A23C6D"/>
    <w:rsid w:val="00A24131"/>
    <w:rsid w:val="00A2445B"/>
    <w:rsid w:val="00A24994"/>
    <w:rsid w:val="00A249D5"/>
    <w:rsid w:val="00A24EDD"/>
    <w:rsid w:val="00A251F9"/>
    <w:rsid w:val="00A253D7"/>
    <w:rsid w:val="00A258B7"/>
    <w:rsid w:val="00A259C1"/>
    <w:rsid w:val="00A25FDF"/>
    <w:rsid w:val="00A25FFE"/>
    <w:rsid w:val="00A26973"/>
    <w:rsid w:val="00A269EF"/>
    <w:rsid w:val="00A26D20"/>
    <w:rsid w:val="00A26F1D"/>
    <w:rsid w:val="00A2703A"/>
    <w:rsid w:val="00A27952"/>
    <w:rsid w:val="00A30528"/>
    <w:rsid w:val="00A3073B"/>
    <w:rsid w:val="00A30D99"/>
    <w:rsid w:val="00A31386"/>
    <w:rsid w:val="00A315E8"/>
    <w:rsid w:val="00A31922"/>
    <w:rsid w:val="00A31CAD"/>
    <w:rsid w:val="00A31F7F"/>
    <w:rsid w:val="00A32587"/>
    <w:rsid w:val="00A326CC"/>
    <w:rsid w:val="00A32732"/>
    <w:rsid w:val="00A32AE5"/>
    <w:rsid w:val="00A33121"/>
    <w:rsid w:val="00A331FA"/>
    <w:rsid w:val="00A335C3"/>
    <w:rsid w:val="00A3367E"/>
    <w:rsid w:val="00A33753"/>
    <w:rsid w:val="00A33B23"/>
    <w:rsid w:val="00A33D92"/>
    <w:rsid w:val="00A33DFF"/>
    <w:rsid w:val="00A34198"/>
    <w:rsid w:val="00A34397"/>
    <w:rsid w:val="00A34E23"/>
    <w:rsid w:val="00A34F6A"/>
    <w:rsid w:val="00A34FFE"/>
    <w:rsid w:val="00A35006"/>
    <w:rsid w:val="00A35115"/>
    <w:rsid w:val="00A35335"/>
    <w:rsid w:val="00A35488"/>
    <w:rsid w:val="00A363DD"/>
    <w:rsid w:val="00A36559"/>
    <w:rsid w:val="00A374B5"/>
    <w:rsid w:val="00A37BAE"/>
    <w:rsid w:val="00A4064A"/>
    <w:rsid w:val="00A40A61"/>
    <w:rsid w:val="00A41643"/>
    <w:rsid w:val="00A4174A"/>
    <w:rsid w:val="00A418D6"/>
    <w:rsid w:val="00A4190B"/>
    <w:rsid w:val="00A41A1A"/>
    <w:rsid w:val="00A41BFA"/>
    <w:rsid w:val="00A41C6F"/>
    <w:rsid w:val="00A41D15"/>
    <w:rsid w:val="00A41E42"/>
    <w:rsid w:val="00A41EEE"/>
    <w:rsid w:val="00A422F6"/>
    <w:rsid w:val="00A42915"/>
    <w:rsid w:val="00A4291F"/>
    <w:rsid w:val="00A42B09"/>
    <w:rsid w:val="00A430AF"/>
    <w:rsid w:val="00A430DC"/>
    <w:rsid w:val="00A430FD"/>
    <w:rsid w:val="00A43322"/>
    <w:rsid w:val="00A4341F"/>
    <w:rsid w:val="00A43424"/>
    <w:rsid w:val="00A4346D"/>
    <w:rsid w:val="00A434F9"/>
    <w:rsid w:val="00A43567"/>
    <w:rsid w:val="00A4366A"/>
    <w:rsid w:val="00A43AE2"/>
    <w:rsid w:val="00A43B15"/>
    <w:rsid w:val="00A43D82"/>
    <w:rsid w:val="00A440CD"/>
    <w:rsid w:val="00A443BF"/>
    <w:rsid w:val="00A44551"/>
    <w:rsid w:val="00A44775"/>
    <w:rsid w:val="00A44936"/>
    <w:rsid w:val="00A44C93"/>
    <w:rsid w:val="00A45158"/>
    <w:rsid w:val="00A4538B"/>
    <w:rsid w:val="00A453D0"/>
    <w:rsid w:val="00A4558F"/>
    <w:rsid w:val="00A456A2"/>
    <w:rsid w:val="00A45735"/>
    <w:rsid w:val="00A457A7"/>
    <w:rsid w:val="00A457F5"/>
    <w:rsid w:val="00A4595E"/>
    <w:rsid w:val="00A45995"/>
    <w:rsid w:val="00A461EF"/>
    <w:rsid w:val="00A46403"/>
    <w:rsid w:val="00A465EF"/>
    <w:rsid w:val="00A466D6"/>
    <w:rsid w:val="00A468D4"/>
    <w:rsid w:val="00A46B60"/>
    <w:rsid w:val="00A46E6C"/>
    <w:rsid w:val="00A4712C"/>
    <w:rsid w:val="00A47178"/>
    <w:rsid w:val="00A4729F"/>
    <w:rsid w:val="00A4751A"/>
    <w:rsid w:val="00A4796E"/>
    <w:rsid w:val="00A47A8E"/>
    <w:rsid w:val="00A47FEC"/>
    <w:rsid w:val="00A501AF"/>
    <w:rsid w:val="00A501E7"/>
    <w:rsid w:val="00A5036B"/>
    <w:rsid w:val="00A503C9"/>
    <w:rsid w:val="00A505E8"/>
    <w:rsid w:val="00A505F8"/>
    <w:rsid w:val="00A50C0E"/>
    <w:rsid w:val="00A50DE6"/>
    <w:rsid w:val="00A50ECC"/>
    <w:rsid w:val="00A510AC"/>
    <w:rsid w:val="00A51558"/>
    <w:rsid w:val="00A516AE"/>
    <w:rsid w:val="00A51ADD"/>
    <w:rsid w:val="00A524AC"/>
    <w:rsid w:val="00A524CE"/>
    <w:rsid w:val="00A5268E"/>
    <w:rsid w:val="00A52DCE"/>
    <w:rsid w:val="00A531AC"/>
    <w:rsid w:val="00A53587"/>
    <w:rsid w:val="00A53769"/>
    <w:rsid w:val="00A53ABE"/>
    <w:rsid w:val="00A53DCC"/>
    <w:rsid w:val="00A540DD"/>
    <w:rsid w:val="00A54442"/>
    <w:rsid w:val="00A5448E"/>
    <w:rsid w:val="00A549D4"/>
    <w:rsid w:val="00A55014"/>
    <w:rsid w:val="00A554AB"/>
    <w:rsid w:val="00A55574"/>
    <w:rsid w:val="00A55906"/>
    <w:rsid w:val="00A55954"/>
    <w:rsid w:val="00A55A37"/>
    <w:rsid w:val="00A55BF5"/>
    <w:rsid w:val="00A55F2C"/>
    <w:rsid w:val="00A56216"/>
    <w:rsid w:val="00A56AB3"/>
    <w:rsid w:val="00A56EB6"/>
    <w:rsid w:val="00A5736B"/>
    <w:rsid w:val="00A574E4"/>
    <w:rsid w:val="00A57514"/>
    <w:rsid w:val="00A6034D"/>
    <w:rsid w:val="00A60454"/>
    <w:rsid w:val="00A6068C"/>
    <w:rsid w:val="00A606B1"/>
    <w:rsid w:val="00A6115E"/>
    <w:rsid w:val="00A6134D"/>
    <w:rsid w:val="00A613A4"/>
    <w:rsid w:val="00A615A5"/>
    <w:rsid w:val="00A6175E"/>
    <w:rsid w:val="00A61ADF"/>
    <w:rsid w:val="00A61D9C"/>
    <w:rsid w:val="00A61E14"/>
    <w:rsid w:val="00A621A5"/>
    <w:rsid w:val="00A62221"/>
    <w:rsid w:val="00A62222"/>
    <w:rsid w:val="00A629CD"/>
    <w:rsid w:val="00A62C2E"/>
    <w:rsid w:val="00A6307B"/>
    <w:rsid w:val="00A632BE"/>
    <w:rsid w:val="00A63750"/>
    <w:rsid w:val="00A63AD0"/>
    <w:rsid w:val="00A64331"/>
    <w:rsid w:val="00A646A4"/>
    <w:rsid w:val="00A64925"/>
    <w:rsid w:val="00A64C65"/>
    <w:rsid w:val="00A64CCB"/>
    <w:rsid w:val="00A65142"/>
    <w:rsid w:val="00A656E3"/>
    <w:rsid w:val="00A65929"/>
    <w:rsid w:val="00A65CF7"/>
    <w:rsid w:val="00A65CF9"/>
    <w:rsid w:val="00A66A4C"/>
    <w:rsid w:val="00A66F04"/>
    <w:rsid w:val="00A70131"/>
    <w:rsid w:val="00A702CB"/>
    <w:rsid w:val="00A703F4"/>
    <w:rsid w:val="00A7040A"/>
    <w:rsid w:val="00A70809"/>
    <w:rsid w:val="00A70AD3"/>
    <w:rsid w:val="00A712F4"/>
    <w:rsid w:val="00A7138F"/>
    <w:rsid w:val="00A715CA"/>
    <w:rsid w:val="00A719A7"/>
    <w:rsid w:val="00A71DD5"/>
    <w:rsid w:val="00A726E7"/>
    <w:rsid w:val="00A7282A"/>
    <w:rsid w:val="00A72908"/>
    <w:rsid w:val="00A7330C"/>
    <w:rsid w:val="00A734CD"/>
    <w:rsid w:val="00A7354D"/>
    <w:rsid w:val="00A739CA"/>
    <w:rsid w:val="00A73E21"/>
    <w:rsid w:val="00A73EF7"/>
    <w:rsid w:val="00A741E7"/>
    <w:rsid w:val="00A741EC"/>
    <w:rsid w:val="00A741FD"/>
    <w:rsid w:val="00A7432F"/>
    <w:rsid w:val="00A74418"/>
    <w:rsid w:val="00A74535"/>
    <w:rsid w:val="00A748F2"/>
    <w:rsid w:val="00A74B45"/>
    <w:rsid w:val="00A74FF3"/>
    <w:rsid w:val="00A74FF4"/>
    <w:rsid w:val="00A7501C"/>
    <w:rsid w:val="00A75226"/>
    <w:rsid w:val="00A75285"/>
    <w:rsid w:val="00A7555C"/>
    <w:rsid w:val="00A75727"/>
    <w:rsid w:val="00A7611D"/>
    <w:rsid w:val="00A76330"/>
    <w:rsid w:val="00A7634A"/>
    <w:rsid w:val="00A76AED"/>
    <w:rsid w:val="00A76B62"/>
    <w:rsid w:val="00A76D5B"/>
    <w:rsid w:val="00A76F74"/>
    <w:rsid w:val="00A772FB"/>
    <w:rsid w:val="00A77457"/>
    <w:rsid w:val="00A77631"/>
    <w:rsid w:val="00A7767D"/>
    <w:rsid w:val="00A77995"/>
    <w:rsid w:val="00A779EA"/>
    <w:rsid w:val="00A77C88"/>
    <w:rsid w:val="00A80532"/>
    <w:rsid w:val="00A80DFC"/>
    <w:rsid w:val="00A81316"/>
    <w:rsid w:val="00A813C3"/>
    <w:rsid w:val="00A816AA"/>
    <w:rsid w:val="00A81B7A"/>
    <w:rsid w:val="00A8202A"/>
    <w:rsid w:val="00A82051"/>
    <w:rsid w:val="00A821D5"/>
    <w:rsid w:val="00A823F5"/>
    <w:rsid w:val="00A82D67"/>
    <w:rsid w:val="00A83542"/>
    <w:rsid w:val="00A83712"/>
    <w:rsid w:val="00A83B2D"/>
    <w:rsid w:val="00A8428A"/>
    <w:rsid w:val="00A8432E"/>
    <w:rsid w:val="00A84371"/>
    <w:rsid w:val="00A8490B"/>
    <w:rsid w:val="00A84C9D"/>
    <w:rsid w:val="00A84DF1"/>
    <w:rsid w:val="00A850A1"/>
    <w:rsid w:val="00A85404"/>
    <w:rsid w:val="00A85A3A"/>
    <w:rsid w:val="00A85E87"/>
    <w:rsid w:val="00A867F8"/>
    <w:rsid w:val="00A86B94"/>
    <w:rsid w:val="00A86C04"/>
    <w:rsid w:val="00A87197"/>
    <w:rsid w:val="00A87A6F"/>
    <w:rsid w:val="00A87A86"/>
    <w:rsid w:val="00A87D14"/>
    <w:rsid w:val="00A90600"/>
    <w:rsid w:val="00A9079B"/>
    <w:rsid w:val="00A90861"/>
    <w:rsid w:val="00A909D8"/>
    <w:rsid w:val="00A9127D"/>
    <w:rsid w:val="00A912E2"/>
    <w:rsid w:val="00A9149D"/>
    <w:rsid w:val="00A9159D"/>
    <w:rsid w:val="00A91F55"/>
    <w:rsid w:val="00A92955"/>
    <w:rsid w:val="00A92B6D"/>
    <w:rsid w:val="00A92CC0"/>
    <w:rsid w:val="00A92DA9"/>
    <w:rsid w:val="00A93228"/>
    <w:rsid w:val="00A93682"/>
    <w:rsid w:val="00A93C22"/>
    <w:rsid w:val="00A942F3"/>
    <w:rsid w:val="00A94585"/>
    <w:rsid w:val="00A94597"/>
    <w:rsid w:val="00A947C6"/>
    <w:rsid w:val="00A949D5"/>
    <w:rsid w:val="00A94C2B"/>
    <w:rsid w:val="00A94C8C"/>
    <w:rsid w:val="00A94DCA"/>
    <w:rsid w:val="00A94FA6"/>
    <w:rsid w:val="00A95236"/>
    <w:rsid w:val="00A9526B"/>
    <w:rsid w:val="00A9552F"/>
    <w:rsid w:val="00A955E5"/>
    <w:rsid w:val="00A95DA6"/>
    <w:rsid w:val="00A962FD"/>
    <w:rsid w:val="00A9636D"/>
    <w:rsid w:val="00A9668F"/>
    <w:rsid w:val="00A96C78"/>
    <w:rsid w:val="00A96EA8"/>
    <w:rsid w:val="00A971C0"/>
    <w:rsid w:val="00A97553"/>
    <w:rsid w:val="00A97FB6"/>
    <w:rsid w:val="00AA03FF"/>
    <w:rsid w:val="00AA0960"/>
    <w:rsid w:val="00AA0AC1"/>
    <w:rsid w:val="00AA12D1"/>
    <w:rsid w:val="00AA14A7"/>
    <w:rsid w:val="00AA1A87"/>
    <w:rsid w:val="00AA1AE6"/>
    <w:rsid w:val="00AA22B4"/>
    <w:rsid w:val="00AA27A7"/>
    <w:rsid w:val="00AA2894"/>
    <w:rsid w:val="00AA2927"/>
    <w:rsid w:val="00AA3339"/>
    <w:rsid w:val="00AA36CF"/>
    <w:rsid w:val="00AA376D"/>
    <w:rsid w:val="00AA39D3"/>
    <w:rsid w:val="00AA3A68"/>
    <w:rsid w:val="00AA3A73"/>
    <w:rsid w:val="00AA4D3D"/>
    <w:rsid w:val="00AA4DC9"/>
    <w:rsid w:val="00AA4FB9"/>
    <w:rsid w:val="00AA50D8"/>
    <w:rsid w:val="00AA55A1"/>
    <w:rsid w:val="00AA5693"/>
    <w:rsid w:val="00AA5744"/>
    <w:rsid w:val="00AA5A26"/>
    <w:rsid w:val="00AA6710"/>
    <w:rsid w:val="00AA67D6"/>
    <w:rsid w:val="00AA6BC6"/>
    <w:rsid w:val="00AA6FBB"/>
    <w:rsid w:val="00AA770E"/>
    <w:rsid w:val="00AB01E2"/>
    <w:rsid w:val="00AB0431"/>
    <w:rsid w:val="00AB0681"/>
    <w:rsid w:val="00AB06E8"/>
    <w:rsid w:val="00AB08D4"/>
    <w:rsid w:val="00AB0B11"/>
    <w:rsid w:val="00AB0F13"/>
    <w:rsid w:val="00AB0F14"/>
    <w:rsid w:val="00AB0F37"/>
    <w:rsid w:val="00AB0FE7"/>
    <w:rsid w:val="00AB1029"/>
    <w:rsid w:val="00AB15DA"/>
    <w:rsid w:val="00AB1898"/>
    <w:rsid w:val="00AB1BC4"/>
    <w:rsid w:val="00AB213A"/>
    <w:rsid w:val="00AB22B2"/>
    <w:rsid w:val="00AB240A"/>
    <w:rsid w:val="00AB2CBD"/>
    <w:rsid w:val="00AB2F2B"/>
    <w:rsid w:val="00AB384A"/>
    <w:rsid w:val="00AB3941"/>
    <w:rsid w:val="00AB3D56"/>
    <w:rsid w:val="00AB43B0"/>
    <w:rsid w:val="00AB45FF"/>
    <w:rsid w:val="00AB4AA8"/>
    <w:rsid w:val="00AB5020"/>
    <w:rsid w:val="00AB520B"/>
    <w:rsid w:val="00AB582F"/>
    <w:rsid w:val="00AB5842"/>
    <w:rsid w:val="00AB5954"/>
    <w:rsid w:val="00AB59B6"/>
    <w:rsid w:val="00AB5D28"/>
    <w:rsid w:val="00AB672C"/>
    <w:rsid w:val="00AB6883"/>
    <w:rsid w:val="00AB6FE5"/>
    <w:rsid w:val="00AB705E"/>
    <w:rsid w:val="00AB71B8"/>
    <w:rsid w:val="00AB77F2"/>
    <w:rsid w:val="00AC02D0"/>
    <w:rsid w:val="00AC089E"/>
    <w:rsid w:val="00AC0E0D"/>
    <w:rsid w:val="00AC0EF9"/>
    <w:rsid w:val="00AC0EFD"/>
    <w:rsid w:val="00AC10DB"/>
    <w:rsid w:val="00AC13F6"/>
    <w:rsid w:val="00AC15CF"/>
    <w:rsid w:val="00AC1B3A"/>
    <w:rsid w:val="00AC1B57"/>
    <w:rsid w:val="00AC1DAB"/>
    <w:rsid w:val="00AC2383"/>
    <w:rsid w:val="00AC2616"/>
    <w:rsid w:val="00AC2B16"/>
    <w:rsid w:val="00AC2FE6"/>
    <w:rsid w:val="00AC31B2"/>
    <w:rsid w:val="00AC33DA"/>
    <w:rsid w:val="00AC35FF"/>
    <w:rsid w:val="00AC3B80"/>
    <w:rsid w:val="00AC3C91"/>
    <w:rsid w:val="00AC4497"/>
    <w:rsid w:val="00AC459C"/>
    <w:rsid w:val="00AC47B6"/>
    <w:rsid w:val="00AC48D7"/>
    <w:rsid w:val="00AC5056"/>
    <w:rsid w:val="00AC5313"/>
    <w:rsid w:val="00AC5697"/>
    <w:rsid w:val="00AC5966"/>
    <w:rsid w:val="00AC59D6"/>
    <w:rsid w:val="00AC5BCF"/>
    <w:rsid w:val="00AC6062"/>
    <w:rsid w:val="00AC63C4"/>
    <w:rsid w:val="00AC6559"/>
    <w:rsid w:val="00AC6710"/>
    <w:rsid w:val="00AC71E3"/>
    <w:rsid w:val="00AC72E3"/>
    <w:rsid w:val="00AC7569"/>
    <w:rsid w:val="00AC7746"/>
    <w:rsid w:val="00AD0234"/>
    <w:rsid w:val="00AD0329"/>
    <w:rsid w:val="00AD0FEE"/>
    <w:rsid w:val="00AD1292"/>
    <w:rsid w:val="00AD1829"/>
    <w:rsid w:val="00AD19CF"/>
    <w:rsid w:val="00AD1D01"/>
    <w:rsid w:val="00AD1DA7"/>
    <w:rsid w:val="00AD1EDF"/>
    <w:rsid w:val="00AD1F6E"/>
    <w:rsid w:val="00AD21BE"/>
    <w:rsid w:val="00AD2243"/>
    <w:rsid w:val="00AD29C9"/>
    <w:rsid w:val="00AD2EA3"/>
    <w:rsid w:val="00AD2F4F"/>
    <w:rsid w:val="00AD3AF4"/>
    <w:rsid w:val="00AD3CF1"/>
    <w:rsid w:val="00AD407F"/>
    <w:rsid w:val="00AD4456"/>
    <w:rsid w:val="00AD572A"/>
    <w:rsid w:val="00AD6374"/>
    <w:rsid w:val="00AD65CB"/>
    <w:rsid w:val="00AD6A08"/>
    <w:rsid w:val="00AD6D45"/>
    <w:rsid w:val="00AD6DA1"/>
    <w:rsid w:val="00AD72B6"/>
    <w:rsid w:val="00AD7AFD"/>
    <w:rsid w:val="00AE02FE"/>
    <w:rsid w:val="00AE0972"/>
    <w:rsid w:val="00AE09B0"/>
    <w:rsid w:val="00AE0C3F"/>
    <w:rsid w:val="00AE0C4F"/>
    <w:rsid w:val="00AE0E73"/>
    <w:rsid w:val="00AE10B8"/>
    <w:rsid w:val="00AE17D0"/>
    <w:rsid w:val="00AE1CEC"/>
    <w:rsid w:val="00AE1D5E"/>
    <w:rsid w:val="00AE21F7"/>
    <w:rsid w:val="00AE28AF"/>
    <w:rsid w:val="00AE3101"/>
    <w:rsid w:val="00AE3206"/>
    <w:rsid w:val="00AE3208"/>
    <w:rsid w:val="00AE37AE"/>
    <w:rsid w:val="00AE3C3C"/>
    <w:rsid w:val="00AE3E27"/>
    <w:rsid w:val="00AE414A"/>
    <w:rsid w:val="00AE494F"/>
    <w:rsid w:val="00AE4B67"/>
    <w:rsid w:val="00AE50B5"/>
    <w:rsid w:val="00AE5190"/>
    <w:rsid w:val="00AE5516"/>
    <w:rsid w:val="00AE58AB"/>
    <w:rsid w:val="00AE61A6"/>
    <w:rsid w:val="00AE6AB0"/>
    <w:rsid w:val="00AE7266"/>
    <w:rsid w:val="00AE729B"/>
    <w:rsid w:val="00AE7A08"/>
    <w:rsid w:val="00AE7B7A"/>
    <w:rsid w:val="00AE7DA1"/>
    <w:rsid w:val="00AE7E2F"/>
    <w:rsid w:val="00AF0562"/>
    <w:rsid w:val="00AF05CA"/>
    <w:rsid w:val="00AF137A"/>
    <w:rsid w:val="00AF143A"/>
    <w:rsid w:val="00AF19D9"/>
    <w:rsid w:val="00AF1E52"/>
    <w:rsid w:val="00AF1F34"/>
    <w:rsid w:val="00AF209F"/>
    <w:rsid w:val="00AF20B9"/>
    <w:rsid w:val="00AF239F"/>
    <w:rsid w:val="00AF2A12"/>
    <w:rsid w:val="00AF2A2C"/>
    <w:rsid w:val="00AF2A3F"/>
    <w:rsid w:val="00AF2C0E"/>
    <w:rsid w:val="00AF2FA9"/>
    <w:rsid w:val="00AF33B6"/>
    <w:rsid w:val="00AF3668"/>
    <w:rsid w:val="00AF36A6"/>
    <w:rsid w:val="00AF3FA5"/>
    <w:rsid w:val="00AF40CC"/>
    <w:rsid w:val="00AF4654"/>
    <w:rsid w:val="00AF4866"/>
    <w:rsid w:val="00AF48D1"/>
    <w:rsid w:val="00AF4EC0"/>
    <w:rsid w:val="00AF5279"/>
    <w:rsid w:val="00AF52EC"/>
    <w:rsid w:val="00AF52F5"/>
    <w:rsid w:val="00AF5DD9"/>
    <w:rsid w:val="00AF5F1A"/>
    <w:rsid w:val="00AF5F9C"/>
    <w:rsid w:val="00AF5FAD"/>
    <w:rsid w:val="00AF60E1"/>
    <w:rsid w:val="00AF705B"/>
    <w:rsid w:val="00AF7757"/>
    <w:rsid w:val="00AF7B3E"/>
    <w:rsid w:val="00AF7B70"/>
    <w:rsid w:val="00AF7C40"/>
    <w:rsid w:val="00AF7C46"/>
    <w:rsid w:val="00AF7DB0"/>
    <w:rsid w:val="00AF7F3A"/>
    <w:rsid w:val="00B0035E"/>
    <w:rsid w:val="00B009B4"/>
    <w:rsid w:val="00B00A3A"/>
    <w:rsid w:val="00B00FE2"/>
    <w:rsid w:val="00B010EA"/>
    <w:rsid w:val="00B012AD"/>
    <w:rsid w:val="00B016A3"/>
    <w:rsid w:val="00B016D5"/>
    <w:rsid w:val="00B02235"/>
    <w:rsid w:val="00B0266B"/>
    <w:rsid w:val="00B02C07"/>
    <w:rsid w:val="00B02C3D"/>
    <w:rsid w:val="00B030E2"/>
    <w:rsid w:val="00B03183"/>
    <w:rsid w:val="00B0319E"/>
    <w:rsid w:val="00B039A1"/>
    <w:rsid w:val="00B03CEA"/>
    <w:rsid w:val="00B03DEE"/>
    <w:rsid w:val="00B0400B"/>
    <w:rsid w:val="00B04361"/>
    <w:rsid w:val="00B0451B"/>
    <w:rsid w:val="00B04575"/>
    <w:rsid w:val="00B049E8"/>
    <w:rsid w:val="00B04A99"/>
    <w:rsid w:val="00B054C3"/>
    <w:rsid w:val="00B05530"/>
    <w:rsid w:val="00B05901"/>
    <w:rsid w:val="00B05946"/>
    <w:rsid w:val="00B05BA1"/>
    <w:rsid w:val="00B05C63"/>
    <w:rsid w:val="00B05F3B"/>
    <w:rsid w:val="00B05F4E"/>
    <w:rsid w:val="00B061AC"/>
    <w:rsid w:val="00B0652A"/>
    <w:rsid w:val="00B06795"/>
    <w:rsid w:val="00B06D95"/>
    <w:rsid w:val="00B0707A"/>
    <w:rsid w:val="00B07458"/>
    <w:rsid w:val="00B07BAA"/>
    <w:rsid w:val="00B07C7F"/>
    <w:rsid w:val="00B07C93"/>
    <w:rsid w:val="00B07E30"/>
    <w:rsid w:val="00B1013E"/>
    <w:rsid w:val="00B1020D"/>
    <w:rsid w:val="00B10222"/>
    <w:rsid w:val="00B10243"/>
    <w:rsid w:val="00B103B0"/>
    <w:rsid w:val="00B10638"/>
    <w:rsid w:val="00B10697"/>
    <w:rsid w:val="00B113D8"/>
    <w:rsid w:val="00B116C7"/>
    <w:rsid w:val="00B118EC"/>
    <w:rsid w:val="00B11A4D"/>
    <w:rsid w:val="00B11B0E"/>
    <w:rsid w:val="00B11BF4"/>
    <w:rsid w:val="00B11C80"/>
    <w:rsid w:val="00B11D73"/>
    <w:rsid w:val="00B124D6"/>
    <w:rsid w:val="00B12A3B"/>
    <w:rsid w:val="00B12E81"/>
    <w:rsid w:val="00B12E9A"/>
    <w:rsid w:val="00B12FD7"/>
    <w:rsid w:val="00B139AC"/>
    <w:rsid w:val="00B13A4D"/>
    <w:rsid w:val="00B13C5C"/>
    <w:rsid w:val="00B13E68"/>
    <w:rsid w:val="00B1423B"/>
    <w:rsid w:val="00B1485B"/>
    <w:rsid w:val="00B14D04"/>
    <w:rsid w:val="00B15453"/>
    <w:rsid w:val="00B15E47"/>
    <w:rsid w:val="00B160CA"/>
    <w:rsid w:val="00B162B6"/>
    <w:rsid w:val="00B16324"/>
    <w:rsid w:val="00B165EC"/>
    <w:rsid w:val="00B16727"/>
    <w:rsid w:val="00B16CEC"/>
    <w:rsid w:val="00B16CFE"/>
    <w:rsid w:val="00B1725D"/>
    <w:rsid w:val="00B179FC"/>
    <w:rsid w:val="00B17A69"/>
    <w:rsid w:val="00B17ADF"/>
    <w:rsid w:val="00B17B6A"/>
    <w:rsid w:val="00B17C51"/>
    <w:rsid w:val="00B17CC4"/>
    <w:rsid w:val="00B200A2"/>
    <w:rsid w:val="00B201C7"/>
    <w:rsid w:val="00B203E8"/>
    <w:rsid w:val="00B20485"/>
    <w:rsid w:val="00B2052A"/>
    <w:rsid w:val="00B213FC"/>
    <w:rsid w:val="00B214D1"/>
    <w:rsid w:val="00B215DF"/>
    <w:rsid w:val="00B21865"/>
    <w:rsid w:val="00B220CD"/>
    <w:rsid w:val="00B22510"/>
    <w:rsid w:val="00B22D1E"/>
    <w:rsid w:val="00B23387"/>
    <w:rsid w:val="00B23431"/>
    <w:rsid w:val="00B23C09"/>
    <w:rsid w:val="00B23D8C"/>
    <w:rsid w:val="00B23F83"/>
    <w:rsid w:val="00B243BC"/>
    <w:rsid w:val="00B248A3"/>
    <w:rsid w:val="00B24B70"/>
    <w:rsid w:val="00B24F2C"/>
    <w:rsid w:val="00B2514E"/>
    <w:rsid w:val="00B258D3"/>
    <w:rsid w:val="00B25CB3"/>
    <w:rsid w:val="00B25D61"/>
    <w:rsid w:val="00B25EBD"/>
    <w:rsid w:val="00B25F58"/>
    <w:rsid w:val="00B26054"/>
    <w:rsid w:val="00B2649B"/>
    <w:rsid w:val="00B264CE"/>
    <w:rsid w:val="00B265F7"/>
    <w:rsid w:val="00B26828"/>
    <w:rsid w:val="00B26B8F"/>
    <w:rsid w:val="00B2708D"/>
    <w:rsid w:val="00B2745A"/>
    <w:rsid w:val="00B276AB"/>
    <w:rsid w:val="00B27879"/>
    <w:rsid w:val="00B27B7F"/>
    <w:rsid w:val="00B30153"/>
    <w:rsid w:val="00B30191"/>
    <w:rsid w:val="00B30269"/>
    <w:rsid w:val="00B30481"/>
    <w:rsid w:val="00B30676"/>
    <w:rsid w:val="00B30838"/>
    <w:rsid w:val="00B30A69"/>
    <w:rsid w:val="00B30E49"/>
    <w:rsid w:val="00B31214"/>
    <w:rsid w:val="00B31605"/>
    <w:rsid w:val="00B31712"/>
    <w:rsid w:val="00B31E2D"/>
    <w:rsid w:val="00B32380"/>
    <w:rsid w:val="00B32867"/>
    <w:rsid w:val="00B32940"/>
    <w:rsid w:val="00B32D35"/>
    <w:rsid w:val="00B334D2"/>
    <w:rsid w:val="00B3374B"/>
    <w:rsid w:val="00B33F4F"/>
    <w:rsid w:val="00B34710"/>
    <w:rsid w:val="00B34884"/>
    <w:rsid w:val="00B34ABF"/>
    <w:rsid w:val="00B34B3B"/>
    <w:rsid w:val="00B34BE9"/>
    <w:rsid w:val="00B34C18"/>
    <w:rsid w:val="00B34D18"/>
    <w:rsid w:val="00B35120"/>
    <w:rsid w:val="00B351FA"/>
    <w:rsid w:val="00B354E2"/>
    <w:rsid w:val="00B3564E"/>
    <w:rsid w:val="00B358AF"/>
    <w:rsid w:val="00B35A44"/>
    <w:rsid w:val="00B36092"/>
    <w:rsid w:val="00B36400"/>
    <w:rsid w:val="00B36561"/>
    <w:rsid w:val="00B368A2"/>
    <w:rsid w:val="00B36A25"/>
    <w:rsid w:val="00B36D86"/>
    <w:rsid w:val="00B36DED"/>
    <w:rsid w:val="00B37076"/>
    <w:rsid w:val="00B3737F"/>
    <w:rsid w:val="00B37E67"/>
    <w:rsid w:val="00B40E45"/>
    <w:rsid w:val="00B40F51"/>
    <w:rsid w:val="00B41049"/>
    <w:rsid w:val="00B410EC"/>
    <w:rsid w:val="00B41140"/>
    <w:rsid w:val="00B411BB"/>
    <w:rsid w:val="00B412D7"/>
    <w:rsid w:val="00B412E2"/>
    <w:rsid w:val="00B4147D"/>
    <w:rsid w:val="00B41A6D"/>
    <w:rsid w:val="00B41BC4"/>
    <w:rsid w:val="00B41E41"/>
    <w:rsid w:val="00B42159"/>
    <w:rsid w:val="00B4254B"/>
    <w:rsid w:val="00B42D94"/>
    <w:rsid w:val="00B4318B"/>
    <w:rsid w:val="00B43223"/>
    <w:rsid w:val="00B43405"/>
    <w:rsid w:val="00B434FE"/>
    <w:rsid w:val="00B43B21"/>
    <w:rsid w:val="00B43B83"/>
    <w:rsid w:val="00B43E8F"/>
    <w:rsid w:val="00B44337"/>
    <w:rsid w:val="00B44481"/>
    <w:rsid w:val="00B4456B"/>
    <w:rsid w:val="00B445CB"/>
    <w:rsid w:val="00B44983"/>
    <w:rsid w:val="00B44E03"/>
    <w:rsid w:val="00B45119"/>
    <w:rsid w:val="00B45243"/>
    <w:rsid w:val="00B45B24"/>
    <w:rsid w:val="00B45C55"/>
    <w:rsid w:val="00B45F2C"/>
    <w:rsid w:val="00B45FB6"/>
    <w:rsid w:val="00B468E1"/>
    <w:rsid w:val="00B46A5E"/>
    <w:rsid w:val="00B46FE0"/>
    <w:rsid w:val="00B47575"/>
    <w:rsid w:val="00B47681"/>
    <w:rsid w:val="00B47833"/>
    <w:rsid w:val="00B47CD7"/>
    <w:rsid w:val="00B47F72"/>
    <w:rsid w:val="00B47FE7"/>
    <w:rsid w:val="00B50263"/>
    <w:rsid w:val="00B5093C"/>
    <w:rsid w:val="00B50A63"/>
    <w:rsid w:val="00B511AD"/>
    <w:rsid w:val="00B514C4"/>
    <w:rsid w:val="00B5171D"/>
    <w:rsid w:val="00B519E4"/>
    <w:rsid w:val="00B51CFD"/>
    <w:rsid w:val="00B523AB"/>
    <w:rsid w:val="00B52758"/>
    <w:rsid w:val="00B52CD9"/>
    <w:rsid w:val="00B53359"/>
    <w:rsid w:val="00B535DA"/>
    <w:rsid w:val="00B537CF"/>
    <w:rsid w:val="00B53E7E"/>
    <w:rsid w:val="00B53E80"/>
    <w:rsid w:val="00B540C9"/>
    <w:rsid w:val="00B5418F"/>
    <w:rsid w:val="00B5431E"/>
    <w:rsid w:val="00B544BC"/>
    <w:rsid w:val="00B544D3"/>
    <w:rsid w:val="00B5457F"/>
    <w:rsid w:val="00B54594"/>
    <w:rsid w:val="00B5472C"/>
    <w:rsid w:val="00B54BF8"/>
    <w:rsid w:val="00B54CB2"/>
    <w:rsid w:val="00B54CBA"/>
    <w:rsid w:val="00B557B2"/>
    <w:rsid w:val="00B558A1"/>
    <w:rsid w:val="00B559D2"/>
    <w:rsid w:val="00B55A8E"/>
    <w:rsid w:val="00B55BF9"/>
    <w:rsid w:val="00B55C3C"/>
    <w:rsid w:val="00B55E40"/>
    <w:rsid w:val="00B5657E"/>
    <w:rsid w:val="00B566E2"/>
    <w:rsid w:val="00B56FB1"/>
    <w:rsid w:val="00B5737B"/>
    <w:rsid w:val="00B575F4"/>
    <w:rsid w:val="00B57C45"/>
    <w:rsid w:val="00B57FCF"/>
    <w:rsid w:val="00B603B1"/>
    <w:rsid w:val="00B60500"/>
    <w:rsid w:val="00B609E9"/>
    <w:rsid w:val="00B60A49"/>
    <w:rsid w:val="00B60C6B"/>
    <w:rsid w:val="00B60CE0"/>
    <w:rsid w:val="00B610ED"/>
    <w:rsid w:val="00B613EE"/>
    <w:rsid w:val="00B6145C"/>
    <w:rsid w:val="00B61510"/>
    <w:rsid w:val="00B61678"/>
    <w:rsid w:val="00B618D8"/>
    <w:rsid w:val="00B61BC7"/>
    <w:rsid w:val="00B61E76"/>
    <w:rsid w:val="00B620D3"/>
    <w:rsid w:val="00B62674"/>
    <w:rsid w:val="00B6276F"/>
    <w:rsid w:val="00B63010"/>
    <w:rsid w:val="00B63105"/>
    <w:rsid w:val="00B63272"/>
    <w:rsid w:val="00B6342E"/>
    <w:rsid w:val="00B634C2"/>
    <w:rsid w:val="00B63691"/>
    <w:rsid w:val="00B63800"/>
    <w:rsid w:val="00B63B83"/>
    <w:rsid w:val="00B63D57"/>
    <w:rsid w:val="00B640F6"/>
    <w:rsid w:val="00B6426C"/>
    <w:rsid w:val="00B64728"/>
    <w:rsid w:val="00B64964"/>
    <w:rsid w:val="00B64E10"/>
    <w:rsid w:val="00B6576C"/>
    <w:rsid w:val="00B65D6E"/>
    <w:rsid w:val="00B65E87"/>
    <w:rsid w:val="00B66203"/>
    <w:rsid w:val="00B66769"/>
    <w:rsid w:val="00B667BE"/>
    <w:rsid w:val="00B66924"/>
    <w:rsid w:val="00B66FB1"/>
    <w:rsid w:val="00B66FDC"/>
    <w:rsid w:val="00B67424"/>
    <w:rsid w:val="00B67470"/>
    <w:rsid w:val="00B67571"/>
    <w:rsid w:val="00B67B92"/>
    <w:rsid w:val="00B70405"/>
    <w:rsid w:val="00B70474"/>
    <w:rsid w:val="00B704A4"/>
    <w:rsid w:val="00B70608"/>
    <w:rsid w:val="00B70742"/>
    <w:rsid w:val="00B70F78"/>
    <w:rsid w:val="00B7110A"/>
    <w:rsid w:val="00B7113F"/>
    <w:rsid w:val="00B71234"/>
    <w:rsid w:val="00B7184A"/>
    <w:rsid w:val="00B71A71"/>
    <w:rsid w:val="00B71D5B"/>
    <w:rsid w:val="00B71DDB"/>
    <w:rsid w:val="00B71E61"/>
    <w:rsid w:val="00B72266"/>
    <w:rsid w:val="00B722B7"/>
    <w:rsid w:val="00B723BC"/>
    <w:rsid w:val="00B72B59"/>
    <w:rsid w:val="00B72D61"/>
    <w:rsid w:val="00B73107"/>
    <w:rsid w:val="00B734A5"/>
    <w:rsid w:val="00B73531"/>
    <w:rsid w:val="00B73690"/>
    <w:rsid w:val="00B73D89"/>
    <w:rsid w:val="00B743ED"/>
    <w:rsid w:val="00B74439"/>
    <w:rsid w:val="00B744AB"/>
    <w:rsid w:val="00B74566"/>
    <w:rsid w:val="00B74AC1"/>
    <w:rsid w:val="00B75031"/>
    <w:rsid w:val="00B751B4"/>
    <w:rsid w:val="00B75955"/>
    <w:rsid w:val="00B75A02"/>
    <w:rsid w:val="00B75F4D"/>
    <w:rsid w:val="00B75FBB"/>
    <w:rsid w:val="00B761E0"/>
    <w:rsid w:val="00B76631"/>
    <w:rsid w:val="00B7682A"/>
    <w:rsid w:val="00B76882"/>
    <w:rsid w:val="00B768AB"/>
    <w:rsid w:val="00B76B9D"/>
    <w:rsid w:val="00B7721A"/>
    <w:rsid w:val="00B77248"/>
    <w:rsid w:val="00B773F5"/>
    <w:rsid w:val="00B7770E"/>
    <w:rsid w:val="00B77AF9"/>
    <w:rsid w:val="00B77B55"/>
    <w:rsid w:val="00B77B94"/>
    <w:rsid w:val="00B77EB1"/>
    <w:rsid w:val="00B80162"/>
    <w:rsid w:val="00B80220"/>
    <w:rsid w:val="00B805F6"/>
    <w:rsid w:val="00B80994"/>
    <w:rsid w:val="00B80C01"/>
    <w:rsid w:val="00B80C21"/>
    <w:rsid w:val="00B80CA0"/>
    <w:rsid w:val="00B81EDA"/>
    <w:rsid w:val="00B82043"/>
    <w:rsid w:val="00B820C5"/>
    <w:rsid w:val="00B827A9"/>
    <w:rsid w:val="00B82B2F"/>
    <w:rsid w:val="00B82B5D"/>
    <w:rsid w:val="00B83793"/>
    <w:rsid w:val="00B8385F"/>
    <w:rsid w:val="00B8397F"/>
    <w:rsid w:val="00B83F0B"/>
    <w:rsid w:val="00B8428C"/>
    <w:rsid w:val="00B84417"/>
    <w:rsid w:val="00B84C36"/>
    <w:rsid w:val="00B84DE4"/>
    <w:rsid w:val="00B84E59"/>
    <w:rsid w:val="00B84EB7"/>
    <w:rsid w:val="00B84FBC"/>
    <w:rsid w:val="00B852B6"/>
    <w:rsid w:val="00B85784"/>
    <w:rsid w:val="00B85B20"/>
    <w:rsid w:val="00B861AA"/>
    <w:rsid w:val="00B86ABB"/>
    <w:rsid w:val="00B873BE"/>
    <w:rsid w:val="00B8760E"/>
    <w:rsid w:val="00B87DDC"/>
    <w:rsid w:val="00B90395"/>
    <w:rsid w:val="00B904B6"/>
    <w:rsid w:val="00B906F5"/>
    <w:rsid w:val="00B90749"/>
    <w:rsid w:val="00B90796"/>
    <w:rsid w:val="00B908DB"/>
    <w:rsid w:val="00B90E41"/>
    <w:rsid w:val="00B914BE"/>
    <w:rsid w:val="00B91733"/>
    <w:rsid w:val="00B91ADE"/>
    <w:rsid w:val="00B92118"/>
    <w:rsid w:val="00B9211E"/>
    <w:rsid w:val="00B92328"/>
    <w:rsid w:val="00B92362"/>
    <w:rsid w:val="00B923E8"/>
    <w:rsid w:val="00B9292F"/>
    <w:rsid w:val="00B92D04"/>
    <w:rsid w:val="00B93213"/>
    <w:rsid w:val="00B94501"/>
    <w:rsid w:val="00B948D1"/>
    <w:rsid w:val="00B9496F"/>
    <w:rsid w:val="00B94A67"/>
    <w:rsid w:val="00B94AAA"/>
    <w:rsid w:val="00B9522D"/>
    <w:rsid w:val="00B9545D"/>
    <w:rsid w:val="00B9555D"/>
    <w:rsid w:val="00B955A1"/>
    <w:rsid w:val="00B95C75"/>
    <w:rsid w:val="00B95DDF"/>
    <w:rsid w:val="00B960FC"/>
    <w:rsid w:val="00B963C4"/>
    <w:rsid w:val="00B96ECB"/>
    <w:rsid w:val="00B970EF"/>
    <w:rsid w:val="00B97330"/>
    <w:rsid w:val="00B9738A"/>
    <w:rsid w:val="00B97B8C"/>
    <w:rsid w:val="00B97DF4"/>
    <w:rsid w:val="00B97EE2"/>
    <w:rsid w:val="00BA011D"/>
    <w:rsid w:val="00BA0534"/>
    <w:rsid w:val="00BA12F5"/>
    <w:rsid w:val="00BA13E3"/>
    <w:rsid w:val="00BA1C58"/>
    <w:rsid w:val="00BA2204"/>
    <w:rsid w:val="00BA2836"/>
    <w:rsid w:val="00BA28F5"/>
    <w:rsid w:val="00BA290A"/>
    <w:rsid w:val="00BA2B1D"/>
    <w:rsid w:val="00BA31E5"/>
    <w:rsid w:val="00BA34A7"/>
    <w:rsid w:val="00BA373B"/>
    <w:rsid w:val="00BA3F5B"/>
    <w:rsid w:val="00BA3F63"/>
    <w:rsid w:val="00BA3FFD"/>
    <w:rsid w:val="00BA4100"/>
    <w:rsid w:val="00BA45CB"/>
    <w:rsid w:val="00BA4938"/>
    <w:rsid w:val="00BA4B4D"/>
    <w:rsid w:val="00BA4DA0"/>
    <w:rsid w:val="00BA5139"/>
    <w:rsid w:val="00BA5539"/>
    <w:rsid w:val="00BA5ADB"/>
    <w:rsid w:val="00BA5C4B"/>
    <w:rsid w:val="00BA6002"/>
    <w:rsid w:val="00BA656E"/>
    <w:rsid w:val="00BA66E1"/>
    <w:rsid w:val="00BA68D2"/>
    <w:rsid w:val="00BA6930"/>
    <w:rsid w:val="00BA6C7C"/>
    <w:rsid w:val="00BA6E2A"/>
    <w:rsid w:val="00BA73B6"/>
    <w:rsid w:val="00BA74BD"/>
    <w:rsid w:val="00BA7B85"/>
    <w:rsid w:val="00BA7BA2"/>
    <w:rsid w:val="00BA7C83"/>
    <w:rsid w:val="00BA7DD7"/>
    <w:rsid w:val="00BA7E79"/>
    <w:rsid w:val="00BA7ED2"/>
    <w:rsid w:val="00BA7F65"/>
    <w:rsid w:val="00BB0353"/>
    <w:rsid w:val="00BB093D"/>
    <w:rsid w:val="00BB0E4B"/>
    <w:rsid w:val="00BB0F08"/>
    <w:rsid w:val="00BB1006"/>
    <w:rsid w:val="00BB1514"/>
    <w:rsid w:val="00BB18EE"/>
    <w:rsid w:val="00BB193F"/>
    <w:rsid w:val="00BB197A"/>
    <w:rsid w:val="00BB1AB8"/>
    <w:rsid w:val="00BB2145"/>
    <w:rsid w:val="00BB2165"/>
    <w:rsid w:val="00BB22D9"/>
    <w:rsid w:val="00BB24B7"/>
    <w:rsid w:val="00BB2E35"/>
    <w:rsid w:val="00BB2F13"/>
    <w:rsid w:val="00BB2F24"/>
    <w:rsid w:val="00BB34C6"/>
    <w:rsid w:val="00BB3525"/>
    <w:rsid w:val="00BB35CB"/>
    <w:rsid w:val="00BB38DF"/>
    <w:rsid w:val="00BB3D0A"/>
    <w:rsid w:val="00BB40AF"/>
    <w:rsid w:val="00BB4154"/>
    <w:rsid w:val="00BB416B"/>
    <w:rsid w:val="00BB41F8"/>
    <w:rsid w:val="00BB4270"/>
    <w:rsid w:val="00BB4ED5"/>
    <w:rsid w:val="00BB4F4C"/>
    <w:rsid w:val="00BB4FCD"/>
    <w:rsid w:val="00BB52CD"/>
    <w:rsid w:val="00BB5630"/>
    <w:rsid w:val="00BB56AF"/>
    <w:rsid w:val="00BB56DE"/>
    <w:rsid w:val="00BB58A6"/>
    <w:rsid w:val="00BB5BBF"/>
    <w:rsid w:val="00BB5D1D"/>
    <w:rsid w:val="00BB5D41"/>
    <w:rsid w:val="00BB5D55"/>
    <w:rsid w:val="00BB5E42"/>
    <w:rsid w:val="00BB5F4F"/>
    <w:rsid w:val="00BB6092"/>
    <w:rsid w:val="00BB6376"/>
    <w:rsid w:val="00BB682C"/>
    <w:rsid w:val="00BB6DF1"/>
    <w:rsid w:val="00BB6F71"/>
    <w:rsid w:val="00BB7748"/>
    <w:rsid w:val="00BB7B00"/>
    <w:rsid w:val="00BB7C12"/>
    <w:rsid w:val="00BB7DE4"/>
    <w:rsid w:val="00BC0252"/>
    <w:rsid w:val="00BC0506"/>
    <w:rsid w:val="00BC0F76"/>
    <w:rsid w:val="00BC10AA"/>
    <w:rsid w:val="00BC1257"/>
    <w:rsid w:val="00BC158A"/>
    <w:rsid w:val="00BC16C1"/>
    <w:rsid w:val="00BC19EB"/>
    <w:rsid w:val="00BC1FAF"/>
    <w:rsid w:val="00BC21E0"/>
    <w:rsid w:val="00BC261B"/>
    <w:rsid w:val="00BC2958"/>
    <w:rsid w:val="00BC2A19"/>
    <w:rsid w:val="00BC2B06"/>
    <w:rsid w:val="00BC2BED"/>
    <w:rsid w:val="00BC2C48"/>
    <w:rsid w:val="00BC2D9B"/>
    <w:rsid w:val="00BC2DEA"/>
    <w:rsid w:val="00BC2ED7"/>
    <w:rsid w:val="00BC3143"/>
    <w:rsid w:val="00BC3215"/>
    <w:rsid w:val="00BC39A2"/>
    <w:rsid w:val="00BC3CFC"/>
    <w:rsid w:val="00BC3D11"/>
    <w:rsid w:val="00BC4BA5"/>
    <w:rsid w:val="00BC4C47"/>
    <w:rsid w:val="00BC4C68"/>
    <w:rsid w:val="00BC4CE3"/>
    <w:rsid w:val="00BC4FF2"/>
    <w:rsid w:val="00BC5EFC"/>
    <w:rsid w:val="00BC5F82"/>
    <w:rsid w:val="00BC60F5"/>
    <w:rsid w:val="00BC6132"/>
    <w:rsid w:val="00BC62E6"/>
    <w:rsid w:val="00BC63EB"/>
    <w:rsid w:val="00BC6414"/>
    <w:rsid w:val="00BC654D"/>
    <w:rsid w:val="00BC669D"/>
    <w:rsid w:val="00BC6964"/>
    <w:rsid w:val="00BC7047"/>
    <w:rsid w:val="00BC71A2"/>
    <w:rsid w:val="00BC7887"/>
    <w:rsid w:val="00BC7D26"/>
    <w:rsid w:val="00BC7F8C"/>
    <w:rsid w:val="00BD0066"/>
    <w:rsid w:val="00BD01C9"/>
    <w:rsid w:val="00BD021E"/>
    <w:rsid w:val="00BD06F6"/>
    <w:rsid w:val="00BD0824"/>
    <w:rsid w:val="00BD0866"/>
    <w:rsid w:val="00BD0876"/>
    <w:rsid w:val="00BD0A6A"/>
    <w:rsid w:val="00BD0EAD"/>
    <w:rsid w:val="00BD13EA"/>
    <w:rsid w:val="00BD15ED"/>
    <w:rsid w:val="00BD20A4"/>
    <w:rsid w:val="00BD23B1"/>
    <w:rsid w:val="00BD28CC"/>
    <w:rsid w:val="00BD2DBB"/>
    <w:rsid w:val="00BD350A"/>
    <w:rsid w:val="00BD354A"/>
    <w:rsid w:val="00BD383F"/>
    <w:rsid w:val="00BD3F61"/>
    <w:rsid w:val="00BD43DD"/>
    <w:rsid w:val="00BD4417"/>
    <w:rsid w:val="00BD4666"/>
    <w:rsid w:val="00BD4E8F"/>
    <w:rsid w:val="00BD50CF"/>
    <w:rsid w:val="00BD52DA"/>
    <w:rsid w:val="00BD536B"/>
    <w:rsid w:val="00BD54D4"/>
    <w:rsid w:val="00BD5518"/>
    <w:rsid w:val="00BD552F"/>
    <w:rsid w:val="00BD58F8"/>
    <w:rsid w:val="00BD5BBF"/>
    <w:rsid w:val="00BD60FB"/>
    <w:rsid w:val="00BD6121"/>
    <w:rsid w:val="00BD63EA"/>
    <w:rsid w:val="00BD640B"/>
    <w:rsid w:val="00BD6750"/>
    <w:rsid w:val="00BD69C9"/>
    <w:rsid w:val="00BD6FD3"/>
    <w:rsid w:val="00BD7113"/>
    <w:rsid w:val="00BD72D8"/>
    <w:rsid w:val="00BD7675"/>
    <w:rsid w:val="00BD77E2"/>
    <w:rsid w:val="00BD7C1A"/>
    <w:rsid w:val="00BD7D84"/>
    <w:rsid w:val="00BD7EC1"/>
    <w:rsid w:val="00BE0499"/>
    <w:rsid w:val="00BE07AE"/>
    <w:rsid w:val="00BE128F"/>
    <w:rsid w:val="00BE137D"/>
    <w:rsid w:val="00BE1987"/>
    <w:rsid w:val="00BE1BEF"/>
    <w:rsid w:val="00BE1C0E"/>
    <w:rsid w:val="00BE1C83"/>
    <w:rsid w:val="00BE1EEC"/>
    <w:rsid w:val="00BE1EFE"/>
    <w:rsid w:val="00BE1FDA"/>
    <w:rsid w:val="00BE24B8"/>
    <w:rsid w:val="00BE250D"/>
    <w:rsid w:val="00BE28D1"/>
    <w:rsid w:val="00BE293A"/>
    <w:rsid w:val="00BE2B22"/>
    <w:rsid w:val="00BE2C51"/>
    <w:rsid w:val="00BE2D70"/>
    <w:rsid w:val="00BE31E2"/>
    <w:rsid w:val="00BE3808"/>
    <w:rsid w:val="00BE3967"/>
    <w:rsid w:val="00BE3D73"/>
    <w:rsid w:val="00BE477B"/>
    <w:rsid w:val="00BE5086"/>
    <w:rsid w:val="00BE513C"/>
    <w:rsid w:val="00BE5162"/>
    <w:rsid w:val="00BE5278"/>
    <w:rsid w:val="00BE5555"/>
    <w:rsid w:val="00BE5C2C"/>
    <w:rsid w:val="00BE609F"/>
    <w:rsid w:val="00BE6174"/>
    <w:rsid w:val="00BE64B1"/>
    <w:rsid w:val="00BE66A8"/>
    <w:rsid w:val="00BE6B64"/>
    <w:rsid w:val="00BE756A"/>
    <w:rsid w:val="00BE7AA2"/>
    <w:rsid w:val="00BE7D37"/>
    <w:rsid w:val="00BF0418"/>
    <w:rsid w:val="00BF0BFE"/>
    <w:rsid w:val="00BF0DF4"/>
    <w:rsid w:val="00BF0E24"/>
    <w:rsid w:val="00BF121A"/>
    <w:rsid w:val="00BF14DB"/>
    <w:rsid w:val="00BF1752"/>
    <w:rsid w:val="00BF19F4"/>
    <w:rsid w:val="00BF1C0E"/>
    <w:rsid w:val="00BF2143"/>
    <w:rsid w:val="00BF2392"/>
    <w:rsid w:val="00BF2B3F"/>
    <w:rsid w:val="00BF30B5"/>
    <w:rsid w:val="00BF3176"/>
    <w:rsid w:val="00BF3285"/>
    <w:rsid w:val="00BF32F9"/>
    <w:rsid w:val="00BF3357"/>
    <w:rsid w:val="00BF33A1"/>
    <w:rsid w:val="00BF3656"/>
    <w:rsid w:val="00BF3CF0"/>
    <w:rsid w:val="00BF41A7"/>
    <w:rsid w:val="00BF43E0"/>
    <w:rsid w:val="00BF4920"/>
    <w:rsid w:val="00BF4A93"/>
    <w:rsid w:val="00BF50CF"/>
    <w:rsid w:val="00BF55EB"/>
    <w:rsid w:val="00BF5A77"/>
    <w:rsid w:val="00BF60B7"/>
    <w:rsid w:val="00BF6439"/>
    <w:rsid w:val="00BF679D"/>
    <w:rsid w:val="00BF69DD"/>
    <w:rsid w:val="00BF6A80"/>
    <w:rsid w:val="00BF6BE9"/>
    <w:rsid w:val="00BF6E24"/>
    <w:rsid w:val="00BF7271"/>
    <w:rsid w:val="00BF734F"/>
    <w:rsid w:val="00BF767A"/>
    <w:rsid w:val="00BF76F4"/>
    <w:rsid w:val="00BF7830"/>
    <w:rsid w:val="00BF7933"/>
    <w:rsid w:val="00BF7A50"/>
    <w:rsid w:val="00BF7F40"/>
    <w:rsid w:val="00BF7FA2"/>
    <w:rsid w:val="00C00239"/>
    <w:rsid w:val="00C00317"/>
    <w:rsid w:val="00C003BF"/>
    <w:rsid w:val="00C00899"/>
    <w:rsid w:val="00C0097A"/>
    <w:rsid w:val="00C00ACE"/>
    <w:rsid w:val="00C00C85"/>
    <w:rsid w:val="00C00D03"/>
    <w:rsid w:val="00C00E8B"/>
    <w:rsid w:val="00C00E95"/>
    <w:rsid w:val="00C00F19"/>
    <w:rsid w:val="00C0136B"/>
    <w:rsid w:val="00C014B8"/>
    <w:rsid w:val="00C01F65"/>
    <w:rsid w:val="00C01F80"/>
    <w:rsid w:val="00C01F8F"/>
    <w:rsid w:val="00C02390"/>
    <w:rsid w:val="00C02FA4"/>
    <w:rsid w:val="00C03119"/>
    <w:rsid w:val="00C03166"/>
    <w:rsid w:val="00C03546"/>
    <w:rsid w:val="00C03F24"/>
    <w:rsid w:val="00C03F81"/>
    <w:rsid w:val="00C04103"/>
    <w:rsid w:val="00C04624"/>
    <w:rsid w:val="00C046EC"/>
    <w:rsid w:val="00C04970"/>
    <w:rsid w:val="00C04C9E"/>
    <w:rsid w:val="00C04E5D"/>
    <w:rsid w:val="00C05439"/>
    <w:rsid w:val="00C0618F"/>
    <w:rsid w:val="00C061EE"/>
    <w:rsid w:val="00C062E9"/>
    <w:rsid w:val="00C06403"/>
    <w:rsid w:val="00C064FA"/>
    <w:rsid w:val="00C0661F"/>
    <w:rsid w:val="00C068A1"/>
    <w:rsid w:val="00C06ADA"/>
    <w:rsid w:val="00C06C94"/>
    <w:rsid w:val="00C06CBA"/>
    <w:rsid w:val="00C06D80"/>
    <w:rsid w:val="00C070F6"/>
    <w:rsid w:val="00C0790E"/>
    <w:rsid w:val="00C07CAD"/>
    <w:rsid w:val="00C07FAD"/>
    <w:rsid w:val="00C10393"/>
    <w:rsid w:val="00C1040A"/>
    <w:rsid w:val="00C10509"/>
    <w:rsid w:val="00C10845"/>
    <w:rsid w:val="00C11120"/>
    <w:rsid w:val="00C11389"/>
    <w:rsid w:val="00C11B78"/>
    <w:rsid w:val="00C11D03"/>
    <w:rsid w:val="00C11FA2"/>
    <w:rsid w:val="00C127DE"/>
    <w:rsid w:val="00C12ACA"/>
    <w:rsid w:val="00C12D32"/>
    <w:rsid w:val="00C12E21"/>
    <w:rsid w:val="00C1321F"/>
    <w:rsid w:val="00C133B0"/>
    <w:rsid w:val="00C134D4"/>
    <w:rsid w:val="00C13721"/>
    <w:rsid w:val="00C137E2"/>
    <w:rsid w:val="00C142DB"/>
    <w:rsid w:val="00C14634"/>
    <w:rsid w:val="00C1475C"/>
    <w:rsid w:val="00C14C7A"/>
    <w:rsid w:val="00C14D72"/>
    <w:rsid w:val="00C14FAF"/>
    <w:rsid w:val="00C1551D"/>
    <w:rsid w:val="00C158B1"/>
    <w:rsid w:val="00C159FF"/>
    <w:rsid w:val="00C16534"/>
    <w:rsid w:val="00C16576"/>
    <w:rsid w:val="00C165AC"/>
    <w:rsid w:val="00C172B0"/>
    <w:rsid w:val="00C17A48"/>
    <w:rsid w:val="00C17C85"/>
    <w:rsid w:val="00C17D2F"/>
    <w:rsid w:val="00C201AB"/>
    <w:rsid w:val="00C201B5"/>
    <w:rsid w:val="00C219C6"/>
    <w:rsid w:val="00C21A1F"/>
    <w:rsid w:val="00C21B75"/>
    <w:rsid w:val="00C21EBF"/>
    <w:rsid w:val="00C21EFD"/>
    <w:rsid w:val="00C22416"/>
    <w:rsid w:val="00C224D6"/>
    <w:rsid w:val="00C2307E"/>
    <w:rsid w:val="00C236DB"/>
    <w:rsid w:val="00C23836"/>
    <w:rsid w:val="00C23D0B"/>
    <w:rsid w:val="00C23DFA"/>
    <w:rsid w:val="00C23E1E"/>
    <w:rsid w:val="00C24289"/>
    <w:rsid w:val="00C242DD"/>
    <w:rsid w:val="00C24779"/>
    <w:rsid w:val="00C2491A"/>
    <w:rsid w:val="00C24F19"/>
    <w:rsid w:val="00C2563C"/>
    <w:rsid w:val="00C25674"/>
    <w:rsid w:val="00C257E9"/>
    <w:rsid w:val="00C268DF"/>
    <w:rsid w:val="00C26AB8"/>
    <w:rsid w:val="00C26B52"/>
    <w:rsid w:val="00C26BFC"/>
    <w:rsid w:val="00C27020"/>
    <w:rsid w:val="00C271D0"/>
    <w:rsid w:val="00C2771E"/>
    <w:rsid w:val="00C2797F"/>
    <w:rsid w:val="00C27CBB"/>
    <w:rsid w:val="00C27FA8"/>
    <w:rsid w:val="00C3000A"/>
    <w:rsid w:val="00C3015E"/>
    <w:rsid w:val="00C302E9"/>
    <w:rsid w:val="00C306AF"/>
    <w:rsid w:val="00C30BA8"/>
    <w:rsid w:val="00C30EB5"/>
    <w:rsid w:val="00C30EEE"/>
    <w:rsid w:val="00C30EFB"/>
    <w:rsid w:val="00C30F3E"/>
    <w:rsid w:val="00C30FF5"/>
    <w:rsid w:val="00C310B8"/>
    <w:rsid w:val="00C31332"/>
    <w:rsid w:val="00C31379"/>
    <w:rsid w:val="00C31D91"/>
    <w:rsid w:val="00C32769"/>
    <w:rsid w:val="00C32C11"/>
    <w:rsid w:val="00C32C28"/>
    <w:rsid w:val="00C32C65"/>
    <w:rsid w:val="00C33596"/>
    <w:rsid w:val="00C33A50"/>
    <w:rsid w:val="00C33F43"/>
    <w:rsid w:val="00C33F51"/>
    <w:rsid w:val="00C3410C"/>
    <w:rsid w:val="00C343A4"/>
    <w:rsid w:val="00C34668"/>
    <w:rsid w:val="00C34A06"/>
    <w:rsid w:val="00C3546F"/>
    <w:rsid w:val="00C354B7"/>
    <w:rsid w:val="00C3558D"/>
    <w:rsid w:val="00C35A4C"/>
    <w:rsid w:val="00C35F5A"/>
    <w:rsid w:val="00C36095"/>
    <w:rsid w:val="00C36189"/>
    <w:rsid w:val="00C362EA"/>
    <w:rsid w:val="00C3670E"/>
    <w:rsid w:val="00C3677F"/>
    <w:rsid w:val="00C367A7"/>
    <w:rsid w:val="00C3681A"/>
    <w:rsid w:val="00C36856"/>
    <w:rsid w:val="00C36E12"/>
    <w:rsid w:val="00C36F3C"/>
    <w:rsid w:val="00C37137"/>
    <w:rsid w:val="00C37CA5"/>
    <w:rsid w:val="00C37E86"/>
    <w:rsid w:val="00C40289"/>
    <w:rsid w:val="00C406DC"/>
    <w:rsid w:val="00C40A1C"/>
    <w:rsid w:val="00C40A89"/>
    <w:rsid w:val="00C40B3F"/>
    <w:rsid w:val="00C40CFB"/>
    <w:rsid w:val="00C40ED4"/>
    <w:rsid w:val="00C41039"/>
    <w:rsid w:val="00C415C8"/>
    <w:rsid w:val="00C41648"/>
    <w:rsid w:val="00C41D53"/>
    <w:rsid w:val="00C43051"/>
    <w:rsid w:val="00C43749"/>
    <w:rsid w:val="00C44002"/>
    <w:rsid w:val="00C4409E"/>
    <w:rsid w:val="00C440DD"/>
    <w:rsid w:val="00C44578"/>
    <w:rsid w:val="00C446C8"/>
    <w:rsid w:val="00C447E5"/>
    <w:rsid w:val="00C45768"/>
    <w:rsid w:val="00C457BC"/>
    <w:rsid w:val="00C45A00"/>
    <w:rsid w:val="00C45AE7"/>
    <w:rsid w:val="00C4610E"/>
    <w:rsid w:val="00C4615C"/>
    <w:rsid w:val="00C464F5"/>
    <w:rsid w:val="00C4699E"/>
    <w:rsid w:val="00C46C06"/>
    <w:rsid w:val="00C46CAC"/>
    <w:rsid w:val="00C47312"/>
    <w:rsid w:val="00C47AE7"/>
    <w:rsid w:val="00C50138"/>
    <w:rsid w:val="00C5023E"/>
    <w:rsid w:val="00C50726"/>
    <w:rsid w:val="00C50798"/>
    <w:rsid w:val="00C50944"/>
    <w:rsid w:val="00C50BCA"/>
    <w:rsid w:val="00C511D5"/>
    <w:rsid w:val="00C516BB"/>
    <w:rsid w:val="00C51B2B"/>
    <w:rsid w:val="00C52346"/>
    <w:rsid w:val="00C527AA"/>
    <w:rsid w:val="00C52952"/>
    <w:rsid w:val="00C52CFF"/>
    <w:rsid w:val="00C52FD1"/>
    <w:rsid w:val="00C530D5"/>
    <w:rsid w:val="00C531F9"/>
    <w:rsid w:val="00C53428"/>
    <w:rsid w:val="00C53497"/>
    <w:rsid w:val="00C539C1"/>
    <w:rsid w:val="00C53B9E"/>
    <w:rsid w:val="00C53CCF"/>
    <w:rsid w:val="00C53D67"/>
    <w:rsid w:val="00C543F4"/>
    <w:rsid w:val="00C5455C"/>
    <w:rsid w:val="00C54957"/>
    <w:rsid w:val="00C54EEA"/>
    <w:rsid w:val="00C55602"/>
    <w:rsid w:val="00C557AE"/>
    <w:rsid w:val="00C55BF6"/>
    <w:rsid w:val="00C56127"/>
    <w:rsid w:val="00C56241"/>
    <w:rsid w:val="00C563D0"/>
    <w:rsid w:val="00C566F3"/>
    <w:rsid w:val="00C56A8D"/>
    <w:rsid w:val="00C56CD8"/>
    <w:rsid w:val="00C56F5B"/>
    <w:rsid w:val="00C56F85"/>
    <w:rsid w:val="00C570B7"/>
    <w:rsid w:val="00C57488"/>
    <w:rsid w:val="00C574D0"/>
    <w:rsid w:val="00C576B4"/>
    <w:rsid w:val="00C5788D"/>
    <w:rsid w:val="00C578CB"/>
    <w:rsid w:val="00C57A8B"/>
    <w:rsid w:val="00C57B77"/>
    <w:rsid w:val="00C57BD9"/>
    <w:rsid w:val="00C601C2"/>
    <w:rsid w:val="00C604D8"/>
    <w:rsid w:val="00C605F0"/>
    <w:rsid w:val="00C6092F"/>
    <w:rsid w:val="00C6132B"/>
    <w:rsid w:val="00C615A4"/>
    <w:rsid w:val="00C61786"/>
    <w:rsid w:val="00C61BB8"/>
    <w:rsid w:val="00C61CC4"/>
    <w:rsid w:val="00C61DC6"/>
    <w:rsid w:val="00C62156"/>
    <w:rsid w:val="00C62424"/>
    <w:rsid w:val="00C62485"/>
    <w:rsid w:val="00C624A3"/>
    <w:rsid w:val="00C62568"/>
    <w:rsid w:val="00C628F8"/>
    <w:rsid w:val="00C6291C"/>
    <w:rsid w:val="00C62EA6"/>
    <w:rsid w:val="00C633CB"/>
    <w:rsid w:val="00C633FF"/>
    <w:rsid w:val="00C6351C"/>
    <w:rsid w:val="00C6368D"/>
    <w:rsid w:val="00C63A77"/>
    <w:rsid w:val="00C63AEA"/>
    <w:rsid w:val="00C63C64"/>
    <w:rsid w:val="00C64127"/>
    <w:rsid w:val="00C642D6"/>
    <w:rsid w:val="00C645F0"/>
    <w:rsid w:val="00C6482A"/>
    <w:rsid w:val="00C64AAA"/>
    <w:rsid w:val="00C64C78"/>
    <w:rsid w:val="00C6513D"/>
    <w:rsid w:val="00C656DF"/>
    <w:rsid w:val="00C65C2D"/>
    <w:rsid w:val="00C66563"/>
    <w:rsid w:val="00C66687"/>
    <w:rsid w:val="00C667C1"/>
    <w:rsid w:val="00C66B2C"/>
    <w:rsid w:val="00C66E91"/>
    <w:rsid w:val="00C67034"/>
    <w:rsid w:val="00C673EE"/>
    <w:rsid w:val="00C674FF"/>
    <w:rsid w:val="00C67567"/>
    <w:rsid w:val="00C701FB"/>
    <w:rsid w:val="00C7073B"/>
    <w:rsid w:val="00C70B88"/>
    <w:rsid w:val="00C70DFD"/>
    <w:rsid w:val="00C71091"/>
    <w:rsid w:val="00C71346"/>
    <w:rsid w:val="00C71982"/>
    <w:rsid w:val="00C71BC7"/>
    <w:rsid w:val="00C723BB"/>
    <w:rsid w:val="00C730C5"/>
    <w:rsid w:val="00C73100"/>
    <w:rsid w:val="00C731C5"/>
    <w:rsid w:val="00C732D5"/>
    <w:rsid w:val="00C73438"/>
    <w:rsid w:val="00C7345A"/>
    <w:rsid w:val="00C73812"/>
    <w:rsid w:val="00C73AB2"/>
    <w:rsid w:val="00C73AE0"/>
    <w:rsid w:val="00C74044"/>
    <w:rsid w:val="00C740C4"/>
    <w:rsid w:val="00C74607"/>
    <w:rsid w:val="00C746B5"/>
    <w:rsid w:val="00C74923"/>
    <w:rsid w:val="00C74EC4"/>
    <w:rsid w:val="00C756EF"/>
    <w:rsid w:val="00C758B9"/>
    <w:rsid w:val="00C758C5"/>
    <w:rsid w:val="00C75938"/>
    <w:rsid w:val="00C7599F"/>
    <w:rsid w:val="00C76600"/>
    <w:rsid w:val="00C7685B"/>
    <w:rsid w:val="00C76A57"/>
    <w:rsid w:val="00C76C96"/>
    <w:rsid w:val="00C77089"/>
    <w:rsid w:val="00C7722C"/>
    <w:rsid w:val="00C777BC"/>
    <w:rsid w:val="00C77D5A"/>
    <w:rsid w:val="00C80165"/>
    <w:rsid w:val="00C80198"/>
    <w:rsid w:val="00C80573"/>
    <w:rsid w:val="00C80697"/>
    <w:rsid w:val="00C80934"/>
    <w:rsid w:val="00C80A35"/>
    <w:rsid w:val="00C80B6B"/>
    <w:rsid w:val="00C80C1C"/>
    <w:rsid w:val="00C80F6B"/>
    <w:rsid w:val="00C81086"/>
    <w:rsid w:val="00C81092"/>
    <w:rsid w:val="00C81175"/>
    <w:rsid w:val="00C8136D"/>
    <w:rsid w:val="00C8158E"/>
    <w:rsid w:val="00C8168D"/>
    <w:rsid w:val="00C827C1"/>
    <w:rsid w:val="00C828D4"/>
    <w:rsid w:val="00C83032"/>
    <w:rsid w:val="00C83472"/>
    <w:rsid w:val="00C83507"/>
    <w:rsid w:val="00C83551"/>
    <w:rsid w:val="00C835D1"/>
    <w:rsid w:val="00C83737"/>
    <w:rsid w:val="00C83B9E"/>
    <w:rsid w:val="00C83BEE"/>
    <w:rsid w:val="00C83D8A"/>
    <w:rsid w:val="00C83FC0"/>
    <w:rsid w:val="00C84528"/>
    <w:rsid w:val="00C84691"/>
    <w:rsid w:val="00C847A8"/>
    <w:rsid w:val="00C84D5F"/>
    <w:rsid w:val="00C84D86"/>
    <w:rsid w:val="00C84DA2"/>
    <w:rsid w:val="00C84DB9"/>
    <w:rsid w:val="00C8510F"/>
    <w:rsid w:val="00C85159"/>
    <w:rsid w:val="00C852F5"/>
    <w:rsid w:val="00C854C2"/>
    <w:rsid w:val="00C855E1"/>
    <w:rsid w:val="00C8575B"/>
    <w:rsid w:val="00C85B5E"/>
    <w:rsid w:val="00C85CBD"/>
    <w:rsid w:val="00C85CF2"/>
    <w:rsid w:val="00C85E75"/>
    <w:rsid w:val="00C86653"/>
    <w:rsid w:val="00C86951"/>
    <w:rsid w:val="00C86B91"/>
    <w:rsid w:val="00C86C50"/>
    <w:rsid w:val="00C873B6"/>
    <w:rsid w:val="00C8751E"/>
    <w:rsid w:val="00C8762C"/>
    <w:rsid w:val="00C8767A"/>
    <w:rsid w:val="00C877EB"/>
    <w:rsid w:val="00C87F78"/>
    <w:rsid w:val="00C90649"/>
    <w:rsid w:val="00C90A2A"/>
    <w:rsid w:val="00C91239"/>
    <w:rsid w:val="00C91921"/>
    <w:rsid w:val="00C91BA2"/>
    <w:rsid w:val="00C91DE6"/>
    <w:rsid w:val="00C920AF"/>
    <w:rsid w:val="00C92566"/>
    <w:rsid w:val="00C93320"/>
    <w:rsid w:val="00C9339F"/>
    <w:rsid w:val="00C936DE"/>
    <w:rsid w:val="00C93CD9"/>
    <w:rsid w:val="00C93DC4"/>
    <w:rsid w:val="00C93E54"/>
    <w:rsid w:val="00C93F8E"/>
    <w:rsid w:val="00C9403E"/>
    <w:rsid w:val="00C944D0"/>
    <w:rsid w:val="00C94555"/>
    <w:rsid w:val="00C94783"/>
    <w:rsid w:val="00C9512D"/>
    <w:rsid w:val="00C95984"/>
    <w:rsid w:val="00C95C1F"/>
    <w:rsid w:val="00C96499"/>
    <w:rsid w:val="00C9649F"/>
    <w:rsid w:val="00C972BA"/>
    <w:rsid w:val="00C972E5"/>
    <w:rsid w:val="00C978C3"/>
    <w:rsid w:val="00C97A4C"/>
    <w:rsid w:val="00C97A52"/>
    <w:rsid w:val="00C97C61"/>
    <w:rsid w:val="00C97F2F"/>
    <w:rsid w:val="00CA00F9"/>
    <w:rsid w:val="00CA0447"/>
    <w:rsid w:val="00CA0E3B"/>
    <w:rsid w:val="00CA102E"/>
    <w:rsid w:val="00CA10A0"/>
    <w:rsid w:val="00CA127A"/>
    <w:rsid w:val="00CA12AB"/>
    <w:rsid w:val="00CA161E"/>
    <w:rsid w:val="00CA184E"/>
    <w:rsid w:val="00CA270B"/>
    <w:rsid w:val="00CA2797"/>
    <w:rsid w:val="00CA2961"/>
    <w:rsid w:val="00CA2CCE"/>
    <w:rsid w:val="00CA2FA8"/>
    <w:rsid w:val="00CA3828"/>
    <w:rsid w:val="00CA3AE3"/>
    <w:rsid w:val="00CA40CC"/>
    <w:rsid w:val="00CA44BB"/>
    <w:rsid w:val="00CA4620"/>
    <w:rsid w:val="00CA474D"/>
    <w:rsid w:val="00CA4B68"/>
    <w:rsid w:val="00CA5359"/>
    <w:rsid w:val="00CA54BD"/>
    <w:rsid w:val="00CA554D"/>
    <w:rsid w:val="00CA6301"/>
    <w:rsid w:val="00CA655F"/>
    <w:rsid w:val="00CA65D7"/>
    <w:rsid w:val="00CA69AB"/>
    <w:rsid w:val="00CA6AE2"/>
    <w:rsid w:val="00CA6F4C"/>
    <w:rsid w:val="00CA7080"/>
    <w:rsid w:val="00CA70D4"/>
    <w:rsid w:val="00CA7867"/>
    <w:rsid w:val="00CA7BDC"/>
    <w:rsid w:val="00CA7E26"/>
    <w:rsid w:val="00CB0059"/>
    <w:rsid w:val="00CB0279"/>
    <w:rsid w:val="00CB0792"/>
    <w:rsid w:val="00CB1081"/>
    <w:rsid w:val="00CB126E"/>
    <w:rsid w:val="00CB14ED"/>
    <w:rsid w:val="00CB1841"/>
    <w:rsid w:val="00CB2966"/>
    <w:rsid w:val="00CB2C1E"/>
    <w:rsid w:val="00CB2D79"/>
    <w:rsid w:val="00CB3143"/>
    <w:rsid w:val="00CB3249"/>
    <w:rsid w:val="00CB3506"/>
    <w:rsid w:val="00CB3547"/>
    <w:rsid w:val="00CB3878"/>
    <w:rsid w:val="00CB38AA"/>
    <w:rsid w:val="00CB3A1E"/>
    <w:rsid w:val="00CB3AA6"/>
    <w:rsid w:val="00CB4472"/>
    <w:rsid w:val="00CB46B2"/>
    <w:rsid w:val="00CB4B9C"/>
    <w:rsid w:val="00CB4F4A"/>
    <w:rsid w:val="00CB50D7"/>
    <w:rsid w:val="00CB5252"/>
    <w:rsid w:val="00CB5659"/>
    <w:rsid w:val="00CB5759"/>
    <w:rsid w:val="00CB5968"/>
    <w:rsid w:val="00CB5FDE"/>
    <w:rsid w:val="00CB618C"/>
    <w:rsid w:val="00CB61AF"/>
    <w:rsid w:val="00CB63A8"/>
    <w:rsid w:val="00CB66E8"/>
    <w:rsid w:val="00CB67E4"/>
    <w:rsid w:val="00CB6A35"/>
    <w:rsid w:val="00CB7177"/>
    <w:rsid w:val="00CB7A26"/>
    <w:rsid w:val="00CC0100"/>
    <w:rsid w:val="00CC02B2"/>
    <w:rsid w:val="00CC02E7"/>
    <w:rsid w:val="00CC0519"/>
    <w:rsid w:val="00CC08BE"/>
    <w:rsid w:val="00CC0D54"/>
    <w:rsid w:val="00CC1071"/>
    <w:rsid w:val="00CC1998"/>
    <w:rsid w:val="00CC1A40"/>
    <w:rsid w:val="00CC1BBB"/>
    <w:rsid w:val="00CC1CFD"/>
    <w:rsid w:val="00CC1EB0"/>
    <w:rsid w:val="00CC257F"/>
    <w:rsid w:val="00CC25F5"/>
    <w:rsid w:val="00CC2629"/>
    <w:rsid w:val="00CC2BA0"/>
    <w:rsid w:val="00CC2DE4"/>
    <w:rsid w:val="00CC2E16"/>
    <w:rsid w:val="00CC382D"/>
    <w:rsid w:val="00CC3DE5"/>
    <w:rsid w:val="00CC45CC"/>
    <w:rsid w:val="00CC47FE"/>
    <w:rsid w:val="00CC4946"/>
    <w:rsid w:val="00CC4C1A"/>
    <w:rsid w:val="00CC4C47"/>
    <w:rsid w:val="00CC51A2"/>
    <w:rsid w:val="00CC585A"/>
    <w:rsid w:val="00CC604A"/>
    <w:rsid w:val="00CC66FB"/>
    <w:rsid w:val="00CC6772"/>
    <w:rsid w:val="00CC694E"/>
    <w:rsid w:val="00CC6D6A"/>
    <w:rsid w:val="00CC6E42"/>
    <w:rsid w:val="00CC6FEC"/>
    <w:rsid w:val="00CC709A"/>
    <w:rsid w:val="00CC79E2"/>
    <w:rsid w:val="00CC7CE3"/>
    <w:rsid w:val="00CC7D17"/>
    <w:rsid w:val="00CC7E20"/>
    <w:rsid w:val="00CC7F27"/>
    <w:rsid w:val="00CD01E4"/>
    <w:rsid w:val="00CD0249"/>
    <w:rsid w:val="00CD0514"/>
    <w:rsid w:val="00CD05F0"/>
    <w:rsid w:val="00CD07C1"/>
    <w:rsid w:val="00CD07F1"/>
    <w:rsid w:val="00CD0CF8"/>
    <w:rsid w:val="00CD0EBD"/>
    <w:rsid w:val="00CD1153"/>
    <w:rsid w:val="00CD14A1"/>
    <w:rsid w:val="00CD167B"/>
    <w:rsid w:val="00CD16D7"/>
    <w:rsid w:val="00CD2906"/>
    <w:rsid w:val="00CD294B"/>
    <w:rsid w:val="00CD2E96"/>
    <w:rsid w:val="00CD306F"/>
    <w:rsid w:val="00CD3BE2"/>
    <w:rsid w:val="00CD3C62"/>
    <w:rsid w:val="00CD4139"/>
    <w:rsid w:val="00CD41CF"/>
    <w:rsid w:val="00CD44D0"/>
    <w:rsid w:val="00CD492B"/>
    <w:rsid w:val="00CD516A"/>
    <w:rsid w:val="00CD51EA"/>
    <w:rsid w:val="00CD5325"/>
    <w:rsid w:val="00CD5389"/>
    <w:rsid w:val="00CD5E15"/>
    <w:rsid w:val="00CD5F34"/>
    <w:rsid w:val="00CD608A"/>
    <w:rsid w:val="00CD6349"/>
    <w:rsid w:val="00CD63FC"/>
    <w:rsid w:val="00CD659E"/>
    <w:rsid w:val="00CD6782"/>
    <w:rsid w:val="00CD6B47"/>
    <w:rsid w:val="00CD6F93"/>
    <w:rsid w:val="00CD6FFF"/>
    <w:rsid w:val="00CD706E"/>
    <w:rsid w:val="00CD7216"/>
    <w:rsid w:val="00CD72D4"/>
    <w:rsid w:val="00CD7309"/>
    <w:rsid w:val="00CD74E8"/>
    <w:rsid w:val="00CD797C"/>
    <w:rsid w:val="00CD7D8C"/>
    <w:rsid w:val="00CD7E06"/>
    <w:rsid w:val="00CD7E93"/>
    <w:rsid w:val="00CD7FE0"/>
    <w:rsid w:val="00CE0537"/>
    <w:rsid w:val="00CE0AA1"/>
    <w:rsid w:val="00CE0CB8"/>
    <w:rsid w:val="00CE12C5"/>
    <w:rsid w:val="00CE131C"/>
    <w:rsid w:val="00CE1417"/>
    <w:rsid w:val="00CE1419"/>
    <w:rsid w:val="00CE149B"/>
    <w:rsid w:val="00CE19FF"/>
    <w:rsid w:val="00CE1D5E"/>
    <w:rsid w:val="00CE1F66"/>
    <w:rsid w:val="00CE23F4"/>
    <w:rsid w:val="00CE2523"/>
    <w:rsid w:val="00CE2F36"/>
    <w:rsid w:val="00CE3358"/>
    <w:rsid w:val="00CE3653"/>
    <w:rsid w:val="00CE37BC"/>
    <w:rsid w:val="00CE4015"/>
    <w:rsid w:val="00CE40D5"/>
    <w:rsid w:val="00CE43F7"/>
    <w:rsid w:val="00CE4542"/>
    <w:rsid w:val="00CE4AF9"/>
    <w:rsid w:val="00CE4E95"/>
    <w:rsid w:val="00CE523B"/>
    <w:rsid w:val="00CE52B5"/>
    <w:rsid w:val="00CE5754"/>
    <w:rsid w:val="00CE5852"/>
    <w:rsid w:val="00CE5E05"/>
    <w:rsid w:val="00CE6B29"/>
    <w:rsid w:val="00CE7707"/>
    <w:rsid w:val="00CF0267"/>
    <w:rsid w:val="00CF0432"/>
    <w:rsid w:val="00CF0582"/>
    <w:rsid w:val="00CF05AB"/>
    <w:rsid w:val="00CF063B"/>
    <w:rsid w:val="00CF0911"/>
    <w:rsid w:val="00CF0A65"/>
    <w:rsid w:val="00CF1096"/>
    <w:rsid w:val="00CF10C0"/>
    <w:rsid w:val="00CF11BF"/>
    <w:rsid w:val="00CF1D7B"/>
    <w:rsid w:val="00CF1E70"/>
    <w:rsid w:val="00CF1E85"/>
    <w:rsid w:val="00CF1F60"/>
    <w:rsid w:val="00CF22A9"/>
    <w:rsid w:val="00CF24D7"/>
    <w:rsid w:val="00CF263E"/>
    <w:rsid w:val="00CF26D6"/>
    <w:rsid w:val="00CF2C96"/>
    <w:rsid w:val="00CF2DB2"/>
    <w:rsid w:val="00CF320B"/>
    <w:rsid w:val="00CF3291"/>
    <w:rsid w:val="00CF34B5"/>
    <w:rsid w:val="00CF3A18"/>
    <w:rsid w:val="00CF3BC6"/>
    <w:rsid w:val="00CF3BD9"/>
    <w:rsid w:val="00CF3E65"/>
    <w:rsid w:val="00CF4139"/>
    <w:rsid w:val="00CF490B"/>
    <w:rsid w:val="00CF4999"/>
    <w:rsid w:val="00CF4CB1"/>
    <w:rsid w:val="00CF4F06"/>
    <w:rsid w:val="00CF5079"/>
    <w:rsid w:val="00CF5118"/>
    <w:rsid w:val="00CF534A"/>
    <w:rsid w:val="00CF5EC7"/>
    <w:rsid w:val="00CF6541"/>
    <w:rsid w:val="00CF67C7"/>
    <w:rsid w:val="00CF7096"/>
    <w:rsid w:val="00CF709F"/>
    <w:rsid w:val="00CF7309"/>
    <w:rsid w:val="00CF74A8"/>
    <w:rsid w:val="00CF74C0"/>
    <w:rsid w:val="00CF7950"/>
    <w:rsid w:val="00CF7AB4"/>
    <w:rsid w:val="00D004F2"/>
    <w:rsid w:val="00D008EA"/>
    <w:rsid w:val="00D00B85"/>
    <w:rsid w:val="00D00BDB"/>
    <w:rsid w:val="00D00F8A"/>
    <w:rsid w:val="00D011A7"/>
    <w:rsid w:val="00D0140A"/>
    <w:rsid w:val="00D01735"/>
    <w:rsid w:val="00D01C9E"/>
    <w:rsid w:val="00D02150"/>
    <w:rsid w:val="00D0217C"/>
    <w:rsid w:val="00D0249F"/>
    <w:rsid w:val="00D02992"/>
    <w:rsid w:val="00D02BA9"/>
    <w:rsid w:val="00D02C38"/>
    <w:rsid w:val="00D03826"/>
    <w:rsid w:val="00D038F5"/>
    <w:rsid w:val="00D03975"/>
    <w:rsid w:val="00D03D6E"/>
    <w:rsid w:val="00D03FA5"/>
    <w:rsid w:val="00D04133"/>
    <w:rsid w:val="00D0474D"/>
    <w:rsid w:val="00D049CE"/>
    <w:rsid w:val="00D04B31"/>
    <w:rsid w:val="00D04DF1"/>
    <w:rsid w:val="00D04ED7"/>
    <w:rsid w:val="00D04FB2"/>
    <w:rsid w:val="00D057F8"/>
    <w:rsid w:val="00D05AD8"/>
    <w:rsid w:val="00D06205"/>
    <w:rsid w:val="00D0681F"/>
    <w:rsid w:val="00D0685B"/>
    <w:rsid w:val="00D06B5C"/>
    <w:rsid w:val="00D07592"/>
    <w:rsid w:val="00D0761B"/>
    <w:rsid w:val="00D0791F"/>
    <w:rsid w:val="00D105DF"/>
    <w:rsid w:val="00D10998"/>
    <w:rsid w:val="00D10A94"/>
    <w:rsid w:val="00D10E6C"/>
    <w:rsid w:val="00D1151B"/>
    <w:rsid w:val="00D116B6"/>
    <w:rsid w:val="00D1231D"/>
    <w:rsid w:val="00D12612"/>
    <w:rsid w:val="00D1292A"/>
    <w:rsid w:val="00D1336A"/>
    <w:rsid w:val="00D13911"/>
    <w:rsid w:val="00D13D6A"/>
    <w:rsid w:val="00D13E5A"/>
    <w:rsid w:val="00D14B64"/>
    <w:rsid w:val="00D14FB0"/>
    <w:rsid w:val="00D1539E"/>
    <w:rsid w:val="00D1546A"/>
    <w:rsid w:val="00D155E2"/>
    <w:rsid w:val="00D157EB"/>
    <w:rsid w:val="00D159F9"/>
    <w:rsid w:val="00D15A54"/>
    <w:rsid w:val="00D15B0B"/>
    <w:rsid w:val="00D15C13"/>
    <w:rsid w:val="00D15C5C"/>
    <w:rsid w:val="00D15DB3"/>
    <w:rsid w:val="00D15E03"/>
    <w:rsid w:val="00D15EE4"/>
    <w:rsid w:val="00D1604E"/>
    <w:rsid w:val="00D1668F"/>
    <w:rsid w:val="00D16C77"/>
    <w:rsid w:val="00D16F4E"/>
    <w:rsid w:val="00D171EA"/>
    <w:rsid w:val="00D173F6"/>
    <w:rsid w:val="00D1752A"/>
    <w:rsid w:val="00D17E6B"/>
    <w:rsid w:val="00D20132"/>
    <w:rsid w:val="00D20C59"/>
    <w:rsid w:val="00D20E27"/>
    <w:rsid w:val="00D20EE3"/>
    <w:rsid w:val="00D20FF3"/>
    <w:rsid w:val="00D21075"/>
    <w:rsid w:val="00D210EA"/>
    <w:rsid w:val="00D219AE"/>
    <w:rsid w:val="00D22365"/>
    <w:rsid w:val="00D22868"/>
    <w:rsid w:val="00D2286C"/>
    <w:rsid w:val="00D22B23"/>
    <w:rsid w:val="00D233BE"/>
    <w:rsid w:val="00D233E5"/>
    <w:rsid w:val="00D233F3"/>
    <w:rsid w:val="00D23466"/>
    <w:rsid w:val="00D235F0"/>
    <w:rsid w:val="00D23696"/>
    <w:rsid w:val="00D23765"/>
    <w:rsid w:val="00D23B74"/>
    <w:rsid w:val="00D23C4B"/>
    <w:rsid w:val="00D23D43"/>
    <w:rsid w:val="00D23D9E"/>
    <w:rsid w:val="00D24056"/>
    <w:rsid w:val="00D244B5"/>
    <w:rsid w:val="00D24A5E"/>
    <w:rsid w:val="00D24B80"/>
    <w:rsid w:val="00D24E9D"/>
    <w:rsid w:val="00D2552D"/>
    <w:rsid w:val="00D2579C"/>
    <w:rsid w:val="00D26051"/>
    <w:rsid w:val="00D2615B"/>
    <w:rsid w:val="00D264E4"/>
    <w:rsid w:val="00D26E6E"/>
    <w:rsid w:val="00D26FEA"/>
    <w:rsid w:val="00D27076"/>
    <w:rsid w:val="00D270A4"/>
    <w:rsid w:val="00D27298"/>
    <w:rsid w:val="00D27334"/>
    <w:rsid w:val="00D274B3"/>
    <w:rsid w:val="00D274BB"/>
    <w:rsid w:val="00D27509"/>
    <w:rsid w:val="00D2751D"/>
    <w:rsid w:val="00D278ED"/>
    <w:rsid w:val="00D27A67"/>
    <w:rsid w:val="00D27A74"/>
    <w:rsid w:val="00D27C35"/>
    <w:rsid w:val="00D305F2"/>
    <w:rsid w:val="00D30642"/>
    <w:rsid w:val="00D30A11"/>
    <w:rsid w:val="00D311D3"/>
    <w:rsid w:val="00D31666"/>
    <w:rsid w:val="00D3187F"/>
    <w:rsid w:val="00D31ACF"/>
    <w:rsid w:val="00D31FB2"/>
    <w:rsid w:val="00D32609"/>
    <w:rsid w:val="00D32A26"/>
    <w:rsid w:val="00D32A33"/>
    <w:rsid w:val="00D32ACA"/>
    <w:rsid w:val="00D330C8"/>
    <w:rsid w:val="00D339A7"/>
    <w:rsid w:val="00D33BD0"/>
    <w:rsid w:val="00D33F44"/>
    <w:rsid w:val="00D34399"/>
    <w:rsid w:val="00D344B3"/>
    <w:rsid w:val="00D34532"/>
    <w:rsid w:val="00D34E1B"/>
    <w:rsid w:val="00D35471"/>
    <w:rsid w:val="00D354D3"/>
    <w:rsid w:val="00D35BC6"/>
    <w:rsid w:val="00D35FAD"/>
    <w:rsid w:val="00D36A60"/>
    <w:rsid w:val="00D36BD5"/>
    <w:rsid w:val="00D36D70"/>
    <w:rsid w:val="00D36E2F"/>
    <w:rsid w:val="00D37155"/>
    <w:rsid w:val="00D3728F"/>
    <w:rsid w:val="00D3749F"/>
    <w:rsid w:val="00D376E3"/>
    <w:rsid w:val="00D37837"/>
    <w:rsid w:val="00D37921"/>
    <w:rsid w:val="00D40142"/>
    <w:rsid w:val="00D4038B"/>
    <w:rsid w:val="00D40C79"/>
    <w:rsid w:val="00D41218"/>
    <w:rsid w:val="00D41313"/>
    <w:rsid w:val="00D414A2"/>
    <w:rsid w:val="00D416EC"/>
    <w:rsid w:val="00D4178D"/>
    <w:rsid w:val="00D4191E"/>
    <w:rsid w:val="00D41AFF"/>
    <w:rsid w:val="00D41C77"/>
    <w:rsid w:val="00D420B8"/>
    <w:rsid w:val="00D42683"/>
    <w:rsid w:val="00D42A15"/>
    <w:rsid w:val="00D436B7"/>
    <w:rsid w:val="00D437A4"/>
    <w:rsid w:val="00D4386D"/>
    <w:rsid w:val="00D439BE"/>
    <w:rsid w:val="00D43FA3"/>
    <w:rsid w:val="00D449B7"/>
    <w:rsid w:val="00D450E7"/>
    <w:rsid w:val="00D45367"/>
    <w:rsid w:val="00D456F9"/>
    <w:rsid w:val="00D457F4"/>
    <w:rsid w:val="00D458B0"/>
    <w:rsid w:val="00D45BB3"/>
    <w:rsid w:val="00D467F7"/>
    <w:rsid w:val="00D46827"/>
    <w:rsid w:val="00D470FD"/>
    <w:rsid w:val="00D4753A"/>
    <w:rsid w:val="00D47549"/>
    <w:rsid w:val="00D47702"/>
    <w:rsid w:val="00D478D2"/>
    <w:rsid w:val="00D47994"/>
    <w:rsid w:val="00D479CA"/>
    <w:rsid w:val="00D47B9B"/>
    <w:rsid w:val="00D47E60"/>
    <w:rsid w:val="00D50C1E"/>
    <w:rsid w:val="00D51700"/>
    <w:rsid w:val="00D5194B"/>
    <w:rsid w:val="00D51A0B"/>
    <w:rsid w:val="00D51D8F"/>
    <w:rsid w:val="00D51E02"/>
    <w:rsid w:val="00D51FFE"/>
    <w:rsid w:val="00D52096"/>
    <w:rsid w:val="00D521EF"/>
    <w:rsid w:val="00D5228C"/>
    <w:rsid w:val="00D525DB"/>
    <w:rsid w:val="00D5264F"/>
    <w:rsid w:val="00D52670"/>
    <w:rsid w:val="00D52CE3"/>
    <w:rsid w:val="00D52D72"/>
    <w:rsid w:val="00D53F5F"/>
    <w:rsid w:val="00D54500"/>
    <w:rsid w:val="00D545CE"/>
    <w:rsid w:val="00D546B3"/>
    <w:rsid w:val="00D549D3"/>
    <w:rsid w:val="00D5512A"/>
    <w:rsid w:val="00D557A1"/>
    <w:rsid w:val="00D5589F"/>
    <w:rsid w:val="00D55A38"/>
    <w:rsid w:val="00D55D2A"/>
    <w:rsid w:val="00D55ED6"/>
    <w:rsid w:val="00D56014"/>
    <w:rsid w:val="00D56B12"/>
    <w:rsid w:val="00D57486"/>
    <w:rsid w:val="00D5749C"/>
    <w:rsid w:val="00D578CD"/>
    <w:rsid w:val="00D57CB3"/>
    <w:rsid w:val="00D57E9E"/>
    <w:rsid w:val="00D57FDC"/>
    <w:rsid w:val="00D6019E"/>
    <w:rsid w:val="00D60309"/>
    <w:rsid w:val="00D604E8"/>
    <w:rsid w:val="00D61085"/>
    <w:rsid w:val="00D612FF"/>
    <w:rsid w:val="00D61585"/>
    <w:rsid w:val="00D618AC"/>
    <w:rsid w:val="00D61B44"/>
    <w:rsid w:val="00D61D91"/>
    <w:rsid w:val="00D62052"/>
    <w:rsid w:val="00D62634"/>
    <w:rsid w:val="00D62728"/>
    <w:rsid w:val="00D62A44"/>
    <w:rsid w:val="00D6328C"/>
    <w:rsid w:val="00D63696"/>
    <w:rsid w:val="00D63C86"/>
    <w:rsid w:val="00D63CE1"/>
    <w:rsid w:val="00D63D73"/>
    <w:rsid w:val="00D63DAE"/>
    <w:rsid w:val="00D63F56"/>
    <w:rsid w:val="00D640DA"/>
    <w:rsid w:val="00D64B9E"/>
    <w:rsid w:val="00D64FC9"/>
    <w:rsid w:val="00D6511E"/>
    <w:rsid w:val="00D651DF"/>
    <w:rsid w:val="00D6542B"/>
    <w:rsid w:val="00D65752"/>
    <w:rsid w:val="00D65941"/>
    <w:rsid w:val="00D65A38"/>
    <w:rsid w:val="00D65B74"/>
    <w:rsid w:val="00D65D6D"/>
    <w:rsid w:val="00D66397"/>
    <w:rsid w:val="00D663F1"/>
    <w:rsid w:val="00D66427"/>
    <w:rsid w:val="00D66745"/>
    <w:rsid w:val="00D669C0"/>
    <w:rsid w:val="00D66A97"/>
    <w:rsid w:val="00D66E1E"/>
    <w:rsid w:val="00D674D1"/>
    <w:rsid w:val="00D674D7"/>
    <w:rsid w:val="00D6750C"/>
    <w:rsid w:val="00D6759F"/>
    <w:rsid w:val="00D6771E"/>
    <w:rsid w:val="00D677F2"/>
    <w:rsid w:val="00D67803"/>
    <w:rsid w:val="00D67CCD"/>
    <w:rsid w:val="00D67ECD"/>
    <w:rsid w:val="00D67F89"/>
    <w:rsid w:val="00D702ED"/>
    <w:rsid w:val="00D7063B"/>
    <w:rsid w:val="00D709D5"/>
    <w:rsid w:val="00D70EC5"/>
    <w:rsid w:val="00D71382"/>
    <w:rsid w:val="00D714BD"/>
    <w:rsid w:val="00D71D65"/>
    <w:rsid w:val="00D725AC"/>
    <w:rsid w:val="00D72954"/>
    <w:rsid w:val="00D73413"/>
    <w:rsid w:val="00D7377F"/>
    <w:rsid w:val="00D737D4"/>
    <w:rsid w:val="00D738E5"/>
    <w:rsid w:val="00D7395D"/>
    <w:rsid w:val="00D73DFC"/>
    <w:rsid w:val="00D74014"/>
    <w:rsid w:val="00D741BD"/>
    <w:rsid w:val="00D7484E"/>
    <w:rsid w:val="00D74871"/>
    <w:rsid w:val="00D74A1A"/>
    <w:rsid w:val="00D74A9F"/>
    <w:rsid w:val="00D74FFC"/>
    <w:rsid w:val="00D7501B"/>
    <w:rsid w:val="00D755DF"/>
    <w:rsid w:val="00D755EE"/>
    <w:rsid w:val="00D75722"/>
    <w:rsid w:val="00D757ED"/>
    <w:rsid w:val="00D758DC"/>
    <w:rsid w:val="00D75959"/>
    <w:rsid w:val="00D75968"/>
    <w:rsid w:val="00D75F94"/>
    <w:rsid w:val="00D76206"/>
    <w:rsid w:val="00D76443"/>
    <w:rsid w:val="00D76633"/>
    <w:rsid w:val="00D7681A"/>
    <w:rsid w:val="00D76840"/>
    <w:rsid w:val="00D76AB0"/>
    <w:rsid w:val="00D779F2"/>
    <w:rsid w:val="00D803C6"/>
    <w:rsid w:val="00D80641"/>
    <w:rsid w:val="00D806CF"/>
    <w:rsid w:val="00D810D2"/>
    <w:rsid w:val="00D8119D"/>
    <w:rsid w:val="00D81486"/>
    <w:rsid w:val="00D81833"/>
    <w:rsid w:val="00D81A39"/>
    <w:rsid w:val="00D81F9A"/>
    <w:rsid w:val="00D820E2"/>
    <w:rsid w:val="00D8210A"/>
    <w:rsid w:val="00D82241"/>
    <w:rsid w:val="00D822BE"/>
    <w:rsid w:val="00D822E6"/>
    <w:rsid w:val="00D8283A"/>
    <w:rsid w:val="00D82A79"/>
    <w:rsid w:val="00D83924"/>
    <w:rsid w:val="00D83F3B"/>
    <w:rsid w:val="00D84172"/>
    <w:rsid w:val="00D847C2"/>
    <w:rsid w:val="00D85031"/>
    <w:rsid w:val="00D85329"/>
    <w:rsid w:val="00D8548A"/>
    <w:rsid w:val="00D85876"/>
    <w:rsid w:val="00D859D7"/>
    <w:rsid w:val="00D85D91"/>
    <w:rsid w:val="00D860A9"/>
    <w:rsid w:val="00D8668D"/>
    <w:rsid w:val="00D867EB"/>
    <w:rsid w:val="00D86837"/>
    <w:rsid w:val="00D86B3E"/>
    <w:rsid w:val="00D86D9D"/>
    <w:rsid w:val="00D87606"/>
    <w:rsid w:val="00D87704"/>
    <w:rsid w:val="00D879EF"/>
    <w:rsid w:val="00D87B28"/>
    <w:rsid w:val="00D87BA2"/>
    <w:rsid w:val="00D87F2C"/>
    <w:rsid w:val="00D91383"/>
    <w:rsid w:val="00D91967"/>
    <w:rsid w:val="00D91A08"/>
    <w:rsid w:val="00D91AF1"/>
    <w:rsid w:val="00D91D93"/>
    <w:rsid w:val="00D92116"/>
    <w:rsid w:val="00D92A22"/>
    <w:rsid w:val="00D92DBC"/>
    <w:rsid w:val="00D92E7B"/>
    <w:rsid w:val="00D9327F"/>
    <w:rsid w:val="00D936A2"/>
    <w:rsid w:val="00D936CC"/>
    <w:rsid w:val="00D93B9C"/>
    <w:rsid w:val="00D93C88"/>
    <w:rsid w:val="00D93E07"/>
    <w:rsid w:val="00D93EC4"/>
    <w:rsid w:val="00D940F3"/>
    <w:rsid w:val="00D941FB"/>
    <w:rsid w:val="00D946F9"/>
    <w:rsid w:val="00D94AC7"/>
    <w:rsid w:val="00D94B74"/>
    <w:rsid w:val="00D94D23"/>
    <w:rsid w:val="00D95274"/>
    <w:rsid w:val="00D954EE"/>
    <w:rsid w:val="00D956B1"/>
    <w:rsid w:val="00D958D6"/>
    <w:rsid w:val="00D95E06"/>
    <w:rsid w:val="00D96386"/>
    <w:rsid w:val="00D96B85"/>
    <w:rsid w:val="00D96BA4"/>
    <w:rsid w:val="00D96C11"/>
    <w:rsid w:val="00D96F72"/>
    <w:rsid w:val="00D972D0"/>
    <w:rsid w:val="00D973DF"/>
    <w:rsid w:val="00D97592"/>
    <w:rsid w:val="00DA0165"/>
    <w:rsid w:val="00DA0168"/>
    <w:rsid w:val="00DA0193"/>
    <w:rsid w:val="00DA0428"/>
    <w:rsid w:val="00DA0691"/>
    <w:rsid w:val="00DA075C"/>
    <w:rsid w:val="00DA08C5"/>
    <w:rsid w:val="00DA0F27"/>
    <w:rsid w:val="00DA1125"/>
    <w:rsid w:val="00DA120E"/>
    <w:rsid w:val="00DA12A5"/>
    <w:rsid w:val="00DA1789"/>
    <w:rsid w:val="00DA2015"/>
    <w:rsid w:val="00DA2354"/>
    <w:rsid w:val="00DA2943"/>
    <w:rsid w:val="00DA3129"/>
    <w:rsid w:val="00DA3532"/>
    <w:rsid w:val="00DA373C"/>
    <w:rsid w:val="00DA380D"/>
    <w:rsid w:val="00DA3AE1"/>
    <w:rsid w:val="00DA3CBD"/>
    <w:rsid w:val="00DA3D79"/>
    <w:rsid w:val="00DA3E93"/>
    <w:rsid w:val="00DA44FD"/>
    <w:rsid w:val="00DA532F"/>
    <w:rsid w:val="00DA55A6"/>
    <w:rsid w:val="00DA564E"/>
    <w:rsid w:val="00DA6091"/>
    <w:rsid w:val="00DA6396"/>
    <w:rsid w:val="00DA6656"/>
    <w:rsid w:val="00DA6812"/>
    <w:rsid w:val="00DA695B"/>
    <w:rsid w:val="00DA6B85"/>
    <w:rsid w:val="00DA73E5"/>
    <w:rsid w:val="00DA7468"/>
    <w:rsid w:val="00DA7882"/>
    <w:rsid w:val="00DB00FC"/>
    <w:rsid w:val="00DB03E5"/>
    <w:rsid w:val="00DB06A1"/>
    <w:rsid w:val="00DB0CEC"/>
    <w:rsid w:val="00DB1204"/>
    <w:rsid w:val="00DB1480"/>
    <w:rsid w:val="00DB151A"/>
    <w:rsid w:val="00DB1755"/>
    <w:rsid w:val="00DB199E"/>
    <w:rsid w:val="00DB1BC8"/>
    <w:rsid w:val="00DB1D10"/>
    <w:rsid w:val="00DB1EAD"/>
    <w:rsid w:val="00DB20B7"/>
    <w:rsid w:val="00DB24C9"/>
    <w:rsid w:val="00DB2638"/>
    <w:rsid w:val="00DB270B"/>
    <w:rsid w:val="00DB2939"/>
    <w:rsid w:val="00DB399E"/>
    <w:rsid w:val="00DB3A04"/>
    <w:rsid w:val="00DB4166"/>
    <w:rsid w:val="00DB4593"/>
    <w:rsid w:val="00DB482D"/>
    <w:rsid w:val="00DB4E90"/>
    <w:rsid w:val="00DB5734"/>
    <w:rsid w:val="00DB6206"/>
    <w:rsid w:val="00DB6785"/>
    <w:rsid w:val="00DB67C9"/>
    <w:rsid w:val="00DB6BE7"/>
    <w:rsid w:val="00DB6E70"/>
    <w:rsid w:val="00DB6F1A"/>
    <w:rsid w:val="00DB6FD9"/>
    <w:rsid w:val="00DB70AD"/>
    <w:rsid w:val="00DB7399"/>
    <w:rsid w:val="00DB7801"/>
    <w:rsid w:val="00DB786A"/>
    <w:rsid w:val="00DB7BAB"/>
    <w:rsid w:val="00DB7DFB"/>
    <w:rsid w:val="00DC0228"/>
    <w:rsid w:val="00DC04F0"/>
    <w:rsid w:val="00DC0789"/>
    <w:rsid w:val="00DC0C95"/>
    <w:rsid w:val="00DC0F03"/>
    <w:rsid w:val="00DC1A92"/>
    <w:rsid w:val="00DC1B07"/>
    <w:rsid w:val="00DC2E7E"/>
    <w:rsid w:val="00DC3010"/>
    <w:rsid w:val="00DC336E"/>
    <w:rsid w:val="00DC37E1"/>
    <w:rsid w:val="00DC3920"/>
    <w:rsid w:val="00DC3B31"/>
    <w:rsid w:val="00DC3D81"/>
    <w:rsid w:val="00DC42DD"/>
    <w:rsid w:val="00DC4545"/>
    <w:rsid w:val="00DC4782"/>
    <w:rsid w:val="00DC4DA9"/>
    <w:rsid w:val="00DC4E9B"/>
    <w:rsid w:val="00DC4FAD"/>
    <w:rsid w:val="00DC5D54"/>
    <w:rsid w:val="00DC5E16"/>
    <w:rsid w:val="00DC5E58"/>
    <w:rsid w:val="00DC62B4"/>
    <w:rsid w:val="00DC6D6D"/>
    <w:rsid w:val="00DC7412"/>
    <w:rsid w:val="00DC748F"/>
    <w:rsid w:val="00DC75B5"/>
    <w:rsid w:val="00DC76F4"/>
    <w:rsid w:val="00DC793F"/>
    <w:rsid w:val="00DC7B95"/>
    <w:rsid w:val="00DC7F30"/>
    <w:rsid w:val="00DD0036"/>
    <w:rsid w:val="00DD012D"/>
    <w:rsid w:val="00DD0946"/>
    <w:rsid w:val="00DD0CE8"/>
    <w:rsid w:val="00DD1057"/>
    <w:rsid w:val="00DD125A"/>
    <w:rsid w:val="00DD13B0"/>
    <w:rsid w:val="00DD192E"/>
    <w:rsid w:val="00DD1A24"/>
    <w:rsid w:val="00DD2548"/>
    <w:rsid w:val="00DD2735"/>
    <w:rsid w:val="00DD291C"/>
    <w:rsid w:val="00DD2954"/>
    <w:rsid w:val="00DD2A86"/>
    <w:rsid w:val="00DD2E7E"/>
    <w:rsid w:val="00DD36A1"/>
    <w:rsid w:val="00DD3D0C"/>
    <w:rsid w:val="00DD4002"/>
    <w:rsid w:val="00DD40B9"/>
    <w:rsid w:val="00DD454B"/>
    <w:rsid w:val="00DD4A16"/>
    <w:rsid w:val="00DD5202"/>
    <w:rsid w:val="00DD52F4"/>
    <w:rsid w:val="00DD55A5"/>
    <w:rsid w:val="00DD570D"/>
    <w:rsid w:val="00DD5CC7"/>
    <w:rsid w:val="00DD5E72"/>
    <w:rsid w:val="00DD60BF"/>
    <w:rsid w:val="00DD64CE"/>
    <w:rsid w:val="00DD6564"/>
    <w:rsid w:val="00DD6580"/>
    <w:rsid w:val="00DD6956"/>
    <w:rsid w:val="00DD6B06"/>
    <w:rsid w:val="00DD70D0"/>
    <w:rsid w:val="00DD73A8"/>
    <w:rsid w:val="00DD744E"/>
    <w:rsid w:val="00DD77F8"/>
    <w:rsid w:val="00DD79AB"/>
    <w:rsid w:val="00DD7AB2"/>
    <w:rsid w:val="00DE01A6"/>
    <w:rsid w:val="00DE0702"/>
    <w:rsid w:val="00DE0ADE"/>
    <w:rsid w:val="00DE0CAA"/>
    <w:rsid w:val="00DE0DC2"/>
    <w:rsid w:val="00DE1193"/>
    <w:rsid w:val="00DE1771"/>
    <w:rsid w:val="00DE1D24"/>
    <w:rsid w:val="00DE1E44"/>
    <w:rsid w:val="00DE2078"/>
    <w:rsid w:val="00DE2130"/>
    <w:rsid w:val="00DE21B9"/>
    <w:rsid w:val="00DE220D"/>
    <w:rsid w:val="00DE2220"/>
    <w:rsid w:val="00DE2783"/>
    <w:rsid w:val="00DE27C8"/>
    <w:rsid w:val="00DE2879"/>
    <w:rsid w:val="00DE29AE"/>
    <w:rsid w:val="00DE2A36"/>
    <w:rsid w:val="00DE2C6C"/>
    <w:rsid w:val="00DE2CA9"/>
    <w:rsid w:val="00DE3294"/>
    <w:rsid w:val="00DE35AD"/>
    <w:rsid w:val="00DE36F2"/>
    <w:rsid w:val="00DE3A13"/>
    <w:rsid w:val="00DE3DAE"/>
    <w:rsid w:val="00DE41C0"/>
    <w:rsid w:val="00DE4218"/>
    <w:rsid w:val="00DE4D7D"/>
    <w:rsid w:val="00DE4F6E"/>
    <w:rsid w:val="00DE4FB4"/>
    <w:rsid w:val="00DE5069"/>
    <w:rsid w:val="00DE52F0"/>
    <w:rsid w:val="00DE5528"/>
    <w:rsid w:val="00DE580A"/>
    <w:rsid w:val="00DE5FF5"/>
    <w:rsid w:val="00DE6842"/>
    <w:rsid w:val="00DE6A0D"/>
    <w:rsid w:val="00DE6B23"/>
    <w:rsid w:val="00DE6FF3"/>
    <w:rsid w:val="00DE7625"/>
    <w:rsid w:val="00DE77A5"/>
    <w:rsid w:val="00DE77A9"/>
    <w:rsid w:val="00DE7AA3"/>
    <w:rsid w:val="00DE7B08"/>
    <w:rsid w:val="00DF0294"/>
    <w:rsid w:val="00DF040F"/>
    <w:rsid w:val="00DF0714"/>
    <w:rsid w:val="00DF075D"/>
    <w:rsid w:val="00DF0B98"/>
    <w:rsid w:val="00DF0FCE"/>
    <w:rsid w:val="00DF108C"/>
    <w:rsid w:val="00DF1255"/>
    <w:rsid w:val="00DF12D0"/>
    <w:rsid w:val="00DF13DC"/>
    <w:rsid w:val="00DF167E"/>
    <w:rsid w:val="00DF185C"/>
    <w:rsid w:val="00DF1A19"/>
    <w:rsid w:val="00DF1F3B"/>
    <w:rsid w:val="00DF244B"/>
    <w:rsid w:val="00DF2B19"/>
    <w:rsid w:val="00DF32C4"/>
    <w:rsid w:val="00DF36BE"/>
    <w:rsid w:val="00DF3B2F"/>
    <w:rsid w:val="00DF3C39"/>
    <w:rsid w:val="00DF41A1"/>
    <w:rsid w:val="00DF41B2"/>
    <w:rsid w:val="00DF42D0"/>
    <w:rsid w:val="00DF4407"/>
    <w:rsid w:val="00DF45E7"/>
    <w:rsid w:val="00DF463B"/>
    <w:rsid w:val="00DF4672"/>
    <w:rsid w:val="00DF4A29"/>
    <w:rsid w:val="00DF4C20"/>
    <w:rsid w:val="00DF4C53"/>
    <w:rsid w:val="00DF63A4"/>
    <w:rsid w:val="00DF6558"/>
    <w:rsid w:val="00DF659A"/>
    <w:rsid w:val="00DF65F7"/>
    <w:rsid w:val="00DF6667"/>
    <w:rsid w:val="00DF69C0"/>
    <w:rsid w:val="00DF6F21"/>
    <w:rsid w:val="00DF7128"/>
    <w:rsid w:val="00DF7678"/>
    <w:rsid w:val="00DF768A"/>
    <w:rsid w:val="00DF776A"/>
    <w:rsid w:val="00DF78AF"/>
    <w:rsid w:val="00E00147"/>
    <w:rsid w:val="00E00539"/>
    <w:rsid w:val="00E00857"/>
    <w:rsid w:val="00E00AF1"/>
    <w:rsid w:val="00E00B00"/>
    <w:rsid w:val="00E00E03"/>
    <w:rsid w:val="00E01192"/>
    <w:rsid w:val="00E015B9"/>
    <w:rsid w:val="00E01857"/>
    <w:rsid w:val="00E019A4"/>
    <w:rsid w:val="00E01B29"/>
    <w:rsid w:val="00E02220"/>
    <w:rsid w:val="00E0225F"/>
    <w:rsid w:val="00E02642"/>
    <w:rsid w:val="00E0295B"/>
    <w:rsid w:val="00E02C3B"/>
    <w:rsid w:val="00E02E6F"/>
    <w:rsid w:val="00E0309E"/>
    <w:rsid w:val="00E031EB"/>
    <w:rsid w:val="00E03365"/>
    <w:rsid w:val="00E03488"/>
    <w:rsid w:val="00E03C99"/>
    <w:rsid w:val="00E0413D"/>
    <w:rsid w:val="00E044F0"/>
    <w:rsid w:val="00E05387"/>
    <w:rsid w:val="00E058A4"/>
    <w:rsid w:val="00E05A82"/>
    <w:rsid w:val="00E05A90"/>
    <w:rsid w:val="00E05B07"/>
    <w:rsid w:val="00E06686"/>
    <w:rsid w:val="00E066A5"/>
    <w:rsid w:val="00E06820"/>
    <w:rsid w:val="00E074E0"/>
    <w:rsid w:val="00E07D02"/>
    <w:rsid w:val="00E101C4"/>
    <w:rsid w:val="00E10D3D"/>
    <w:rsid w:val="00E10F18"/>
    <w:rsid w:val="00E11218"/>
    <w:rsid w:val="00E113AE"/>
    <w:rsid w:val="00E11443"/>
    <w:rsid w:val="00E121E0"/>
    <w:rsid w:val="00E121EA"/>
    <w:rsid w:val="00E12465"/>
    <w:rsid w:val="00E12485"/>
    <w:rsid w:val="00E124A5"/>
    <w:rsid w:val="00E12788"/>
    <w:rsid w:val="00E12BDB"/>
    <w:rsid w:val="00E13075"/>
    <w:rsid w:val="00E13192"/>
    <w:rsid w:val="00E132A0"/>
    <w:rsid w:val="00E13426"/>
    <w:rsid w:val="00E137B6"/>
    <w:rsid w:val="00E13EED"/>
    <w:rsid w:val="00E142CC"/>
    <w:rsid w:val="00E1432A"/>
    <w:rsid w:val="00E14450"/>
    <w:rsid w:val="00E14A44"/>
    <w:rsid w:val="00E14ED5"/>
    <w:rsid w:val="00E15BC1"/>
    <w:rsid w:val="00E1600E"/>
    <w:rsid w:val="00E1650F"/>
    <w:rsid w:val="00E16A86"/>
    <w:rsid w:val="00E16C46"/>
    <w:rsid w:val="00E17113"/>
    <w:rsid w:val="00E176A1"/>
    <w:rsid w:val="00E178D6"/>
    <w:rsid w:val="00E178F8"/>
    <w:rsid w:val="00E17908"/>
    <w:rsid w:val="00E17C72"/>
    <w:rsid w:val="00E17E01"/>
    <w:rsid w:val="00E202BF"/>
    <w:rsid w:val="00E20344"/>
    <w:rsid w:val="00E210F5"/>
    <w:rsid w:val="00E2168C"/>
    <w:rsid w:val="00E21823"/>
    <w:rsid w:val="00E21AC0"/>
    <w:rsid w:val="00E21C02"/>
    <w:rsid w:val="00E21C17"/>
    <w:rsid w:val="00E21CF1"/>
    <w:rsid w:val="00E21D47"/>
    <w:rsid w:val="00E21E82"/>
    <w:rsid w:val="00E22192"/>
    <w:rsid w:val="00E225AC"/>
    <w:rsid w:val="00E225F9"/>
    <w:rsid w:val="00E22DB1"/>
    <w:rsid w:val="00E22E4C"/>
    <w:rsid w:val="00E22EF0"/>
    <w:rsid w:val="00E22F5D"/>
    <w:rsid w:val="00E233B1"/>
    <w:rsid w:val="00E2369C"/>
    <w:rsid w:val="00E2379C"/>
    <w:rsid w:val="00E2444E"/>
    <w:rsid w:val="00E246E3"/>
    <w:rsid w:val="00E24C71"/>
    <w:rsid w:val="00E25C01"/>
    <w:rsid w:val="00E25CA6"/>
    <w:rsid w:val="00E25D03"/>
    <w:rsid w:val="00E26639"/>
    <w:rsid w:val="00E267FA"/>
    <w:rsid w:val="00E26CCB"/>
    <w:rsid w:val="00E27379"/>
    <w:rsid w:val="00E276C1"/>
    <w:rsid w:val="00E2787A"/>
    <w:rsid w:val="00E279F5"/>
    <w:rsid w:val="00E27CAA"/>
    <w:rsid w:val="00E300C9"/>
    <w:rsid w:val="00E303A8"/>
    <w:rsid w:val="00E30458"/>
    <w:rsid w:val="00E304BD"/>
    <w:rsid w:val="00E30B9A"/>
    <w:rsid w:val="00E30C54"/>
    <w:rsid w:val="00E3133E"/>
    <w:rsid w:val="00E31E89"/>
    <w:rsid w:val="00E31F08"/>
    <w:rsid w:val="00E31F44"/>
    <w:rsid w:val="00E321B8"/>
    <w:rsid w:val="00E325E8"/>
    <w:rsid w:val="00E32A8C"/>
    <w:rsid w:val="00E32F15"/>
    <w:rsid w:val="00E32F19"/>
    <w:rsid w:val="00E33043"/>
    <w:rsid w:val="00E33D92"/>
    <w:rsid w:val="00E33E55"/>
    <w:rsid w:val="00E3488B"/>
    <w:rsid w:val="00E34A2F"/>
    <w:rsid w:val="00E34B5F"/>
    <w:rsid w:val="00E34F9F"/>
    <w:rsid w:val="00E3532E"/>
    <w:rsid w:val="00E3591C"/>
    <w:rsid w:val="00E35AE5"/>
    <w:rsid w:val="00E3601B"/>
    <w:rsid w:val="00E36246"/>
    <w:rsid w:val="00E366AC"/>
    <w:rsid w:val="00E36AC7"/>
    <w:rsid w:val="00E36C7E"/>
    <w:rsid w:val="00E36CA3"/>
    <w:rsid w:val="00E37300"/>
    <w:rsid w:val="00E377BC"/>
    <w:rsid w:val="00E37851"/>
    <w:rsid w:val="00E37B70"/>
    <w:rsid w:val="00E37D33"/>
    <w:rsid w:val="00E37EA8"/>
    <w:rsid w:val="00E4084E"/>
    <w:rsid w:val="00E40933"/>
    <w:rsid w:val="00E40B68"/>
    <w:rsid w:val="00E40EA0"/>
    <w:rsid w:val="00E411E4"/>
    <w:rsid w:val="00E414C3"/>
    <w:rsid w:val="00E418AA"/>
    <w:rsid w:val="00E41B06"/>
    <w:rsid w:val="00E41B2F"/>
    <w:rsid w:val="00E41FB2"/>
    <w:rsid w:val="00E428B4"/>
    <w:rsid w:val="00E42B18"/>
    <w:rsid w:val="00E42D83"/>
    <w:rsid w:val="00E42E27"/>
    <w:rsid w:val="00E42FEB"/>
    <w:rsid w:val="00E43284"/>
    <w:rsid w:val="00E43460"/>
    <w:rsid w:val="00E43471"/>
    <w:rsid w:val="00E43593"/>
    <w:rsid w:val="00E435BD"/>
    <w:rsid w:val="00E43606"/>
    <w:rsid w:val="00E436B7"/>
    <w:rsid w:val="00E438D3"/>
    <w:rsid w:val="00E43B6D"/>
    <w:rsid w:val="00E43D24"/>
    <w:rsid w:val="00E43ED3"/>
    <w:rsid w:val="00E43EF2"/>
    <w:rsid w:val="00E44368"/>
    <w:rsid w:val="00E449C0"/>
    <w:rsid w:val="00E44C23"/>
    <w:rsid w:val="00E44D36"/>
    <w:rsid w:val="00E45392"/>
    <w:rsid w:val="00E456AD"/>
    <w:rsid w:val="00E457DA"/>
    <w:rsid w:val="00E45F52"/>
    <w:rsid w:val="00E46171"/>
    <w:rsid w:val="00E4640D"/>
    <w:rsid w:val="00E46990"/>
    <w:rsid w:val="00E46B65"/>
    <w:rsid w:val="00E46BDD"/>
    <w:rsid w:val="00E46CD6"/>
    <w:rsid w:val="00E46DFB"/>
    <w:rsid w:val="00E476F7"/>
    <w:rsid w:val="00E477A7"/>
    <w:rsid w:val="00E504F9"/>
    <w:rsid w:val="00E5071D"/>
    <w:rsid w:val="00E5073B"/>
    <w:rsid w:val="00E50F21"/>
    <w:rsid w:val="00E50F31"/>
    <w:rsid w:val="00E50F6E"/>
    <w:rsid w:val="00E511C7"/>
    <w:rsid w:val="00E51463"/>
    <w:rsid w:val="00E515D3"/>
    <w:rsid w:val="00E518A6"/>
    <w:rsid w:val="00E51928"/>
    <w:rsid w:val="00E51E31"/>
    <w:rsid w:val="00E51EFA"/>
    <w:rsid w:val="00E52072"/>
    <w:rsid w:val="00E52374"/>
    <w:rsid w:val="00E523DC"/>
    <w:rsid w:val="00E52627"/>
    <w:rsid w:val="00E527DE"/>
    <w:rsid w:val="00E52851"/>
    <w:rsid w:val="00E5286C"/>
    <w:rsid w:val="00E5290E"/>
    <w:rsid w:val="00E52BC7"/>
    <w:rsid w:val="00E52D09"/>
    <w:rsid w:val="00E52E66"/>
    <w:rsid w:val="00E52F36"/>
    <w:rsid w:val="00E52F4A"/>
    <w:rsid w:val="00E52FED"/>
    <w:rsid w:val="00E53080"/>
    <w:rsid w:val="00E5324B"/>
    <w:rsid w:val="00E5352C"/>
    <w:rsid w:val="00E5388D"/>
    <w:rsid w:val="00E53DF7"/>
    <w:rsid w:val="00E53FCF"/>
    <w:rsid w:val="00E540DE"/>
    <w:rsid w:val="00E54100"/>
    <w:rsid w:val="00E547C3"/>
    <w:rsid w:val="00E54B77"/>
    <w:rsid w:val="00E551D7"/>
    <w:rsid w:val="00E55360"/>
    <w:rsid w:val="00E557A6"/>
    <w:rsid w:val="00E55A3A"/>
    <w:rsid w:val="00E55C87"/>
    <w:rsid w:val="00E5604E"/>
    <w:rsid w:val="00E5604F"/>
    <w:rsid w:val="00E56379"/>
    <w:rsid w:val="00E565B3"/>
    <w:rsid w:val="00E56EEA"/>
    <w:rsid w:val="00E57579"/>
    <w:rsid w:val="00E5761F"/>
    <w:rsid w:val="00E57683"/>
    <w:rsid w:val="00E579F0"/>
    <w:rsid w:val="00E57A2F"/>
    <w:rsid w:val="00E57DEE"/>
    <w:rsid w:val="00E6002F"/>
    <w:rsid w:val="00E602A4"/>
    <w:rsid w:val="00E602B4"/>
    <w:rsid w:val="00E60467"/>
    <w:rsid w:val="00E60484"/>
    <w:rsid w:val="00E60553"/>
    <w:rsid w:val="00E60630"/>
    <w:rsid w:val="00E607F7"/>
    <w:rsid w:val="00E608F5"/>
    <w:rsid w:val="00E609C2"/>
    <w:rsid w:val="00E60F65"/>
    <w:rsid w:val="00E619E9"/>
    <w:rsid w:val="00E61FAC"/>
    <w:rsid w:val="00E620C5"/>
    <w:rsid w:val="00E621FC"/>
    <w:rsid w:val="00E6220B"/>
    <w:rsid w:val="00E62304"/>
    <w:rsid w:val="00E6290C"/>
    <w:rsid w:val="00E62B30"/>
    <w:rsid w:val="00E62F1F"/>
    <w:rsid w:val="00E63040"/>
    <w:rsid w:val="00E634D5"/>
    <w:rsid w:val="00E63933"/>
    <w:rsid w:val="00E642E8"/>
    <w:rsid w:val="00E644FB"/>
    <w:rsid w:val="00E6485F"/>
    <w:rsid w:val="00E648CF"/>
    <w:rsid w:val="00E64C93"/>
    <w:rsid w:val="00E65149"/>
    <w:rsid w:val="00E653E4"/>
    <w:rsid w:val="00E6550A"/>
    <w:rsid w:val="00E655EA"/>
    <w:rsid w:val="00E659F0"/>
    <w:rsid w:val="00E65ABB"/>
    <w:rsid w:val="00E65CB4"/>
    <w:rsid w:val="00E65E3E"/>
    <w:rsid w:val="00E65FBB"/>
    <w:rsid w:val="00E6664D"/>
    <w:rsid w:val="00E669E2"/>
    <w:rsid w:val="00E66BE3"/>
    <w:rsid w:val="00E66CBB"/>
    <w:rsid w:val="00E670C3"/>
    <w:rsid w:val="00E67455"/>
    <w:rsid w:val="00E67752"/>
    <w:rsid w:val="00E70690"/>
    <w:rsid w:val="00E7092D"/>
    <w:rsid w:val="00E709E1"/>
    <w:rsid w:val="00E71542"/>
    <w:rsid w:val="00E716CC"/>
    <w:rsid w:val="00E717C4"/>
    <w:rsid w:val="00E721ED"/>
    <w:rsid w:val="00E7244A"/>
    <w:rsid w:val="00E72841"/>
    <w:rsid w:val="00E7286F"/>
    <w:rsid w:val="00E72EAF"/>
    <w:rsid w:val="00E733CF"/>
    <w:rsid w:val="00E73740"/>
    <w:rsid w:val="00E73BE1"/>
    <w:rsid w:val="00E744F2"/>
    <w:rsid w:val="00E74520"/>
    <w:rsid w:val="00E74FBC"/>
    <w:rsid w:val="00E755DA"/>
    <w:rsid w:val="00E75697"/>
    <w:rsid w:val="00E75969"/>
    <w:rsid w:val="00E75F37"/>
    <w:rsid w:val="00E76088"/>
    <w:rsid w:val="00E76135"/>
    <w:rsid w:val="00E76161"/>
    <w:rsid w:val="00E7662B"/>
    <w:rsid w:val="00E766EC"/>
    <w:rsid w:val="00E76BCB"/>
    <w:rsid w:val="00E76D5E"/>
    <w:rsid w:val="00E77290"/>
    <w:rsid w:val="00E7762E"/>
    <w:rsid w:val="00E7789B"/>
    <w:rsid w:val="00E77CBC"/>
    <w:rsid w:val="00E800E3"/>
    <w:rsid w:val="00E8081F"/>
    <w:rsid w:val="00E80927"/>
    <w:rsid w:val="00E80B41"/>
    <w:rsid w:val="00E818DA"/>
    <w:rsid w:val="00E8196B"/>
    <w:rsid w:val="00E81E36"/>
    <w:rsid w:val="00E821B6"/>
    <w:rsid w:val="00E825A7"/>
    <w:rsid w:val="00E82838"/>
    <w:rsid w:val="00E828F1"/>
    <w:rsid w:val="00E82CD4"/>
    <w:rsid w:val="00E82F35"/>
    <w:rsid w:val="00E83874"/>
    <w:rsid w:val="00E8398D"/>
    <w:rsid w:val="00E83CD2"/>
    <w:rsid w:val="00E83FDE"/>
    <w:rsid w:val="00E841C6"/>
    <w:rsid w:val="00E8441F"/>
    <w:rsid w:val="00E845CD"/>
    <w:rsid w:val="00E848AD"/>
    <w:rsid w:val="00E848D6"/>
    <w:rsid w:val="00E84C2B"/>
    <w:rsid w:val="00E84F5E"/>
    <w:rsid w:val="00E85160"/>
    <w:rsid w:val="00E8543C"/>
    <w:rsid w:val="00E858A2"/>
    <w:rsid w:val="00E85BFA"/>
    <w:rsid w:val="00E86302"/>
    <w:rsid w:val="00E86A2D"/>
    <w:rsid w:val="00E86C03"/>
    <w:rsid w:val="00E86D2A"/>
    <w:rsid w:val="00E86EEE"/>
    <w:rsid w:val="00E87318"/>
    <w:rsid w:val="00E879E6"/>
    <w:rsid w:val="00E87A0C"/>
    <w:rsid w:val="00E87BC2"/>
    <w:rsid w:val="00E87C8E"/>
    <w:rsid w:val="00E87DDF"/>
    <w:rsid w:val="00E90043"/>
    <w:rsid w:val="00E90C0A"/>
    <w:rsid w:val="00E90E6B"/>
    <w:rsid w:val="00E91089"/>
    <w:rsid w:val="00E911DF"/>
    <w:rsid w:val="00E913E9"/>
    <w:rsid w:val="00E91D61"/>
    <w:rsid w:val="00E921E6"/>
    <w:rsid w:val="00E923C3"/>
    <w:rsid w:val="00E923FC"/>
    <w:rsid w:val="00E92F42"/>
    <w:rsid w:val="00E92F7B"/>
    <w:rsid w:val="00E9342B"/>
    <w:rsid w:val="00E93805"/>
    <w:rsid w:val="00E93F2C"/>
    <w:rsid w:val="00E94268"/>
    <w:rsid w:val="00E946EC"/>
    <w:rsid w:val="00E94745"/>
    <w:rsid w:val="00E94881"/>
    <w:rsid w:val="00E94F92"/>
    <w:rsid w:val="00E95699"/>
    <w:rsid w:val="00E95AC5"/>
    <w:rsid w:val="00E95FCA"/>
    <w:rsid w:val="00E95FDE"/>
    <w:rsid w:val="00E965D7"/>
    <w:rsid w:val="00E96735"/>
    <w:rsid w:val="00E9697F"/>
    <w:rsid w:val="00E972FC"/>
    <w:rsid w:val="00E97405"/>
    <w:rsid w:val="00E976A2"/>
    <w:rsid w:val="00E97762"/>
    <w:rsid w:val="00E97940"/>
    <w:rsid w:val="00E97FE6"/>
    <w:rsid w:val="00EA041E"/>
    <w:rsid w:val="00EA0464"/>
    <w:rsid w:val="00EA0F43"/>
    <w:rsid w:val="00EA0FD7"/>
    <w:rsid w:val="00EA131B"/>
    <w:rsid w:val="00EA1426"/>
    <w:rsid w:val="00EA17D2"/>
    <w:rsid w:val="00EA1927"/>
    <w:rsid w:val="00EA1A98"/>
    <w:rsid w:val="00EA1DC0"/>
    <w:rsid w:val="00EA2270"/>
    <w:rsid w:val="00EA27BD"/>
    <w:rsid w:val="00EA2BC2"/>
    <w:rsid w:val="00EA2E2B"/>
    <w:rsid w:val="00EA3147"/>
    <w:rsid w:val="00EA3B9B"/>
    <w:rsid w:val="00EA4211"/>
    <w:rsid w:val="00EA4319"/>
    <w:rsid w:val="00EA4EA3"/>
    <w:rsid w:val="00EA4F61"/>
    <w:rsid w:val="00EA53E4"/>
    <w:rsid w:val="00EA5675"/>
    <w:rsid w:val="00EA5694"/>
    <w:rsid w:val="00EA59B1"/>
    <w:rsid w:val="00EA5D53"/>
    <w:rsid w:val="00EA5D61"/>
    <w:rsid w:val="00EA5E13"/>
    <w:rsid w:val="00EA5E7D"/>
    <w:rsid w:val="00EA6B3C"/>
    <w:rsid w:val="00EA6DD8"/>
    <w:rsid w:val="00EA70F7"/>
    <w:rsid w:val="00EA7208"/>
    <w:rsid w:val="00EA733C"/>
    <w:rsid w:val="00EA7742"/>
    <w:rsid w:val="00EA7857"/>
    <w:rsid w:val="00EA79F0"/>
    <w:rsid w:val="00EA7CD7"/>
    <w:rsid w:val="00EA7E85"/>
    <w:rsid w:val="00EB061A"/>
    <w:rsid w:val="00EB08E8"/>
    <w:rsid w:val="00EB117B"/>
    <w:rsid w:val="00EB1812"/>
    <w:rsid w:val="00EB182B"/>
    <w:rsid w:val="00EB1A56"/>
    <w:rsid w:val="00EB1D5A"/>
    <w:rsid w:val="00EB22FA"/>
    <w:rsid w:val="00EB2762"/>
    <w:rsid w:val="00EB2857"/>
    <w:rsid w:val="00EB2D01"/>
    <w:rsid w:val="00EB2F23"/>
    <w:rsid w:val="00EB3500"/>
    <w:rsid w:val="00EB37CB"/>
    <w:rsid w:val="00EB3D04"/>
    <w:rsid w:val="00EB43AF"/>
    <w:rsid w:val="00EB4586"/>
    <w:rsid w:val="00EB4754"/>
    <w:rsid w:val="00EB4791"/>
    <w:rsid w:val="00EB48A6"/>
    <w:rsid w:val="00EB4B57"/>
    <w:rsid w:val="00EB4E3E"/>
    <w:rsid w:val="00EB50C4"/>
    <w:rsid w:val="00EB5628"/>
    <w:rsid w:val="00EB5CC5"/>
    <w:rsid w:val="00EB6077"/>
    <w:rsid w:val="00EB67E1"/>
    <w:rsid w:val="00EB67F4"/>
    <w:rsid w:val="00EB6B2E"/>
    <w:rsid w:val="00EB6F8D"/>
    <w:rsid w:val="00EB73C4"/>
    <w:rsid w:val="00EB7441"/>
    <w:rsid w:val="00EB7757"/>
    <w:rsid w:val="00EB77AE"/>
    <w:rsid w:val="00EB7E78"/>
    <w:rsid w:val="00EC0197"/>
    <w:rsid w:val="00EC021A"/>
    <w:rsid w:val="00EC0222"/>
    <w:rsid w:val="00EC0317"/>
    <w:rsid w:val="00EC0731"/>
    <w:rsid w:val="00EC09E1"/>
    <w:rsid w:val="00EC1020"/>
    <w:rsid w:val="00EC14BF"/>
    <w:rsid w:val="00EC1E93"/>
    <w:rsid w:val="00EC3CA1"/>
    <w:rsid w:val="00EC3F3A"/>
    <w:rsid w:val="00EC41B8"/>
    <w:rsid w:val="00EC41CC"/>
    <w:rsid w:val="00EC41FA"/>
    <w:rsid w:val="00EC4319"/>
    <w:rsid w:val="00EC4498"/>
    <w:rsid w:val="00EC47F7"/>
    <w:rsid w:val="00EC4801"/>
    <w:rsid w:val="00EC481A"/>
    <w:rsid w:val="00EC486A"/>
    <w:rsid w:val="00EC4FA4"/>
    <w:rsid w:val="00EC5009"/>
    <w:rsid w:val="00EC5816"/>
    <w:rsid w:val="00EC5C13"/>
    <w:rsid w:val="00EC5DB3"/>
    <w:rsid w:val="00EC608A"/>
    <w:rsid w:val="00EC62DD"/>
    <w:rsid w:val="00EC636C"/>
    <w:rsid w:val="00EC6A60"/>
    <w:rsid w:val="00EC6B5E"/>
    <w:rsid w:val="00EC6C7A"/>
    <w:rsid w:val="00EC6CF3"/>
    <w:rsid w:val="00EC7078"/>
    <w:rsid w:val="00EC7512"/>
    <w:rsid w:val="00EC75C3"/>
    <w:rsid w:val="00EC796E"/>
    <w:rsid w:val="00EC7AF5"/>
    <w:rsid w:val="00ED04B7"/>
    <w:rsid w:val="00ED0B1A"/>
    <w:rsid w:val="00ED182A"/>
    <w:rsid w:val="00ED1F59"/>
    <w:rsid w:val="00ED2034"/>
    <w:rsid w:val="00ED208C"/>
    <w:rsid w:val="00ED234B"/>
    <w:rsid w:val="00ED239E"/>
    <w:rsid w:val="00ED27F5"/>
    <w:rsid w:val="00ED2ACD"/>
    <w:rsid w:val="00ED2E16"/>
    <w:rsid w:val="00ED2E8D"/>
    <w:rsid w:val="00ED308B"/>
    <w:rsid w:val="00ED360E"/>
    <w:rsid w:val="00ED3873"/>
    <w:rsid w:val="00ED3AF4"/>
    <w:rsid w:val="00ED3F31"/>
    <w:rsid w:val="00ED4224"/>
    <w:rsid w:val="00ED42D0"/>
    <w:rsid w:val="00ED43CD"/>
    <w:rsid w:val="00ED4553"/>
    <w:rsid w:val="00ED4A7E"/>
    <w:rsid w:val="00ED4BFB"/>
    <w:rsid w:val="00ED4EC3"/>
    <w:rsid w:val="00ED4F2B"/>
    <w:rsid w:val="00ED51F7"/>
    <w:rsid w:val="00ED56C3"/>
    <w:rsid w:val="00ED5845"/>
    <w:rsid w:val="00ED5955"/>
    <w:rsid w:val="00ED5C56"/>
    <w:rsid w:val="00ED5C9A"/>
    <w:rsid w:val="00ED6489"/>
    <w:rsid w:val="00ED6D34"/>
    <w:rsid w:val="00ED6EAD"/>
    <w:rsid w:val="00ED7640"/>
    <w:rsid w:val="00ED7C88"/>
    <w:rsid w:val="00ED7D95"/>
    <w:rsid w:val="00EE0344"/>
    <w:rsid w:val="00EE0AD4"/>
    <w:rsid w:val="00EE1520"/>
    <w:rsid w:val="00EE1559"/>
    <w:rsid w:val="00EE1CCF"/>
    <w:rsid w:val="00EE2931"/>
    <w:rsid w:val="00EE2A1A"/>
    <w:rsid w:val="00EE2BF2"/>
    <w:rsid w:val="00EE2F62"/>
    <w:rsid w:val="00EE310A"/>
    <w:rsid w:val="00EE374C"/>
    <w:rsid w:val="00EE3777"/>
    <w:rsid w:val="00EE4055"/>
    <w:rsid w:val="00EE409D"/>
    <w:rsid w:val="00EE45E2"/>
    <w:rsid w:val="00EE4E91"/>
    <w:rsid w:val="00EE4EB4"/>
    <w:rsid w:val="00EE5006"/>
    <w:rsid w:val="00EE5B49"/>
    <w:rsid w:val="00EE5C1A"/>
    <w:rsid w:val="00EE60D8"/>
    <w:rsid w:val="00EE6174"/>
    <w:rsid w:val="00EE65E9"/>
    <w:rsid w:val="00EE667D"/>
    <w:rsid w:val="00EE6691"/>
    <w:rsid w:val="00EE6D7E"/>
    <w:rsid w:val="00EE718F"/>
    <w:rsid w:val="00EE7211"/>
    <w:rsid w:val="00EE74AA"/>
    <w:rsid w:val="00EE7BBF"/>
    <w:rsid w:val="00EF01DC"/>
    <w:rsid w:val="00EF081E"/>
    <w:rsid w:val="00EF0AA4"/>
    <w:rsid w:val="00EF0BB4"/>
    <w:rsid w:val="00EF0EB8"/>
    <w:rsid w:val="00EF1A18"/>
    <w:rsid w:val="00EF1D14"/>
    <w:rsid w:val="00EF2015"/>
    <w:rsid w:val="00EF20FE"/>
    <w:rsid w:val="00EF2240"/>
    <w:rsid w:val="00EF23FC"/>
    <w:rsid w:val="00EF251A"/>
    <w:rsid w:val="00EF2624"/>
    <w:rsid w:val="00EF305D"/>
    <w:rsid w:val="00EF3699"/>
    <w:rsid w:val="00EF3843"/>
    <w:rsid w:val="00EF3854"/>
    <w:rsid w:val="00EF3902"/>
    <w:rsid w:val="00EF4446"/>
    <w:rsid w:val="00EF495B"/>
    <w:rsid w:val="00EF4B04"/>
    <w:rsid w:val="00EF4D35"/>
    <w:rsid w:val="00EF5381"/>
    <w:rsid w:val="00EF540C"/>
    <w:rsid w:val="00EF54A7"/>
    <w:rsid w:val="00EF55FC"/>
    <w:rsid w:val="00EF5AED"/>
    <w:rsid w:val="00EF5CAD"/>
    <w:rsid w:val="00EF700B"/>
    <w:rsid w:val="00EF7082"/>
    <w:rsid w:val="00EF70C9"/>
    <w:rsid w:val="00EF765A"/>
    <w:rsid w:val="00EF7E3C"/>
    <w:rsid w:val="00F000C9"/>
    <w:rsid w:val="00F0062B"/>
    <w:rsid w:val="00F00B27"/>
    <w:rsid w:val="00F00C01"/>
    <w:rsid w:val="00F00DEF"/>
    <w:rsid w:val="00F010F9"/>
    <w:rsid w:val="00F01AAF"/>
    <w:rsid w:val="00F01CF1"/>
    <w:rsid w:val="00F01EFA"/>
    <w:rsid w:val="00F023B1"/>
    <w:rsid w:val="00F02456"/>
    <w:rsid w:val="00F02682"/>
    <w:rsid w:val="00F02A46"/>
    <w:rsid w:val="00F02F35"/>
    <w:rsid w:val="00F03AB2"/>
    <w:rsid w:val="00F03B4D"/>
    <w:rsid w:val="00F03EB1"/>
    <w:rsid w:val="00F040F3"/>
    <w:rsid w:val="00F04129"/>
    <w:rsid w:val="00F04219"/>
    <w:rsid w:val="00F04254"/>
    <w:rsid w:val="00F04517"/>
    <w:rsid w:val="00F0454A"/>
    <w:rsid w:val="00F045E4"/>
    <w:rsid w:val="00F04724"/>
    <w:rsid w:val="00F04761"/>
    <w:rsid w:val="00F04A20"/>
    <w:rsid w:val="00F04CC8"/>
    <w:rsid w:val="00F04D40"/>
    <w:rsid w:val="00F04E87"/>
    <w:rsid w:val="00F0551B"/>
    <w:rsid w:val="00F056D7"/>
    <w:rsid w:val="00F056FC"/>
    <w:rsid w:val="00F05D73"/>
    <w:rsid w:val="00F05D8A"/>
    <w:rsid w:val="00F05F9E"/>
    <w:rsid w:val="00F066BC"/>
    <w:rsid w:val="00F06CA7"/>
    <w:rsid w:val="00F06F4F"/>
    <w:rsid w:val="00F10009"/>
    <w:rsid w:val="00F1030F"/>
    <w:rsid w:val="00F109CF"/>
    <w:rsid w:val="00F109D0"/>
    <w:rsid w:val="00F10E1E"/>
    <w:rsid w:val="00F10F98"/>
    <w:rsid w:val="00F10FCF"/>
    <w:rsid w:val="00F114CC"/>
    <w:rsid w:val="00F114E1"/>
    <w:rsid w:val="00F1150D"/>
    <w:rsid w:val="00F11AFC"/>
    <w:rsid w:val="00F11B67"/>
    <w:rsid w:val="00F11B8D"/>
    <w:rsid w:val="00F12168"/>
    <w:rsid w:val="00F12776"/>
    <w:rsid w:val="00F133CE"/>
    <w:rsid w:val="00F134C7"/>
    <w:rsid w:val="00F135D8"/>
    <w:rsid w:val="00F13864"/>
    <w:rsid w:val="00F13C00"/>
    <w:rsid w:val="00F14038"/>
    <w:rsid w:val="00F140ED"/>
    <w:rsid w:val="00F14112"/>
    <w:rsid w:val="00F141C2"/>
    <w:rsid w:val="00F1436B"/>
    <w:rsid w:val="00F147CD"/>
    <w:rsid w:val="00F14C03"/>
    <w:rsid w:val="00F14D97"/>
    <w:rsid w:val="00F15557"/>
    <w:rsid w:val="00F15577"/>
    <w:rsid w:val="00F156B8"/>
    <w:rsid w:val="00F15A39"/>
    <w:rsid w:val="00F15B1D"/>
    <w:rsid w:val="00F15C44"/>
    <w:rsid w:val="00F15CDA"/>
    <w:rsid w:val="00F15F8A"/>
    <w:rsid w:val="00F161A0"/>
    <w:rsid w:val="00F1643C"/>
    <w:rsid w:val="00F1657F"/>
    <w:rsid w:val="00F16B40"/>
    <w:rsid w:val="00F16CF2"/>
    <w:rsid w:val="00F16CF7"/>
    <w:rsid w:val="00F16DD3"/>
    <w:rsid w:val="00F16EBB"/>
    <w:rsid w:val="00F1710C"/>
    <w:rsid w:val="00F17261"/>
    <w:rsid w:val="00F1759B"/>
    <w:rsid w:val="00F20157"/>
    <w:rsid w:val="00F20258"/>
    <w:rsid w:val="00F20750"/>
    <w:rsid w:val="00F208DE"/>
    <w:rsid w:val="00F20AAD"/>
    <w:rsid w:val="00F20C63"/>
    <w:rsid w:val="00F20E37"/>
    <w:rsid w:val="00F21015"/>
    <w:rsid w:val="00F21363"/>
    <w:rsid w:val="00F21396"/>
    <w:rsid w:val="00F2167E"/>
    <w:rsid w:val="00F21854"/>
    <w:rsid w:val="00F21C1D"/>
    <w:rsid w:val="00F21D74"/>
    <w:rsid w:val="00F22238"/>
    <w:rsid w:val="00F22851"/>
    <w:rsid w:val="00F22E3B"/>
    <w:rsid w:val="00F22E79"/>
    <w:rsid w:val="00F2314A"/>
    <w:rsid w:val="00F235D6"/>
    <w:rsid w:val="00F23BDB"/>
    <w:rsid w:val="00F23CE8"/>
    <w:rsid w:val="00F23D2B"/>
    <w:rsid w:val="00F23E4B"/>
    <w:rsid w:val="00F242AB"/>
    <w:rsid w:val="00F244B7"/>
    <w:rsid w:val="00F24603"/>
    <w:rsid w:val="00F248B8"/>
    <w:rsid w:val="00F249A5"/>
    <w:rsid w:val="00F24B64"/>
    <w:rsid w:val="00F25300"/>
    <w:rsid w:val="00F257D4"/>
    <w:rsid w:val="00F26573"/>
    <w:rsid w:val="00F26606"/>
    <w:rsid w:val="00F26842"/>
    <w:rsid w:val="00F26D5E"/>
    <w:rsid w:val="00F27136"/>
    <w:rsid w:val="00F2718E"/>
    <w:rsid w:val="00F272F5"/>
    <w:rsid w:val="00F273E9"/>
    <w:rsid w:val="00F275E3"/>
    <w:rsid w:val="00F27CE0"/>
    <w:rsid w:val="00F27D00"/>
    <w:rsid w:val="00F27DED"/>
    <w:rsid w:val="00F3008F"/>
    <w:rsid w:val="00F3042D"/>
    <w:rsid w:val="00F306D1"/>
    <w:rsid w:val="00F3089E"/>
    <w:rsid w:val="00F30D29"/>
    <w:rsid w:val="00F3119C"/>
    <w:rsid w:val="00F311E0"/>
    <w:rsid w:val="00F31299"/>
    <w:rsid w:val="00F31504"/>
    <w:rsid w:val="00F3186D"/>
    <w:rsid w:val="00F319A0"/>
    <w:rsid w:val="00F31C54"/>
    <w:rsid w:val="00F322D8"/>
    <w:rsid w:val="00F3243E"/>
    <w:rsid w:val="00F32BD4"/>
    <w:rsid w:val="00F32C37"/>
    <w:rsid w:val="00F32F6A"/>
    <w:rsid w:val="00F332A3"/>
    <w:rsid w:val="00F33488"/>
    <w:rsid w:val="00F33BAF"/>
    <w:rsid w:val="00F33C0D"/>
    <w:rsid w:val="00F33DD0"/>
    <w:rsid w:val="00F34423"/>
    <w:rsid w:val="00F3450F"/>
    <w:rsid w:val="00F3461D"/>
    <w:rsid w:val="00F349E7"/>
    <w:rsid w:val="00F34CB2"/>
    <w:rsid w:val="00F3514D"/>
    <w:rsid w:val="00F35256"/>
    <w:rsid w:val="00F3534A"/>
    <w:rsid w:val="00F35EF8"/>
    <w:rsid w:val="00F35F5B"/>
    <w:rsid w:val="00F364CF"/>
    <w:rsid w:val="00F36B1E"/>
    <w:rsid w:val="00F36BC4"/>
    <w:rsid w:val="00F3707B"/>
    <w:rsid w:val="00F37BAB"/>
    <w:rsid w:val="00F37FB3"/>
    <w:rsid w:val="00F40256"/>
    <w:rsid w:val="00F40901"/>
    <w:rsid w:val="00F409B4"/>
    <w:rsid w:val="00F40E69"/>
    <w:rsid w:val="00F40EAE"/>
    <w:rsid w:val="00F41255"/>
    <w:rsid w:val="00F412E4"/>
    <w:rsid w:val="00F418E1"/>
    <w:rsid w:val="00F41BA8"/>
    <w:rsid w:val="00F4239E"/>
    <w:rsid w:val="00F428DC"/>
    <w:rsid w:val="00F42A2B"/>
    <w:rsid w:val="00F42A35"/>
    <w:rsid w:val="00F42AC5"/>
    <w:rsid w:val="00F42E80"/>
    <w:rsid w:val="00F43304"/>
    <w:rsid w:val="00F433AD"/>
    <w:rsid w:val="00F4384E"/>
    <w:rsid w:val="00F43E56"/>
    <w:rsid w:val="00F444C4"/>
    <w:rsid w:val="00F444C6"/>
    <w:rsid w:val="00F447C8"/>
    <w:rsid w:val="00F44837"/>
    <w:rsid w:val="00F448BD"/>
    <w:rsid w:val="00F44DC3"/>
    <w:rsid w:val="00F44E27"/>
    <w:rsid w:val="00F458CD"/>
    <w:rsid w:val="00F45A7E"/>
    <w:rsid w:val="00F45B35"/>
    <w:rsid w:val="00F45E11"/>
    <w:rsid w:val="00F45E75"/>
    <w:rsid w:val="00F45F36"/>
    <w:rsid w:val="00F4613B"/>
    <w:rsid w:val="00F46498"/>
    <w:rsid w:val="00F4658C"/>
    <w:rsid w:val="00F469BB"/>
    <w:rsid w:val="00F46B28"/>
    <w:rsid w:val="00F46D5E"/>
    <w:rsid w:val="00F473DC"/>
    <w:rsid w:val="00F47872"/>
    <w:rsid w:val="00F47CDE"/>
    <w:rsid w:val="00F5027B"/>
    <w:rsid w:val="00F504B6"/>
    <w:rsid w:val="00F50990"/>
    <w:rsid w:val="00F50D26"/>
    <w:rsid w:val="00F50DD4"/>
    <w:rsid w:val="00F51091"/>
    <w:rsid w:val="00F510AB"/>
    <w:rsid w:val="00F51354"/>
    <w:rsid w:val="00F516F9"/>
    <w:rsid w:val="00F51985"/>
    <w:rsid w:val="00F51C17"/>
    <w:rsid w:val="00F51E05"/>
    <w:rsid w:val="00F52417"/>
    <w:rsid w:val="00F530A7"/>
    <w:rsid w:val="00F53428"/>
    <w:rsid w:val="00F534E6"/>
    <w:rsid w:val="00F53658"/>
    <w:rsid w:val="00F538DC"/>
    <w:rsid w:val="00F54590"/>
    <w:rsid w:val="00F54A71"/>
    <w:rsid w:val="00F54DC5"/>
    <w:rsid w:val="00F551C4"/>
    <w:rsid w:val="00F55246"/>
    <w:rsid w:val="00F5564D"/>
    <w:rsid w:val="00F55798"/>
    <w:rsid w:val="00F557E3"/>
    <w:rsid w:val="00F56C08"/>
    <w:rsid w:val="00F56C97"/>
    <w:rsid w:val="00F56D26"/>
    <w:rsid w:val="00F56EB4"/>
    <w:rsid w:val="00F5707E"/>
    <w:rsid w:val="00F570CB"/>
    <w:rsid w:val="00F572C8"/>
    <w:rsid w:val="00F576F3"/>
    <w:rsid w:val="00F577C4"/>
    <w:rsid w:val="00F57B18"/>
    <w:rsid w:val="00F57C39"/>
    <w:rsid w:val="00F57CCE"/>
    <w:rsid w:val="00F6040B"/>
    <w:rsid w:val="00F609AF"/>
    <w:rsid w:val="00F60D74"/>
    <w:rsid w:val="00F60E88"/>
    <w:rsid w:val="00F61052"/>
    <w:rsid w:val="00F612F8"/>
    <w:rsid w:val="00F6176D"/>
    <w:rsid w:val="00F61D8A"/>
    <w:rsid w:val="00F624E0"/>
    <w:rsid w:val="00F62732"/>
    <w:rsid w:val="00F628B4"/>
    <w:rsid w:val="00F62C56"/>
    <w:rsid w:val="00F63391"/>
    <w:rsid w:val="00F63CDE"/>
    <w:rsid w:val="00F63E5A"/>
    <w:rsid w:val="00F63FF2"/>
    <w:rsid w:val="00F64332"/>
    <w:rsid w:val="00F6437F"/>
    <w:rsid w:val="00F64B3E"/>
    <w:rsid w:val="00F64BF8"/>
    <w:rsid w:val="00F65266"/>
    <w:rsid w:val="00F65CC6"/>
    <w:rsid w:val="00F6618C"/>
    <w:rsid w:val="00F6660B"/>
    <w:rsid w:val="00F666CF"/>
    <w:rsid w:val="00F668A4"/>
    <w:rsid w:val="00F66B1E"/>
    <w:rsid w:val="00F6708B"/>
    <w:rsid w:val="00F672AB"/>
    <w:rsid w:val="00F67C9D"/>
    <w:rsid w:val="00F67DE4"/>
    <w:rsid w:val="00F702CD"/>
    <w:rsid w:val="00F70868"/>
    <w:rsid w:val="00F70C11"/>
    <w:rsid w:val="00F71321"/>
    <w:rsid w:val="00F71947"/>
    <w:rsid w:val="00F71D8F"/>
    <w:rsid w:val="00F71E10"/>
    <w:rsid w:val="00F72B7A"/>
    <w:rsid w:val="00F72D56"/>
    <w:rsid w:val="00F72FCD"/>
    <w:rsid w:val="00F731A0"/>
    <w:rsid w:val="00F73258"/>
    <w:rsid w:val="00F73449"/>
    <w:rsid w:val="00F7384F"/>
    <w:rsid w:val="00F73E9F"/>
    <w:rsid w:val="00F73FEE"/>
    <w:rsid w:val="00F7418F"/>
    <w:rsid w:val="00F747A1"/>
    <w:rsid w:val="00F74E55"/>
    <w:rsid w:val="00F75031"/>
    <w:rsid w:val="00F75444"/>
    <w:rsid w:val="00F754E1"/>
    <w:rsid w:val="00F75A5C"/>
    <w:rsid w:val="00F7616C"/>
    <w:rsid w:val="00F761A5"/>
    <w:rsid w:val="00F761AD"/>
    <w:rsid w:val="00F76494"/>
    <w:rsid w:val="00F7677C"/>
    <w:rsid w:val="00F7685E"/>
    <w:rsid w:val="00F76A02"/>
    <w:rsid w:val="00F76BB9"/>
    <w:rsid w:val="00F76C54"/>
    <w:rsid w:val="00F77002"/>
    <w:rsid w:val="00F772AC"/>
    <w:rsid w:val="00F7770F"/>
    <w:rsid w:val="00F7774A"/>
    <w:rsid w:val="00F7775E"/>
    <w:rsid w:val="00F7778E"/>
    <w:rsid w:val="00F77CAB"/>
    <w:rsid w:val="00F80037"/>
    <w:rsid w:val="00F80314"/>
    <w:rsid w:val="00F8073E"/>
    <w:rsid w:val="00F807C2"/>
    <w:rsid w:val="00F808B7"/>
    <w:rsid w:val="00F80B54"/>
    <w:rsid w:val="00F80C47"/>
    <w:rsid w:val="00F80E62"/>
    <w:rsid w:val="00F80E91"/>
    <w:rsid w:val="00F80ED3"/>
    <w:rsid w:val="00F810AE"/>
    <w:rsid w:val="00F816F7"/>
    <w:rsid w:val="00F81912"/>
    <w:rsid w:val="00F81A7C"/>
    <w:rsid w:val="00F81C7E"/>
    <w:rsid w:val="00F81EF7"/>
    <w:rsid w:val="00F82278"/>
    <w:rsid w:val="00F82333"/>
    <w:rsid w:val="00F8236D"/>
    <w:rsid w:val="00F82B48"/>
    <w:rsid w:val="00F82C63"/>
    <w:rsid w:val="00F82C86"/>
    <w:rsid w:val="00F82E50"/>
    <w:rsid w:val="00F83155"/>
    <w:rsid w:val="00F833AB"/>
    <w:rsid w:val="00F83852"/>
    <w:rsid w:val="00F83884"/>
    <w:rsid w:val="00F83BF1"/>
    <w:rsid w:val="00F83D06"/>
    <w:rsid w:val="00F83DE5"/>
    <w:rsid w:val="00F83F2F"/>
    <w:rsid w:val="00F84378"/>
    <w:rsid w:val="00F846AC"/>
    <w:rsid w:val="00F849CA"/>
    <w:rsid w:val="00F84ADD"/>
    <w:rsid w:val="00F85325"/>
    <w:rsid w:val="00F85354"/>
    <w:rsid w:val="00F85B04"/>
    <w:rsid w:val="00F86A95"/>
    <w:rsid w:val="00F86D02"/>
    <w:rsid w:val="00F86DF2"/>
    <w:rsid w:val="00F86E0C"/>
    <w:rsid w:val="00F875A1"/>
    <w:rsid w:val="00F877BD"/>
    <w:rsid w:val="00F87845"/>
    <w:rsid w:val="00F878B0"/>
    <w:rsid w:val="00F87A28"/>
    <w:rsid w:val="00F87A6E"/>
    <w:rsid w:val="00F87C20"/>
    <w:rsid w:val="00F87D31"/>
    <w:rsid w:val="00F87EF3"/>
    <w:rsid w:val="00F902C1"/>
    <w:rsid w:val="00F90AE3"/>
    <w:rsid w:val="00F91398"/>
    <w:rsid w:val="00F913A6"/>
    <w:rsid w:val="00F9185B"/>
    <w:rsid w:val="00F91EE9"/>
    <w:rsid w:val="00F91F77"/>
    <w:rsid w:val="00F924B6"/>
    <w:rsid w:val="00F9252D"/>
    <w:rsid w:val="00F92535"/>
    <w:rsid w:val="00F928C2"/>
    <w:rsid w:val="00F93273"/>
    <w:rsid w:val="00F93CD5"/>
    <w:rsid w:val="00F93FF1"/>
    <w:rsid w:val="00F94344"/>
    <w:rsid w:val="00F94447"/>
    <w:rsid w:val="00F94A03"/>
    <w:rsid w:val="00F954E6"/>
    <w:rsid w:val="00F95909"/>
    <w:rsid w:val="00F95ACC"/>
    <w:rsid w:val="00F95C20"/>
    <w:rsid w:val="00F95DDC"/>
    <w:rsid w:val="00F95DFF"/>
    <w:rsid w:val="00F96DB5"/>
    <w:rsid w:val="00F97049"/>
    <w:rsid w:val="00F971A2"/>
    <w:rsid w:val="00F9721D"/>
    <w:rsid w:val="00F973E9"/>
    <w:rsid w:val="00F9791D"/>
    <w:rsid w:val="00F97BB5"/>
    <w:rsid w:val="00F97C96"/>
    <w:rsid w:val="00FA044C"/>
    <w:rsid w:val="00FA0501"/>
    <w:rsid w:val="00FA0E96"/>
    <w:rsid w:val="00FA10B6"/>
    <w:rsid w:val="00FA189C"/>
    <w:rsid w:val="00FA1A0E"/>
    <w:rsid w:val="00FA1C5A"/>
    <w:rsid w:val="00FA1D5A"/>
    <w:rsid w:val="00FA22CC"/>
    <w:rsid w:val="00FA254B"/>
    <w:rsid w:val="00FA290D"/>
    <w:rsid w:val="00FA2B62"/>
    <w:rsid w:val="00FA2C13"/>
    <w:rsid w:val="00FA2E1D"/>
    <w:rsid w:val="00FA3177"/>
    <w:rsid w:val="00FA38DE"/>
    <w:rsid w:val="00FA3B60"/>
    <w:rsid w:val="00FA4CEB"/>
    <w:rsid w:val="00FA4EF1"/>
    <w:rsid w:val="00FA5220"/>
    <w:rsid w:val="00FA529B"/>
    <w:rsid w:val="00FA54BA"/>
    <w:rsid w:val="00FA557E"/>
    <w:rsid w:val="00FA5D37"/>
    <w:rsid w:val="00FA6567"/>
    <w:rsid w:val="00FA668C"/>
    <w:rsid w:val="00FA676A"/>
    <w:rsid w:val="00FA6975"/>
    <w:rsid w:val="00FA6AB5"/>
    <w:rsid w:val="00FA77C9"/>
    <w:rsid w:val="00FA7C5E"/>
    <w:rsid w:val="00FA7F5E"/>
    <w:rsid w:val="00FB07F0"/>
    <w:rsid w:val="00FB0910"/>
    <w:rsid w:val="00FB0AA2"/>
    <w:rsid w:val="00FB0EE8"/>
    <w:rsid w:val="00FB0F45"/>
    <w:rsid w:val="00FB1175"/>
    <w:rsid w:val="00FB1295"/>
    <w:rsid w:val="00FB136A"/>
    <w:rsid w:val="00FB19EA"/>
    <w:rsid w:val="00FB23AC"/>
    <w:rsid w:val="00FB2535"/>
    <w:rsid w:val="00FB271A"/>
    <w:rsid w:val="00FB2876"/>
    <w:rsid w:val="00FB2D6C"/>
    <w:rsid w:val="00FB2EB3"/>
    <w:rsid w:val="00FB3046"/>
    <w:rsid w:val="00FB31B3"/>
    <w:rsid w:val="00FB3260"/>
    <w:rsid w:val="00FB33C2"/>
    <w:rsid w:val="00FB38EB"/>
    <w:rsid w:val="00FB3CD2"/>
    <w:rsid w:val="00FB3FA7"/>
    <w:rsid w:val="00FB40BD"/>
    <w:rsid w:val="00FB41D3"/>
    <w:rsid w:val="00FB47AA"/>
    <w:rsid w:val="00FB4851"/>
    <w:rsid w:val="00FB4F70"/>
    <w:rsid w:val="00FB5022"/>
    <w:rsid w:val="00FB5419"/>
    <w:rsid w:val="00FB64F8"/>
    <w:rsid w:val="00FB6A3D"/>
    <w:rsid w:val="00FB7137"/>
    <w:rsid w:val="00FB7989"/>
    <w:rsid w:val="00FB7CEA"/>
    <w:rsid w:val="00FB7F01"/>
    <w:rsid w:val="00FC035B"/>
    <w:rsid w:val="00FC0641"/>
    <w:rsid w:val="00FC0CC5"/>
    <w:rsid w:val="00FC133B"/>
    <w:rsid w:val="00FC15EA"/>
    <w:rsid w:val="00FC1657"/>
    <w:rsid w:val="00FC18C8"/>
    <w:rsid w:val="00FC1962"/>
    <w:rsid w:val="00FC1D63"/>
    <w:rsid w:val="00FC1FE8"/>
    <w:rsid w:val="00FC277B"/>
    <w:rsid w:val="00FC3108"/>
    <w:rsid w:val="00FC3580"/>
    <w:rsid w:val="00FC3C08"/>
    <w:rsid w:val="00FC417F"/>
    <w:rsid w:val="00FC4AB3"/>
    <w:rsid w:val="00FC4BD7"/>
    <w:rsid w:val="00FC4E4C"/>
    <w:rsid w:val="00FC5122"/>
    <w:rsid w:val="00FC5170"/>
    <w:rsid w:val="00FC528D"/>
    <w:rsid w:val="00FC5B94"/>
    <w:rsid w:val="00FC65B5"/>
    <w:rsid w:val="00FC6B98"/>
    <w:rsid w:val="00FC70EE"/>
    <w:rsid w:val="00FC760B"/>
    <w:rsid w:val="00FC7B3A"/>
    <w:rsid w:val="00FD02A3"/>
    <w:rsid w:val="00FD0EEB"/>
    <w:rsid w:val="00FD122E"/>
    <w:rsid w:val="00FD137C"/>
    <w:rsid w:val="00FD14E1"/>
    <w:rsid w:val="00FD19A5"/>
    <w:rsid w:val="00FD1BCE"/>
    <w:rsid w:val="00FD1CD6"/>
    <w:rsid w:val="00FD1D0C"/>
    <w:rsid w:val="00FD1E41"/>
    <w:rsid w:val="00FD2181"/>
    <w:rsid w:val="00FD22B1"/>
    <w:rsid w:val="00FD23CD"/>
    <w:rsid w:val="00FD23E0"/>
    <w:rsid w:val="00FD24EF"/>
    <w:rsid w:val="00FD25D7"/>
    <w:rsid w:val="00FD27EA"/>
    <w:rsid w:val="00FD2D5F"/>
    <w:rsid w:val="00FD2EE2"/>
    <w:rsid w:val="00FD2F5E"/>
    <w:rsid w:val="00FD307D"/>
    <w:rsid w:val="00FD31E3"/>
    <w:rsid w:val="00FD3349"/>
    <w:rsid w:val="00FD37E9"/>
    <w:rsid w:val="00FD3891"/>
    <w:rsid w:val="00FD3D68"/>
    <w:rsid w:val="00FD3F48"/>
    <w:rsid w:val="00FD3FD4"/>
    <w:rsid w:val="00FD4286"/>
    <w:rsid w:val="00FD4520"/>
    <w:rsid w:val="00FD458D"/>
    <w:rsid w:val="00FD483F"/>
    <w:rsid w:val="00FD49DE"/>
    <w:rsid w:val="00FD49FC"/>
    <w:rsid w:val="00FD4A1F"/>
    <w:rsid w:val="00FD4B93"/>
    <w:rsid w:val="00FD50FC"/>
    <w:rsid w:val="00FD5168"/>
    <w:rsid w:val="00FD537A"/>
    <w:rsid w:val="00FD5879"/>
    <w:rsid w:val="00FD58AA"/>
    <w:rsid w:val="00FD5BE8"/>
    <w:rsid w:val="00FD6088"/>
    <w:rsid w:val="00FD659B"/>
    <w:rsid w:val="00FD6840"/>
    <w:rsid w:val="00FD68B9"/>
    <w:rsid w:val="00FD69EB"/>
    <w:rsid w:val="00FD6AB9"/>
    <w:rsid w:val="00FD6DB5"/>
    <w:rsid w:val="00FD6FAD"/>
    <w:rsid w:val="00FD7626"/>
    <w:rsid w:val="00FD78D8"/>
    <w:rsid w:val="00FD79CD"/>
    <w:rsid w:val="00FD79D8"/>
    <w:rsid w:val="00FD7A92"/>
    <w:rsid w:val="00FD7E37"/>
    <w:rsid w:val="00FD7FD5"/>
    <w:rsid w:val="00FE09AA"/>
    <w:rsid w:val="00FE0D59"/>
    <w:rsid w:val="00FE1294"/>
    <w:rsid w:val="00FE1455"/>
    <w:rsid w:val="00FE18BB"/>
    <w:rsid w:val="00FE1B2F"/>
    <w:rsid w:val="00FE1DE7"/>
    <w:rsid w:val="00FE2181"/>
    <w:rsid w:val="00FE2C05"/>
    <w:rsid w:val="00FE2C79"/>
    <w:rsid w:val="00FE3362"/>
    <w:rsid w:val="00FE3579"/>
    <w:rsid w:val="00FE35CF"/>
    <w:rsid w:val="00FE3844"/>
    <w:rsid w:val="00FE3FD5"/>
    <w:rsid w:val="00FE5771"/>
    <w:rsid w:val="00FE677A"/>
    <w:rsid w:val="00FE67C0"/>
    <w:rsid w:val="00FE6C36"/>
    <w:rsid w:val="00FE6CD0"/>
    <w:rsid w:val="00FE6D18"/>
    <w:rsid w:val="00FE6FD3"/>
    <w:rsid w:val="00FE6FF0"/>
    <w:rsid w:val="00FE7088"/>
    <w:rsid w:val="00FE70D7"/>
    <w:rsid w:val="00FE7484"/>
    <w:rsid w:val="00FE7691"/>
    <w:rsid w:val="00FE7902"/>
    <w:rsid w:val="00FE7917"/>
    <w:rsid w:val="00FE7A96"/>
    <w:rsid w:val="00FE7F63"/>
    <w:rsid w:val="00FF0455"/>
    <w:rsid w:val="00FF05B2"/>
    <w:rsid w:val="00FF05C9"/>
    <w:rsid w:val="00FF0E24"/>
    <w:rsid w:val="00FF0E91"/>
    <w:rsid w:val="00FF0EED"/>
    <w:rsid w:val="00FF19C9"/>
    <w:rsid w:val="00FF1A4B"/>
    <w:rsid w:val="00FF1B14"/>
    <w:rsid w:val="00FF1BCC"/>
    <w:rsid w:val="00FF1C53"/>
    <w:rsid w:val="00FF1EDD"/>
    <w:rsid w:val="00FF25B4"/>
    <w:rsid w:val="00FF2914"/>
    <w:rsid w:val="00FF2BFF"/>
    <w:rsid w:val="00FF2CF2"/>
    <w:rsid w:val="00FF2D10"/>
    <w:rsid w:val="00FF308D"/>
    <w:rsid w:val="00FF342F"/>
    <w:rsid w:val="00FF3AB0"/>
    <w:rsid w:val="00FF3B45"/>
    <w:rsid w:val="00FF3E06"/>
    <w:rsid w:val="00FF4064"/>
    <w:rsid w:val="00FF4143"/>
    <w:rsid w:val="00FF51D0"/>
    <w:rsid w:val="00FF53AD"/>
    <w:rsid w:val="00FF53BE"/>
    <w:rsid w:val="00FF5AC5"/>
    <w:rsid w:val="00FF5D8E"/>
    <w:rsid w:val="00FF65C1"/>
    <w:rsid w:val="00FF6681"/>
    <w:rsid w:val="00FF6793"/>
    <w:rsid w:val="00FF6952"/>
    <w:rsid w:val="00FF6AE7"/>
    <w:rsid w:val="00FF6DC3"/>
    <w:rsid w:val="00FF700E"/>
    <w:rsid w:val="00FF73DF"/>
    <w:rsid w:val="00FF7D08"/>
    <w:rsid w:val="00FF7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3B4F1428"/>
  <w15:docId w15:val="{E438D228-4053-487E-AC01-B04E0F5C6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908"/>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BodyText"/>
    <w:next w:val="BodyText"/>
    <w:link w:val="Heading1Char"/>
    <w:rsid w:val="00D15C5C"/>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D15C5C"/>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D15C5C"/>
    <w:pPr>
      <w:spacing w:before="560" w:line="320" w:lineRule="exact"/>
      <w:ind w:left="0" w:firstLine="0"/>
      <w:outlineLvl w:val="2"/>
    </w:pPr>
    <w:rPr>
      <w:sz w:val="26"/>
    </w:rPr>
  </w:style>
  <w:style w:type="paragraph" w:styleId="Heading4">
    <w:name w:val="heading 4"/>
    <w:basedOn w:val="Heading3"/>
    <w:next w:val="BodyText"/>
    <w:qFormat/>
    <w:rsid w:val="00D15C5C"/>
    <w:pPr>
      <w:spacing w:before="480"/>
      <w:outlineLvl w:val="3"/>
    </w:pPr>
    <w:rPr>
      <w:b w:val="0"/>
      <w:sz w:val="24"/>
    </w:rPr>
  </w:style>
  <w:style w:type="paragraph" w:styleId="Heading5">
    <w:name w:val="heading 5"/>
    <w:basedOn w:val="Heading4"/>
    <w:next w:val="BodyText"/>
    <w:link w:val="Heading5Char"/>
    <w:qFormat/>
    <w:rsid w:val="00D15C5C"/>
    <w:pPr>
      <w:outlineLvl w:val="4"/>
    </w:pPr>
    <w:rPr>
      <w:i/>
      <w:sz w:val="22"/>
    </w:rPr>
  </w:style>
  <w:style w:type="paragraph" w:styleId="Heading6">
    <w:name w:val="heading 6"/>
    <w:basedOn w:val="BodyText"/>
    <w:next w:val="BodyText"/>
    <w:rsid w:val="00D15C5C"/>
    <w:pPr>
      <w:spacing w:after="60"/>
      <w:jc w:val="left"/>
      <w:outlineLvl w:val="5"/>
    </w:pPr>
    <w:rPr>
      <w:i/>
      <w:sz w:val="22"/>
    </w:rPr>
  </w:style>
  <w:style w:type="paragraph" w:styleId="Heading7">
    <w:name w:val="heading 7"/>
    <w:basedOn w:val="BodyText"/>
    <w:next w:val="BodyText"/>
    <w:rsid w:val="00D15C5C"/>
    <w:pPr>
      <w:spacing w:after="60" w:line="240" w:lineRule="auto"/>
      <w:jc w:val="left"/>
      <w:outlineLvl w:val="6"/>
    </w:pPr>
    <w:rPr>
      <w:rFonts w:ascii="Arial" w:hAnsi="Arial"/>
      <w:sz w:val="20"/>
    </w:rPr>
  </w:style>
  <w:style w:type="paragraph" w:styleId="Heading8">
    <w:name w:val="heading 8"/>
    <w:basedOn w:val="BodyText"/>
    <w:next w:val="BodyText"/>
    <w:rsid w:val="00D15C5C"/>
    <w:pPr>
      <w:spacing w:after="60" w:line="240" w:lineRule="auto"/>
      <w:jc w:val="left"/>
      <w:outlineLvl w:val="7"/>
    </w:pPr>
    <w:rPr>
      <w:rFonts w:ascii="Arial" w:hAnsi="Arial"/>
      <w:i/>
      <w:sz w:val="20"/>
    </w:rPr>
  </w:style>
  <w:style w:type="paragraph" w:styleId="Heading9">
    <w:name w:val="heading 9"/>
    <w:basedOn w:val="BodyText"/>
    <w:next w:val="BodyText"/>
    <w:rsid w:val="00D15C5C"/>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8579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7908"/>
  </w:style>
  <w:style w:type="paragraph" w:styleId="BodyText">
    <w:name w:val="Body Text"/>
    <w:aliases w:val="new legislation style,Body Text Char1 Char,Body Text Char Char Char,Body Text Char1 Char Char Char,Body Text Char Char Char Char Char1,Body Text Char2 Char1 Char Char Char Char Char,Body Text Char2 Char,new legislation style Char1 Char"/>
    <w:link w:val="BodyTextChar"/>
    <w:qFormat/>
    <w:rsid w:val="00D15C5C"/>
    <w:pPr>
      <w:spacing w:before="240" w:line="300" w:lineRule="atLeast"/>
      <w:jc w:val="both"/>
    </w:pPr>
    <w:rPr>
      <w:sz w:val="24"/>
    </w:rPr>
  </w:style>
  <w:style w:type="paragraph" w:customStyle="1" w:styleId="Chapter">
    <w:name w:val="Chapter"/>
    <w:basedOn w:val="Heading1"/>
    <w:next w:val="BodyText"/>
    <w:semiHidden/>
    <w:rsid w:val="00D15C5C"/>
    <w:pPr>
      <w:ind w:left="0" w:firstLine="0"/>
      <w:outlineLvl w:val="9"/>
    </w:pPr>
  </w:style>
  <w:style w:type="paragraph" w:styleId="Footer">
    <w:name w:val="footer"/>
    <w:basedOn w:val="BodyText"/>
    <w:link w:val="FooterChar"/>
    <w:rsid w:val="00D15C5C"/>
    <w:pPr>
      <w:spacing w:before="80" w:line="200" w:lineRule="exact"/>
      <w:ind w:right="6"/>
      <w:jc w:val="left"/>
    </w:pPr>
    <w:rPr>
      <w:rFonts w:ascii="Arial" w:hAnsi="Arial"/>
      <w:caps/>
      <w:spacing w:val="-4"/>
      <w:sz w:val="16"/>
    </w:rPr>
  </w:style>
  <w:style w:type="paragraph" w:customStyle="1" w:styleId="FooterEnd">
    <w:name w:val="Footer End"/>
    <w:basedOn w:val="Footer"/>
    <w:rsid w:val="00D15C5C"/>
    <w:pPr>
      <w:spacing w:before="0" w:line="20" w:lineRule="exact"/>
    </w:pPr>
  </w:style>
  <w:style w:type="paragraph" w:styleId="Header">
    <w:name w:val="header"/>
    <w:basedOn w:val="BodyText"/>
    <w:rsid w:val="00D15C5C"/>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D15C5C"/>
    <w:pPr>
      <w:spacing w:line="20" w:lineRule="exact"/>
    </w:pPr>
    <w:rPr>
      <w:sz w:val="16"/>
    </w:rPr>
  </w:style>
  <w:style w:type="paragraph" w:customStyle="1" w:styleId="HeaderEven">
    <w:name w:val="Header Even"/>
    <w:basedOn w:val="Header"/>
    <w:semiHidden/>
    <w:rsid w:val="00D15C5C"/>
  </w:style>
  <w:style w:type="paragraph" w:customStyle="1" w:styleId="HeaderOdd">
    <w:name w:val="Header Odd"/>
    <w:basedOn w:val="Header"/>
    <w:rsid w:val="00D15C5C"/>
  </w:style>
  <w:style w:type="character" w:styleId="PageNumber">
    <w:name w:val="page number"/>
    <w:basedOn w:val="DefaultParagraphFont"/>
    <w:rsid w:val="00D15C5C"/>
    <w:rPr>
      <w:rFonts w:ascii="Arial" w:hAnsi="Arial"/>
      <w:b/>
      <w:sz w:val="16"/>
    </w:rPr>
  </w:style>
  <w:style w:type="paragraph" w:customStyle="1" w:styleId="Abbreviation">
    <w:name w:val="Abbreviation"/>
    <w:basedOn w:val="BodyText"/>
    <w:rsid w:val="00D15C5C"/>
    <w:pPr>
      <w:spacing w:before="120"/>
      <w:ind w:left="2381" w:hanging="2381"/>
      <w:jc w:val="left"/>
    </w:pPr>
  </w:style>
  <w:style w:type="paragraph" w:customStyle="1" w:styleId="Box">
    <w:name w:val="Box"/>
    <w:basedOn w:val="BodyText"/>
    <w:link w:val="BoxChar"/>
    <w:qFormat/>
    <w:rsid w:val="00D15C5C"/>
    <w:pPr>
      <w:keepNext/>
      <w:spacing w:before="120" w:line="260" w:lineRule="atLeast"/>
    </w:pPr>
    <w:rPr>
      <w:rFonts w:ascii="Arial" w:hAnsi="Arial"/>
      <w:sz w:val="20"/>
    </w:rPr>
  </w:style>
  <w:style w:type="paragraph" w:customStyle="1" w:styleId="BoxContinued">
    <w:name w:val="Box Continued"/>
    <w:basedOn w:val="BodyText"/>
    <w:next w:val="BodyText"/>
    <w:link w:val="BoxContinuedChar"/>
    <w:semiHidden/>
    <w:rsid w:val="00D15C5C"/>
    <w:pPr>
      <w:spacing w:before="180" w:line="220" w:lineRule="exact"/>
      <w:jc w:val="right"/>
    </w:pPr>
    <w:rPr>
      <w:rFonts w:ascii="Arial" w:hAnsi="Arial"/>
      <w:sz w:val="18"/>
    </w:rPr>
  </w:style>
  <w:style w:type="paragraph" w:customStyle="1" w:styleId="BoxHeading1">
    <w:name w:val="Box Heading 1"/>
    <w:basedOn w:val="BodyText"/>
    <w:next w:val="Box"/>
    <w:rsid w:val="00D15C5C"/>
    <w:pPr>
      <w:keepNext/>
      <w:spacing w:before="200" w:line="280" w:lineRule="atLeast"/>
    </w:pPr>
    <w:rPr>
      <w:rFonts w:ascii="Arial" w:hAnsi="Arial"/>
      <w:b/>
      <w:sz w:val="22"/>
    </w:rPr>
  </w:style>
  <w:style w:type="paragraph" w:customStyle="1" w:styleId="BoxHeading2">
    <w:name w:val="Box Heading 2"/>
    <w:basedOn w:val="BoxHeading1"/>
    <w:next w:val="Normal"/>
    <w:rsid w:val="00D15C5C"/>
    <w:rPr>
      <w:b w:val="0"/>
      <w:i/>
    </w:rPr>
  </w:style>
  <w:style w:type="paragraph" w:customStyle="1" w:styleId="BoxListBullet">
    <w:name w:val="Box List Bullet"/>
    <w:basedOn w:val="BodyText"/>
    <w:link w:val="BoxListBulletChar"/>
    <w:rsid w:val="00D15C5C"/>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D15C5C"/>
    <w:pPr>
      <w:numPr>
        <w:numId w:val="2"/>
      </w:numPr>
      <w:ind w:left="568" w:hanging="284"/>
    </w:pPr>
  </w:style>
  <w:style w:type="paragraph" w:customStyle="1" w:styleId="BoxListNumber">
    <w:name w:val="Box List Number"/>
    <w:basedOn w:val="BodyText"/>
    <w:rsid w:val="00D15C5C"/>
    <w:pPr>
      <w:keepNext/>
      <w:numPr>
        <w:numId w:val="14"/>
      </w:numPr>
      <w:spacing w:before="100" w:line="260" w:lineRule="atLeast"/>
    </w:pPr>
    <w:rPr>
      <w:rFonts w:ascii="Arial" w:hAnsi="Arial"/>
      <w:sz w:val="20"/>
    </w:rPr>
  </w:style>
  <w:style w:type="paragraph" w:customStyle="1" w:styleId="BoxListNumber2">
    <w:name w:val="Box List Number 2"/>
    <w:basedOn w:val="BoxListNumber"/>
    <w:rsid w:val="00D15C5C"/>
    <w:pPr>
      <w:numPr>
        <w:ilvl w:val="1"/>
      </w:numPr>
      <w:ind w:left="681" w:hanging="397"/>
    </w:pPr>
  </w:style>
  <w:style w:type="paragraph" w:customStyle="1" w:styleId="BoxQuote">
    <w:name w:val="Box Quote"/>
    <w:basedOn w:val="BodyText"/>
    <w:next w:val="Box"/>
    <w:qFormat/>
    <w:rsid w:val="00D15C5C"/>
    <w:pPr>
      <w:keepNext/>
      <w:spacing w:before="60" w:line="240" w:lineRule="exact"/>
      <w:ind w:left="284"/>
    </w:pPr>
    <w:rPr>
      <w:rFonts w:ascii="Arial" w:hAnsi="Arial"/>
      <w:sz w:val="18"/>
    </w:rPr>
  </w:style>
  <w:style w:type="paragraph" w:customStyle="1" w:styleId="Note">
    <w:name w:val="Note"/>
    <w:basedOn w:val="BodyText"/>
    <w:next w:val="BodyText"/>
    <w:link w:val="NoteChar"/>
    <w:rsid w:val="00D15C5C"/>
    <w:pPr>
      <w:keepLines/>
      <w:spacing w:before="80" w:line="220" w:lineRule="exact"/>
    </w:pPr>
    <w:rPr>
      <w:rFonts w:ascii="Arial" w:hAnsi="Arial"/>
      <w:sz w:val="18"/>
    </w:rPr>
  </w:style>
  <w:style w:type="paragraph" w:customStyle="1" w:styleId="Source">
    <w:name w:val="Source"/>
    <w:basedOn w:val="Normal"/>
    <w:next w:val="BodyText"/>
    <w:link w:val="SourceChar"/>
    <w:rsid w:val="00D15C5C"/>
    <w:pPr>
      <w:keepLines/>
      <w:spacing w:before="80" w:line="220" w:lineRule="exact"/>
      <w:jc w:val="both"/>
    </w:pPr>
    <w:rPr>
      <w:rFonts w:ascii="Arial" w:hAnsi="Arial"/>
      <w:sz w:val="18"/>
      <w:szCs w:val="20"/>
    </w:rPr>
  </w:style>
  <w:style w:type="paragraph" w:customStyle="1" w:styleId="BoxSource">
    <w:name w:val="Box Source"/>
    <w:basedOn w:val="Source"/>
    <w:next w:val="BodyText"/>
    <w:rsid w:val="00D15C5C"/>
    <w:pPr>
      <w:spacing w:before="120"/>
    </w:pPr>
  </w:style>
  <w:style w:type="paragraph" w:customStyle="1" w:styleId="BoxSpace">
    <w:name w:val="Box Space"/>
    <w:basedOn w:val="BodyText"/>
    <w:rsid w:val="003C39D8"/>
    <w:pPr>
      <w:keepNext/>
      <w:spacing w:before="360" w:line="80" w:lineRule="exact"/>
      <w:jc w:val="left"/>
    </w:pPr>
  </w:style>
  <w:style w:type="paragraph" w:styleId="Caption">
    <w:name w:val="caption"/>
    <w:basedOn w:val="Normal"/>
    <w:next w:val="BodyText"/>
    <w:rsid w:val="00D15C5C"/>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D15C5C"/>
    <w:pPr>
      <w:spacing w:before="120" w:after="0"/>
    </w:pPr>
  </w:style>
  <w:style w:type="paragraph" w:customStyle="1" w:styleId="BoxSubtitle">
    <w:name w:val="Box Subtitle"/>
    <w:basedOn w:val="BoxTitle"/>
    <w:next w:val="Normal"/>
    <w:rsid w:val="00D15C5C"/>
    <w:pPr>
      <w:spacing w:after="80" w:line="200" w:lineRule="exact"/>
      <w:ind w:firstLine="0"/>
    </w:pPr>
    <w:rPr>
      <w:b w:val="0"/>
      <w:sz w:val="20"/>
    </w:rPr>
  </w:style>
  <w:style w:type="paragraph" w:customStyle="1" w:styleId="ChapterSummary">
    <w:name w:val="Chapter Summary"/>
    <w:basedOn w:val="BodyText"/>
    <w:rsid w:val="00D15C5C"/>
    <w:pPr>
      <w:spacing w:line="280" w:lineRule="atLeast"/>
      <w:ind w:left="907"/>
    </w:pPr>
    <w:rPr>
      <w:rFonts w:ascii="Arial" w:hAnsi="Arial"/>
      <w:b/>
      <w:sz w:val="20"/>
    </w:rPr>
  </w:style>
  <w:style w:type="character" w:styleId="CommentReference">
    <w:name w:val="annotation reference"/>
    <w:basedOn w:val="DefaultParagraphFont"/>
    <w:semiHidden/>
    <w:rsid w:val="00D15C5C"/>
    <w:rPr>
      <w:b/>
      <w:vanish/>
      <w:color w:val="FF00FF"/>
      <w:sz w:val="20"/>
    </w:rPr>
  </w:style>
  <w:style w:type="paragraph" w:styleId="CommentText">
    <w:name w:val="annotation text"/>
    <w:basedOn w:val="Normal"/>
    <w:link w:val="CommentTextChar"/>
    <w:semiHidden/>
    <w:rsid w:val="00D15C5C"/>
    <w:pPr>
      <w:spacing w:before="120" w:line="240" w:lineRule="atLeast"/>
      <w:ind w:left="567" w:hanging="567"/>
    </w:pPr>
    <w:rPr>
      <w:sz w:val="20"/>
    </w:rPr>
  </w:style>
  <w:style w:type="paragraph" w:customStyle="1" w:styleId="Continued">
    <w:name w:val="Continued"/>
    <w:basedOn w:val="BoxContinued"/>
    <w:next w:val="BodyText"/>
    <w:link w:val="ContinuedChar"/>
    <w:rsid w:val="00D15C5C"/>
  </w:style>
  <w:style w:type="character" w:customStyle="1" w:styleId="DocumentInfo">
    <w:name w:val="Document Info"/>
    <w:basedOn w:val="DefaultParagraphFont"/>
    <w:semiHidden/>
    <w:rsid w:val="00D15C5C"/>
    <w:rPr>
      <w:rFonts w:ascii="Arial" w:hAnsi="Arial"/>
      <w:sz w:val="14"/>
    </w:rPr>
  </w:style>
  <w:style w:type="character" w:customStyle="1" w:styleId="DraftingNote">
    <w:name w:val="Drafting Note"/>
    <w:basedOn w:val="DefaultParagraphFont"/>
    <w:rsid w:val="00D15C5C"/>
    <w:rPr>
      <w:b/>
      <w:color w:val="FF0000"/>
      <w:sz w:val="24"/>
      <w:u w:val="dotted"/>
    </w:rPr>
  </w:style>
  <w:style w:type="paragraph" w:customStyle="1" w:styleId="Figure">
    <w:name w:val="Figure"/>
    <w:basedOn w:val="BodyText"/>
    <w:rsid w:val="00D15C5C"/>
    <w:pPr>
      <w:keepNext/>
      <w:spacing w:before="120" w:after="120" w:line="240" w:lineRule="atLeast"/>
      <w:jc w:val="center"/>
    </w:pPr>
  </w:style>
  <w:style w:type="paragraph" w:customStyle="1" w:styleId="FigureTitle">
    <w:name w:val="Figure Title"/>
    <w:basedOn w:val="Caption"/>
    <w:next w:val="Subtitle"/>
    <w:rsid w:val="00D15C5C"/>
    <w:pPr>
      <w:spacing w:before="120"/>
    </w:pPr>
  </w:style>
  <w:style w:type="paragraph" w:styleId="Subtitle">
    <w:name w:val="Subtitle"/>
    <w:basedOn w:val="Caption"/>
    <w:link w:val="SubtitleChar"/>
    <w:qFormat/>
    <w:rsid w:val="00D15C5C"/>
    <w:pPr>
      <w:spacing w:before="0" w:line="200" w:lineRule="exact"/>
      <w:ind w:firstLine="0"/>
    </w:pPr>
    <w:rPr>
      <w:b w:val="0"/>
      <w:sz w:val="20"/>
    </w:rPr>
  </w:style>
  <w:style w:type="paragraph" w:customStyle="1" w:styleId="Finding">
    <w:name w:val="Finding"/>
    <w:basedOn w:val="BodyText"/>
    <w:rsid w:val="00D15C5C"/>
    <w:pPr>
      <w:keepLines/>
      <w:spacing w:before="120" w:line="280" w:lineRule="atLeast"/>
    </w:pPr>
    <w:rPr>
      <w:rFonts w:ascii="Arial" w:hAnsi="Arial"/>
      <w:sz w:val="22"/>
    </w:rPr>
  </w:style>
  <w:style w:type="paragraph" w:customStyle="1" w:styleId="FindingBullet">
    <w:name w:val="Finding Bullet"/>
    <w:basedOn w:val="Finding"/>
    <w:rsid w:val="00D15C5C"/>
    <w:pPr>
      <w:numPr>
        <w:numId w:val="3"/>
      </w:numPr>
      <w:spacing w:before="80"/>
    </w:pPr>
  </w:style>
  <w:style w:type="paragraph" w:customStyle="1" w:styleId="FindingNoTitle">
    <w:name w:val="Finding NoTitle"/>
    <w:basedOn w:val="Finding"/>
    <w:rsid w:val="00D15C5C"/>
    <w:pPr>
      <w:spacing w:before="240"/>
    </w:pPr>
  </w:style>
  <w:style w:type="paragraph" w:customStyle="1" w:styleId="RecTitle">
    <w:name w:val="Rec Title"/>
    <w:basedOn w:val="BodyText"/>
    <w:next w:val="Rec"/>
    <w:qFormat/>
    <w:rsid w:val="00D15C5C"/>
    <w:pPr>
      <w:keepNext/>
      <w:keepLines/>
      <w:spacing w:line="280" w:lineRule="atLeast"/>
    </w:pPr>
    <w:rPr>
      <w:rFonts w:ascii="Arial" w:hAnsi="Arial"/>
      <w:caps/>
      <w:sz w:val="18"/>
    </w:rPr>
  </w:style>
  <w:style w:type="paragraph" w:customStyle="1" w:styleId="FindingTitle">
    <w:name w:val="Finding Title"/>
    <w:basedOn w:val="RecTitle"/>
    <w:next w:val="Finding"/>
    <w:rsid w:val="00D15C5C"/>
  </w:style>
  <w:style w:type="character" w:styleId="FootnoteReference">
    <w:name w:val="footnote reference"/>
    <w:basedOn w:val="DefaultParagraphFont"/>
    <w:rsid w:val="00D15C5C"/>
    <w:rPr>
      <w:rFonts w:ascii="Times New Roman" w:hAnsi="Times New Roman"/>
      <w:position w:val="6"/>
      <w:sz w:val="20"/>
      <w:vertAlign w:val="baseline"/>
    </w:rPr>
  </w:style>
  <w:style w:type="paragraph" w:styleId="FootnoteText">
    <w:name w:val="footnote text"/>
    <w:basedOn w:val="BodyText"/>
    <w:rsid w:val="00D15C5C"/>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D15C5C"/>
    <w:rPr>
      <w:i/>
    </w:rPr>
  </w:style>
  <w:style w:type="paragraph" w:customStyle="1" w:styleId="Jurisdictioncommentsbodytext">
    <w:name w:val="Jurisdiction comments body text"/>
    <w:rsid w:val="00D15C5C"/>
    <w:pPr>
      <w:spacing w:after="140"/>
      <w:jc w:val="both"/>
    </w:pPr>
    <w:rPr>
      <w:rFonts w:ascii="Arial" w:hAnsi="Arial"/>
      <w:sz w:val="24"/>
      <w:lang w:eastAsia="en-US"/>
    </w:rPr>
  </w:style>
  <w:style w:type="paragraph" w:customStyle="1" w:styleId="Jurisdictioncommentsheading">
    <w:name w:val="Jurisdiction comments heading"/>
    <w:rsid w:val="00D15C5C"/>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D15C5C"/>
    <w:pPr>
      <w:numPr>
        <w:numId w:val="4"/>
      </w:numPr>
      <w:spacing w:after="140"/>
      <w:jc w:val="both"/>
    </w:pPr>
    <w:rPr>
      <w:rFonts w:ascii="Arial" w:hAnsi="Arial"/>
      <w:sz w:val="24"/>
      <w:lang w:eastAsia="en-US"/>
    </w:rPr>
  </w:style>
  <w:style w:type="paragraph" w:styleId="ListBullet">
    <w:name w:val="List Bullet"/>
    <w:aliases w:val="List Bullet Char1,List Bullet Char Char,List Bullet Char1 Char Char"/>
    <w:basedOn w:val="BodyText"/>
    <w:link w:val="ListBulletChar"/>
    <w:rsid w:val="00D15C5C"/>
    <w:pPr>
      <w:numPr>
        <w:numId w:val="5"/>
      </w:numPr>
      <w:spacing w:before="120"/>
    </w:pPr>
  </w:style>
  <w:style w:type="paragraph" w:styleId="ListBullet2">
    <w:name w:val="List Bullet 2"/>
    <w:basedOn w:val="BodyText"/>
    <w:rsid w:val="00D15C5C"/>
    <w:pPr>
      <w:numPr>
        <w:numId w:val="6"/>
      </w:numPr>
      <w:spacing w:before="120"/>
    </w:pPr>
  </w:style>
  <w:style w:type="paragraph" w:styleId="ListBullet3">
    <w:name w:val="List Bullet 3"/>
    <w:basedOn w:val="BodyText"/>
    <w:rsid w:val="00D15C5C"/>
    <w:pPr>
      <w:numPr>
        <w:numId w:val="7"/>
      </w:numPr>
      <w:spacing w:before="120"/>
      <w:ind w:left="1020" w:hanging="340"/>
    </w:pPr>
  </w:style>
  <w:style w:type="paragraph" w:styleId="ListNumber">
    <w:name w:val="List Number"/>
    <w:basedOn w:val="BodyText"/>
    <w:rsid w:val="00D15C5C"/>
    <w:pPr>
      <w:numPr>
        <w:numId w:val="13"/>
      </w:numPr>
      <w:spacing w:before="120"/>
    </w:pPr>
  </w:style>
  <w:style w:type="paragraph" w:styleId="ListNumber2">
    <w:name w:val="List Number 2"/>
    <w:basedOn w:val="ListNumber"/>
    <w:rsid w:val="00D15C5C"/>
    <w:pPr>
      <w:numPr>
        <w:ilvl w:val="1"/>
      </w:numPr>
    </w:pPr>
  </w:style>
  <w:style w:type="paragraph" w:styleId="ListNumber3">
    <w:name w:val="List Number 3"/>
    <w:basedOn w:val="ListNumber2"/>
    <w:rsid w:val="00D15C5C"/>
    <w:pPr>
      <w:numPr>
        <w:ilvl w:val="2"/>
      </w:numPr>
    </w:pPr>
  </w:style>
  <w:style w:type="character" w:customStyle="1" w:styleId="NoteLabel">
    <w:name w:val="Note Label"/>
    <w:basedOn w:val="DefaultParagraphFont"/>
    <w:rsid w:val="00D15C5C"/>
    <w:rPr>
      <w:rFonts w:ascii="Arial" w:hAnsi="Arial"/>
      <w:b/>
      <w:position w:val="6"/>
      <w:sz w:val="18"/>
    </w:rPr>
  </w:style>
  <w:style w:type="paragraph" w:customStyle="1" w:styleId="PartDivider">
    <w:name w:val="Part Divider"/>
    <w:basedOn w:val="BodyText"/>
    <w:next w:val="BodyText"/>
    <w:semiHidden/>
    <w:rsid w:val="00D15C5C"/>
    <w:pPr>
      <w:spacing w:before="0" w:line="40" w:lineRule="exact"/>
      <w:jc w:val="right"/>
    </w:pPr>
    <w:rPr>
      <w:smallCaps/>
      <w:sz w:val="16"/>
    </w:rPr>
  </w:style>
  <w:style w:type="paragraph" w:customStyle="1" w:styleId="PartNumber">
    <w:name w:val="Part Number"/>
    <w:basedOn w:val="BodyText"/>
    <w:next w:val="BodyText"/>
    <w:semiHidden/>
    <w:rsid w:val="00D15C5C"/>
    <w:pPr>
      <w:spacing w:before="4000" w:line="320" w:lineRule="exact"/>
      <w:ind w:left="6634"/>
      <w:jc w:val="right"/>
    </w:pPr>
    <w:rPr>
      <w:smallCaps/>
      <w:spacing w:val="60"/>
      <w:sz w:val="32"/>
    </w:rPr>
  </w:style>
  <w:style w:type="paragraph" w:customStyle="1" w:styleId="PartTitle">
    <w:name w:val="Part Title"/>
    <w:basedOn w:val="BodyText"/>
    <w:rsid w:val="00D15C5C"/>
    <w:pPr>
      <w:spacing w:before="160" w:after="1360" w:line="520" w:lineRule="exact"/>
      <w:ind w:right="2381"/>
      <w:jc w:val="right"/>
    </w:pPr>
    <w:rPr>
      <w:smallCaps/>
      <w:sz w:val="52"/>
    </w:rPr>
  </w:style>
  <w:style w:type="paragraph" w:styleId="Quote">
    <w:name w:val="Quote"/>
    <w:basedOn w:val="BodyText"/>
    <w:next w:val="BodyText"/>
    <w:qFormat/>
    <w:rsid w:val="00D15C5C"/>
    <w:pPr>
      <w:spacing w:before="120" w:line="280" w:lineRule="exact"/>
      <w:ind w:left="340"/>
    </w:pPr>
    <w:rPr>
      <w:sz w:val="22"/>
    </w:rPr>
  </w:style>
  <w:style w:type="paragraph" w:customStyle="1" w:styleId="QuoteBullet">
    <w:name w:val="Quote Bullet"/>
    <w:basedOn w:val="Quote"/>
    <w:rsid w:val="00D15C5C"/>
    <w:pPr>
      <w:numPr>
        <w:numId w:val="8"/>
      </w:numPr>
    </w:pPr>
  </w:style>
  <w:style w:type="paragraph" w:customStyle="1" w:styleId="Rec">
    <w:name w:val="Rec"/>
    <w:basedOn w:val="BodyText"/>
    <w:qFormat/>
    <w:rsid w:val="00D15C5C"/>
    <w:pPr>
      <w:keepLines/>
      <w:spacing w:before="120" w:line="280" w:lineRule="atLeast"/>
    </w:pPr>
    <w:rPr>
      <w:rFonts w:ascii="Arial" w:hAnsi="Arial"/>
      <w:sz w:val="22"/>
    </w:rPr>
  </w:style>
  <w:style w:type="paragraph" w:customStyle="1" w:styleId="RecBullet">
    <w:name w:val="Rec Bullet"/>
    <w:basedOn w:val="Rec"/>
    <w:rsid w:val="00D15C5C"/>
    <w:pPr>
      <w:numPr>
        <w:numId w:val="9"/>
      </w:numPr>
      <w:spacing w:before="80"/>
    </w:pPr>
  </w:style>
  <w:style w:type="paragraph" w:customStyle="1" w:styleId="RecB">
    <w:name w:val="RecB"/>
    <w:basedOn w:val="Normal"/>
    <w:rsid w:val="00D15C5C"/>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D15C5C"/>
    <w:pPr>
      <w:numPr>
        <w:numId w:val="10"/>
      </w:numPr>
      <w:spacing w:before="80"/>
    </w:pPr>
  </w:style>
  <w:style w:type="paragraph" w:customStyle="1" w:styleId="RecBNoTitle">
    <w:name w:val="RecB NoTitle"/>
    <w:basedOn w:val="RecB"/>
    <w:rsid w:val="00D15C5C"/>
    <w:pPr>
      <w:spacing w:before="240"/>
    </w:pPr>
  </w:style>
  <w:style w:type="paragraph" w:customStyle="1" w:styleId="Reference">
    <w:name w:val="Reference"/>
    <w:basedOn w:val="BodyText"/>
    <w:rsid w:val="00D15C5C"/>
    <w:pPr>
      <w:spacing w:before="120"/>
      <w:ind w:left="340" w:hanging="340"/>
    </w:pPr>
  </w:style>
  <w:style w:type="paragraph" w:customStyle="1" w:styleId="SequenceInfo">
    <w:name w:val="Sequence Info"/>
    <w:basedOn w:val="BodyText"/>
    <w:semiHidden/>
    <w:rsid w:val="00D15C5C"/>
    <w:rPr>
      <w:vanish/>
      <w:sz w:val="16"/>
    </w:rPr>
  </w:style>
  <w:style w:type="paragraph" w:customStyle="1" w:styleId="SideNote">
    <w:name w:val="Side Note"/>
    <w:basedOn w:val="BodyText"/>
    <w:next w:val="BodyText"/>
    <w:semiHidden/>
    <w:rsid w:val="00D15C5C"/>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D15C5C"/>
    <w:pPr>
      <w:framePr w:wrap="around"/>
      <w:numPr>
        <w:numId w:val="11"/>
      </w:numPr>
      <w:tabs>
        <w:tab w:val="left" w:pos="227"/>
      </w:tabs>
    </w:pPr>
  </w:style>
  <w:style w:type="paragraph" w:customStyle="1" w:styleId="SideNoteGraphic">
    <w:name w:val="Side Note Graphic"/>
    <w:basedOn w:val="SideNote"/>
    <w:next w:val="BodyText"/>
    <w:semiHidden/>
    <w:rsid w:val="00D15C5C"/>
    <w:pPr>
      <w:framePr w:wrap="around"/>
    </w:pPr>
  </w:style>
  <w:style w:type="paragraph" w:customStyle="1" w:styleId="TableBodyText">
    <w:name w:val="Table Body Text"/>
    <w:basedOn w:val="BodyText"/>
    <w:link w:val="TableBodyTextChar"/>
    <w:rsid w:val="00D15C5C"/>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link w:val="TableBulletChar"/>
    <w:rsid w:val="00D15C5C"/>
    <w:pPr>
      <w:numPr>
        <w:numId w:val="12"/>
      </w:numPr>
      <w:jc w:val="left"/>
    </w:pPr>
  </w:style>
  <w:style w:type="paragraph" w:customStyle="1" w:styleId="TableColumnHeading">
    <w:name w:val="Table Column Heading"/>
    <w:basedOn w:val="TableBodyText"/>
    <w:link w:val="TableColumnHeadingChar"/>
    <w:rsid w:val="00D15C5C"/>
    <w:pPr>
      <w:spacing w:before="80" w:after="80"/>
    </w:pPr>
    <w:rPr>
      <w:i/>
    </w:rPr>
  </w:style>
  <w:style w:type="paragraph" w:styleId="TOC2">
    <w:name w:val="toc 2"/>
    <w:basedOn w:val="TOC1"/>
    <w:rsid w:val="00D15C5C"/>
    <w:pPr>
      <w:ind w:left="1134" w:hanging="624"/>
    </w:pPr>
    <w:rPr>
      <w:b w:val="0"/>
    </w:rPr>
  </w:style>
  <w:style w:type="paragraph" w:styleId="TOC3">
    <w:name w:val="toc 3"/>
    <w:basedOn w:val="TOC2"/>
    <w:rsid w:val="00D15C5C"/>
    <w:pPr>
      <w:spacing w:before="60"/>
      <w:ind w:left="1190" w:hanging="680"/>
    </w:pPr>
  </w:style>
  <w:style w:type="paragraph" w:styleId="TableofFigures">
    <w:name w:val="table of figures"/>
    <w:basedOn w:val="TOC3"/>
    <w:next w:val="BodyText"/>
    <w:semiHidden/>
    <w:rsid w:val="00D15C5C"/>
    <w:pPr>
      <w:ind w:left="737" w:hanging="737"/>
    </w:pPr>
  </w:style>
  <w:style w:type="paragraph" w:customStyle="1" w:styleId="TableTitle">
    <w:name w:val="Table Title"/>
    <w:basedOn w:val="Caption"/>
    <w:next w:val="Subtitle"/>
    <w:link w:val="TableTitleChar"/>
    <w:qFormat/>
    <w:rsid w:val="00D15C5C"/>
    <w:pPr>
      <w:spacing w:before="120"/>
    </w:pPr>
  </w:style>
  <w:style w:type="paragraph" w:customStyle="1" w:styleId="TableUnitsRow">
    <w:name w:val="Table Units Row"/>
    <w:basedOn w:val="TableBodyText"/>
    <w:rsid w:val="00D15C5C"/>
    <w:pPr>
      <w:spacing w:before="40"/>
    </w:pPr>
  </w:style>
  <w:style w:type="paragraph" w:styleId="TOC1">
    <w:name w:val="toc 1"/>
    <w:basedOn w:val="Normal"/>
    <w:next w:val="TOC2"/>
    <w:link w:val="TOC1Char"/>
    <w:rsid w:val="00D15C5C"/>
    <w:pPr>
      <w:tabs>
        <w:tab w:val="right" w:pos="8789"/>
      </w:tabs>
      <w:spacing w:before="120" w:line="320" w:lineRule="exact"/>
      <w:ind w:left="510" w:right="851" w:hanging="510"/>
    </w:pPr>
    <w:rPr>
      <w:rFonts w:ascii="Arial" w:hAnsi="Arial"/>
      <w:b/>
      <w:sz w:val="26"/>
      <w:szCs w:val="26"/>
    </w:rPr>
  </w:style>
  <w:style w:type="paragraph" w:styleId="TOC4">
    <w:name w:val="toc 4"/>
    <w:basedOn w:val="TOC3"/>
    <w:semiHidden/>
    <w:rsid w:val="00D15C5C"/>
    <w:pPr>
      <w:ind w:left="1191" w:firstLine="0"/>
    </w:pPr>
  </w:style>
  <w:style w:type="character" w:styleId="Hyperlink">
    <w:name w:val="Hyperlink"/>
    <w:uiPriority w:val="99"/>
    <w:rsid w:val="006100DD"/>
    <w:rPr>
      <w:color w:val="0000FF"/>
      <w:u w:val="single"/>
    </w:rPr>
  </w:style>
  <w:style w:type="paragraph" w:styleId="BalloonText">
    <w:name w:val="Balloon Text"/>
    <w:basedOn w:val="Normal"/>
    <w:link w:val="BalloonTextChar"/>
    <w:rsid w:val="00D15C5C"/>
    <w:rPr>
      <w:rFonts w:ascii="Tahoma" w:hAnsi="Tahoma" w:cs="Tahoma"/>
      <w:sz w:val="16"/>
      <w:szCs w:val="16"/>
    </w:rPr>
  </w:style>
  <w:style w:type="table" w:styleId="TableGrid">
    <w:name w:val="Table Grid"/>
    <w:basedOn w:val="TableNormal"/>
    <w:rsid w:val="00D15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new legislation style Char1,Body Text Char1 Char Char1,Body Text Char Char Char Char1,Body Text Char1 Char Char Char Char1,Body Text Char Char Char Char Char1 Char1,Body Text Char2 Char1 Char Char Char Char Char Char1"/>
    <w:basedOn w:val="DefaultParagraphFont"/>
    <w:link w:val="BodyText"/>
    <w:rsid w:val="00D15C5C"/>
    <w:rPr>
      <w:sz w:val="24"/>
    </w:rPr>
  </w:style>
  <w:style w:type="character" w:customStyle="1" w:styleId="BoxContinuedChar">
    <w:name w:val="Box Continued Char"/>
    <w:link w:val="BoxContinued"/>
    <w:semiHidden/>
    <w:rsid w:val="00910676"/>
    <w:rPr>
      <w:rFonts w:ascii="Arial" w:hAnsi="Arial"/>
      <w:sz w:val="18"/>
    </w:rPr>
  </w:style>
  <w:style w:type="character" w:customStyle="1" w:styleId="ContinuedChar">
    <w:name w:val="Continued Char"/>
    <w:basedOn w:val="BoxContinuedChar"/>
    <w:link w:val="Continued"/>
    <w:rsid w:val="00910676"/>
    <w:rPr>
      <w:rFonts w:ascii="Arial" w:hAnsi="Arial"/>
      <w:sz w:val="18"/>
    </w:rPr>
  </w:style>
  <w:style w:type="character" w:customStyle="1" w:styleId="NoteChar">
    <w:name w:val="Note Char"/>
    <w:link w:val="Note"/>
    <w:rsid w:val="00F00DEF"/>
    <w:rPr>
      <w:rFonts w:ascii="Arial" w:hAnsi="Arial"/>
      <w:sz w:val="18"/>
    </w:rPr>
  </w:style>
  <w:style w:type="character" w:customStyle="1" w:styleId="TableBodyTextChar">
    <w:name w:val="Table Body Text Char"/>
    <w:link w:val="TableBodyText"/>
    <w:rsid w:val="0027625B"/>
    <w:rPr>
      <w:rFonts w:ascii="Arial" w:hAnsi="Arial"/>
      <w:sz w:val="18"/>
    </w:rPr>
  </w:style>
  <w:style w:type="character" w:customStyle="1" w:styleId="TableColumnHeadingChar">
    <w:name w:val="Table Column Heading Char"/>
    <w:link w:val="TableColumnHeading"/>
    <w:rsid w:val="0027625B"/>
    <w:rPr>
      <w:rFonts w:ascii="Arial" w:hAnsi="Arial"/>
      <w:i/>
      <w:sz w:val="18"/>
    </w:rPr>
  </w:style>
  <w:style w:type="paragraph" w:styleId="CommentSubject">
    <w:name w:val="annotation subject"/>
    <w:basedOn w:val="CommentText"/>
    <w:next w:val="CommentText"/>
    <w:semiHidden/>
    <w:rsid w:val="004F2AD4"/>
    <w:pPr>
      <w:spacing w:before="0" w:line="240" w:lineRule="auto"/>
      <w:ind w:left="0" w:firstLine="0"/>
    </w:pPr>
    <w:rPr>
      <w:b/>
      <w:bCs/>
      <w:szCs w:val="20"/>
    </w:rPr>
  </w:style>
  <w:style w:type="character" w:customStyle="1" w:styleId="ListBulletChar">
    <w:name w:val="List Bullet Char"/>
    <w:aliases w:val="List Bullet Char1 Char,List Bullet Char Char Char,List Bullet Char1 Char Char Char"/>
    <w:link w:val="ListBullet"/>
    <w:rsid w:val="00F71D8F"/>
    <w:rPr>
      <w:sz w:val="24"/>
    </w:rPr>
  </w:style>
  <w:style w:type="character" w:customStyle="1" w:styleId="newlegislationstyleChar">
    <w:name w:val="new legislation style Char"/>
    <w:aliases w:val="Body Text Char1 Char Char,Body Text Char Char Char Char,Body Text Char1 Char Char Char Char,Body Text Char Char Char Char Char1 Char,Body Text Char2 Char1 Char Char Char Char Char Char,Body Text Char2 Char Char"/>
    <w:rsid w:val="00801C91"/>
    <w:rPr>
      <w:sz w:val="26"/>
      <w:lang w:val="en-AU" w:eastAsia="en-AU" w:bidi="ar-SA"/>
    </w:rPr>
  </w:style>
  <w:style w:type="character" w:customStyle="1" w:styleId="SubtitleChar">
    <w:name w:val="Subtitle Char"/>
    <w:basedOn w:val="DefaultParagraphFont"/>
    <w:link w:val="Subtitle"/>
    <w:rsid w:val="00D15C5C"/>
    <w:rPr>
      <w:rFonts w:ascii="Arial" w:hAnsi="Arial"/>
      <w:szCs w:val="24"/>
    </w:rPr>
  </w:style>
  <w:style w:type="paragraph" w:customStyle="1" w:styleId="RecBBullet2">
    <w:name w:val="RecB Bullet 2"/>
    <w:basedOn w:val="ListBullet2"/>
    <w:semiHidden/>
    <w:rsid w:val="00D15C5C"/>
    <w:pPr>
      <w:pBdr>
        <w:left w:val="single" w:sz="24" w:space="29" w:color="C0C0C0"/>
      </w:pBdr>
    </w:pPr>
    <w:rPr>
      <w:b/>
      <w:i/>
    </w:rPr>
  </w:style>
  <w:style w:type="character" w:customStyle="1" w:styleId="BalloonTextChar">
    <w:name w:val="Balloon Text Char"/>
    <w:basedOn w:val="DefaultParagraphFont"/>
    <w:link w:val="BalloonText"/>
    <w:rsid w:val="00D15C5C"/>
    <w:rPr>
      <w:rFonts w:ascii="Tahoma" w:hAnsi="Tahoma" w:cs="Tahoma"/>
      <w:sz w:val="16"/>
      <w:szCs w:val="16"/>
    </w:rPr>
  </w:style>
  <w:style w:type="paragraph" w:customStyle="1" w:styleId="BoxListBullet3">
    <w:name w:val="Box List Bullet 3"/>
    <w:basedOn w:val="ListBullet3"/>
    <w:rsid w:val="00D15C5C"/>
    <w:pPr>
      <w:numPr>
        <w:numId w:val="18"/>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15C5C"/>
    <w:rPr>
      <w:i/>
      <w:iCs/>
    </w:rPr>
  </w:style>
  <w:style w:type="paragraph" w:customStyle="1" w:styleId="BoxQuoteBullet">
    <w:name w:val="Box Quote Bullet"/>
    <w:basedOn w:val="BoxQuote"/>
    <w:next w:val="Box"/>
    <w:rsid w:val="00D15C5C"/>
    <w:pPr>
      <w:numPr>
        <w:numId w:val="16"/>
      </w:numPr>
      <w:ind w:left="568" w:hanging="284"/>
    </w:pPr>
  </w:style>
  <w:style w:type="paragraph" w:customStyle="1" w:styleId="InformationRequestBullet">
    <w:name w:val="Information Request Bullet"/>
    <w:basedOn w:val="ListBullet"/>
    <w:next w:val="BodyText"/>
    <w:rsid w:val="00D15C5C"/>
    <w:pPr>
      <w:numPr>
        <w:numId w:val="17"/>
      </w:numPr>
      <w:spacing w:before="80" w:line="280" w:lineRule="atLeast"/>
      <w:ind w:left="357" w:hanging="357"/>
    </w:pPr>
    <w:rPr>
      <w:rFonts w:ascii="Arial" w:hAnsi="Arial"/>
      <w:i/>
      <w:sz w:val="22"/>
    </w:rPr>
  </w:style>
  <w:style w:type="paragraph" w:styleId="EndnoteText">
    <w:name w:val="endnote text"/>
    <w:basedOn w:val="Normal"/>
    <w:link w:val="EndnoteTextChar"/>
    <w:rsid w:val="004C7183"/>
    <w:rPr>
      <w:sz w:val="20"/>
      <w:szCs w:val="20"/>
    </w:rPr>
  </w:style>
  <w:style w:type="character" w:customStyle="1" w:styleId="EndnoteTextChar">
    <w:name w:val="Endnote Text Char"/>
    <w:basedOn w:val="DefaultParagraphFont"/>
    <w:link w:val="EndnoteText"/>
    <w:rsid w:val="004C7183"/>
  </w:style>
  <w:style w:type="character" w:styleId="EndnoteReference">
    <w:name w:val="endnote reference"/>
    <w:basedOn w:val="DefaultParagraphFont"/>
    <w:rsid w:val="004C7183"/>
    <w:rPr>
      <w:vertAlign w:val="superscript"/>
    </w:rPr>
  </w:style>
  <w:style w:type="character" w:customStyle="1" w:styleId="CommentTextChar">
    <w:name w:val="Comment Text Char"/>
    <w:basedOn w:val="DefaultParagraphFont"/>
    <w:link w:val="CommentText"/>
    <w:semiHidden/>
    <w:rsid w:val="008C2A33"/>
    <w:rPr>
      <w:szCs w:val="24"/>
    </w:rPr>
  </w:style>
  <w:style w:type="paragraph" w:customStyle="1" w:styleId="BoxSpaceAbove">
    <w:name w:val="Box Space Above"/>
    <w:basedOn w:val="BodyText"/>
    <w:rsid w:val="00D15C5C"/>
    <w:pPr>
      <w:keepNext/>
      <w:spacing w:before="360" w:line="80" w:lineRule="exact"/>
      <w:jc w:val="left"/>
    </w:pPr>
  </w:style>
  <w:style w:type="paragraph" w:customStyle="1" w:styleId="BoxSpaceBelow">
    <w:name w:val="Box Space Below"/>
    <w:basedOn w:val="Box"/>
    <w:rsid w:val="00D15C5C"/>
    <w:pPr>
      <w:keepNext w:val="0"/>
      <w:spacing w:before="60" w:after="60" w:line="80" w:lineRule="exact"/>
    </w:pPr>
    <w:rPr>
      <w:sz w:val="14"/>
    </w:rPr>
  </w:style>
  <w:style w:type="paragraph" w:customStyle="1" w:styleId="DHSBulletText">
    <w:name w:val="DHS Bullet Text"/>
    <w:basedOn w:val="Normal"/>
    <w:rsid w:val="00B77B55"/>
    <w:pPr>
      <w:numPr>
        <w:numId w:val="21"/>
      </w:numPr>
      <w:spacing w:after="200" w:line="276" w:lineRule="auto"/>
    </w:pPr>
  </w:style>
  <w:style w:type="character" w:customStyle="1" w:styleId="s2">
    <w:name w:val="s2"/>
    <w:basedOn w:val="DefaultParagraphFont"/>
    <w:rsid w:val="008875A6"/>
  </w:style>
  <w:style w:type="paragraph" w:customStyle="1" w:styleId="KeyPointsListBullet">
    <w:name w:val="Key Points List Bullet"/>
    <w:basedOn w:val="Normal"/>
    <w:qFormat/>
    <w:rsid w:val="00D15C5C"/>
    <w:pPr>
      <w:keepNext/>
      <w:numPr>
        <w:numId w:val="22"/>
      </w:numPr>
      <w:spacing w:before="100" w:line="260" w:lineRule="atLeast"/>
      <w:ind w:left="357" w:hanging="357"/>
      <w:jc w:val="both"/>
    </w:pPr>
    <w:rPr>
      <w:rFonts w:ascii="Arial" w:hAnsi="Arial"/>
      <w:sz w:val="20"/>
      <w:szCs w:val="20"/>
    </w:rPr>
  </w:style>
  <w:style w:type="paragraph" w:customStyle="1" w:styleId="KeyPointsListBullet2">
    <w:name w:val="Key Points List Bullet 2"/>
    <w:basedOn w:val="BoxListBullet2"/>
    <w:rsid w:val="00D15C5C"/>
    <w:pPr>
      <w:numPr>
        <w:numId w:val="23"/>
      </w:numPr>
      <w:ind w:left="568" w:hanging="284"/>
    </w:pPr>
  </w:style>
  <w:style w:type="paragraph" w:customStyle="1" w:styleId="InformationRequestTitle">
    <w:name w:val="Information Request Title"/>
    <w:basedOn w:val="FindingTitle"/>
    <w:next w:val="InformationRequest"/>
    <w:rsid w:val="00D15C5C"/>
    <w:rPr>
      <w:i/>
    </w:rPr>
  </w:style>
  <w:style w:type="paragraph" w:customStyle="1" w:styleId="Space">
    <w:name w:val="Space"/>
    <w:basedOn w:val="Normal"/>
    <w:rsid w:val="00D15C5C"/>
    <w:pPr>
      <w:keepNext/>
      <w:spacing w:line="120" w:lineRule="exact"/>
      <w:jc w:val="both"/>
    </w:pPr>
    <w:rPr>
      <w:rFonts w:ascii="Arial" w:hAnsi="Arial"/>
      <w:sz w:val="20"/>
      <w:szCs w:val="20"/>
    </w:rPr>
  </w:style>
  <w:style w:type="paragraph" w:customStyle="1" w:styleId="Heading1nochapterno">
    <w:name w:val="Heading 1 (no chapter no.)"/>
    <w:basedOn w:val="Heading1"/>
    <w:rsid w:val="00D15C5C"/>
    <w:pPr>
      <w:spacing w:before="0"/>
      <w:ind w:left="0" w:firstLine="0"/>
    </w:pPr>
  </w:style>
  <w:style w:type="paragraph" w:customStyle="1" w:styleId="Heading2nosectionno">
    <w:name w:val="Heading 2 (no section no.)"/>
    <w:basedOn w:val="Heading2"/>
    <w:rsid w:val="00D15C5C"/>
    <w:pPr>
      <w:ind w:left="0" w:firstLine="0"/>
    </w:pPr>
  </w:style>
  <w:style w:type="character" w:customStyle="1" w:styleId="Heading5Char">
    <w:name w:val="Heading 5 Char"/>
    <w:basedOn w:val="DefaultParagraphFont"/>
    <w:link w:val="Heading5"/>
    <w:rsid w:val="00D15C5C"/>
    <w:rPr>
      <w:rFonts w:ascii="Arial" w:hAnsi="Arial"/>
      <w:i/>
      <w:sz w:val="22"/>
    </w:rPr>
  </w:style>
  <w:style w:type="paragraph" w:customStyle="1" w:styleId="Figurespace">
    <w:name w:val="Figure space"/>
    <w:basedOn w:val="Box"/>
    <w:rsid w:val="00D15C5C"/>
    <w:pPr>
      <w:spacing w:before="0" w:line="120" w:lineRule="exact"/>
    </w:pPr>
  </w:style>
  <w:style w:type="paragraph" w:customStyle="1" w:styleId="FooterDraftReport">
    <w:name w:val="FooterDraftReport"/>
    <w:basedOn w:val="Footer"/>
    <w:link w:val="FooterDraftReportChar"/>
    <w:rsid w:val="00D15C5C"/>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Char">
    <w:name w:val="Footer Char"/>
    <w:basedOn w:val="BodyTextChar"/>
    <w:link w:val="Footer"/>
    <w:rsid w:val="00D15C5C"/>
    <w:rPr>
      <w:rFonts w:ascii="Arial" w:hAnsi="Arial"/>
      <w:caps/>
      <w:spacing w:val="-4"/>
      <w:sz w:val="16"/>
    </w:rPr>
  </w:style>
  <w:style w:type="character" w:customStyle="1" w:styleId="FooterDraftReportChar">
    <w:name w:val="FooterDraftReport Char"/>
    <w:basedOn w:val="FooterChar"/>
    <w:link w:val="FooterDraftReport"/>
    <w:rsid w:val="00D15C5C"/>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D15C5C"/>
    <w:rPr>
      <w:rFonts w:ascii="Arial" w:hAnsi="Arial"/>
      <w:b/>
      <w:sz w:val="26"/>
      <w:szCs w:val="26"/>
      <w:lang w:eastAsia="en-US"/>
    </w:rPr>
  </w:style>
  <w:style w:type="character" w:customStyle="1" w:styleId="Heading1Char">
    <w:name w:val="Heading 1 Char"/>
    <w:basedOn w:val="DefaultParagraphFont"/>
    <w:link w:val="Heading1"/>
    <w:rsid w:val="00EB3500"/>
    <w:rPr>
      <w:sz w:val="52"/>
    </w:rPr>
  </w:style>
  <w:style w:type="paragraph" w:customStyle="1" w:styleId="Heading1NotTOC">
    <w:name w:val="Heading 1 Not TOC"/>
    <w:basedOn w:val="Heading1"/>
    <w:next w:val="BodyText"/>
    <w:rsid w:val="00EB3500"/>
    <w:rPr>
      <w:kern w:val="28"/>
      <w:szCs w:val="26"/>
      <w:lang w:eastAsia="en-US"/>
    </w:rPr>
  </w:style>
  <w:style w:type="paragraph" w:styleId="ListParagraph">
    <w:name w:val="List Paragraph"/>
    <w:basedOn w:val="Normal"/>
    <w:uiPriority w:val="34"/>
    <w:qFormat/>
    <w:rsid w:val="006B01C5"/>
    <w:pPr>
      <w:ind w:left="720"/>
      <w:contextualSpacing/>
    </w:pPr>
  </w:style>
  <w:style w:type="character" w:customStyle="1" w:styleId="TableBulletChar">
    <w:name w:val="Table Bullet Char"/>
    <w:basedOn w:val="TableBodyTextChar"/>
    <w:link w:val="TableBullet"/>
    <w:rsid w:val="00F15B1D"/>
    <w:rPr>
      <w:rFonts w:ascii="Arial" w:hAnsi="Arial"/>
      <w:sz w:val="18"/>
    </w:rPr>
  </w:style>
  <w:style w:type="character" w:customStyle="1" w:styleId="BoxListBulletChar">
    <w:name w:val="Box List Bullet Char"/>
    <w:basedOn w:val="DefaultParagraphFont"/>
    <w:link w:val="BoxListBullet"/>
    <w:rsid w:val="007D22DB"/>
    <w:rPr>
      <w:rFonts w:ascii="Arial" w:hAnsi="Arial"/>
    </w:rPr>
  </w:style>
  <w:style w:type="paragraph" w:styleId="Revision">
    <w:name w:val="Revision"/>
    <w:hidden/>
    <w:uiPriority w:val="99"/>
    <w:semiHidden/>
    <w:rsid w:val="007F3A9C"/>
    <w:rPr>
      <w:sz w:val="24"/>
      <w:szCs w:val="24"/>
    </w:rPr>
  </w:style>
  <w:style w:type="character" w:customStyle="1" w:styleId="TableTitleChar">
    <w:name w:val="Table Title Char"/>
    <w:link w:val="TableTitle"/>
    <w:locked/>
    <w:rsid w:val="00BD4E8F"/>
    <w:rPr>
      <w:rFonts w:ascii="Arial" w:hAnsi="Arial"/>
      <w:b/>
      <w:sz w:val="24"/>
      <w:szCs w:val="24"/>
    </w:rPr>
  </w:style>
  <w:style w:type="character" w:customStyle="1" w:styleId="SourceChar">
    <w:name w:val="Source Char"/>
    <w:link w:val="Source"/>
    <w:rsid w:val="00BD4E8F"/>
    <w:rPr>
      <w:rFonts w:ascii="Arial" w:hAnsi="Arial"/>
      <w:sz w:val="18"/>
    </w:rPr>
  </w:style>
  <w:style w:type="character" w:customStyle="1" w:styleId="BoxChar">
    <w:name w:val="Box Char"/>
    <w:link w:val="Box"/>
    <w:rsid w:val="00BD4E8F"/>
    <w:rPr>
      <w:rFonts w:ascii="Arial" w:hAnsi="Arial"/>
    </w:rPr>
  </w:style>
  <w:style w:type="character" w:customStyle="1" w:styleId="Heading3Char">
    <w:name w:val="Heading 3 Char"/>
    <w:basedOn w:val="DefaultParagraphFont"/>
    <w:link w:val="Heading3"/>
    <w:rsid w:val="0065490B"/>
    <w:rPr>
      <w:rFonts w:ascii="Arial" w:hAnsi="Arial"/>
      <w:b/>
      <w:sz w:val="26"/>
    </w:rPr>
  </w:style>
  <w:style w:type="character" w:customStyle="1" w:styleId="Continuedintitle">
    <w:name w:val="Continued (in title)"/>
    <w:basedOn w:val="DefaultParagraphFont"/>
    <w:rsid w:val="00D15C5C"/>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701">
      <w:bodyDiv w:val="1"/>
      <w:marLeft w:val="0"/>
      <w:marRight w:val="0"/>
      <w:marTop w:val="0"/>
      <w:marBottom w:val="0"/>
      <w:divBdr>
        <w:top w:val="none" w:sz="0" w:space="0" w:color="auto"/>
        <w:left w:val="none" w:sz="0" w:space="0" w:color="auto"/>
        <w:bottom w:val="none" w:sz="0" w:space="0" w:color="auto"/>
        <w:right w:val="none" w:sz="0" w:space="0" w:color="auto"/>
      </w:divBdr>
    </w:div>
    <w:div w:id="107509071">
      <w:bodyDiv w:val="1"/>
      <w:marLeft w:val="0"/>
      <w:marRight w:val="0"/>
      <w:marTop w:val="0"/>
      <w:marBottom w:val="0"/>
      <w:divBdr>
        <w:top w:val="none" w:sz="0" w:space="0" w:color="auto"/>
        <w:left w:val="none" w:sz="0" w:space="0" w:color="auto"/>
        <w:bottom w:val="none" w:sz="0" w:space="0" w:color="auto"/>
        <w:right w:val="none" w:sz="0" w:space="0" w:color="auto"/>
      </w:divBdr>
    </w:div>
    <w:div w:id="110444542">
      <w:bodyDiv w:val="1"/>
      <w:marLeft w:val="0"/>
      <w:marRight w:val="0"/>
      <w:marTop w:val="0"/>
      <w:marBottom w:val="0"/>
      <w:divBdr>
        <w:top w:val="none" w:sz="0" w:space="0" w:color="auto"/>
        <w:left w:val="none" w:sz="0" w:space="0" w:color="auto"/>
        <w:bottom w:val="none" w:sz="0" w:space="0" w:color="auto"/>
        <w:right w:val="none" w:sz="0" w:space="0" w:color="auto"/>
      </w:divBdr>
    </w:div>
    <w:div w:id="475294566">
      <w:bodyDiv w:val="1"/>
      <w:marLeft w:val="0"/>
      <w:marRight w:val="0"/>
      <w:marTop w:val="0"/>
      <w:marBottom w:val="0"/>
      <w:divBdr>
        <w:top w:val="none" w:sz="0" w:space="0" w:color="auto"/>
        <w:left w:val="none" w:sz="0" w:space="0" w:color="auto"/>
        <w:bottom w:val="none" w:sz="0" w:space="0" w:color="auto"/>
        <w:right w:val="none" w:sz="0" w:space="0" w:color="auto"/>
      </w:divBdr>
    </w:div>
    <w:div w:id="652179379">
      <w:bodyDiv w:val="1"/>
      <w:marLeft w:val="0"/>
      <w:marRight w:val="0"/>
      <w:marTop w:val="0"/>
      <w:marBottom w:val="0"/>
      <w:divBdr>
        <w:top w:val="none" w:sz="0" w:space="0" w:color="auto"/>
        <w:left w:val="none" w:sz="0" w:space="0" w:color="auto"/>
        <w:bottom w:val="none" w:sz="0" w:space="0" w:color="auto"/>
        <w:right w:val="none" w:sz="0" w:space="0" w:color="auto"/>
      </w:divBdr>
    </w:div>
    <w:div w:id="670913753">
      <w:bodyDiv w:val="1"/>
      <w:marLeft w:val="0"/>
      <w:marRight w:val="0"/>
      <w:marTop w:val="0"/>
      <w:marBottom w:val="0"/>
      <w:divBdr>
        <w:top w:val="none" w:sz="0" w:space="0" w:color="auto"/>
        <w:left w:val="none" w:sz="0" w:space="0" w:color="auto"/>
        <w:bottom w:val="none" w:sz="0" w:space="0" w:color="auto"/>
        <w:right w:val="none" w:sz="0" w:space="0" w:color="auto"/>
      </w:divBdr>
    </w:div>
    <w:div w:id="795561868">
      <w:bodyDiv w:val="1"/>
      <w:marLeft w:val="0"/>
      <w:marRight w:val="0"/>
      <w:marTop w:val="0"/>
      <w:marBottom w:val="0"/>
      <w:divBdr>
        <w:top w:val="none" w:sz="0" w:space="0" w:color="auto"/>
        <w:left w:val="none" w:sz="0" w:space="0" w:color="auto"/>
        <w:bottom w:val="none" w:sz="0" w:space="0" w:color="auto"/>
        <w:right w:val="none" w:sz="0" w:space="0" w:color="auto"/>
      </w:divBdr>
    </w:div>
    <w:div w:id="843398504">
      <w:bodyDiv w:val="1"/>
      <w:marLeft w:val="0"/>
      <w:marRight w:val="0"/>
      <w:marTop w:val="0"/>
      <w:marBottom w:val="0"/>
      <w:divBdr>
        <w:top w:val="none" w:sz="0" w:space="0" w:color="auto"/>
        <w:left w:val="none" w:sz="0" w:space="0" w:color="auto"/>
        <w:bottom w:val="none" w:sz="0" w:space="0" w:color="auto"/>
        <w:right w:val="none" w:sz="0" w:space="0" w:color="auto"/>
      </w:divBdr>
    </w:div>
    <w:div w:id="855728601">
      <w:bodyDiv w:val="1"/>
      <w:marLeft w:val="0"/>
      <w:marRight w:val="0"/>
      <w:marTop w:val="0"/>
      <w:marBottom w:val="0"/>
      <w:divBdr>
        <w:top w:val="none" w:sz="0" w:space="0" w:color="auto"/>
        <w:left w:val="none" w:sz="0" w:space="0" w:color="auto"/>
        <w:bottom w:val="none" w:sz="0" w:space="0" w:color="auto"/>
        <w:right w:val="none" w:sz="0" w:space="0" w:color="auto"/>
      </w:divBdr>
    </w:div>
    <w:div w:id="862595191">
      <w:bodyDiv w:val="1"/>
      <w:marLeft w:val="0"/>
      <w:marRight w:val="0"/>
      <w:marTop w:val="0"/>
      <w:marBottom w:val="0"/>
      <w:divBdr>
        <w:top w:val="none" w:sz="0" w:space="0" w:color="auto"/>
        <w:left w:val="none" w:sz="0" w:space="0" w:color="auto"/>
        <w:bottom w:val="none" w:sz="0" w:space="0" w:color="auto"/>
        <w:right w:val="none" w:sz="0" w:space="0" w:color="auto"/>
      </w:divBdr>
    </w:div>
    <w:div w:id="867794051">
      <w:bodyDiv w:val="1"/>
      <w:marLeft w:val="0"/>
      <w:marRight w:val="0"/>
      <w:marTop w:val="0"/>
      <w:marBottom w:val="0"/>
      <w:divBdr>
        <w:top w:val="none" w:sz="0" w:space="0" w:color="auto"/>
        <w:left w:val="none" w:sz="0" w:space="0" w:color="auto"/>
        <w:bottom w:val="none" w:sz="0" w:space="0" w:color="auto"/>
        <w:right w:val="none" w:sz="0" w:space="0" w:color="auto"/>
      </w:divBdr>
    </w:div>
    <w:div w:id="1037661686">
      <w:bodyDiv w:val="1"/>
      <w:marLeft w:val="0"/>
      <w:marRight w:val="0"/>
      <w:marTop w:val="0"/>
      <w:marBottom w:val="0"/>
      <w:divBdr>
        <w:top w:val="none" w:sz="0" w:space="0" w:color="auto"/>
        <w:left w:val="none" w:sz="0" w:space="0" w:color="auto"/>
        <w:bottom w:val="none" w:sz="0" w:space="0" w:color="auto"/>
        <w:right w:val="none" w:sz="0" w:space="0" w:color="auto"/>
      </w:divBdr>
    </w:div>
    <w:div w:id="1065227128">
      <w:bodyDiv w:val="1"/>
      <w:marLeft w:val="0"/>
      <w:marRight w:val="0"/>
      <w:marTop w:val="0"/>
      <w:marBottom w:val="0"/>
      <w:divBdr>
        <w:top w:val="none" w:sz="0" w:space="0" w:color="auto"/>
        <w:left w:val="none" w:sz="0" w:space="0" w:color="auto"/>
        <w:bottom w:val="none" w:sz="0" w:space="0" w:color="auto"/>
        <w:right w:val="none" w:sz="0" w:space="0" w:color="auto"/>
      </w:divBdr>
    </w:div>
    <w:div w:id="1127433710">
      <w:bodyDiv w:val="1"/>
      <w:marLeft w:val="0"/>
      <w:marRight w:val="0"/>
      <w:marTop w:val="0"/>
      <w:marBottom w:val="0"/>
      <w:divBdr>
        <w:top w:val="none" w:sz="0" w:space="0" w:color="auto"/>
        <w:left w:val="none" w:sz="0" w:space="0" w:color="auto"/>
        <w:bottom w:val="none" w:sz="0" w:space="0" w:color="auto"/>
        <w:right w:val="none" w:sz="0" w:space="0" w:color="auto"/>
      </w:divBdr>
    </w:div>
    <w:div w:id="1130053491">
      <w:bodyDiv w:val="1"/>
      <w:marLeft w:val="0"/>
      <w:marRight w:val="0"/>
      <w:marTop w:val="0"/>
      <w:marBottom w:val="0"/>
      <w:divBdr>
        <w:top w:val="none" w:sz="0" w:space="0" w:color="auto"/>
        <w:left w:val="none" w:sz="0" w:space="0" w:color="auto"/>
        <w:bottom w:val="none" w:sz="0" w:space="0" w:color="auto"/>
        <w:right w:val="none" w:sz="0" w:space="0" w:color="auto"/>
      </w:divBdr>
    </w:div>
    <w:div w:id="1141582687">
      <w:bodyDiv w:val="1"/>
      <w:marLeft w:val="0"/>
      <w:marRight w:val="0"/>
      <w:marTop w:val="0"/>
      <w:marBottom w:val="0"/>
      <w:divBdr>
        <w:top w:val="none" w:sz="0" w:space="0" w:color="auto"/>
        <w:left w:val="none" w:sz="0" w:space="0" w:color="auto"/>
        <w:bottom w:val="none" w:sz="0" w:space="0" w:color="auto"/>
        <w:right w:val="none" w:sz="0" w:space="0" w:color="auto"/>
      </w:divBdr>
    </w:div>
    <w:div w:id="1226838188">
      <w:bodyDiv w:val="1"/>
      <w:marLeft w:val="0"/>
      <w:marRight w:val="0"/>
      <w:marTop w:val="0"/>
      <w:marBottom w:val="0"/>
      <w:divBdr>
        <w:top w:val="none" w:sz="0" w:space="0" w:color="auto"/>
        <w:left w:val="none" w:sz="0" w:space="0" w:color="auto"/>
        <w:bottom w:val="none" w:sz="0" w:space="0" w:color="auto"/>
        <w:right w:val="none" w:sz="0" w:space="0" w:color="auto"/>
      </w:divBdr>
    </w:div>
    <w:div w:id="1233196948">
      <w:bodyDiv w:val="1"/>
      <w:marLeft w:val="0"/>
      <w:marRight w:val="0"/>
      <w:marTop w:val="0"/>
      <w:marBottom w:val="0"/>
      <w:divBdr>
        <w:top w:val="none" w:sz="0" w:space="0" w:color="auto"/>
        <w:left w:val="none" w:sz="0" w:space="0" w:color="auto"/>
        <w:bottom w:val="none" w:sz="0" w:space="0" w:color="auto"/>
        <w:right w:val="none" w:sz="0" w:space="0" w:color="auto"/>
      </w:divBdr>
    </w:div>
    <w:div w:id="1236167482">
      <w:bodyDiv w:val="1"/>
      <w:marLeft w:val="0"/>
      <w:marRight w:val="0"/>
      <w:marTop w:val="0"/>
      <w:marBottom w:val="0"/>
      <w:divBdr>
        <w:top w:val="none" w:sz="0" w:space="0" w:color="auto"/>
        <w:left w:val="none" w:sz="0" w:space="0" w:color="auto"/>
        <w:bottom w:val="none" w:sz="0" w:space="0" w:color="auto"/>
        <w:right w:val="none" w:sz="0" w:space="0" w:color="auto"/>
      </w:divBdr>
      <w:divsChild>
        <w:div w:id="362170702">
          <w:marLeft w:val="0"/>
          <w:marRight w:val="0"/>
          <w:marTop w:val="0"/>
          <w:marBottom w:val="0"/>
          <w:divBdr>
            <w:top w:val="none" w:sz="0" w:space="0" w:color="auto"/>
            <w:left w:val="none" w:sz="0" w:space="0" w:color="auto"/>
            <w:bottom w:val="none" w:sz="0" w:space="0" w:color="auto"/>
            <w:right w:val="none" w:sz="0" w:space="0" w:color="auto"/>
          </w:divBdr>
          <w:divsChild>
            <w:div w:id="6533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3794">
      <w:bodyDiv w:val="1"/>
      <w:marLeft w:val="0"/>
      <w:marRight w:val="0"/>
      <w:marTop w:val="0"/>
      <w:marBottom w:val="0"/>
      <w:divBdr>
        <w:top w:val="none" w:sz="0" w:space="0" w:color="auto"/>
        <w:left w:val="none" w:sz="0" w:space="0" w:color="auto"/>
        <w:bottom w:val="none" w:sz="0" w:space="0" w:color="auto"/>
        <w:right w:val="none" w:sz="0" w:space="0" w:color="auto"/>
      </w:divBdr>
    </w:div>
    <w:div w:id="1376931840">
      <w:bodyDiv w:val="1"/>
      <w:marLeft w:val="0"/>
      <w:marRight w:val="0"/>
      <w:marTop w:val="0"/>
      <w:marBottom w:val="0"/>
      <w:divBdr>
        <w:top w:val="none" w:sz="0" w:space="0" w:color="auto"/>
        <w:left w:val="none" w:sz="0" w:space="0" w:color="auto"/>
        <w:bottom w:val="none" w:sz="0" w:space="0" w:color="auto"/>
        <w:right w:val="none" w:sz="0" w:space="0" w:color="auto"/>
      </w:divBdr>
    </w:div>
    <w:div w:id="1565680489">
      <w:bodyDiv w:val="1"/>
      <w:marLeft w:val="0"/>
      <w:marRight w:val="0"/>
      <w:marTop w:val="0"/>
      <w:marBottom w:val="0"/>
      <w:divBdr>
        <w:top w:val="none" w:sz="0" w:space="0" w:color="auto"/>
        <w:left w:val="none" w:sz="0" w:space="0" w:color="auto"/>
        <w:bottom w:val="none" w:sz="0" w:space="0" w:color="auto"/>
        <w:right w:val="none" w:sz="0" w:space="0" w:color="auto"/>
      </w:divBdr>
    </w:div>
    <w:div w:id="1603801193">
      <w:bodyDiv w:val="1"/>
      <w:marLeft w:val="0"/>
      <w:marRight w:val="0"/>
      <w:marTop w:val="0"/>
      <w:marBottom w:val="0"/>
      <w:divBdr>
        <w:top w:val="none" w:sz="0" w:space="0" w:color="auto"/>
        <w:left w:val="none" w:sz="0" w:space="0" w:color="auto"/>
        <w:bottom w:val="none" w:sz="0" w:space="0" w:color="auto"/>
        <w:right w:val="none" w:sz="0" w:space="0" w:color="auto"/>
      </w:divBdr>
    </w:div>
    <w:div w:id="1631670262">
      <w:bodyDiv w:val="1"/>
      <w:marLeft w:val="0"/>
      <w:marRight w:val="0"/>
      <w:marTop w:val="0"/>
      <w:marBottom w:val="0"/>
      <w:divBdr>
        <w:top w:val="none" w:sz="0" w:space="0" w:color="auto"/>
        <w:left w:val="none" w:sz="0" w:space="0" w:color="auto"/>
        <w:bottom w:val="none" w:sz="0" w:space="0" w:color="auto"/>
        <w:right w:val="none" w:sz="0" w:space="0" w:color="auto"/>
      </w:divBdr>
    </w:div>
    <w:div w:id="1787775822">
      <w:bodyDiv w:val="1"/>
      <w:marLeft w:val="0"/>
      <w:marRight w:val="0"/>
      <w:marTop w:val="0"/>
      <w:marBottom w:val="0"/>
      <w:divBdr>
        <w:top w:val="none" w:sz="0" w:space="0" w:color="auto"/>
        <w:left w:val="none" w:sz="0" w:space="0" w:color="auto"/>
        <w:bottom w:val="none" w:sz="0" w:space="0" w:color="auto"/>
        <w:right w:val="none" w:sz="0" w:space="0" w:color="auto"/>
      </w:divBdr>
    </w:div>
    <w:div w:id="1885169696">
      <w:bodyDiv w:val="1"/>
      <w:marLeft w:val="0"/>
      <w:marRight w:val="0"/>
      <w:marTop w:val="0"/>
      <w:marBottom w:val="0"/>
      <w:divBdr>
        <w:top w:val="none" w:sz="0" w:space="0" w:color="auto"/>
        <w:left w:val="none" w:sz="0" w:space="0" w:color="auto"/>
        <w:bottom w:val="none" w:sz="0" w:space="0" w:color="auto"/>
        <w:right w:val="none" w:sz="0" w:space="0" w:color="auto"/>
      </w:divBdr>
    </w:div>
    <w:div w:id="1911192078">
      <w:bodyDiv w:val="1"/>
      <w:marLeft w:val="0"/>
      <w:marRight w:val="0"/>
      <w:marTop w:val="0"/>
      <w:marBottom w:val="0"/>
      <w:divBdr>
        <w:top w:val="none" w:sz="0" w:space="0" w:color="auto"/>
        <w:left w:val="none" w:sz="0" w:space="0" w:color="auto"/>
        <w:bottom w:val="none" w:sz="0" w:space="0" w:color="auto"/>
        <w:right w:val="none" w:sz="0" w:space="0" w:color="auto"/>
      </w:divBdr>
    </w:div>
    <w:div w:id="2040542203">
      <w:bodyDiv w:val="1"/>
      <w:marLeft w:val="0"/>
      <w:marRight w:val="0"/>
      <w:marTop w:val="0"/>
      <w:marBottom w:val="0"/>
      <w:divBdr>
        <w:top w:val="none" w:sz="0" w:space="0" w:color="auto"/>
        <w:left w:val="none" w:sz="0" w:space="0" w:color="auto"/>
        <w:bottom w:val="none" w:sz="0" w:space="0" w:color="auto"/>
        <w:right w:val="none" w:sz="0" w:space="0" w:color="auto"/>
      </w:divBdr>
    </w:div>
    <w:div w:id="204316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chart" Target="charts/chart16.xml"/><Relationship Id="rId36"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5.png"/><Relationship Id="rId30" Type="http://schemas.openxmlformats.org/officeDocument/2006/relationships/chart" Target="charts/chart18.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el_1\groups\Monitor\04%20Working%20Groups\13%20Housing%20&amp;%20homelessness\02%20Report\03%20Data\00%202018%20Report\02%20Charts\2018%20RoGS%20Housing%20chapter%20charts.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PH'!$A$11</c:f>
              <c:strCache>
                <c:ptCount val="1"/>
                <c:pt idx="0">
                  <c:v>2012-13</c:v>
                </c:pt>
              </c:strCache>
            </c:strRef>
          </c:tx>
          <c:spPr>
            <a:solidFill>
              <a:srgbClr val="78A22F"/>
            </a:solidFill>
            <a:ln>
              <a:solidFill>
                <a:srgbClr val="78A22F"/>
              </a:solidFill>
            </a:ln>
          </c:spPr>
          <c:invertIfNegative val="0"/>
          <c:cat>
            <c:strRef>
              <c:f>'Data PH'!$B$9:$J$10</c:f>
              <c:strCache>
                <c:ptCount val="9"/>
                <c:pt idx="0">
                  <c:v>NSW</c:v>
                </c:pt>
                <c:pt idx="1">
                  <c:v>Vic</c:v>
                </c:pt>
                <c:pt idx="2">
                  <c:v>Qld</c:v>
                </c:pt>
                <c:pt idx="3">
                  <c:v>WA</c:v>
                </c:pt>
                <c:pt idx="4">
                  <c:v>SA</c:v>
                </c:pt>
                <c:pt idx="5">
                  <c:v>Tas</c:v>
                </c:pt>
                <c:pt idx="6">
                  <c:v>ACT</c:v>
                </c:pt>
                <c:pt idx="7">
                  <c:v>NT</c:v>
                </c:pt>
                <c:pt idx="8">
                  <c:v>Aust</c:v>
                </c:pt>
              </c:strCache>
            </c:strRef>
          </c:cat>
          <c:val>
            <c:numRef>
              <c:f>'Data PH'!$B$11:$J$11</c:f>
              <c:numCache>
                <c:formatCode>0.0</c:formatCode>
                <c:ptCount val="9"/>
                <c:pt idx="0">
                  <c:v>66.350200000000001</c:v>
                </c:pt>
                <c:pt idx="1">
                  <c:v>76.677999999999997</c:v>
                </c:pt>
                <c:pt idx="2">
                  <c:v>96.3583</c:v>
                </c:pt>
                <c:pt idx="3">
                  <c:v>58.395000000000003</c:v>
                </c:pt>
                <c:pt idx="4">
                  <c:v>83.926400000000001</c:v>
                </c:pt>
                <c:pt idx="5">
                  <c:v>89.289400000000001</c:v>
                </c:pt>
                <c:pt idx="6">
                  <c:v>98.248400000000004</c:v>
                </c:pt>
                <c:pt idx="7">
                  <c:v>70.093500000000006</c:v>
                </c:pt>
                <c:pt idx="8">
                  <c:v>77.3</c:v>
                </c:pt>
              </c:numCache>
            </c:numRef>
          </c:val>
        </c:ser>
        <c:ser>
          <c:idx val="1"/>
          <c:order val="1"/>
          <c:tx>
            <c:strRef>
              <c:f>'Data PH'!$A$12</c:f>
              <c:strCache>
                <c:ptCount val="1"/>
                <c:pt idx="0">
                  <c:v>2013-14</c:v>
                </c:pt>
              </c:strCache>
            </c:strRef>
          </c:tx>
          <c:spPr>
            <a:solidFill>
              <a:srgbClr val="78A22F"/>
            </a:solidFill>
            <a:ln>
              <a:solidFill>
                <a:srgbClr val="78A22F"/>
              </a:solidFill>
            </a:ln>
          </c:spPr>
          <c:invertIfNegative val="0"/>
          <c:cat>
            <c:strRef>
              <c:f>'Data PH'!$B$9:$J$10</c:f>
              <c:strCache>
                <c:ptCount val="9"/>
                <c:pt idx="0">
                  <c:v>NSW</c:v>
                </c:pt>
                <c:pt idx="1">
                  <c:v>Vic</c:v>
                </c:pt>
                <c:pt idx="2">
                  <c:v>Qld</c:v>
                </c:pt>
                <c:pt idx="3">
                  <c:v>WA</c:v>
                </c:pt>
                <c:pt idx="4">
                  <c:v>SA</c:v>
                </c:pt>
                <c:pt idx="5">
                  <c:v>Tas</c:v>
                </c:pt>
                <c:pt idx="6">
                  <c:v>ACT</c:v>
                </c:pt>
                <c:pt idx="7">
                  <c:v>NT</c:v>
                </c:pt>
                <c:pt idx="8">
                  <c:v>Aust</c:v>
                </c:pt>
              </c:strCache>
            </c:strRef>
          </c:cat>
          <c:val>
            <c:numRef>
              <c:f>'Data PH'!$B$12:$J$12</c:f>
              <c:numCache>
                <c:formatCode>0.0</c:formatCode>
                <c:ptCount val="9"/>
                <c:pt idx="0">
                  <c:v>55.484400000000001</c:v>
                </c:pt>
                <c:pt idx="1">
                  <c:v>79.438400000000001</c:v>
                </c:pt>
                <c:pt idx="2">
                  <c:v>96.526300000000006</c:v>
                </c:pt>
                <c:pt idx="3">
                  <c:v>57.960099999999997</c:v>
                </c:pt>
                <c:pt idx="4">
                  <c:v>86.481499999999997</c:v>
                </c:pt>
                <c:pt idx="5">
                  <c:v>85.341399999999993</c:v>
                </c:pt>
                <c:pt idx="6">
                  <c:v>96.875</c:v>
                </c:pt>
                <c:pt idx="7">
                  <c:v>67.741900000000001</c:v>
                </c:pt>
                <c:pt idx="8">
                  <c:v>74.099999999999994</c:v>
                </c:pt>
              </c:numCache>
            </c:numRef>
          </c:val>
        </c:ser>
        <c:ser>
          <c:idx val="2"/>
          <c:order val="2"/>
          <c:tx>
            <c:strRef>
              <c:f>'Data PH'!$A$13</c:f>
              <c:strCache>
                <c:ptCount val="1"/>
                <c:pt idx="0">
                  <c:v>2014-15</c:v>
                </c:pt>
              </c:strCache>
            </c:strRef>
          </c:tx>
          <c:spPr>
            <a:solidFill>
              <a:srgbClr val="78A22F"/>
            </a:solidFill>
            <a:ln>
              <a:solidFill>
                <a:srgbClr val="78A22F"/>
              </a:solidFill>
            </a:ln>
          </c:spPr>
          <c:invertIfNegative val="0"/>
          <c:cat>
            <c:strRef>
              <c:f>'Data PH'!$B$9:$J$10</c:f>
              <c:strCache>
                <c:ptCount val="9"/>
                <c:pt idx="0">
                  <c:v>NSW</c:v>
                </c:pt>
                <c:pt idx="1">
                  <c:v>Vic</c:v>
                </c:pt>
                <c:pt idx="2">
                  <c:v>Qld</c:v>
                </c:pt>
                <c:pt idx="3">
                  <c:v>WA</c:v>
                </c:pt>
                <c:pt idx="4">
                  <c:v>SA</c:v>
                </c:pt>
                <c:pt idx="5">
                  <c:v>Tas</c:v>
                </c:pt>
                <c:pt idx="6">
                  <c:v>ACT</c:v>
                </c:pt>
                <c:pt idx="7">
                  <c:v>NT</c:v>
                </c:pt>
                <c:pt idx="8">
                  <c:v>Aust</c:v>
                </c:pt>
              </c:strCache>
            </c:strRef>
          </c:cat>
          <c:val>
            <c:numRef>
              <c:f>'Data PH'!$B$13:$J$13</c:f>
              <c:numCache>
                <c:formatCode>0.0</c:formatCode>
                <c:ptCount val="9"/>
                <c:pt idx="0">
                  <c:v>48</c:v>
                </c:pt>
                <c:pt idx="1">
                  <c:v>82.1</c:v>
                </c:pt>
                <c:pt idx="2">
                  <c:v>95.9</c:v>
                </c:pt>
                <c:pt idx="3">
                  <c:v>74.900000000000006</c:v>
                </c:pt>
                <c:pt idx="4">
                  <c:v>82.4</c:v>
                </c:pt>
                <c:pt idx="5">
                  <c:v>80.5</c:v>
                </c:pt>
                <c:pt idx="6">
                  <c:v>96.7</c:v>
                </c:pt>
                <c:pt idx="7">
                  <c:v>61.6</c:v>
                </c:pt>
                <c:pt idx="8">
                  <c:v>73.7</c:v>
                </c:pt>
              </c:numCache>
            </c:numRef>
          </c:val>
        </c:ser>
        <c:ser>
          <c:idx val="3"/>
          <c:order val="3"/>
          <c:tx>
            <c:strRef>
              <c:f>'Data PH'!$A$14</c:f>
              <c:strCache>
                <c:ptCount val="1"/>
                <c:pt idx="0">
                  <c:v>2015-16</c:v>
                </c:pt>
              </c:strCache>
            </c:strRef>
          </c:tx>
          <c:spPr>
            <a:solidFill>
              <a:srgbClr val="78A22F"/>
            </a:solidFill>
            <a:ln>
              <a:solidFill>
                <a:srgbClr val="78A22F"/>
              </a:solidFill>
            </a:ln>
          </c:spPr>
          <c:invertIfNegative val="0"/>
          <c:cat>
            <c:strRef>
              <c:f>'Data PH'!$B$9:$J$10</c:f>
              <c:strCache>
                <c:ptCount val="9"/>
                <c:pt idx="0">
                  <c:v>NSW</c:v>
                </c:pt>
                <c:pt idx="1">
                  <c:v>Vic</c:v>
                </c:pt>
                <c:pt idx="2">
                  <c:v>Qld</c:v>
                </c:pt>
                <c:pt idx="3">
                  <c:v>WA</c:v>
                </c:pt>
                <c:pt idx="4">
                  <c:v>SA</c:v>
                </c:pt>
                <c:pt idx="5">
                  <c:v>Tas</c:v>
                </c:pt>
                <c:pt idx="6">
                  <c:v>ACT</c:v>
                </c:pt>
                <c:pt idx="7">
                  <c:v>NT</c:v>
                </c:pt>
                <c:pt idx="8">
                  <c:v>Aust</c:v>
                </c:pt>
              </c:strCache>
            </c:strRef>
          </c:cat>
          <c:val>
            <c:numRef>
              <c:f>'Data PH'!$B$14:$J$14</c:f>
              <c:numCache>
                <c:formatCode>0.0</c:formatCode>
                <c:ptCount val="9"/>
                <c:pt idx="0">
                  <c:v>51.7</c:v>
                </c:pt>
                <c:pt idx="1">
                  <c:v>83.8</c:v>
                </c:pt>
                <c:pt idx="2">
                  <c:v>96.9</c:v>
                </c:pt>
                <c:pt idx="3">
                  <c:v>67.3</c:v>
                </c:pt>
                <c:pt idx="4">
                  <c:v>86.5</c:v>
                </c:pt>
                <c:pt idx="5">
                  <c:v>91.3</c:v>
                </c:pt>
                <c:pt idx="6">
                  <c:v>96.8</c:v>
                </c:pt>
                <c:pt idx="7">
                  <c:v>57.3</c:v>
                </c:pt>
                <c:pt idx="8">
                  <c:v>75.099999999999994</c:v>
                </c:pt>
              </c:numCache>
            </c:numRef>
          </c:val>
        </c:ser>
        <c:ser>
          <c:idx val="4"/>
          <c:order val="4"/>
          <c:tx>
            <c:strRef>
              <c:f>'Data PH'!$A$15</c:f>
              <c:strCache>
                <c:ptCount val="1"/>
                <c:pt idx="0">
                  <c:v>2016-17</c:v>
                </c:pt>
              </c:strCache>
            </c:strRef>
          </c:tx>
          <c:spPr>
            <a:solidFill>
              <a:srgbClr val="265A9A"/>
            </a:solidFill>
            <a:ln>
              <a:solidFill>
                <a:srgbClr val="265A9A"/>
              </a:solidFill>
            </a:ln>
          </c:spPr>
          <c:invertIfNegative val="0"/>
          <c:cat>
            <c:strRef>
              <c:f>'Data PH'!$B$9:$J$10</c:f>
              <c:strCache>
                <c:ptCount val="9"/>
                <c:pt idx="0">
                  <c:v>NSW</c:v>
                </c:pt>
                <c:pt idx="1">
                  <c:v>Vic</c:v>
                </c:pt>
                <c:pt idx="2">
                  <c:v>Qld</c:v>
                </c:pt>
                <c:pt idx="3">
                  <c:v>WA</c:v>
                </c:pt>
                <c:pt idx="4">
                  <c:v>SA</c:v>
                </c:pt>
                <c:pt idx="5">
                  <c:v>Tas</c:v>
                </c:pt>
                <c:pt idx="6">
                  <c:v>ACT</c:v>
                </c:pt>
                <c:pt idx="7">
                  <c:v>NT</c:v>
                </c:pt>
                <c:pt idx="8">
                  <c:v>Aust</c:v>
                </c:pt>
              </c:strCache>
            </c:strRef>
          </c:cat>
          <c:val>
            <c:numRef>
              <c:f>'Data PH'!$B$15:$J$15</c:f>
              <c:numCache>
                <c:formatCode>0.0</c:formatCode>
                <c:ptCount val="9"/>
                <c:pt idx="0">
                  <c:v>59.7</c:v>
                </c:pt>
                <c:pt idx="1">
                  <c:v>81.8</c:v>
                </c:pt>
                <c:pt idx="2">
                  <c:v>96.9</c:v>
                </c:pt>
                <c:pt idx="3">
                  <c:v>52.8</c:v>
                </c:pt>
                <c:pt idx="4">
                  <c:v>85.6</c:v>
                </c:pt>
                <c:pt idx="5">
                  <c:v>97.9</c:v>
                </c:pt>
                <c:pt idx="6">
                  <c:v>98.6</c:v>
                </c:pt>
                <c:pt idx="7">
                  <c:v>58.2</c:v>
                </c:pt>
                <c:pt idx="8">
                  <c:v>74.3</c:v>
                </c:pt>
              </c:numCache>
            </c:numRef>
          </c:val>
        </c:ser>
        <c:dLbls>
          <c:showLegendKey val="0"/>
          <c:showVal val="0"/>
          <c:showCatName val="0"/>
          <c:showSerName val="0"/>
          <c:showPercent val="0"/>
          <c:showBubbleSize val="0"/>
        </c:dLbls>
        <c:gapWidth val="150"/>
        <c:axId val="378274496"/>
        <c:axId val="544058616"/>
      </c:barChart>
      <c:catAx>
        <c:axId val="37827449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8616"/>
        <c:crosses val="autoZero"/>
        <c:auto val="1"/>
        <c:lblAlgn val="ctr"/>
        <c:lblOffset val="100"/>
        <c:noMultiLvlLbl val="0"/>
      </c:catAx>
      <c:valAx>
        <c:axId val="544058616"/>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378274496"/>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'2016NSHS A_Lcn'!$A$8</c:f>
              <c:strCache>
                <c:ptCount val="1"/>
                <c:pt idx="0">
                  <c:v>Amenity</c:v>
                </c:pt>
              </c:strCache>
            </c:strRef>
          </c:tx>
          <c:spPr>
            <a:solidFill>
              <a:srgbClr val="78A22F"/>
            </a:solidFill>
            <a:ln>
              <a:solidFill>
                <a:srgbClr val="78A22F"/>
              </a:solidFill>
            </a:ln>
          </c:spPr>
          <c:invertIfNegative val="0"/>
          <c:cat>
            <c:strRef>
              <c:f>'2016NSHS A_Lcn'!$B$7:$J$7</c:f>
              <c:strCache>
                <c:ptCount val="9"/>
                <c:pt idx="0">
                  <c:v>NSW</c:v>
                </c:pt>
                <c:pt idx="1">
                  <c:v>Vic</c:v>
                </c:pt>
                <c:pt idx="2">
                  <c:v>Qld</c:v>
                </c:pt>
                <c:pt idx="3">
                  <c:v>WA</c:v>
                </c:pt>
                <c:pt idx="4">
                  <c:v>SA</c:v>
                </c:pt>
                <c:pt idx="5">
                  <c:v>Tas</c:v>
                </c:pt>
                <c:pt idx="6">
                  <c:v>ACT</c:v>
                </c:pt>
                <c:pt idx="7">
                  <c:v>NT</c:v>
                </c:pt>
                <c:pt idx="8">
                  <c:v>Aust</c:v>
                </c:pt>
              </c:strCache>
            </c:strRef>
          </c:cat>
          <c:val>
            <c:numRef>
              <c:f>'2016NSHS A_Lcn'!$B$8:$J$8</c:f>
              <c:numCache>
                <c:formatCode>General</c:formatCode>
                <c:ptCount val="9"/>
                <c:pt idx="0">
                  <c:v>80.3</c:v>
                </c:pt>
                <c:pt idx="1">
                  <c:v>81.2</c:v>
                </c:pt>
                <c:pt idx="2">
                  <c:v>87.2</c:v>
                </c:pt>
                <c:pt idx="3">
                  <c:v>83</c:v>
                </c:pt>
                <c:pt idx="4">
                  <c:v>84.6</c:v>
                </c:pt>
                <c:pt idx="5">
                  <c:v>85.8</c:v>
                </c:pt>
                <c:pt idx="6">
                  <c:v>81.7</c:v>
                </c:pt>
                <c:pt idx="7">
                  <c:v>84</c:v>
                </c:pt>
                <c:pt idx="8">
                  <c:v>82.6</c:v>
                </c:pt>
              </c:numCache>
            </c:numRef>
          </c:val>
        </c:ser>
        <c:ser>
          <c:idx val="1"/>
          <c:order val="1"/>
          <c:tx>
            <c:strRef>
              <c:f>'2016NSHS A_Lcn'!$A$9</c:f>
              <c:strCache>
                <c:ptCount val="1"/>
                <c:pt idx="0">
                  <c:v>Location</c:v>
                </c:pt>
              </c:strCache>
            </c:strRef>
          </c:tx>
          <c:spPr>
            <a:solidFill>
              <a:srgbClr val="265A9A"/>
            </a:solidFill>
            <a:ln>
              <a:solidFill>
                <a:srgbClr val="265A9A"/>
              </a:solidFill>
            </a:ln>
          </c:spPr>
          <c:invertIfNegative val="0"/>
          <c:cat>
            <c:strRef>
              <c:f>'2016NSHS A_Lcn'!$B$7:$J$7</c:f>
              <c:strCache>
                <c:ptCount val="9"/>
                <c:pt idx="0">
                  <c:v>NSW</c:v>
                </c:pt>
                <c:pt idx="1">
                  <c:v>Vic</c:v>
                </c:pt>
                <c:pt idx="2">
                  <c:v>Qld</c:v>
                </c:pt>
                <c:pt idx="3">
                  <c:v>WA</c:v>
                </c:pt>
                <c:pt idx="4">
                  <c:v>SA</c:v>
                </c:pt>
                <c:pt idx="5">
                  <c:v>Tas</c:v>
                </c:pt>
                <c:pt idx="6">
                  <c:v>ACT</c:v>
                </c:pt>
                <c:pt idx="7">
                  <c:v>NT</c:v>
                </c:pt>
                <c:pt idx="8">
                  <c:v>Aust</c:v>
                </c:pt>
              </c:strCache>
            </c:strRef>
          </c:cat>
          <c:val>
            <c:numRef>
              <c:f>'2016NSHS A_Lcn'!$B$9:$J$9</c:f>
              <c:numCache>
                <c:formatCode>###\ ###\ ##0.0;\-###\ ###\ ##0.0;"–"</c:formatCode>
                <c:ptCount val="9"/>
                <c:pt idx="0">
                  <c:v>87.1</c:v>
                </c:pt>
                <c:pt idx="1">
                  <c:v>89</c:v>
                </c:pt>
                <c:pt idx="2">
                  <c:v>89.9</c:v>
                </c:pt>
                <c:pt idx="3">
                  <c:v>91.2</c:v>
                </c:pt>
                <c:pt idx="4">
                  <c:v>90.9</c:v>
                </c:pt>
                <c:pt idx="5">
                  <c:v>92</c:v>
                </c:pt>
                <c:pt idx="6">
                  <c:v>89.5</c:v>
                </c:pt>
                <c:pt idx="7">
                  <c:v>88.6</c:v>
                </c:pt>
                <c:pt idx="8">
                  <c:v>89</c:v>
                </c:pt>
              </c:numCache>
            </c:numRef>
          </c:val>
        </c:ser>
        <c:dLbls>
          <c:showLegendKey val="0"/>
          <c:showVal val="0"/>
          <c:showCatName val="0"/>
          <c:showSerName val="0"/>
          <c:showPercent val="0"/>
          <c:showBubbleSize val="0"/>
        </c:dLbls>
        <c:gapWidth val="39"/>
        <c:axId val="541083072"/>
        <c:axId val="541085816"/>
      </c:barChart>
      <c:catAx>
        <c:axId val="54108307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5816"/>
        <c:crosses val="autoZero"/>
        <c:auto val="1"/>
        <c:lblAlgn val="ctr"/>
        <c:lblOffset val="100"/>
        <c:noMultiLvlLbl val="0"/>
      </c:catAx>
      <c:valAx>
        <c:axId val="541085816"/>
        <c:scaling>
          <c:orientation val="minMax"/>
          <c:min val="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3072"/>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'2016NSHS A_Lcn'!$A$13</c:f>
              <c:strCache>
                <c:ptCount val="1"/>
                <c:pt idx="0">
                  <c:v>Amenity</c:v>
                </c:pt>
              </c:strCache>
            </c:strRef>
          </c:tx>
          <c:spPr>
            <a:solidFill>
              <a:srgbClr val="78A22F"/>
            </a:solidFill>
            <a:ln>
              <a:solidFill>
                <a:srgbClr val="78A22F"/>
              </a:solidFill>
            </a:ln>
          </c:spPr>
          <c:invertIfNegative val="0"/>
          <c:cat>
            <c:strRef>
              <c:f>'2016NSHS A_Lcn'!$B$12:$F$12</c:f>
              <c:strCache>
                <c:ptCount val="5"/>
                <c:pt idx="0">
                  <c:v>NSW</c:v>
                </c:pt>
                <c:pt idx="1">
                  <c:v>Qld</c:v>
                </c:pt>
                <c:pt idx="2">
                  <c:v>SA</c:v>
                </c:pt>
                <c:pt idx="3">
                  <c:v>Tas</c:v>
                </c:pt>
                <c:pt idx="4">
                  <c:v>Aust</c:v>
                </c:pt>
              </c:strCache>
            </c:strRef>
          </c:cat>
          <c:val>
            <c:numRef>
              <c:f>'2016NSHS A_Lcn'!$B$13:$F$13</c:f>
              <c:numCache>
                <c:formatCode>General</c:formatCode>
                <c:ptCount val="5"/>
                <c:pt idx="0">
                  <c:v>81.599999999999994</c:v>
                </c:pt>
                <c:pt idx="1">
                  <c:v>84.4</c:v>
                </c:pt>
                <c:pt idx="2">
                  <c:v>83.1</c:v>
                </c:pt>
                <c:pt idx="3">
                  <c:v>85.9</c:v>
                </c:pt>
                <c:pt idx="4">
                  <c:v>82.9</c:v>
                </c:pt>
              </c:numCache>
            </c:numRef>
          </c:val>
        </c:ser>
        <c:ser>
          <c:idx val="1"/>
          <c:order val="1"/>
          <c:tx>
            <c:strRef>
              <c:f>'2016NSHS A_Lcn'!$A$14</c:f>
              <c:strCache>
                <c:ptCount val="1"/>
                <c:pt idx="0">
                  <c:v>Location</c:v>
                </c:pt>
              </c:strCache>
            </c:strRef>
          </c:tx>
          <c:spPr>
            <a:solidFill>
              <a:srgbClr val="265A9A"/>
            </a:solidFill>
            <a:ln>
              <a:solidFill>
                <a:srgbClr val="265A9A"/>
              </a:solidFill>
            </a:ln>
          </c:spPr>
          <c:invertIfNegative val="0"/>
          <c:cat>
            <c:strRef>
              <c:f>'2016NSHS A_Lcn'!$B$12:$F$12</c:f>
              <c:strCache>
                <c:ptCount val="5"/>
                <c:pt idx="0">
                  <c:v>NSW</c:v>
                </c:pt>
                <c:pt idx="1">
                  <c:v>Qld</c:v>
                </c:pt>
                <c:pt idx="2">
                  <c:v>SA</c:v>
                </c:pt>
                <c:pt idx="3">
                  <c:v>Tas</c:v>
                </c:pt>
                <c:pt idx="4">
                  <c:v>Aust</c:v>
                </c:pt>
              </c:strCache>
            </c:strRef>
          </c:cat>
          <c:val>
            <c:numRef>
              <c:f>'2016NSHS A_Lcn'!$B$14:$F$14</c:f>
              <c:numCache>
                <c:formatCode>General</c:formatCode>
                <c:ptCount val="5"/>
                <c:pt idx="0">
                  <c:v>92.7</c:v>
                </c:pt>
                <c:pt idx="1">
                  <c:v>87.7</c:v>
                </c:pt>
                <c:pt idx="2">
                  <c:v>92.8</c:v>
                </c:pt>
                <c:pt idx="3">
                  <c:v>93.6</c:v>
                </c:pt>
                <c:pt idx="4">
                  <c:v>90.9</c:v>
                </c:pt>
              </c:numCache>
            </c:numRef>
          </c:val>
        </c:ser>
        <c:dLbls>
          <c:showLegendKey val="0"/>
          <c:showVal val="0"/>
          <c:showCatName val="0"/>
          <c:showSerName val="0"/>
          <c:showPercent val="0"/>
          <c:showBubbleSize val="0"/>
        </c:dLbls>
        <c:gapWidth val="39"/>
        <c:axId val="541087776"/>
        <c:axId val="541087384"/>
      </c:barChart>
      <c:catAx>
        <c:axId val="54108777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7384"/>
        <c:crosses val="autoZero"/>
        <c:auto val="1"/>
        <c:lblAlgn val="ctr"/>
        <c:lblOffset val="100"/>
        <c:noMultiLvlLbl val="0"/>
      </c:catAx>
      <c:valAx>
        <c:axId val="541087384"/>
        <c:scaling>
          <c:orientation val="minMax"/>
          <c:min val="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7776"/>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'2016NSHS A_Lcn'!$A$18</c:f>
              <c:strCache>
                <c:ptCount val="1"/>
                <c:pt idx="0">
                  <c:v>Amenity</c:v>
                </c:pt>
              </c:strCache>
            </c:strRef>
          </c:tx>
          <c:spPr>
            <a:solidFill>
              <a:srgbClr val="78A22F"/>
            </a:solidFill>
            <a:ln>
              <a:solidFill>
                <a:srgbClr val="78A22F"/>
              </a:solidFill>
            </a:ln>
          </c:spPr>
          <c:invertIfNegative val="0"/>
          <c:cat>
            <c:strRef>
              <c:f>'2016NSHS A_Lcn'!$B$17:$J$17</c:f>
              <c:strCache>
                <c:ptCount val="9"/>
                <c:pt idx="0">
                  <c:v>NSW</c:v>
                </c:pt>
                <c:pt idx="1">
                  <c:v>Vic</c:v>
                </c:pt>
                <c:pt idx="2">
                  <c:v>Qld</c:v>
                </c:pt>
                <c:pt idx="3">
                  <c:v>WA</c:v>
                </c:pt>
                <c:pt idx="4">
                  <c:v>SA</c:v>
                </c:pt>
                <c:pt idx="5">
                  <c:v>Tas</c:v>
                </c:pt>
                <c:pt idx="6">
                  <c:v>ACT</c:v>
                </c:pt>
                <c:pt idx="7">
                  <c:v>NT</c:v>
                </c:pt>
                <c:pt idx="8">
                  <c:v>Aust</c:v>
                </c:pt>
              </c:strCache>
            </c:strRef>
          </c:cat>
          <c:val>
            <c:numRef>
              <c:f>'2016NSHS A_Lcn'!$B$18:$J$18</c:f>
              <c:numCache>
                <c:formatCode>General</c:formatCode>
                <c:ptCount val="9"/>
                <c:pt idx="0">
                  <c:v>84.6</c:v>
                </c:pt>
                <c:pt idx="1">
                  <c:v>88.3</c:v>
                </c:pt>
                <c:pt idx="2">
                  <c:v>84.3</c:v>
                </c:pt>
                <c:pt idx="3">
                  <c:v>88</c:v>
                </c:pt>
                <c:pt idx="4">
                  <c:v>88.1</c:v>
                </c:pt>
                <c:pt idx="5">
                  <c:v>85.2</c:v>
                </c:pt>
                <c:pt idx="6">
                  <c:v>86.1</c:v>
                </c:pt>
                <c:pt idx="7">
                  <c:v>0</c:v>
                </c:pt>
                <c:pt idx="8">
                  <c:v>85.8</c:v>
                </c:pt>
              </c:numCache>
            </c:numRef>
          </c:val>
        </c:ser>
        <c:ser>
          <c:idx val="1"/>
          <c:order val="1"/>
          <c:tx>
            <c:strRef>
              <c:f>'2016NSHS A_Lcn'!$A$19</c:f>
              <c:strCache>
                <c:ptCount val="1"/>
                <c:pt idx="0">
                  <c:v>Location</c:v>
                </c:pt>
              </c:strCache>
            </c:strRef>
          </c:tx>
          <c:spPr>
            <a:solidFill>
              <a:srgbClr val="265A9A"/>
            </a:solidFill>
            <a:ln>
              <a:solidFill>
                <a:srgbClr val="265A9A"/>
              </a:solidFill>
            </a:ln>
          </c:spPr>
          <c:invertIfNegative val="0"/>
          <c:cat>
            <c:strRef>
              <c:f>'2016NSHS A_Lcn'!$B$17:$J$17</c:f>
              <c:strCache>
                <c:ptCount val="9"/>
                <c:pt idx="0">
                  <c:v>NSW</c:v>
                </c:pt>
                <c:pt idx="1">
                  <c:v>Vic</c:v>
                </c:pt>
                <c:pt idx="2">
                  <c:v>Qld</c:v>
                </c:pt>
                <c:pt idx="3">
                  <c:v>WA</c:v>
                </c:pt>
                <c:pt idx="4">
                  <c:v>SA</c:v>
                </c:pt>
                <c:pt idx="5">
                  <c:v>Tas</c:v>
                </c:pt>
                <c:pt idx="6">
                  <c:v>ACT</c:v>
                </c:pt>
                <c:pt idx="7">
                  <c:v>NT</c:v>
                </c:pt>
                <c:pt idx="8">
                  <c:v>Aust</c:v>
                </c:pt>
              </c:strCache>
            </c:strRef>
          </c:cat>
          <c:val>
            <c:numRef>
              <c:f>'2016NSHS A_Lcn'!$B$19:$J$19</c:f>
              <c:numCache>
                <c:formatCode>General</c:formatCode>
                <c:ptCount val="9"/>
                <c:pt idx="0">
                  <c:v>88.8</c:v>
                </c:pt>
                <c:pt idx="1">
                  <c:v>92.8</c:v>
                </c:pt>
                <c:pt idx="2">
                  <c:v>90.7</c:v>
                </c:pt>
                <c:pt idx="3">
                  <c:v>91.4</c:v>
                </c:pt>
                <c:pt idx="4">
                  <c:v>91.4</c:v>
                </c:pt>
                <c:pt idx="5">
                  <c:v>88.5</c:v>
                </c:pt>
                <c:pt idx="6">
                  <c:v>92.2</c:v>
                </c:pt>
                <c:pt idx="7">
                  <c:v>0</c:v>
                </c:pt>
                <c:pt idx="8">
                  <c:v>90.2</c:v>
                </c:pt>
              </c:numCache>
            </c:numRef>
          </c:val>
        </c:ser>
        <c:dLbls>
          <c:showLegendKey val="0"/>
          <c:showVal val="0"/>
          <c:showCatName val="0"/>
          <c:showSerName val="0"/>
          <c:showPercent val="0"/>
          <c:showBubbleSize val="0"/>
        </c:dLbls>
        <c:gapWidth val="39"/>
        <c:axId val="541088560"/>
        <c:axId val="541081504"/>
      </c:barChart>
      <c:catAx>
        <c:axId val="54108856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1504"/>
        <c:crosses val="autoZero"/>
        <c:auto val="1"/>
        <c:lblAlgn val="ctr"/>
        <c:lblOffset val="100"/>
        <c:noMultiLvlLbl val="0"/>
      </c:catAx>
      <c:valAx>
        <c:axId val="541081504"/>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8560"/>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'2016_14 NSHSDwCon'!$A$6</c:f>
              <c:strCache>
                <c:ptCount val="1"/>
                <c:pt idx="0">
                  <c:v>2014</c:v>
                </c:pt>
              </c:strCache>
            </c:strRef>
          </c:tx>
          <c:spPr>
            <a:solidFill>
              <a:srgbClr val="78A22F"/>
            </a:solidFill>
            <a:ln>
              <a:solidFill>
                <a:srgbClr val="78A22F"/>
              </a:solidFill>
            </a:ln>
          </c:spPr>
          <c:invertIfNegative val="0"/>
          <c:errBars>
            <c:errBarType val="both"/>
            <c:errValType val="cust"/>
            <c:noEndCap val="0"/>
            <c:plus>
              <c:numRef>
                <c:f>'2016_14 NSHSDwCon'!$B$8:$J$8</c:f>
                <c:numCache>
                  <c:formatCode>General</c:formatCode>
                  <c:ptCount val="9"/>
                  <c:pt idx="0">
                    <c:v>1.3</c:v>
                  </c:pt>
                  <c:pt idx="1">
                    <c:v>3.2</c:v>
                  </c:pt>
                  <c:pt idx="2">
                    <c:v>2.8</c:v>
                  </c:pt>
                  <c:pt idx="3">
                    <c:v>2.9</c:v>
                  </c:pt>
                  <c:pt idx="4">
                    <c:v>3</c:v>
                  </c:pt>
                  <c:pt idx="5">
                    <c:v>3.6</c:v>
                  </c:pt>
                  <c:pt idx="6">
                    <c:v>3.8</c:v>
                  </c:pt>
                  <c:pt idx="7">
                    <c:v>3.6</c:v>
                  </c:pt>
                  <c:pt idx="8">
                    <c:v>1</c:v>
                  </c:pt>
                </c:numCache>
              </c:numRef>
            </c:plus>
            <c:minus>
              <c:numRef>
                <c:f>'2016_14 NSHSDwCon'!$B$8:$J$8</c:f>
                <c:numCache>
                  <c:formatCode>General</c:formatCode>
                  <c:ptCount val="9"/>
                  <c:pt idx="0">
                    <c:v>1.3</c:v>
                  </c:pt>
                  <c:pt idx="1">
                    <c:v>3.2</c:v>
                  </c:pt>
                  <c:pt idx="2">
                    <c:v>2.8</c:v>
                  </c:pt>
                  <c:pt idx="3">
                    <c:v>2.9</c:v>
                  </c:pt>
                  <c:pt idx="4">
                    <c:v>3</c:v>
                  </c:pt>
                  <c:pt idx="5">
                    <c:v>3.6</c:v>
                  </c:pt>
                  <c:pt idx="6">
                    <c:v>3.8</c:v>
                  </c:pt>
                  <c:pt idx="7">
                    <c:v>3.6</c:v>
                  </c:pt>
                  <c:pt idx="8">
                    <c:v>1</c:v>
                  </c:pt>
                </c:numCache>
              </c:numRef>
            </c:minus>
            <c:spPr>
              <a:ln>
                <a:solidFill>
                  <a:srgbClr val="BFBFBF"/>
                </a:solidFill>
              </a:ln>
            </c:spPr>
          </c:errBars>
          <c:cat>
            <c:strRef>
              <c:f>'2016_14 NSHSDwCon'!$B$5:$J$5</c:f>
              <c:strCache>
                <c:ptCount val="9"/>
                <c:pt idx="0">
                  <c:v>NSW</c:v>
                </c:pt>
                <c:pt idx="1">
                  <c:v>Vic</c:v>
                </c:pt>
                <c:pt idx="2">
                  <c:v>Qld</c:v>
                </c:pt>
                <c:pt idx="3">
                  <c:v>WA</c:v>
                </c:pt>
                <c:pt idx="4">
                  <c:v>SA</c:v>
                </c:pt>
                <c:pt idx="5">
                  <c:v>Tas</c:v>
                </c:pt>
                <c:pt idx="6">
                  <c:v>ACT</c:v>
                </c:pt>
                <c:pt idx="7">
                  <c:v>NT</c:v>
                </c:pt>
                <c:pt idx="8">
                  <c:v>Aust</c:v>
                </c:pt>
              </c:strCache>
            </c:strRef>
          </c:cat>
          <c:val>
            <c:numRef>
              <c:f>'2016_14 NSHSDwCon'!$B$6:$J$6</c:f>
              <c:numCache>
                <c:formatCode>0.0</c:formatCode>
                <c:ptCount val="9"/>
                <c:pt idx="0">
                  <c:v>75.900000000000006</c:v>
                </c:pt>
                <c:pt idx="1">
                  <c:v>83.1</c:v>
                </c:pt>
                <c:pt idx="2">
                  <c:v>88.3</c:v>
                </c:pt>
                <c:pt idx="3">
                  <c:v>81.900000000000006</c:v>
                </c:pt>
                <c:pt idx="4">
                  <c:v>84</c:v>
                </c:pt>
                <c:pt idx="5">
                  <c:v>80.599999999999994</c:v>
                </c:pt>
                <c:pt idx="6">
                  <c:v>75.7</c:v>
                </c:pt>
                <c:pt idx="7">
                  <c:v>81.7</c:v>
                </c:pt>
                <c:pt idx="8">
                  <c:v>81</c:v>
                </c:pt>
              </c:numCache>
            </c:numRef>
          </c:val>
        </c:ser>
        <c:ser>
          <c:idx val="1"/>
          <c:order val="1"/>
          <c:tx>
            <c:strRef>
              <c:f>'2016_14 NSHSDwCon'!$A$7</c:f>
              <c:strCache>
                <c:ptCount val="1"/>
                <c:pt idx="0">
                  <c:v>2016</c:v>
                </c:pt>
              </c:strCache>
            </c:strRef>
          </c:tx>
          <c:spPr>
            <a:solidFill>
              <a:srgbClr val="265A9A"/>
            </a:solidFill>
            <a:ln>
              <a:solidFill>
                <a:srgbClr val="265A9A"/>
              </a:solidFill>
            </a:ln>
          </c:spPr>
          <c:invertIfNegative val="0"/>
          <c:errBars>
            <c:errBarType val="both"/>
            <c:errValType val="cust"/>
            <c:noEndCap val="0"/>
            <c:plus>
              <c:numRef>
                <c:f>'2016_14 NSHSDwCon'!$B$9:$J$9</c:f>
                <c:numCache>
                  <c:formatCode>General</c:formatCode>
                  <c:ptCount val="9"/>
                  <c:pt idx="0">
                    <c:v>3.7386644000000002</c:v>
                  </c:pt>
                  <c:pt idx="1">
                    <c:v>3.3150917</c:v>
                  </c:pt>
                  <c:pt idx="2">
                    <c:v>2.7969054999999998</c:v>
                  </c:pt>
                  <c:pt idx="3">
                    <c:v>3.0416534</c:v>
                  </c:pt>
                  <c:pt idx="4">
                    <c:v>3.1378037999999999</c:v>
                  </c:pt>
                  <c:pt idx="5">
                    <c:v>2.7904634000000001</c:v>
                  </c:pt>
                  <c:pt idx="6">
                    <c:v>2.8887591000000001</c:v>
                  </c:pt>
                  <c:pt idx="7">
                    <c:v>3.00353</c:v>
                  </c:pt>
                  <c:pt idx="8">
                    <c:v>1.6278035</c:v>
                  </c:pt>
                </c:numCache>
              </c:numRef>
            </c:plus>
            <c:minus>
              <c:numRef>
                <c:f>'2016_14 NSHSDwCon'!$B$9:$J$9</c:f>
                <c:numCache>
                  <c:formatCode>General</c:formatCode>
                  <c:ptCount val="9"/>
                  <c:pt idx="0">
                    <c:v>3.7386644000000002</c:v>
                  </c:pt>
                  <c:pt idx="1">
                    <c:v>3.3150917</c:v>
                  </c:pt>
                  <c:pt idx="2">
                    <c:v>2.7969054999999998</c:v>
                  </c:pt>
                  <c:pt idx="3">
                    <c:v>3.0416534</c:v>
                  </c:pt>
                  <c:pt idx="4">
                    <c:v>3.1378037999999999</c:v>
                  </c:pt>
                  <c:pt idx="5">
                    <c:v>2.7904634000000001</c:v>
                  </c:pt>
                  <c:pt idx="6">
                    <c:v>2.8887591000000001</c:v>
                  </c:pt>
                  <c:pt idx="7">
                    <c:v>3.00353</c:v>
                  </c:pt>
                  <c:pt idx="8">
                    <c:v>1.6278035</c:v>
                  </c:pt>
                </c:numCache>
              </c:numRef>
            </c:minus>
            <c:spPr>
              <a:ln>
                <a:solidFill>
                  <a:srgbClr val="BFBFBF"/>
                </a:solidFill>
              </a:ln>
            </c:spPr>
          </c:errBars>
          <c:cat>
            <c:strRef>
              <c:f>'2016_14 NSHSDwCon'!$B$5:$J$5</c:f>
              <c:strCache>
                <c:ptCount val="9"/>
                <c:pt idx="0">
                  <c:v>NSW</c:v>
                </c:pt>
                <c:pt idx="1">
                  <c:v>Vic</c:v>
                </c:pt>
                <c:pt idx="2">
                  <c:v>Qld</c:v>
                </c:pt>
                <c:pt idx="3">
                  <c:v>WA</c:v>
                </c:pt>
                <c:pt idx="4">
                  <c:v>SA</c:v>
                </c:pt>
                <c:pt idx="5">
                  <c:v>Tas</c:v>
                </c:pt>
                <c:pt idx="6">
                  <c:v>ACT</c:v>
                </c:pt>
                <c:pt idx="7">
                  <c:v>NT</c:v>
                </c:pt>
                <c:pt idx="8">
                  <c:v>Aust</c:v>
                </c:pt>
              </c:strCache>
            </c:strRef>
          </c:cat>
          <c:val>
            <c:numRef>
              <c:f>'2016_14 NSHSDwCon'!$B$7:$J$7</c:f>
              <c:numCache>
                <c:formatCode>0.0</c:formatCode>
                <c:ptCount val="9"/>
                <c:pt idx="0">
                  <c:v>74.8</c:v>
                </c:pt>
                <c:pt idx="1">
                  <c:v>82.4</c:v>
                </c:pt>
                <c:pt idx="2">
                  <c:v>86.8</c:v>
                </c:pt>
                <c:pt idx="3">
                  <c:v>81.400000000000006</c:v>
                </c:pt>
                <c:pt idx="4">
                  <c:v>85.2</c:v>
                </c:pt>
                <c:pt idx="5">
                  <c:v>83.8</c:v>
                </c:pt>
                <c:pt idx="6">
                  <c:v>81.5</c:v>
                </c:pt>
                <c:pt idx="7">
                  <c:v>82.5</c:v>
                </c:pt>
                <c:pt idx="8">
                  <c:v>80.7</c:v>
                </c:pt>
              </c:numCache>
            </c:numRef>
          </c:val>
        </c:ser>
        <c:dLbls>
          <c:showLegendKey val="0"/>
          <c:showVal val="0"/>
          <c:showCatName val="0"/>
          <c:showSerName val="0"/>
          <c:showPercent val="0"/>
          <c:showBubbleSize val="0"/>
        </c:dLbls>
        <c:gapWidth val="34"/>
        <c:axId val="541081896"/>
        <c:axId val="544053912"/>
      </c:barChart>
      <c:catAx>
        <c:axId val="54108189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3912"/>
        <c:crosses val="autoZero"/>
        <c:auto val="1"/>
        <c:lblAlgn val="ctr"/>
        <c:lblOffset val="100"/>
        <c:noMultiLvlLbl val="0"/>
      </c:catAx>
      <c:valAx>
        <c:axId val="544053912"/>
        <c:scaling>
          <c:orientation val="minMax"/>
          <c:min val="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1896"/>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'2016_14 NSHSDwCon'!$A$12</c:f>
              <c:strCache>
                <c:ptCount val="1"/>
                <c:pt idx="0">
                  <c:v>2014</c:v>
                </c:pt>
              </c:strCache>
            </c:strRef>
          </c:tx>
          <c:spPr>
            <a:solidFill>
              <a:srgbClr val="78A22F"/>
            </a:solidFill>
            <a:ln>
              <a:solidFill>
                <a:srgbClr val="78A22F"/>
              </a:solidFill>
            </a:ln>
          </c:spPr>
          <c:invertIfNegative val="0"/>
          <c:errBars>
            <c:errBarType val="both"/>
            <c:errValType val="cust"/>
            <c:noEndCap val="0"/>
            <c:plus>
              <c:numRef>
                <c:f>'2016_14 NSHSDwCon'!$B$14:$F$14</c:f>
                <c:numCache>
                  <c:formatCode>General</c:formatCode>
                  <c:ptCount val="5"/>
                  <c:pt idx="0">
                    <c:v>4.2</c:v>
                  </c:pt>
                  <c:pt idx="1">
                    <c:v>3.5</c:v>
                  </c:pt>
                  <c:pt idx="2">
                    <c:v>5.7</c:v>
                  </c:pt>
                  <c:pt idx="3">
                    <c:v>9.1</c:v>
                  </c:pt>
                  <c:pt idx="4">
                    <c:v>2.5</c:v>
                  </c:pt>
                </c:numCache>
              </c:numRef>
            </c:plus>
            <c:minus>
              <c:numRef>
                <c:f>'2016_14 NSHSDwCon'!$B$14:$F$14</c:f>
                <c:numCache>
                  <c:formatCode>General</c:formatCode>
                  <c:ptCount val="5"/>
                  <c:pt idx="0">
                    <c:v>4.2</c:v>
                  </c:pt>
                  <c:pt idx="1">
                    <c:v>3.5</c:v>
                  </c:pt>
                  <c:pt idx="2">
                    <c:v>5.7</c:v>
                  </c:pt>
                  <c:pt idx="3">
                    <c:v>9.1</c:v>
                  </c:pt>
                  <c:pt idx="4">
                    <c:v>2.5</c:v>
                  </c:pt>
                </c:numCache>
              </c:numRef>
            </c:minus>
            <c:spPr>
              <a:ln>
                <a:solidFill>
                  <a:srgbClr val="BFBFBF"/>
                </a:solidFill>
              </a:ln>
            </c:spPr>
          </c:errBars>
          <c:cat>
            <c:strRef>
              <c:f>'2016_14 NSHSDwCon'!$B$11:$F$11</c:f>
              <c:strCache>
                <c:ptCount val="5"/>
                <c:pt idx="0">
                  <c:v>NSW</c:v>
                </c:pt>
                <c:pt idx="1">
                  <c:v>Qld</c:v>
                </c:pt>
                <c:pt idx="2">
                  <c:v>SA</c:v>
                </c:pt>
                <c:pt idx="3">
                  <c:v>Tas</c:v>
                </c:pt>
                <c:pt idx="4">
                  <c:v>Aust</c:v>
                </c:pt>
              </c:strCache>
            </c:strRef>
          </c:cat>
          <c:val>
            <c:numRef>
              <c:f>'2016_14 NSHSDwCon'!$B$12:$F$12</c:f>
              <c:numCache>
                <c:formatCode>0.0</c:formatCode>
                <c:ptCount val="5"/>
                <c:pt idx="0">
                  <c:v>65.5</c:v>
                </c:pt>
                <c:pt idx="1">
                  <c:v>80.3</c:v>
                </c:pt>
                <c:pt idx="2">
                  <c:v>61.4</c:v>
                </c:pt>
                <c:pt idx="3">
                  <c:v>75.599999999999994</c:v>
                </c:pt>
                <c:pt idx="4">
                  <c:v>70.099999999999994</c:v>
                </c:pt>
              </c:numCache>
            </c:numRef>
          </c:val>
        </c:ser>
        <c:ser>
          <c:idx val="1"/>
          <c:order val="1"/>
          <c:tx>
            <c:strRef>
              <c:f>'2016_14 NSHSDwCon'!$A$13</c:f>
              <c:strCache>
                <c:ptCount val="1"/>
                <c:pt idx="0">
                  <c:v>2016</c:v>
                </c:pt>
              </c:strCache>
            </c:strRef>
          </c:tx>
          <c:spPr>
            <a:solidFill>
              <a:srgbClr val="265A9A"/>
            </a:solidFill>
            <a:ln>
              <a:solidFill>
                <a:srgbClr val="265A9A"/>
              </a:solidFill>
            </a:ln>
          </c:spPr>
          <c:invertIfNegative val="0"/>
          <c:errBars>
            <c:errBarType val="both"/>
            <c:errValType val="cust"/>
            <c:noEndCap val="0"/>
            <c:plus>
              <c:numRef>
                <c:f>'2016_14 NSHSDwCon'!$B$15:$F$15</c:f>
                <c:numCache>
                  <c:formatCode>General</c:formatCode>
                  <c:ptCount val="5"/>
                  <c:pt idx="0">
                    <c:v>4.1544616000000003</c:v>
                  </c:pt>
                  <c:pt idx="1">
                    <c:v>2.6325956000000001</c:v>
                  </c:pt>
                  <c:pt idx="2">
                    <c:v>5.1074001999999998</c:v>
                  </c:pt>
                  <c:pt idx="3">
                    <c:v>9.4774235999999998</c:v>
                  </c:pt>
                  <c:pt idx="4">
                    <c:v>2.3998707000000001</c:v>
                  </c:pt>
                </c:numCache>
              </c:numRef>
            </c:plus>
            <c:minus>
              <c:numRef>
                <c:f>'2016_14 NSHSDwCon'!$B$15:$F$15</c:f>
                <c:numCache>
                  <c:formatCode>General</c:formatCode>
                  <c:ptCount val="5"/>
                  <c:pt idx="0">
                    <c:v>4.1544616000000003</c:v>
                  </c:pt>
                  <c:pt idx="1">
                    <c:v>2.6325956000000001</c:v>
                  </c:pt>
                  <c:pt idx="2">
                    <c:v>5.1074001999999998</c:v>
                  </c:pt>
                  <c:pt idx="3">
                    <c:v>9.4774235999999998</c:v>
                  </c:pt>
                  <c:pt idx="4">
                    <c:v>2.3998707000000001</c:v>
                  </c:pt>
                </c:numCache>
              </c:numRef>
            </c:minus>
            <c:spPr>
              <a:ln>
                <a:solidFill>
                  <a:srgbClr val="BFBFBF"/>
                </a:solidFill>
              </a:ln>
            </c:spPr>
          </c:errBars>
          <c:cat>
            <c:strRef>
              <c:f>'2016_14 NSHSDwCon'!$B$11:$F$11</c:f>
              <c:strCache>
                <c:ptCount val="5"/>
                <c:pt idx="0">
                  <c:v>NSW</c:v>
                </c:pt>
                <c:pt idx="1">
                  <c:v>Qld</c:v>
                </c:pt>
                <c:pt idx="2">
                  <c:v>SA</c:v>
                </c:pt>
                <c:pt idx="3">
                  <c:v>Tas</c:v>
                </c:pt>
                <c:pt idx="4">
                  <c:v>Aust</c:v>
                </c:pt>
              </c:strCache>
            </c:strRef>
          </c:cat>
          <c:val>
            <c:numRef>
              <c:f>'2016_14 NSHSDwCon'!$B$13:$F$13</c:f>
              <c:numCache>
                <c:formatCode>0.0</c:formatCode>
                <c:ptCount val="5"/>
                <c:pt idx="0">
                  <c:v>66.599999999999994</c:v>
                </c:pt>
                <c:pt idx="1">
                  <c:v>90</c:v>
                </c:pt>
                <c:pt idx="2">
                  <c:v>68</c:v>
                </c:pt>
                <c:pt idx="3">
                  <c:v>83.5</c:v>
                </c:pt>
                <c:pt idx="4">
                  <c:v>75.099999999999994</c:v>
                </c:pt>
              </c:numCache>
            </c:numRef>
          </c:val>
        </c:ser>
        <c:dLbls>
          <c:showLegendKey val="0"/>
          <c:showVal val="0"/>
          <c:showCatName val="0"/>
          <c:showSerName val="0"/>
          <c:showPercent val="0"/>
          <c:showBubbleSize val="0"/>
        </c:dLbls>
        <c:gapWidth val="39"/>
        <c:axId val="658860800"/>
        <c:axId val="658858056"/>
      </c:barChart>
      <c:catAx>
        <c:axId val="65886080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58056"/>
        <c:crosses val="autoZero"/>
        <c:auto val="1"/>
        <c:lblAlgn val="ctr"/>
        <c:lblOffset val="100"/>
        <c:noMultiLvlLbl val="0"/>
      </c:catAx>
      <c:valAx>
        <c:axId val="658858056"/>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60800"/>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'2016_14 NSHSDwCon'!$A$18</c:f>
              <c:strCache>
                <c:ptCount val="1"/>
                <c:pt idx="0">
                  <c:v>2014</c:v>
                </c:pt>
              </c:strCache>
            </c:strRef>
          </c:tx>
          <c:spPr>
            <a:solidFill>
              <a:srgbClr val="78A22F"/>
            </a:solidFill>
            <a:ln>
              <a:solidFill>
                <a:srgbClr val="78A22F"/>
              </a:solidFill>
            </a:ln>
          </c:spPr>
          <c:invertIfNegative val="0"/>
          <c:errBars>
            <c:errBarType val="both"/>
            <c:errValType val="cust"/>
            <c:noEndCap val="0"/>
            <c:plus>
              <c:numRef>
                <c:f>'2016_14 NSHSDwCon'!$B$20:$J$20</c:f>
                <c:numCache>
                  <c:formatCode>General</c:formatCode>
                  <c:ptCount val="9"/>
                  <c:pt idx="0">
                    <c:v>2.1</c:v>
                  </c:pt>
                  <c:pt idx="1">
                    <c:v>3.5</c:v>
                  </c:pt>
                  <c:pt idx="2">
                    <c:v>2.5</c:v>
                  </c:pt>
                  <c:pt idx="3">
                    <c:v>2.5</c:v>
                  </c:pt>
                  <c:pt idx="4">
                    <c:v>3.7</c:v>
                  </c:pt>
                  <c:pt idx="5">
                    <c:v>4.7</c:v>
                  </c:pt>
                  <c:pt idx="6">
                    <c:v>5.9</c:v>
                  </c:pt>
                  <c:pt idx="7">
                    <c:v>0</c:v>
                  </c:pt>
                  <c:pt idx="8">
                    <c:v>1.2</c:v>
                  </c:pt>
                </c:numCache>
              </c:numRef>
            </c:plus>
            <c:minus>
              <c:numRef>
                <c:f>'2016_14 NSHSDwCon'!$B$20:$J$20</c:f>
                <c:numCache>
                  <c:formatCode>General</c:formatCode>
                  <c:ptCount val="9"/>
                  <c:pt idx="0">
                    <c:v>2.1</c:v>
                  </c:pt>
                  <c:pt idx="1">
                    <c:v>3.5</c:v>
                  </c:pt>
                  <c:pt idx="2">
                    <c:v>2.5</c:v>
                  </c:pt>
                  <c:pt idx="3">
                    <c:v>2.5</c:v>
                  </c:pt>
                  <c:pt idx="4">
                    <c:v>3.7</c:v>
                  </c:pt>
                  <c:pt idx="5">
                    <c:v>4.7</c:v>
                  </c:pt>
                  <c:pt idx="6">
                    <c:v>5.9</c:v>
                  </c:pt>
                  <c:pt idx="7">
                    <c:v>0</c:v>
                  </c:pt>
                  <c:pt idx="8">
                    <c:v>1.2</c:v>
                  </c:pt>
                </c:numCache>
              </c:numRef>
            </c:minus>
            <c:spPr>
              <a:ln>
                <a:solidFill>
                  <a:srgbClr val="BFBFBF"/>
                </a:solidFill>
              </a:ln>
            </c:spPr>
          </c:errBars>
          <c:cat>
            <c:strRef>
              <c:f>'2016_14 NSHSDwCon'!$B$17:$J$17</c:f>
              <c:strCache>
                <c:ptCount val="9"/>
                <c:pt idx="0">
                  <c:v>NSW</c:v>
                </c:pt>
                <c:pt idx="1">
                  <c:v>Vic</c:v>
                </c:pt>
                <c:pt idx="2">
                  <c:v>Qld</c:v>
                </c:pt>
                <c:pt idx="3">
                  <c:v>WA</c:v>
                </c:pt>
                <c:pt idx="4">
                  <c:v>SA</c:v>
                </c:pt>
                <c:pt idx="5">
                  <c:v>Tas</c:v>
                </c:pt>
                <c:pt idx="6">
                  <c:v>ACT </c:v>
                </c:pt>
                <c:pt idx="7">
                  <c:v>NT</c:v>
                </c:pt>
                <c:pt idx="8">
                  <c:v>Aust</c:v>
                </c:pt>
              </c:strCache>
            </c:strRef>
          </c:cat>
          <c:val>
            <c:numRef>
              <c:f>'2016_14 NSHSDwCon'!$B$18:$J$18</c:f>
              <c:numCache>
                <c:formatCode>General</c:formatCode>
                <c:ptCount val="9"/>
                <c:pt idx="0">
                  <c:v>87.9</c:v>
                </c:pt>
                <c:pt idx="1">
                  <c:v>87.7</c:v>
                </c:pt>
                <c:pt idx="2">
                  <c:v>93.8</c:v>
                </c:pt>
                <c:pt idx="3">
                  <c:v>94.4</c:v>
                </c:pt>
                <c:pt idx="4">
                  <c:v>86.4</c:v>
                </c:pt>
                <c:pt idx="5">
                  <c:v>80.5</c:v>
                </c:pt>
                <c:pt idx="6">
                  <c:v>87.6</c:v>
                </c:pt>
                <c:pt idx="7" formatCode="0.0">
                  <c:v>0</c:v>
                </c:pt>
                <c:pt idx="8">
                  <c:v>89.3</c:v>
                </c:pt>
              </c:numCache>
            </c:numRef>
          </c:val>
        </c:ser>
        <c:ser>
          <c:idx val="1"/>
          <c:order val="1"/>
          <c:tx>
            <c:strRef>
              <c:f>'2016_14 NSHSDwCon'!$A$19</c:f>
              <c:strCache>
                <c:ptCount val="1"/>
                <c:pt idx="0">
                  <c:v>2016</c:v>
                </c:pt>
              </c:strCache>
            </c:strRef>
          </c:tx>
          <c:spPr>
            <a:solidFill>
              <a:srgbClr val="265A9A"/>
            </a:solidFill>
            <a:ln>
              <a:solidFill>
                <a:srgbClr val="265A9A"/>
              </a:solidFill>
            </a:ln>
          </c:spPr>
          <c:invertIfNegative val="0"/>
          <c:errBars>
            <c:errBarType val="both"/>
            <c:errValType val="cust"/>
            <c:noEndCap val="0"/>
            <c:plus>
              <c:numRef>
                <c:f>'2016_14 NSHSDwCon'!$B$21:$J$21</c:f>
                <c:numCache>
                  <c:formatCode>General</c:formatCode>
                  <c:ptCount val="9"/>
                  <c:pt idx="0">
                    <c:v>2.7176676</c:v>
                  </c:pt>
                  <c:pt idx="1">
                    <c:v>2.9671202999999999</c:v>
                  </c:pt>
                  <c:pt idx="2">
                    <c:v>3.0021814999999998</c:v>
                  </c:pt>
                  <c:pt idx="3">
                    <c:v>3.0275069000000001</c:v>
                  </c:pt>
                  <c:pt idx="4">
                    <c:v>2.1888396999999999</c:v>
                  </c:pt>
                  <c:pt idx="5">
                    <c:v>3.2755304000000001</c:v>
                  </c:pt>
                  <c:pt idx="6">
                    <c:v>3.8127365000000002</c:v>
                  </c:pt>
                  <c:pt idx="7">
                    <c:v>0</c:v>
                  </c:pt>
                  <c:pt idx="8">
                    <c:v>1.3661165</c:v>
                  </c:pt>
                </c:numCache>
              </c:numRef>
            </c:plus>
            <c:minus>
              <c:numRef>
                <c:f>'2016_14 NSHSDwCon'!$B$21:$J$21</c:f>
                <c:numCache>
                  <c:formatCode>General</c:formatCode>
                  <c:ptCount val="9"/>
                  <c:pt idx="0">
                    <c:v>2.7176676</c:v>
                  </c:pt>
                  <c:pt idx="1">
                    <c:v>2.9671202999999999</c:v>
                  </c:pt>
                  <c:pt idx="2">
                    <c:v>3.0021814999999998</c:v>
                  </c:pt>
                  <c:pt idx="3">
                    <c:v>3.0275069000000001</c:v>
                  </c:pt>
                  <c:pt idx="4">
                    <c:v>2.1888396999999999</c:v>
                  </c:pt>
                  <c:pt idx="5">
                    <c:v>3.2755304000000001</c:v>
                  </c:pt>
                  <c:pt idx="6">
                    <c:v>3.8127365000000002</c:v>
                  </c:pt>
                  <c:pt idx="7">
                    <c:v>0</c:v>
                  </c:pt>
                  <c:pt idx="8">
                    <c:v>1.3661165</c:v>
                  </c:pt>
                </c:numCache>
              </c:numRef>
            </c:minus>
            <c:spPr>
              <a:ln>
                <a:solidFill>
                  <a:srgbClr val="BFBFBF"/>
                </a:solidFill>
              </a:ln>
            </c:spPr>
          </c:errBars>
          <c:cat>
            <c:strRef>
              <c:f>'2016_14 NSHSDwCon'!$B$17:$J$17</c:f>
              <c:strCache>
                <c:ptCount val="9"/>
                <c:pt idx="0">
                  <c:v>NSW</c:v>
                </c:pt>
                <c:pt idx="1">
                  <c:v>Vic</c:v>
                </c:pt>
                <c:pt idx="2">
                  <c:v>Qld</c:v>
                </c:pt>
                <c:pt idx="3">
                  <c:v>WA</c:v>
                </c:pt>
                <c:pt idx="4">
                  <c:v>SA</c:v>
                </c:pt>
                <c:pt idx="5">
                  <c:v>Tas</c:v>
                </c:pt>
                <c:pt idx="6">
                  <c:v>ACT </c:v>
                </c:pt>
                <c:pt idx="7">
                  <c:v>NT</c:v>
                </c:pt>
                <c:pt idx="8">
                  <c:v>Aust</c:v>
                </c:pt>
              </c:strCache>
            </c:strRef>
          </c:cat>
          <c:val>
            <c:numRef>
              <c:f>'2016_14 NSHSDwCon'!$B$19:$J$19</c:f>
              <c:numCache>
                <c:formatCode>0.0</c:formatCode>
                <c:ptCount val="9"/>
                <c:pt idx="0">
                  <c:v>87.9</c:v>
                </c:pt>
                <c:pt idx="1">
                  <c:v>90</c:v>
                </c:pt>
                <c:pt idx="2">
                  <c:v>90.6</c:v>
                </c:pt>
                <c:pt idx="3">
                  <c:v>90.7</c:v>
                </c:pt>
                <c:pt idx="4">
                  <c:v>92.6</c:v>
                </c:pt>
                <c:pt idx="5">
                  <c:v>82.4</c:v>
                </c:pt>
                <c:pt idx="6">
                  <c:v>91.6</c:v>
                </c:pt>
                <c:pt idx="7">
                  <c:v>0</c:v>
                </c:pt>
                <c:pt idx="8">
                  <c:v>88.8</c:v>
                </c:pt>
              </c:numCache>
            </c:numRef>
          </c:val>
        </c:ser>
        <c:dLbls>
          <c:showLegendKey val="0"/>
          <c:showVal val="0"/>
          <c:showCatName val="0"/>
          <c:showSerName val="0"/>
          <c:showPercent val="0"/>
          <c:showBubbleSize val="0"/>
        </c:dLbls>
        <c:gapWidth val="39"/>
        <c:axId val="658861584"/>
        <c:axId val="658861976"/>
      </c:barChart>
      <c:catAx>
        <c:axId val="65886158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61976"/>
        <c:crosses val="autoZero"/>
        <c:auto val="1"/>
        <c:lblAlgn val="ctr"/>
        <c:lblOffset val="100"/>
        <c:noMultiLvlLbl val="0"/>
      </c:catAx>
      <c:valAx>
        <c:axId val="658861976"/>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General"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61584"/>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'2016NSHS A_Lcn'!$A$63</c:f>
              <c:strCache>
                <c:ptCount val="1"/>
                <c:pt idx="0">
                  <c:v>Public housing</c:v>
                </c:pt>
              </c:strCache>
            </c:strRef>
          </c:tx>
          <c:spPr>
            <a:solidFill>
              <a:srgbClr val="B2D673"/>
            </a:solidFill>
            <a:ln>
              <a:solidFill>
                <a:srgbClr val="B2D673"/>
              </a:solidFill>
            </a:ln>
          </c:spPr>
          <c:invertIfNegative val="0"/>
          <c:errBars>
            <c:errBarType val="both"/>
            <c:errValType val="cust"/>
            <c:noEndCap val="0"/>
            <c:plus>
              <c:numRef>
                <c:f>'2016NSHS A_Lcn'!$B$67:$J$67</c:f>
                <c:numCache>
                  <c:formatCode>General</c:formatCode>
                  <c:ptCount val="9"/>
                  <c:pt idx="0">
                    <c:v>4.0920902999999997</c:v>
                  </c:pt>
                  <c:pt idx="1">
                    <c:v>3.6786637</c:v>
                  </c:pt>
                  <c:pt idx="2">
                    <c:v>2.7948737000000001</c:v>
                  </c:pt>
                  <c:pt idx="3">
                    <c:v>3.1812762000000001</c:v>
                  </c:pt>
                  <c:pt idx="4">
                    <c:v>3.3081756000000002</c:v>
                  </c:pt>
                  <c:pt idx="5">
                    <c:v>3.0499453000000001</c:v>
                  </c:pt>
                  <c:pt idx="6">
                    <c:v>3.1794544</c:v>
                  </c:pt>
                  <c:pt idx="7">
                    <c:v>3.3950792999999999</c:v>
                  </c:pt>
                  <c:pt idx="8">
                    <c:v>1.7973408</c:v>
                  </c:pt>
                </c:numCache>
              </c:numRef>
            </c:plus>
            <c:minus>
              <c:numRef>
                <c:f>'2016NSHS A_Lcn'!$B$67:$J$67</c:f>
                <c:numCache>
                  <c:formatCode>General</c:formatCode>
                  <c:ptCount val="9"/>
                  <c:pt idx="0">
                    <c:v>4.0920902999999997</c:v>
                  </c:pt>
                  <c:pt idx="1">
                    <c:v>3.6786637</c:v>
                  </c:pt>
                  <c:pt idx="2">
                    <c:v>2.7948737000000001</c:v>
                  </c:pt>
                  <c:pt idx="3">
                    <c:v>3.1812762000000001</c:v>
                  </c:pt>
                  <c:pt idx="4">
                    <c:v>3.3081756000000002</c:v>
                  </c:pt>
                  <c:pt idx="5">
                    <c:v>3.0499453000000001</c:v>
                  </c:pt>
                  <c:pt idx="6">
                    <c:v>3.1794544</c:v>
                  </c:pt>
                  <c:pt idx="7">
                    <c:v>3.3950792999999999</c:v>
                  </c:pt>
                  <c:pt idx="8">
                    <c:v>1.7973408</c:v>
                  </c:pt>
                </c:numCache>
              </c:numRef>
            </c:minus>
            <c:spPr>
              <a:ln>
                <a:solidFill>
                  <a:srgbClr val="78A22F"/>
                </a:solidFill>
              </a:ln>
            </c:spPr>
          </c:errBars>
          <c:cat>
            <c:strRef>
              <c:f>'2016NSHS A_Lcn'!$B$62:$J$62</c:f>
              <c:strCache>
                <c:ptCount val="9"/>
                <c:pt idx="0">
                  <c:v>NSW</c:v>
                </c:pt>
                <c:pt idx="1">
                  <c:v>Vic</c:v>
                </c:pt>
                <c:pt idx="2">
                  <c:v>Qld</c:v>
                </c:pt>
                <c:pt idx="3">
                  <c:v>WA</c:v>
                </c:pt>
                <c:pt idx="4">
                  <c:v>SA</c:v>
                </c:pt>
                <c:pt idx="5">
                  <c:v>Tas</c:v>
                </c:pt>
                <c:pt idx="6">
                  <c:v>ACT</c:v>
                </c:pt>
                <c:pt idx="7">
                  <c:v>NT</c:v>
                </c:pt>
                <c:pt idx="8">
                  <c:v>Aust</c:v>
                </c:pt>
              </c:strCache>
            </c:strRef>
          </c:cat>
          <c:val>
            <c:numRef>
              <c:f>'2016NSHS A_Lcn'!$B$63:$J$63</c:f>
              <c:numCache>
                <c:formatCode>0.0</c:formatCode>
                <c:ptCount val="9"/>
                <c:pt idx="0">
                  <c:v>61.7</c:v>
                </c:pt>
                <c:pt idx="1">
                  <c:v>74.5</c:v>
                </c:pt>
                <c:pt idx="2">
                  <c:v>85.8</c:v>
                </c:pt>
                <c:pt idx="3">
                  <c:v>76.7</c:v>
                </c:pt>
                <c:pt idx="4">
                  <c:v>82.7</c:v>
                </c:pt>
                <c:pt idx="5">
                  <c:v>79.099999999999994</c:v>
                </c:pt>
                <c:pt idx="6">
                  <c:v>74.8</c:v>
                </c:pt>
                <c:pt idx="7">
                  <c:v>74.099999999999994</c:v>
                </c:pt>
                <c:pt idx="8">
                  <c:v>73.099999999999994</c:v>
                </c:pt>
              </c:numCache>
            </c:numRef>
          </c:val>
        </c:ser>
        <c:ser>
          <c:idx val="1"/>
          <c:order val="1"/>
          <c:tx>
            <c:strRef>
              <c:f>'2016NSHS A_Lcn'!$A$64</c:f>
              <c:strCache>
                <c:ptCount val="1"/>
                <c:pt idx="0">
                  <c:v>SOMIH</c:v>
                </c:pt>
              </c:strCache>
            </c:strRef>
          </c:tx>
          <c:spPr>
            <a:solidFill>
              <a:srgbClr val="265A9A"/>
            </a:solidFill>
            <a:ln>
              <a:solidFill>
                <a:srgbClr val="265A9A"/>
              </a:solidFill>
            </a:ln>
          </c:spPr>
          <c:invertIfNegative val="0"/>
          <c:errBars>
            <c:errBarType val="both"/>
            <c:errValType val="cust"/>
            <c:noEndCap val="0"/>
            <c:plus>
              <c:numRef>
                <c:f>'2016NSHS A_Lcn'!$B$68:$J$68</c:f>
                <c:numCache>
                  <c:formatCode>General</c:formatCode>
                  <c:ptCount val="9"/>
                  <c:pt idx="0">
                    <c:v>4.3800838999999998</c:v>
                  </c:pt>
                  <c:pt idx="2">
                    <c:v>3.5397883999999999</c:v>
                  </c:pt>
                  <c:pt idx="4">
                    <c:v>5.0383950999999998</c:v>
                  </c:pt>
                  <c:pt idx="5">
                    <c:v>11.125431000000001</c:v>
                  </c:pt>
                  <c:pt idx="8">
                    <c:v>2.5926624999999999</c:v>
                  </c:pt>
                </c:numCache>
              </c:numRef>
            </c:plus>
            <c:minus>
              <c:numRef>
                <c:f>'2016NSHS A_Lcn'!$B$68:$J$68</c:f>
                <c:numCache>
                  <c:formatCode>General</c:formatCode>
                  <c:ptCount val="9"/>
                  <c:pt idx="0">
                    <c:v>4.3800838999999998</c:v>
                  </c:pt>
                  <c:pt idx="2">
                    <c:v>3.5397883999999999</c:v>
                  </c:pt>
                  <c:pt idx="4">
                    <c:v>5.0383950999999998</c:v>
                  </c:pt>
                  <c:pt idx="5">
                    <c:v>11.125431000000001</c:v>
                  </c:pt>
                  <c:pt idx="8">
                    <c:v>2.5926624999999999</c:v>
                  </c:pt>
                </c:numCache>
              </c:numRef>
            </c:minus>
            <c:spPr>
              <a:ln>
                <a:solidFill>
                  <a:srgbClr val="BFBFBF"/>
                </a:solidFill>
              </a:ln>
            </c:spPr>
          </c:errBars>
          <c:cat>
            <c:strRef>
              <c:f>'2016NSHS A_Lcn'!$B$62:$J$62</c:f>
              <c:strCache>
                <c:ptCount val="9"/>
                <c:pt idx="0">
                  <c:v>NSW</c:v>
                </c:pt>
                <c:pt idx="1">
                  <c:v>Vic</c:v>
                </c:pt>
                <c:pt idx="2">
                  <c:v>Qld</c:v>
                </c:pt>
                <c:pt idx="3">
                  <c:v>WA</c:v>
                </c:pt>
                <c:pt idx="4">
                  <c:v>SA</c:v>
                </c:pt>
                <c:pt idx="5">
                  <c:v>Tas</c:v>
                </c:pt>
                <c:pt idx="6">
                  <c:v>ACT</c:v>
                </c:pt>
                <c:pt idx="7">
                  <c:v>NT</c:v>
                </c:pt>
                <c:pt idx="8">
                  <c:v>Aust</c:v>
                </c:pt>
              </c:strCache>
            </c:strRef>
          </c:cat>
          <c:val>
            <c:numRef>
              <c:f>'2016NSHS A_Lcn'!$B$64:$J$64</c:f>
              <c:numCache>
                <c:formatCode>General</c:formatCode>
                <c:ptCount val="9"/>
                <c:pt idx="0" formatCode="0.0">
                  <c:v>58</c:v>
                </c:pt>
                <c:pt idx="1">
                  <c:v>0</c:v>
                </c:pt>
                <c:pt idx="2" formatCode="0.0">
                  <c:v>79.400000000000006</c:v>
                </c:pt>
                <c:pt idx="3">
                  <c:v>0</c:v>
                </c:pt>
                <c:pt idx="4" formatCode="0.0">
                  <c:v>69.099999999999994</c:v>
                </c:pt>
                <c:pt idx="5" formatCode="0.0">
                  <c:v>75</c:v>
                </c:pt>
                <c:pt idx="6">
                  <c:v>0</c:v>
                </c:pt>
                <c:pt idx="7">
                  <c:v>0</c:v>
                </c:pt>
                <c:pt idx="8" formatCode="0.0">
                  <c:v>67.599999999999994</c:v>
                </c:pt>
              </c:numCache>
            </c:numRef>
          </c:val>
        </c:ser>
        <c:ser>
          <c:idx val="2"/>
          <c:order val="2"/>
          <c:tx>
            <c:strRef>
              <c:f>'2016NSHS A_Lcn'!$A$65</c:f>
              <c:strCache>
                <c:ptCount val="1"/>
                <c:pt idx="0">
                  <c:v>Community housing</c:v>
                </c:pt>
              </c:strCache>
            </c:strRef>
          </c:tx>
          <c:spPr>
            <a:solidFill>
              <a:srgbClr val="78A22F"/>
            </a:solidFill>
            <a:ln>
              <a:solidFill>
                <a:srgbClr val="78A22F"/>
              </a:solidFill>
            </a:ln>
          </c:spPr>
          <c:invertIfNegative val="0"/>
          <c:errBars>
            <c:errBarType val="both"/>
            <c:errValType val="cust"/>
            <c:noEndCap val="0"/>
            <c:plus>
              <c:numRef>
                <c:f>'2016NSHS A_Lcn'!$B$69:$J$69</c:f>
                <c:numCache>
                  <c:formatCode>General</c:formatCode>
                  <c:ptCount val="9"/>
                  <c:pt idx="0">
                    <c:v>3.2326172</c:v>
                  </c:pt>
                  <c:pt idx="1">
                    <c:v>3.7157996999999998</c:v>
                  </c:pt>
                  <c:pt idx="2">
                    <c:v>4.1571236000000003</c:v>
                  </c:pt>
                  <c:pt idx="3">
                    <c:v>3.5725145999999999</c:v>
                  </c:pt>
                  <c:pt idx="4">
                    <c:v>3.2524852000000002</c:v>
                  </c:pt>
                  <c:pt idx="5">
                    <c:v>3.3559073000000001</c:v>
                  </c:pt>
                  <c:pt idx="6">
                    <c:v>5.3866075000000002</c:v>
                  </c:pt>
                  <c:pt idx="7">
                    <c:v>0</c:v>
                  </c:pt>
                  <c:pt idx="8">
                    <c:v>1.6982999999999999</c:v>
                  </c:pt>
                </c:numCache>
              </c:numRef>
            </c:plus>
            <c:minus>
              <c:numRef>
                <c:f>'2016NSHS A_Lcn'!$B$69:$J$69</c:f>
                <c:numCache>
                  <c:formatCode>General</c:formatCode>
                  <c:ptCount val="9"/>
                  <c:pt idx="0">
                    <c:v>3.2326172</c:v>
                  </c:pt>
                  <c:pt idx="1">
                    <c:v>3.7157996999999998</c:v>
                  </c:pt>
                  <c:pt idx="2">
                    <c:v>4.1571236000000003</c:v>
                  </c:pt>
                  <c:pt idx="3">
                    <c:v>3.5725145999999999</c:v>
                  </c:pt>
                  <c:pt idx="4">
                    <c:v>3.2524852000000002</c:v>
                  </c:pt>
                  <c:pt idx="5">
                    <c:v>3.3559073000000001</c:v>
                  </c:pt>
                  <c:pt idx="6">
                    <c:v>5.3866075000000002</c:v>
                  </c:pt>
                  <c:pt idx="7">
                    <c:v>0</c:v>
                  </c:pt>
                  <c:pt idx="8">
                    <c:v>1.6982999999999999</c:v>
                  </c:pt>
                </c:numCache>
              </c:numRef>
            </c:minus>
            <c:spPr>
              <a:ln>
                <a:solidFill>
                  <a:srgbClr val="BFBFBF"/>
                </a:solidFill>
              </a:ln>
            </c:spPr>
          </c:errBars>
          <c:cat>
            <c:strRef>
              <c:f>'2016NSHS A_Lcn'!$B$62:$J$62</c:f>
              <c:strCache>
                <c:ptCount val="9"/>
                <c:pt idx="0">
                  <c:v>NSW</c:v>
                </c:pt>
                <c:pt idx="1">
                  <c:v>Vic</c:v>
                </c:pt>
                <c:pt idx="2">
                  <c:v>Qld</c:v>
                </c:pt>
                <c:pt idx="3">
                  <c:v>WA</c:v>
                </c:pt>
                <c:pt idx="4">
                  <c:v>SA</c:v>
                </c:pt>
                <c:pt idx="5">
                  <c:v>Tas</c:v>
                </c:pt>
                <c:pt idx="6">
                  <c:v>ACT</c:v>
                </c:pt>
                <c:pt idx="7">
                  <c:v>NT</c:v>
                </c:pt>
                <c:pt idx="8">
                  <c:v>Aust</c:v>
                </c:pt>
              </c:strCache>
            </c:strRef>
          </c:cat>
          <c:val>
            <c:numRef>
              <c:f>'2016NSHS A_Lcn'!$B$65:$J$65</c:f>
              <c:numCache>
                <c:formatCode>General</c:formatCode>
                <c:ptCount val="9"/>
                <c:pt idx="0">
                  <c:v>80.3</c:v>
                </c:pt>
                <c:pt idx="1">
                  <c:v>82.1</c:v>
                </c:pt>
                <c:pt idx="2">
                  <c:v>78.3</c:v>
                </c:pt>
                <c:pt idx="3">
                  <c:v>85.1</c:v>
                </c:pt>
                <c:pt idx="4">
                  <c:v>80.5</c:v>
                </c:pt>
                <c:pt idx="5">
                  <c:v>79.900000000000006</c:v>
                </c:pt>
                <c:pt idx="6">
                  <c:v>80.400000000000006</c:v>
                </c:pt>
                <c:pt idx="7">
                  <c:v>0</c:v>
                </c:pt>
                <c:pt idx="8">
                  <c:v>80.3</c:v>
                </c:pt>
              </c:numCache>
            </c:numRef>
          </c:val>
        </c:ser>
        <c:dLbls>
          <c:showLegendKey val="0"/>
          <c:showVal val="0"/>
          <c:showCatName val="0"/>
          <c:showSerName val="0"/>
          <c:showPercent val="0"/>
          <c:showBubbleSize val="0"/>
        </c:dLbls>
        <c:gapWidth val="50"/>
        <c:axId val="658861192"/>
        <c:axId val="658856880"/>
      </c:barChart>
      <c:catAx>
        <c:axId val="65886119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56880"/>
        <c:crosses val="autoZero"/>
        <c:auto val="1"/>
        <c:lblAlgn val="ctr"/>
        <c:lblOffset val="100"/>
        <c:noMultiLvlLbl val="0"/>
      </c:catAx>
      <c:valAx>
        <c:axId val="658856880"/>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61192"/>
        <c:crosses val="autoZero"/>
        <c:crossBetween val="between"/>
        <c:majorUnit val="20"/>
      </c:valAx>
      <c:spPr>
        <a:noFill/>
        <a:ln>
          <a:noFill/>
        </a:ln>
      </c:spPr>
    </c:plotArea>
    <c:legend>
      <c:legendPos val="b"/>
      <c:layout/>
      <c:overlay val="0"/>
      <c:spPr>
        <a:ln>
          <a:noFill/>
        </a:ln>
      </c:spPr>
      <c:txPr>
        <a:bodyPr/>
        <a:lstStyle/>
        <a:p>
          <a:pPr>
            <a:defRPr sz="900" b="0" i="0">
              <a:latin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PH'!$A$18</c:f>
              <c:strCache>
                <c:ptCount val="1"/>
                <c:pt idx="0">
                  <c:v>2012-13</c:v>
                </c:pt>
              </c:strCache>
            </c:strRef>
          </c:tx>
          <c:spPr>
            <a:solidFill>
              <a:srgbClr val="78A22F"/>
            </a:solidFill>
            <a:ln>
              <a:solidFill>
                <a:srgbClr val="78A22F"/>
              </a:solidFill>
            </a:ln>
          </c:spPr>
          <c:invertIfNegative val="0"/>
          <c:cat>
            <c:strRef>
              <c:f>'Data PH'!$B$16:$J$16</c:f>
              <c:strCache>
                <c:ptCount val="9"/>
                <c:pt idx="0">
                  <c:v>NSW</c:v>
                </c:pt>
                <c:pt idx="1">
                  <c:v>Vic</c:v>
                </c:pt>
                <c:pt idx="2">
                  <c:v>Qld</c:v>
                </c:pt>
                <c:pt idx="3">
                  <c:v>WA</c:v>
                </c:pt>
                <c:pt idx="4">
                  <c:v>SA</c:v>
                </c:pt>
                <c:pt idx="5">
                  <c:v>Tas</c:v>
                </c:pt>
                <c:pt idx="6">
                  <c:v>ACT</c:v>
                </c:pt>
                <c:pt idx="7">
                  <c:v>NT</c:v>
                </c:pt>
                <c:pt idx="8">
                  <c:v>Aust</c:v>
                </c:pt>
              </c:strCache>
            </c:strRef>
          </c:cat>
          <c:val>
            <c:numRef>
              <c:f>'Data PH'!$B$18:$J$18</c:f>
              <c:numCache>
                <c:formatCode>0</c:formatCode>
                <c:ptCount val="9"/>
                <c:pt idx="0">
                  <c:v>8290.1663712299469</c:v>
                </c:pt>
                <c:pt idx="1">
                  <c:v>6468.4491978609622</c:v>
                </c:pt>
                <c:pt idx="2">
                  <c:v>7772.1460118716577</c:v>
                </c:pt>
                <c:pt idx="3">
                  <c:v>10857.754010695187</c:v>
                </c:pt>
                <c:pt idx="4">
                  <c:v>8260.9625668449189</c:v>
                </c:pt>
                <c:pt idx="5">
                  <c:v>8208.5561497326198</c:v>
                </c:pt>
                <c:pt idx="6">
                  <c:v>9687.7005347593586</c:v>
                </c:pt>
                <c:pt idx="7">
                  <c:v>14532.620320855614</c:v>
                </c:pt>
                <c:pt idx="8">
                  <c:v>8270.9333576403642</c:v>
                </c:pt>
              </c:numCache>
            </c:numRef>
          </c:val>
        </c:ser>
        <c:ser>
          <c:idx val="1"/>
          <c:order val="1"/>
          <c:tx>
            <c:strRef>
              <c:f>'Data PH'!$A$19</c:f>
              <c:strCache>
                <c:ptCount val="1"/>
                <c:pt idx="0">
                  <c:v>2013-14</c:v>
                </c:pt>
              </c:strCache>
            </c:strRef>
          </c:tx>
          <c:spPr>
            <a:solidFill>
              <a:srgbClr val="78A22F"/>
            </a:solidFill>
            <a:ln>
              <a:solidFill>
                <a:srgbClr val="78A22F"/>
              </a:solidFill>
            </a:ln>
          </c:spPr>
          <c:invertIfNegative val="0"/>
          <c:cat>
            <c:strRef>
              <c:f>'Data PH'!$B$16:$J$16</c:f>
              <c:strCache>
                <c:ptCount val="9"/>
                <c:pt idx="0">
                  <c:v>NSW</c:v>
                </c:pt>
                <c:pt idx="1">
                  <c:v>Vic</c:v>
                </c:pt>
                <c:pt idx="2">
                  <c:v>Qld</c:v>
                </c:pt>
                <c:pt idx="3">
                  <c:v>WA</c:v>
                </c:pt>
                <c:pt idx="4">
                  <c:v>SA</c:v>
                </c:pt>
                <c:pt idx="5">
                  <c:v>Tas</c:v>
                </c:pt>
                <c:pt idx="6">
                  <c:v>ACT</c:v>
                </c:pt>
                <c:pt idx="7">
                  <c:v>NT</c:v>
                </c:pt>
                <c:pt idx="8">
                  <c:v>Aust</c:v>
                </c:pt>
              </c:strCache>
            </c:strRef>
          </c:cat>
          <c:val>
            <c:numRef>
              <c:f>'Data PH'!$B$19:$J$19</c:f>
              <c:numCache>
                <c:formatCode>0</c:formatCode>
                <c:ptCount val="9"/>
                <c:pt idx="0">
                  <c:v>8437.170010559661</c:v>
                </c:pt>
                <c:pt idx="1">
                  <c:v>5916.5786694825765</c:v>
                </c:pt>
                <c:pt idx="2">
                  <c:v>7514.0248665258714</c:v>
                </c:pt>
                <c:pt idx="3">
                  <c:v>12167.575498521648</c:v>
                </c:pt>
                <c:pt idx="4">
                  <c:v>9580.0320975712766</c:v>
                </c:pt>
                <c:pt idx="5">
                  <c:v>9053.8542766631472</c:v>
                </c:pt>
                <c:pt idx="6">
                  <c:v>9747.6240760295659</c:v>
                </c:pt>
                <c:pt idx="7">
                  <c:v>15233.368532206969</c:v>
                </c:pt>
                <c:pt idx="8">
                  <c:v>8486.8306467152543</c:v>
                </c:pt>
              </c:numCache>
            </c:numRef>
          </c:val>
        </c:ser>
        <c:ser>
          <c:idx val="2"/>
          <c:order val="2"/>
          <c:tx>
            <c:strRef>
              <c:f>'Data PH'!$A$20</c:f>
              <c:strCache>
                <c:ptCount val="1"/>
                <c:pt idx="0">
                  <c:v>2014-15</c:v>
                </c:pt>
              </c:strCache>
            </c:strRef>
          </c:tx>
          <c:spPr>
            <a:solidFill>
              <a:srgbClr val="78A22F"/>
            </a:solidFill>
            <a:ln>
              <a:solidFill>
                <a:srgbClr val="78A22F"/>
              </a:solidFill>
            </a:ln>
          </c:spPr>
          <c:invertIfNegative val="0"/>
          <c:cat>
            <c:strRef>
              <c:f>'Data PH'!$B$16:$J$16</c:f>
              <c:strCache>
                <c:ptCount val="9"/>
                <c:pt idx="0">
                  <c:v>NSW</c:v>
                </c:pt>
                <c:pt idx="1">
                  <c:v>Vic</c:v>
                </c:pt>
                <c:pt idx="2">
                  <c:v>Qld</c:v>
                </c:pt>
                <c:pt idx="3">
                  <c:v>WA</c:v>
                </c:pt>
                <c:pt idx="4">
                  <c:v>SA</c:v>
                </c:pt>
                <c:pt idx="5">
                  <c:v>Tas</c:v>
                </c:pt>
                <c:pt idx="6">
                  <c:v>ACT</c:v>
                </c:pt>
                <c:pt idx="7">
                  <c:v>NT</c:v>
                </c:pt>
                <c:pt idx="8">
                  <c:v>Aust</c:v>
                </c:pt>
              </c:strCache>
            </c:strRef>
          </c:cat>
          <c:val>
            <c:numRef>
              <c:f>'Data PH'!$B$20:$J$20</c:f>
              <c:numCache>
                <c:formatCode>0</c:formatCode>
                <c:ptCount val="9"/>
                <c:pt idx="0">
                  <c:v>8463.0593132154008</c:v>
                </c:pt>
                <c:pt idx="1">
                  <c:v>7095.7336108220607</c:v>
                </c:pt>
                <c:pt idx="2">
                  <c:v>8199.3632698231013</c:v>
                </c:pt>
                <c:pt idx="3">
                  <c:v>11510.259180020812</c:v>
                </c:pt>
                <c:pt idx="4">
                  <c:v>9660.770031217482</c:v>
                </c:pt>
                <c:pt idx="5">
                  <c:v>8719.0426638917797</c:v>
                </c:pt>
                <c:pt idx="6">
                  <c:v>10020.811654526535</c:v>
                </c:pt>
                <c:pt idx="7">
                  <c:v>15339.457529552548</c:v>
                </c:pt>
                <c:pt idx="8">
                  <c:v>8763.4032598180256</c:v>
                </c:pt>
              </c:numCache>
            </c:numRef>
          </c:val>
        </c:ser>
        <c:ser>
          <c:idx val="3"/>
          <c:order val="3"/>
          <c:tx>
            <c:strRef>
              <c:f>'Data PH'!$A$21</c:f>
              <c:strCache>
                <c:ptCount val="1"/>
                <c:pt idx="0">
                  <c:v>2015-16</c:v>
                </c:pt>
              </c:strCache>
            </c:strRef>
          </c:tx>
          <c:spPr>
            <a:solidFill>
              <a:srgbClr val="78A22F"/>
            </a:solidFill>
            <a:ln>
              <a:solidFill>
                <a:srgbClr val="78A22F"/>
              </a:solidFill>
            </a:ln>
          </c:spPr>
          <c:invertIfNegative val="0"/>
          <c:cat>
            <c:strRef>
              <c:f>'Data PH'!$B$16:$J$16</c:f>
              <c:strCache>
                <c:ptCount val="9"/>
                <c:pt idx="0">
                  <c:v>NSW</c:v>
                </c:pt>
                <c:pt idx="1">
                  <c:v>Vic</c:v>
                </c:pt>
                <c:pt idx="2">
                  <c:v>Qld</c:v>
                </c:pt>
                <c:pt idx="3">
                  <c:v>WA</c:v>
                </c:pt>
                <c:pt idx="4">
                  <c:v>SA</c:v>
                </c:pt>
                <c:pt idx="5">
                  <c:v>Tas</c:v>
                </c:pt>
                <c:pt idx="6">
                  <c:v>ACT</c:v>
                </c:pt>
                <c:pt idx="7">
                  <c:v>NT</c:v>
                </c:pt>
                <c:pt idx="8">
                  <c:v>Aust</c:v>
                </c:pt>
              </c:strCache>
            </c:strRef>
          </c:cat>
          <c:val>
            <c:numRef>
              <c:f>'Data PH'!$B$21:$J$21</c:f>
              <c:numCache>
                <c:formatCode>0</c:formatCode>
                <c:ptCount val="9"/>
                <c:pt idx="0">
                  <c:v>8583.7563451776641</c:v>
                </c:pt>
                <c:pt idx="1">
                  <c:v>6512.6903553299489</c:v>
                </c:pt>
                <c:pt idx="2">
                  <c:v>8406.9827938071066</c:v>
                </c:pt>
                <c:pt idx="3">
                  <c:v>13005.490602944163</c:v>
                </c:pt>
                <c:pt idx="4">
                  <c:v>9955.7756747208132</c:v>
                </c:pt>
                <c:pt idx="5">
                  <c:v>8627.4111675126896</c:v>
                </c:pt>
                <c:pt idx="6">
                  <c:v>9996.9543147208115</c:v>
                </c:pt>
                <c:pt idx="7">
                  <c:v>14094.416243654823</c:v>
                </c:pt>
                <c:pt idx="8">
                  <c:v>8913.5864523103337</c:v>
                </c:pt>
              </c:numCache>
            </c:numRef>
          </c:val>
        </c:ser>
        <c:ser>
          <c:idx val="4"/>
          <c:order val="4"/>
          <c:tx>
            <c:strRef>
              <c:f>'Data PH'!$A$22</c:f>
              <c:strCache>
                <c:ptCount val="1"/>
                <c:pt idx="0">
                  <c:v>2016-17</c:v>
                </c:pt>
              </c:strCache>
            </c:strRef>
          </c:tx>
          <c:spPr>
            <a:solidFill>
              <a:srgbClr val="265A9A"/>
            </a:solidFill>
            <a:ln>
              <a:solidFill>
                <a:srgbClr val="265A9A"/>
              </a:solidFill>
            </a:ln>
          </c:spPr>
          <c:invertIfNegative val="0"/>
          <c:cat>
            <c:strRef>
              <c:f>'Data PH'!$B$16:$J$16</c:f>
              <c:strCache>
                <c:ptCount val="9"/>
                <c:pt idx="0">
                  <c:v>NSW</c:v>
                </c:pt>
                <c:pt idx="1">
                  <c:v>Vic</c:v>
                </c:pt>
                <c:pt idx="2">
                  <c:v>Qld</c:v>
                </c:pt>
                <c:pt idx="3">
                  <c:v>WA</c:v>
                </c:pt>
                <c:pt idx="4">
                  <c:v>SA</c:v>
                </c:pt>
                <c:pt idx="5">
                  <c:v>Tas</c:v>
                </c:pt>
                <c:pt idx="6">
                  <c:v>ACT</c:v>
                </c:pt>
                <c:pt idx="7">
                  <c:v>NT</c:v>
                </c:pt>
                <c:pt idx="8">
                  <c:v>Aust</c:v>
                </c:pt>
              </c:strCache>
            </c:strRef>
          </c:cat>
          <c:val>
            <c:numRef>
              <c:f>'Data PH'!$B$22:$J$22</c:f>
              <c:numCache>
                <c:formatCode>0</c:formatCode>
                <c:ptCount val="9"/>
                <c:pt idx="0">
                  <c:v>9625.5590126999996</c:v>
                </c:pt>
                <c:pt idx="1">
                  <c:v>6415</c:v>
                </c:pt>
                <c:pt idx="2">
                  <c:v>8861.9475753000006</c:v>
                </c:pt>
                <c:pt idx="3">
                  <c:v>13383.010614500001</c:v>
                </c:pt>
                <c:pt idx="4">
                  <c:v>9702.2492820999996</c:v>
                </c:pt>
                <c:pt idx="5">
                  <c:v>9164.1054561000001</c:v>
                </c:pt>
                <c:pt idx="6">
                  <c:v>10207.0092609</c:v>
                </c:pt>
                <c:pt idx="7">
                  <c:v>15273.928688799999</c:v>
                </c:pt>
                <c:pt idx="8">
                  <c:v>9368.8999132502813</c:v>
                </c:pt>
              </c:numCache>
            </c:numRef>
          </c:val>
        </c:ser>
        <c:dLbls>
          <c:showLegendKey val="0"/>
          <c:showVal val="0"/>
          <c:showCatName val="0"/>
          <c:showSerName val="0"/>
          <c:showPercent val="0"/>
          <c:showBubbleSize val="0"/>
        </c:dLbls>
        <c:gapWidth val="150"/>
        <c:axId val="658857664"/>
        <c:axId val="658859624"/>
      </c:barChart>
      <c:catAx>
        <c:axId val="65885766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59624"/>
        <c:crosses val="autoZero"/>
        <c:auto val="1"/>
        <c:lblAlgn val="ctr"/>
        <c:lblOffset val="100"/>
        <c:noMultiLvlLbl val="0"/>
      </c:catAx>
      <c:valAx>
        <c:axId val="658859624"/>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AU"/>
                  <a:t>$/dwelling</a:t>
                </a:r>
              </a:p>
            </c:rich>
          </c:tx>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57664"/>
        <c:crosses val="autoZero"/>
        <c:crossBetween val="between"/>
        <c:majorUnit val="400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PH'!$A$25</c:f>
              <c:strCache>
                <c:ptCount val="1"/>
                <c:pt idx="0">
                  <c:v>2012-13 to 2015-16</c:v>
                </c:pt>
              </c:strCache>
            </c:strRef>
          </c:tx>
          <c:spPr>
            <a:solidFill>
              <a:srgbClr val="78A22F"/>
            </a:solidFill>
            <a:ln>
              <a:solidFill>
                <a:srgbClr val="78A22F"/>
              </a:solidFill>
            </a:ln>
          </c:spPr>
          <c:invertIfNegative val="0"/>
          <c:cat>
            <c:strRef>
              <c:f>'Data PH'!$B$23:$J$23</c:f>
              <c:strCache>
                <c:ptCount val="9"/>
                <c:pt idx="0">
                  <c:v>NSW</c:v>
                </c:pt>
                <c:pt idx="1">
                  <c:v>Vic</c:v>
                </c:pt>
                <c:pt idx="2">
                  <c:v>Qld</c:v>
                </c:pt>
                <c:pt idx="3">
                  <c:v>WA</c:v>
                </c:pt>
                <c:pt idx="4">
                  <c:v>SA</c:v>
                </c:pt>
                <c:pt idx="5">
                  <c:v>Tas</c:v>
                </c:pt>
                <c:pt idx="6">
                  <c:v>ACT</c:v>
                </c:pt>
                <c:pt idx="7">
                  <c:v>NT</c:v>
                </c:pt>
                <c:pt idx="8">
                  <c:v>Aust</c:v>
                </c:pt>
              </c:strCache>
            </c:strRef>
          </c:cat>
          <c:val>
            <c:numRef>
              <c:f>'Data PH'!$B$25:$J$25</c:f>
              <c:numCache>
                <c:formatCode>0</c:formatCode>
                <c:ptCount val="9"/>
                <c:pt idx="0">
                  <c:v>32697.486640500723</c:v>
                </c:pt>
                <c:pt idx="1">
                  <c:v>28980.875252168462</c:v>
                </c:pt>
                <c:pt idx="2">
                  <c:v>28906.733664659077</c:v>
                </c:pt>
                <c:pt idx="3">
                  <c:v>40935.412806550114</c:v>
                </c:pt>
                <c:pt idx="4">
                  <c:v>27757.735756877322</c:v>
                </c:pt>
                <c:pt idx="5">
                  <c:v>22118.780043907973</c:v>
                </c:pt>
                <c:pt idx="6">
                  <c:v>44557.043926801023</c:v>
                </c:pt>
                <c:pt idx="7">
                  <c:v>50443.804814419796</c:v>
                </c:pt>
                <c:pt idx="8">
                  <c:v>31922.23501356113</c:v>
                </c:pt>
              </c:numCache>
            </c:numRef>
          </c:val>
        </c:ser>
        <c:ser>
          <c:idx val="1"/>
          <c:order val="1"/>
          <c:tx>
            <c:strRef>
              <c:f>'Data PH'!$A$26</c:f>
              <c:strCache>
                <c:ptCount val="1"/>
              </c:strCache>
            </c:strRef>
          </c:tx>
          <c:spPr>
            <a:solidFill>
              <a:srgbClr val="78A22F"/>
            </a:solidFill>
            <a:ln>
              <a:solidFill>
                <a:srgbClr val="78A22F"/>
              </a:solidFill>
            </a:ln>
          </c:spPr>
          <c:invertIfNegative val="0"/>
          <c:cat>
            <c:strRef>
              <c:f>'Data PH'!$B$23:$J$23</c:f>
              <c:strCache>
                <c:ptCount val="9"/>
                <c:pt idx="0">
                  <c:v>NSW</c:v>
                </c:pt>
                <c:pt idx="1">
                  <c:v>Vic</c:v>
                </c:pt>
                <c:pt idx="2">
                  <c:v>Qld</c:v>
                </c:pt>
                <c:pt idx="3">
                  <c:v>WA</c:v>
                </c:pt>
                <c:pt idx="4">
                  <c:v>SA</c:v>
                </c:pt>
                <c:pt idx="5">
                  <c:v>Tas</c:v>
                </c:pt>
                <c:pt idx="6">
                  <c:v>ACT</c:v>
                </c:pt>
                <c:pt idx="7">
                  <c:v>NT</c:v>
                </c:pt>
                <c:pt idx="8">
                  <c:v>Aust</c:v>
                </c:pt>
              </c:strCache>
            </c:strRef>
          </c:cat>
          <c:val>
            <c:numRef>
              <c:f>'Data PH'!$B$26:$J$26</c:f>
              <c:numCache>
                <c:formatCode>0</c:formatCode>
                <c:ptCount val="9"/>
                <c:pt idx="0">
                  <c:v>33700.657094879287</c:v>
                </c:pt>
                <c:pt idx="1">
                  <c:v>31689.755748665724</c:v>
                </c:pt>
                <c:pt idx="2">
                  <c:v>28332.059354477544</c:v>
                </c:pt>
                <c:pt idx="3">
                  <c:v>47190.365367716004</c:v>
                </c:pt>
                <c:pt idx="4">
                  <c:v>29100.029748771547</c:v>
                </c:pt>
                <c:pt idx="5">
                  <c:v>20281.313013110215</c:v>
                </c:pt>
                <c:pt idx="6">
                  <c:v>45211.929147470815</c:v>
                </c:pt>
                <c:pt idx="7">
                  <c:v>53756.020577954398</c:v>
                </c:pt>
                <c:pt idx="8">
                  <c:v>33546.7547441977</c:v>
                </c:pt>
              </c:numCache>
            </c:numRef>
          </c:val>
        </c:ser>
        <c:ser>
          <c:idx val="2"/>
          <c:order val="2"/>
          <c:tx>
            <c:strRef>
              <c:f>'Data PH'!$A$27</c:f>
              <c:strCache>
                <c:ptCount val="1"/>
              </c:strCache>
            </c:strRef>
          </c:tx>
          <c:spPr>
            <a:solidFill>
              <a:srgbClr val="78A22F"/>
            </a:solidFill>
            <a:ln>
              <a:solidFill>
                <a:srgbClr val="78A22F"/>
              </a:solidFill>
            </a:ln>
          </c:spPr>
          <c:invertIfNegative val="0"/>
          <c:cat>
            <c:strRef>
              <c:f>'Data PH'!$B$23:$J$23</c:f>
              <c:strCache>
                <c:ptCount val="9"/>
                <c:pt idx="0">
                  <c:v>NSW</c:v>
                </c:pt>
                <c:pt idx="1">
                  <c:v>Vic</c:v>
                </c:pt>
                <c:pt idx="2">
                  <c:v>Qld</c:v>
                </c:pt>
                <c:pt idx="3">
                  <c:v>WA</c:v>
                </c:pt>
                <c:pt idx="4">
                  <c:v>SA</c:v>
                </c:pt>
                <c:pt idx="5">
                  <c:v>Tas</c:v>
                </c:pt>
                <c:pt idx="6">
                  <c:v>ACT</c:v>
                </c:pt>
                <c:pt idx="7">
                  <c:v>NT</c:v>
                </c:pt>
                <c:pt idx="8">
                  <c:v>Aust</c:v>
                </c:pt>
              </c:strCache>
            </c:strRef>
          </c:cat>
          <c:val>
            <c:numRef>
              <c:f>'Data PH'!$B$27:$J$27</c:f>
              <c:numCache>
                <c:formatCode>0</c:formatCode>
                <c:ptCount val="9"/>
                <c:pt idx="0">
                  <c:v>36386.486930439954</c:v>
                </c:pt>
                <c:pt idx="1">
                  <c:v>33341.575399980647</c:v>
                </c:pt>
                <c:pt idx="2">
                  <c:v>29147.63740907807</c:v>
                </c:pt>
                <c:pt idx="3">
                  <c:v>47398.904070911478</c:v>
                </c:pt>
                <c:pt idx="4">
                  <c:v>28969.521176761089</c:v>
                </c:pt>
                <c:pt idx="5">
                  <c:v>21971.145301010776</c:v>
                </c:pt>
                <c:pt idx="6">
                  <c:v>46398.132349481726</c:v>
                </c:pt>
                <c:pt idx="7">
                  <c:v>52798.480671573641</c:v>
                </c:pt>
                <c:pt idx="8">
                  <c:v>35118.364544987715</c:v>
                </c:pt>
              </c:numCache>
            </c:numRef>
          </c:val>
        </c:ser>
        <c:ser>
          <c:idx val="3"/>
          <c:order val="3"/>
          <c:tx>
            <c:strRef>
              <c:f>'Data PH'!$A$28</c:f>
              <c:strCache>
                <c:ptCount val="1"/>
              </c:strCache>
            </c:strRef>
          </c:tx>
          <c:spPr>
            <a:solidFill>
              <a:srgbClr val="78A22F"/>
            </a:solidFill>
            <a:ln>
              <a:solidFill>
                <a:srgbClr val="78A22F"/>
              </a:solidFill>
            </a:ln>
          </c:spPr>
          <c:invertIfNegative val="0"/>
          <c:cat>
            <c:strRef>
              <c:f>'Data PH'!$B$23:$J$23</c:f>
              <c:strCache>
                <c:ptCount val="9"/>
                <c:pt idx="0">
                  <c:v>NSW</c:v>
                </c:pt>
                <c:pt idx="1">
                  <c:v>Vic</c:v>
                </c:pt>
                <c:pt idx="2">
                  <c:v>Qld</c:v>
                </c:pt>
                <c:pt idx="3">
                  <c:v>WA</c:v>
                </c:pt>
                <c:pt idx="4">
                  <c:v>SA</c:v>
                </c:pt>
                <c:pt idx="5">
                  <c:v>Tas</c:v>
                </c:pt>
                <c:pt idx="6">
                  <c:v>ACT</c:v>
                </c:pt>
                <c:pt idx="7">
                  <c:v>NT</c:v>
                </c:pt>
                <c:pt idx="8">
                  <c:v>Aust</c:v>
                </c:pt>
              </c:strCache>
            </c:strRef>
          </c:cat>
          <c:val>
            <c:numRef>
              <c:f>'Data PH'!$B$28:$J$28</c:f>
              <c:numCache>
                <c:formatCode>0</c:formatCode>
                <c:ptCount val="9"/>
                <c:pt idx="0">
                  <c:v>40236.576985333704</c:v>
                </c:pt>
                <c:pt idx="1">
                  <c:v>34850.711988177136</c:v>
                </c:pt>
                <c:pt idx="2">
                  <c:v>29069.22730125381</c:v>
                </c:pt>
                <c:pt idx="3">
                  <c:v>46756.333604857115</c:v>
                </c:pt>
                <c:pt idx="4">
                  <c:v>29365.792996176959</c:v>
                </c:pt>
                <c:pt idx="5">
                  <c:v>21914.004806288911</c:v>
                </c:pt>
                <c:pt idx="6">
                  <c:v>46351.196532564201</c:v>
                </c:pt>
                <c:pt idx="7">
                  <c:v>49980.148358945553</c:v>
                </c:pt>
                <c:pt idx="8">
                  <c:v>36678.393987061711</c:v>
                </c:pt>
              </c:numCache>
            </c:numRef>
          </c:val>
        </c:ser>
        <c:ser>
          <c:idx val="4"/>
          <c:order val="4"/>
          <c:tx>
            <c:strRef>
              <c:f>'Data PH'!$A$29</c:f>
              <c:strCache>
                <c:ptCount val="1"/>
                <c:pt idx="0">
                  <c:v>2016-17</c:v>
                </c:pt>
              </c:strCache>
            </c:strRef>
          </c:tx>
          <c:spPr>
            <a:solidFill>
              <a:srgbClr val="265A9A"/>
            </a:solidFill>
            <a:ln>
              <a:solidFill>
                <a:srgbClr val="265A9A"/>
              </a:solidFill>
            </a:ln>
          </c:spPr>
          <c:invertIfNegative val="0"/>
          <c:cat>
            <c:strRef>
              <c:f>'Data PH'!$B$23:$J$23</c:f>
              <c:strCache>
                <c:ptCount val="9"/>
                <c:pt idx="0">
                  <c:v>NSW</c:v>
                </c:pt>
                <c:pt idx="1">
                  <c:v>Vic</c:v>
                </c:pt>
                <c:pt idx="2">
                  <c:v>Qld</c:v>
                </c:pt>
                <c:pt idx="3">
                  <c:v>WA</c:v>
                </c:pt>
                <c:pt idx="4">
                  <c:v>SA</c:v>
                </c:pt>
                <c:pt idx="5">
                  <c:v>Tas</c:v>
                </c:pt>
                <c:pt idx="6">
                  <c:v>ACT</c:v>
                </c:pt>
                <c:pt idx="7">
                  <c:v>NT</c:v>
                </c:pt>
                <c:pt idx="8">
                  <c:v>Aust</c:v>
                </c:pt>
              </c:strCache>
            </c:strRef>
          </c:cat>
          <c:val>
            <c:numRef>
              <c:f>'Data PH'!$B$29:$J$29</c:f>
              <c:numCache>
                <c:formatCode>0</c:formatCode>
                <c:ptCount val="9"/>
                <c:pt idx="0">
                  <c:v>44334.25557202776</c:v>
                </c:pt>
                <c:pt idx="1">
                  <c:v>36438.20040517376</c:v>
                </c:pt>
                <c:pt idx="2">
                  <c:v>29118.461583648255</c:v>
                </c:pt>
                <c:pt idx="3">
                  <c:v>44885.603988865434</c:v>
                </c:pt>
                <c:pt idx="4">
                  <c:v>29299.724555992769</c:v>
                </c:pt>
                <c:pt idx="5">
                  <c:v>26120.665444804737</c:v>
                </c:pt>
                <c:pt idx="6">
                  <c:v>48937.058289449793</c:v>
                </c:pt>
                <c:pt idx="7">
                  <c:v>42037.569345938784</c:v>
                </c:pt>
                <c:pt idx="8">
                  <c:v>38313.53739358551</c:v>
                </c:pt>
              </c:numCache>
            </c:numRef>
          </c:val>
        </c:ser>
        <c:dLbls>
          <c:showLegendKey val="0"/>
          <c:showVal val="0"/>
          <c:showCatName val="0"/>
          <c:showSerName val="0"/>
          <c:showPercent val="0"/>
          <c:showBubbleSize val="0"/>
        </c:dLbls>
        <c:gapWidth val="150"/>
        <c:axId val="658857272"/>
        <c:axId val="658860016"/>
      </c:barChart>
      <c:catAx>
        <c:axId val="65885727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60016"/>
        <c:crosses val="autoZero"/>
        <c:auto val="1"/>
        <c:lblAlgn val="ctr"/>
        <c:lblOffset val="100"/>
        <c:noMultiLvlLbl val="0"/>
      </c:catAx>
      <c:valAx>
        <c:axId val="658860016"/>
        <c:scaling>
          <c:orientation val="minMax"/>
          <c:max val="60000"/>
        </c:scaling>
        <c:delete val="0"/>
        <c:axPos val="l"/>
        <c:majorGridlines>
          <c:spPr>
            <a:ln>
              <a:noFill/>
            </a:ln>
          </c:spPr>
        </c:majorGridlines>
        <c:title>
          <c:tx>
            <c:rich>
              <a:bodyPr rot="-5400000" vert="horz"/>
              <a:lstStyle/>
              <a:p>
                <a:pPr>
                  <a:defRPr sz="900">
                    <a:latin typeface="arial"/>
                    <a:ea typeface="arial"/>
                    <a:cs typeface="arial"/>
                  </a:defRPr>
                </a:pPr>
                <a:r>
                  <a:rPr lang="en-AU"/>
                  <a:t>$/dwelling</a:t>
                </a:r>
              </a:p>
            </c:rich>
          </c:tx>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57272"/>
        <c:crosses val="autoZero"/>
        <c:crossBetween val="between"/>
        <c:majorUnit val="10000"/>
      </c:valAx>
      <c:spPr>
        <a:noFill/>
        <a:ln>
          <a:noFill/>
        </a:ln>
      </c:spPr>
    </c:plotArea>
    <c:legend>
      <c:legendPos val="b"/>
      <c:legendEntry>
        <c:idx val="1"/>
        <c:delete val="1"/>
      </c:legendEntry>
      <c:legendEntry>
        <c:idx val="2"/>
        <c:delete val="1"/>
      </c:legendEntry>
      <c:legendEntry>
        <c:idx val="3"/>
        <c:delete val="1"/>
      </c:legendEntry>
      <c:overlay val="0"/>
      <c:spPr>
        <a:ln>
          <a:noFill/>
        </a:ln>
      </c:spPr>
      <c:txPr>
        <a:bodyPr/>
        <a:lstStyle/>
        <a:p>
          <a:pPr>
            <a:defRPr sz="900" b="0" i="0">
              <a:latin typeface="Arial"/>
            </a:defRPr>
          </a:pPr>
          <a:endParaRPr lang="en-US"/>
        </a:p>
      </c:txPr>
    </c:legend>
    <c:plotVisOnly val="1"/>
    <c:dispBlanksAs val="gap"/>
    <c:showDLblsOverMax val="0"/>
  </c:chart>
  <c:spPr>
    <a:noFill/>
    <a:ln>
      <a:noFill/>
    </a:ln>
  </c:spPr>
  <c:txPr>
    <a:bodyPr/>
    <a:lstStyle/>
    <a:p>
      <a:pPr>
        <a:defRPr sz="900" spc="20" baseline="0">
          <a:latin typeface="Arial"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25734976121902"/>
          <c:y val="8.1110694652673662E-2"/>
          <c:w val="0.82003579418344519"/>
          <c:h val="0.7026107407407407"/>
        </c:manualLayout>
      </c:layout>
      <c:barChart>
        <c:barDir val="col"/>
        <c:grouping val="clustered"/>
        <c:varyColors val="0"/>
        <c:ser>
          <c:idx val="0"/>
          <c:order val="0"/>
          <c:tx>
            <c:strRef>
              <c:f>'Data SOMIH'!$A$18</c:f>
              <c:strCache>
                <c:ptCount val="1"/>
                <c:pt idx="0">
                  <c:v>2012-13 to 2015-16</c:v>
                </c:pt>
              </c:strCache>
            </c:strRef>
          </c:tx>
          <c:spPr>
            <a:solidFill>
              <a:srgbClr val="78A22F"/>
            </a:solidFill>
            <a:ln>
              <a:solidFill>
                <a:srgbClr val="78A22F"/>
              </a:solidFill>
            </a:ln>
          </c:spPr>
          <c:invertIfNegative val="0"/>
          <c:cat>
            <c:strRef>
              <c:f>'Data SOMIH'!$B$17:$H$17</c:f>
              <c:strCache>
                <c:ptCount val="6"/>
                <c:pt idx="0">
                  <c:v>NSW</c:v>
                </c:pt>
                <c:pt idx="1">
                  <c:v>Qld</c:v>
                </c:pt>
                <c:pt idx="2">
                  <c:v>SA</c:v>
                </c:pt>
                <c:pt idx="3">
                  <c:v>Tas</c:v>
                </c:pt>
                <c:pt idx="4">
                  <c:v>NT</c:v>
                </c:pt>
                <c:pt idx="5">
                  <c:v>Total</c:v>
                </c:pt>
              </c:strCache>
            </c:strRef>
          </c:cat>
          <c:val>
            <c:numRef>
              <c:f>'Data SOMIH'!$B$18:$H$18</c:f>
              <c:numCache>
                <c:formatCode>###\ ###\ ##0;\-###\ ###\ ##0;"0"</c:formatCode>
                <c:ptCount val="6"/>
                <c:pt idx="0">
                  <c:v>9067.3796791443856</c:v>
                </c:pt>
                <c:pt idx="1">
                  <c:v>12574.366664598931</c:v>
                </c:pt>
                <c:pt idx="2">
                  <c:v>12843.850267379679</c:v>
                </c:pt>
                <c:pt idx="3">
                  <c:v>8106.9518716577541</c:v>
                </c:pt>
                <c:pt idx="4">
                  <c:v>0</c:v>
                </c:pt>
                <c:pt idx="5">
                  <c:v>11618.684491978609</c:v>
                </c:pt>
              </c:numCache>
            </c:numRef>
          </c:val>
        </c:ser>
        <c:ser>
          <c:idx val="1"/>
          <c:order val="1"/>
          <c:tx>
            <c:strRef>
              <c:f>'Data SOMIH'!$A$19</c:f>
              <c:strCache>
                <c:ptCount val="1"/>
              </c:strCache>
            </c:strRef>
          </c:tx>
          <c:spPr>
            <a:solidFill>
              <a:srgbClr val="78A22F"/>
            </a:solidFill>
            <a:ln>
              <a:solidFill>
                <a:srgbClr val="78A22F"/>
              </a:solidFill>
            </a:ln>
          </c:spPr>
          <c:invertIfNegative val="0"/>
          <c:cat>
            <c:strRef>
              <c:f>'Data SOMIH'!$B$17:$H$17</c:f>
              <c:strCache>
                <c:ptCount val="6"/>
                <c:pt idx="0">
                  <c:v>NSW</c:v>
                </c:pt>
                <c:pt idx="1">
                  <c:v>Qld</c:v>
                </c:pt>
                <c:pt idx="2">
                  <c:v>SA</c:v>
                </c:pt>
                <c:pt idx="3">
                  <c:v>Tas</c:v>
                </c:pt>
                <c:pt idx="4">
                  <c:v>NT</c:v>
                </c:pt>
                <c:pt idx="5">
                  <c:v>Total</c:v>
                </c:pt>
              </c:strCache>
            </c:strRef>
          </c:cat>
          <c:val>
            <c:numRef>
              <c:f>'Data SOMIH'!$B$19:$H$19</c:f>
              <c:numCache>
                <c:formatCode>###\ ###\ ##0;\-###\ ###\ ##0;"0"</c:formatCode>
                <c:ptCount val="6"/>
                <c:pt idx="0">
                  <c:v>9239.7043294614577</c:v>
                </c:pt>
                <c:pt idx="1">
                  <c:v>11436.114044350581</c:v>
                </c:pt>
                <c:pt idx="2">
                  <c:v>12605.448974656809</c:v>
                </c:pt>
                <c:pt idx="3">
                  <c:v>8715.9450897571278</c:v>
                </c:pt>
                <c:pt idx="4">
                  <c:v>0</c:v>
                </c:pt>
                <c:pt idx="5">
                  <c:v>11136.75818373812</c:v>
                </c:pt>
              </c:numCache>
            </c:numRef>
          </c:val>
        </c:ser>
        <c:ser>
          <c:idx val="2"/>
          <c:order val="2"/>
          <c:tx>
            <c:strRef>
              <c:f>'Data SOMIH'!$A$20</c:f>
              <c:strCache>
                <c:ptCount val="1"/>
              </c:strCache>
            </c:strRef>
          </c:tx>
          <c:spPr>
            <a:solidFill>
              <a:srgbClr val="78A22F"/>
            </a:solidFill>
            <a:ln>
              <a:solidFill>
                <a:srgbClr val="78A22F"/>
              </a:solidFill>
            </a:ln>
          </c:spPr>
          <c:invertIfNegative val="0"/>
          <c:cat>
            <c:strRef>
              <c:f>'Data SOMIH'!$B$17:$H$17</c:f>
              <c:strCache>
                <c:ptCount val="6"/>
                <c:pt idx="0">
                  <c:v>NSW</c:v>
                </c:pt>
                <c:pt idx="1">
                  <c:v>Qld</c:v>
                </c:pt>
                <c:pt idx="2">
                  <c:v>SA</c:v>
                </c:pt>
                <c:pt idx="3">
                  <c:v>Tas</c:v>
                </c:pt>
                <c:pt idx="4">
                  <c:v>NT</c:v>
                </c:pt>
                <c:pt idx="5">
                  <c:v>Total</c:v>
                </c:pt>
              </c:strCache>
            </c:strRef>
          </c:cat>
          <c:val>
            <c:numRef>
              <c:f>'Data SOMIH'!$B$20:$H$20</c:f>
              <c:numCache>
                <c:formatCode>###\ ###\ ##0;\-###\ ###\ ##0;"0"</c:formatCode>
                <c:ptCount val="6"/>
                <c:pt idx="0">
                  <c:v>9558.7929240374615</c:v>
                </c:pt>
                <c:pt idx="1">
                  <c:v>13633.702090634755</c:v>
                </c:pt>
                <c:pt idx="2">
                  <c:v>12786.680541103018</c:v>
                </c:pt>
                <c:pt idx="3">
                  <c:v>8081.1654526534867</c:v>
                </c:pt>
                <c:pt idx="4">
                  <c:v>0</c:v>
                </c:pt>
                <c:pt idx="5">
                  <c:v>11909.875130072842</c:v>
                </c:pt>
              </c:numCache>
            </c:numRef>
          </c:val>
        </c:ser>
        <c:ser>
          <c:idx val="3"/>
          <c:order val="3"/>
          <c:tx>
            <c:strRef>
              <c:f>'Data SOMIH'!$A$21</c:f>
              <c:strCache>
                <c:ptCount val="1"/>
              </c:strCache>
            </c:strRef>
          </c:tx>
          <c:spPr>
            <a:solidFill>
              <a:srgbClr val="78A22F"/>
            </a:solidFill>
            <a:ln>
              <a:solidFill>
                <a:srgbClr val="78A22F"/>
              </a:solidFill>
            </a:ln>
          </c:spPr>
          <c:invertIfNegative val="0"/>
          <c:cat>
            <c:strRef>
              <c:f>'Data SOMIH'!$B$17:$H$17</c:f>
              <c:strCache>
                <c:ptCount val="6"/>
                <c:pt idx="0">
                  <c:v>NSW</c:v>
                </c:pt>
                <c:pt idx="1">
                  <c:v>Qld</c:v>
                </c:pt>
                <c:pt idx="2">
                  <c:v>SA</c:v>
                </c:pt>
                <c:pt idx="3">
                  <c:v>Tas</c:v>
                </c:pt>
                <c:pt idx="4">
                  <c:v>NT</c:v>
                </c:pt>
                <c:pt idx="5">
                  <c:v>Total</c:v>
                </c:pt>
              </c:strCache>
            </c:strRef>
          </c:cat>
          <c:val>
            <c:numRef>
              <c:f>'Data SOMIH'!$B$21:$H$21</c:f>
              <c:numCache>
                <c:formatCode>###\ ###\ ##0;\-###\ ###\ ##0;"0"</c:formatCode>
                <c:ptCount val="6"/>
                <c:pt idx="0">
                  <c:v>9075.1269035532987</c:v>
                </c:pt>
                <c:pt idx="1">
                  <c:v>15298.351049746192</c:v>
                </c:pt>
                <c:pt idx="2">
                  <c:v>11745.864670152285</c:v>
                </c:pt>
                <c:pt idx="3">
                  <c:v>7672.081218274112</c:v>
                </c:pt>
                <c:pt idx="4">
                  <c:v>0</c:v>
                </c:pt>
                <c:pt idx="5">
                  <c:v>11873.228426395939</c:v>
                </c:pt>
              </c:numCache>
            </c:numRef>
          </c:val>
        </c:ser>
        <c:ser>
          <c:idx val="4"/>
          <c:order val="4"/>
          <c:tx>
            <c:strRef>
              <c:f>'Data SOMIH'!$A$22</c:f>
              <c:strCache>
                <c:ptCount val="1"/>
                <c:pt idx="0">
                  <c:v>2016-17</c:v>
                </c:pt>
              </c:strCache>
            </c:strRef>
          </c:tx>
          <c:spPr>
            <a:solidFill>
              <a:srgbClr val="265A9A"/>
            </a:solidFill>
            <a:ln>
              <a:solidFill>
                <a:srgbClr val="265A9A"/>
              </a:solidFill>
            </a:ln>
          </c:spPr>
          <c:invertIfNegative val="0"/>
          <c:cat>
            <c:strRef>
              <c:f>'Data SOMIH'!$B$17:$H$17</c:f>
              <c:strCache>
                <c:ptCount val="6"/>
                <c:pt idx="0">
                  <c:v>NSW</c:v>
                </c:pt>
                <c:pt idx="1">
                  <c:v>Qld</c:v>
                </c:pt>
                <c:pt idx="2">
                  <c:v>SA</c:v>
                </c:pt>
                <c:pt idx="3">
                  <c:v>Tas</c:v>
                </c:pt>
                <c:pt idx="4">
                  <c:v>NT</c:v>
                </c:pt>
                <c:pt idx="5">
                  <c:v>Total</c:v>
                </c:pt>
              </c:strCache>
            </c:strRef>
          </c:cat>
          <c:val>
            <c:numRef>
              <c:f>'Data SOMIH'!$B$22:$H$22</c:f>
              <c:numCache>
                <c:formatCode>###\ ###\ ##0;\-###\ ###\ ##0;"0"</c:formatCode>
                <c:ptCount val="6"/>
                <c:pt idx="0">
                  <c:v>9905.3408596999998</c:v>
                </c:pt>
                <c:pt idx="1">
                  <c:v>14119.295050299999</c:v>
                </c:pt>
                <c:pt idx="2">
                  <c:v>11320.1829617</c:v>
                </c:pt>
                <c:pt idx="3">
                  <c:v>7511.2107623000002</c:v>
                </c:pt>
                <c:pt idx="4">
                  <c:v>0</c:v>
                </c:pt>
                <c:pt idx="5">
                  <c:v>11549.609422884923</c:v>
                </c:pt>
              </c:numCache>
            </c:numRef>
          </c:val>
        </c:ser>
        <c:dLbls>
          <c:showLegendKey val="0"/>
          <c:showVal val="0"/>
          <c:showCatName val="0"/>
          <c:showSerName val="0"/>
          <c:showPercent val="0"/>
          <c:showBubbleSize val="0"/>
        </c:dLbls>
        <c:gapWidth val="150"/>
        <c:axId val="658855312"/>
        <c:axId val="658858448"/>
      </c:barChart>
      <c:catAx>
        <c:axId val="65885531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658858448"/>
        <c:crosses val="autoZero"/>
        <c:auto val="1"/>
        <c:lblAlgn val="ctr"/>
        <c:lblOffset val="100"/>
        <c:noMultiLvlLbl val="0"/>
      </c:catAx>
      <c:valAx>
        <c:axId val="658858448"/>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AU"/>
                  <a:t>$/dwelling</a:t>
                </a:r>
              </a:p>
            </c:rich>
          </c:tx>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55312"/>
        <c:crosses val="autoZero"/>
        <c:crossBetween val="between"/>
        <c:majorUnit val="3000"/>
      </c:valAx>
      <c:spPr>
        <a:noFill/>
        <a:ln>
          <a:noFill/>
        </a:ln>
      </c:spPr>
    </c:plotArea>
    <c:legend>
      <c:legendPos val="b"/>
      <c:legendEntry>
        <c:idx val="1"/>
        <c:delete val="1"/>
      </c:legendEntry>
      <c:legendEntry>
        <c:idx val="2"/>
        <c:delete val="1"/>
      </c:legendEntry>
      <c:legendEntry>
        <c:idx val="3"/>
        <c:delete val="1"/>
      </c:legendEntry>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SOMIH'!$A$12</c:f>
              <c:strCache>
                <c:ptCount val="1"/>
                <c:pt idx="0">
                  <c:v>2012-13</c:v>
                </c:pt>
              </c:strCache>
            </c:strRef>
          </c:tx>
          <c:spPr>
            <a:solidFill>
              <a:srgbClr val="78A22F"/>
            </a:solidFill>
            <a:ln>
              <a:solidFill>
                <a:srgbClr val="78A22F"/>
              </a:solidFill>
            </a:ln>
          </c:spPr>
          <c:invertIfNegative val="0"/>
          <c:cat>
            <c:strRef>
              <c:f>'Data SOMIH'!$B$11:$H$11</c:f>
              <c:strCache>
                <c:ptCount val="6"/>
                <c:pt idx="0">
                  <c:v>NSW</c:v>
                </c:pt>
                <c:pt idx="1">
                  <c:v>Qld</c:v>
                </c:pt>
                <c:pt idx="2">
                  <c:v>SA</c:v>
                </c:pt>
                <c:pt idx="3">
                  <c:v>Tas</c:v>
                </c:pt>
                <c:pt idx="4">
                  <c:v>NT</c:v>
                </c:pt>
                <c:pt idx="5">
                  <c:v>Total</c:v>
                </c:pt>
              </c:strCache>
            </c:strRef>
          </c:cat>
          <c:val>
            <c:numRef>
              <c:f>'Data SOMIH'!$B$12:$H$12</c:f>
              <c:numCache>
                <c:formatCode>0.0</c:formatCode>
                <c:ptCount val="6"/>
                <c:pt idx="0">
                  <c:v>35.483899999999998</c:v>
                </c:pt>
                <c:pt idx="1">
                  <c:v>96.763800000000003</c:v>
                </c:pt>
                <c:pt idx="2">
                  <c:v>87.2</c:v>
                </c:pt>
                <c:pt idx="3">
                  <c:v>0</c:v>
                </c:pt>
                <c:pt idx="4">
                  <c:v>0</c:v>
                </c:pt>
                <c:pt idx="5">
                  <c:v>64.593301435407</c:v>
                </c:pt>
              </c:numCache>
            </c:numRef>
          </c:val>
        </c:ser>
        <c:ser>
          <c:idx val="1"/>
          <c:order val="1"/>
          <c:tx>
            <c:strRef>
              <c:f>'Data SOMIH'!$A$13</c:f>
              <c:strCache>
                <c:ptCount val="1"/>
                <c:pt idx="0">
                  <c:v>2013-14</c:v>
                </c:pt>
              </c:strCache>
            </c:strRef>
          </c:tx>
          <c:spPr>
            <a:solidFill>
              <a:srgbClr val="78A22F"/>
            </a:solidFill>
            <a:ln>
              <a:solidFill>
                <a:srgbClr val="78A22F"/>
              </a:solidFill>
            </a:ln>
          </c:spPr>
          <c:invertIfNegative val="0"/>
          <c:cat>
            <c:strRef>
              <c:f>'Data SOMIH'!$B$11:$H$11</c:f>
              <c:strCache>
                <c:ptCount val="6"/>
                <c:pt idx="0">
                  <c:v>NSW</c:v>
                </c:pt>
                <c:pt idx="1">
                  <c:v>Qld</c:v>
                </c:pt>
                <c:pt idx="2">
                  <c:v>SA</c:v>
                </c:pt>
                <c:pt idx="3">
                  <c:v>Tas</c:v>
                </c:pt>
                <c:pt idx="4">
                  <c:v>NT</c:v>
                </c:pt>
                <c:pt idx="5">
                  <c:v>Total</c:v>
                </c:pt>
              </c:strCache>
            </c:strRef>
          </c:cat>
          <c:val>
            <c:numRef>
              <c:f>'Data SOMIH'!$B$13:$H$13</c:f>
              <c:numCache>
                <c:formatCode>0.0</c:formatCode>
                <c:ptCount val="6"/>
                <c:pt idx="0">
                  <c:v>21.832899999999999</c:v>
                </c:pt>
                <c:pt idx="1">
                  <c:v>98.061999999999998</c:v>
                </c:pt>
                <c:pt idx="2">
                  <c:v>93.578000000000003</c:v>
                </c:pt>
                <c:pt idx="3">
                  <c:v>0</c:v>
                </c:pt>
                <c:pt idx="4">
                  <c:v>0</c:v>
                </c:pt>
                <c:pt idx="5">
                  <c:v>56.330749400000002</c:v>
                </c:pt>
              </c:numCache>
            </c:numRef>
          </c:val>
        </c:ser>
        <c:ser>
          <c:idx val="2"/>
          <c:order val="2"/>
          <c:tx>
            <c:strRef>
              <c:f>'Data SOMIH'!$A$14</c:f>
              <c:strCache>
                <c:ptCount val="1"/>
                <c:pt idx="0">
                  <c:v>2014-15</c:v>
                </c:pt>
              </c:strCache>
            </c:strRef>
          </c:tx>
          <c:spPr>
            <a:solidFill>
              <a:srgbClr val="78A22F"/>
            </a:solidFill>
            <a:ln>
              <a:solidFill>
                <a:srgbClr val="78A22F"/>
              </a:solidFill>
            </a:ln>
          </c:spPr>
          <c:invertIfNegative val="0"/>
          <c:cat>
            <c:strRef>
              <c:f>'Data SOMIH'!$B$11:$H$11</c:f>
              <c:strCache>
                <c:ptCount val="6"/>
                <c:pt idx="0">
                  <c:v>NSW</c:v>
                </c:pt>
                <c:pt idx="1">
                  <c:v>Qld</c:v>
                </c:pt>
                <c:pt idx="2">
                  <c:v>SA</c:v>
                </c:pt>
                <c:pt idx="3">
                  <c:v>Tas</c:v>
                </c:pt>
                <c:pt idx="4">
                  <c:v>NT</c:v>
                </c:pt>
                <c:pt idx="5">
                  <c:v>Total</c:v>
                </c:pt>
              </c:strCache>
            </c:strRef>
          </c:cat>
          <c:val>
            <c:numRef>
              <c:f>'Data SOMIH'!$B$14:$H$14</c:f>
              <c:numCache>
                <c:formatCode>0.0</c:formatCode>
                <c:ptCount val="6"/>
                <c:pt idx="0">
                  <c:v>12.9</c:v>
                </c:pt>
                <c:pt idx="1">
                  <c:v>96.5</c:v>
                </c:pt>
                <c:pt idx="2">
                  <c:v>91.1</c:v>
                </c:pt>
                <c:pt idx="3">
                  <c:v>0</c:v>
                </c:pt>
                <c:pt idx="4">
                  <c:v>0</c:v>
                </c:pt>
                <c:pt idx="5">
                  <c:v>51.8</c:v>
                </c:pt>
              </c:numCache>
            </c:numRef>
          </c:val>
        </c:ser>
        <c:ser>
          <c:idx val="3"/>
          <c:order val="3"/>
          <c:tx>
            <c:strRef>
              <c:f>'Data SOMIH'!$A$15</c:f>
              <c:strCache>
                <c:ptCount val="1"/>
                <c:pt idx="0">
                  <c:v>2015-16</c:v>
                </c:pt>
              </c:strCache>
            </c:strRef>
          </c:tx>
          <c:spPr>
            <a:solidFill>
              <a:srgbClr val="78A22F"/>
            </a:solidFill>
            <a:ln>
              <a:solidFill>
                <a:srgbClr val="78A22F"/>
              </a:solidFill>
            </a:ln>
          </c:spPr>
          <c:invertIfNegative val="0"/>
          <c:cat>
            <c:strRef>
              <c:f>'Data SOMIH'!$B$11:$H$11</c:f>
              <c:strCache>
                <c:ptCount val="6"/>
                <c:pt idx="0">
                  <c:v>NSW</c:v>
                </c:pt>
                <c:pt idx="1">
                  <c:v>Qld</c:v>
                </c:pt>
                <c:pt idx="2">
                  <c:v>SA</c:v>
                </c:pt>
                <c:pt idx="3">
                  <c:v>Tas</c:v>
                </c:pt>
                <c:pt idx="4">
                  <c:v>NT</c:v>
                </c:pt>
                <c:pt idx="5">
                  <c:v>Total</c:v>
                </c:pt>
              </c:strCache>
            </c:strRef>
          </c:cat>
          <c:val>
            <c:numRef>
              <c:f>'Data SOMIH'!$B$15:$H$15</c:f>
              <c:numCache>
                <c:formatCode>0.0</c:formatCode>
                <c:ptCount val="6"/>
                <c:pt idx="0">
                  <c:v>20.6</c:v>
                </c:pt>
                <c:pt idx="1">
                  <c:v>97.5</c:v>
                </c:pt>
                <c:pt idx="2">
                  <c:v>91.2</c:v>
                </c:pt>
                <c:pt idx="3">
                  <c:v>0</c:v>
                </c:pt>
                <c:pt idx="4">
                  <c:v>0</c:v>
                </c:pt>
                <c:pt idx="5">
                  <c:v>57.7</c:v>
                </c:pt>
              </c:numCache>
            </c:numRef>
          </c:val>
        </c:ser>
        <c:ser>
          <c:idx val="4"/>
          <c:order val="4"/>
          <c:tx>
            <c:strRef>
              <c:f>'Data SOMIH'!$A$16</c:f>
              <c:strCache>
                <c:ptCount val="1"/>
                <c:pt idx="0">
                  <c:v>2016-17</c:v>
                </c:pt>
              </c:strCache>
            </c:strRef>
          </c:tx>
          <c:spPr>
            <a:solidFill>
              <a:srgbClr val="265A9A"/>
            </a:solidFill>
            <a:ln>
              <a:solidFill>
                <a:srgbClr val="265A9A"/>
              </a:solidFill>
            </a:ln>
          </c:spPr>
          <c:invertIfNegative val="0"/>
          <c:cat>
            <c:strRef>
              <c:f>'Data SOMIH'!$B$11:$H$11</c:f>
              <c:strCache>
                <c:ptCount val="6"/>
                <c:pt idx="0">
                  <c:v>NSW</c:v>
                </c:pt>
                <c:pt idx="1">
                  <c:v>Qld</c:v>
                </c:pt>
                <c:pt idx="2">
                  <c:v>SA</c:v>
                </c:pt>
                <c:pt idx="3">
                  <c:v>Tas</c:v>
                </c:pt>
                <c:pt idx="4">
                  <c:v>NT</c:v>
                </c:pt>
                <c:pt idx="5">
                  <c:v>Total</c:v>
                </c:pt>
              </c:strCache>
            </c:strRef>
          </c:cat>
          <c:val>
            <c:numRef>
              <c:f>'Data SOMIH'!$B$16:$H$16</c:f>
              <c:numCache>
                <c:formatCode>0.0</c:formatCode>
                <c:ptCount val="6"/>
                <c:pt idx="0">
                  <c:v>23.7</c:v>
                </c:pt>
                <c:pt idx="1">
                  <c:v>96.6</c:v>
                </c:pt>
                <c:pt idx="2">
                  <c:v>89.5</c:v>
                </c:pt>
                <c:pt idx="3">
                  <c:v>0</c:v>
                </c:pt>
                <c:pt idx="4">
                  <c:v>0</c:v>
                </c:pt>
                <c:pt idx="5">
                  <c:v>58.8</c:v>
                </c:pt>
              </c:numCache>
            </c:numRef>
          </c:val>
        </c:ser>
        <c:dLbls>
          <c:showLegendKey val="0"/>
          <c:showVal val="0"/>
          <c:showCatName val="0"/>
          <c:showSerName val="0"/>
          <c:showPercent val="0"/>
          <c:showBubbleSize val="0"/>
        </c:dLbls>
        <c:gapWidth val="150"/>
        <c:axId val="544054304"/>
        <c:axId val="544059400"/>
      </c:barChart>
      <c:catAx>
        <c:axId val="54405430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9400"/>
        <c:crosses val="autoZero"/>
        <c:auto val="1"/>
        <c:lblAlgn val="ctr"/>
        <c:lblOffset val="100"/>
        <c:noMultiLvlLbl val="0"/>
      </c:catAx>
      <c:valAx>
        <c:axId val="544059400"/>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54304"/>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CH'!$A$17</c:f>
              <c:strCache>
                <c:ptCount val="1"/>
                <c:pt idx="0">
                  <c:v>2011-12 to 2014-15</c:v>
                </c:pt>
              </c:strCache>
            </c:strRef>
          </c:tx>
          <c:spPr>
            <a:solidFill>
              <a:srgbClr val="78A22F"/>
            </a:solidFill>
            <a:ln>
              <a:solidFill>
                <a:srgbClr val="78A22F"/>
              </a:solidFill>
            </a:ln>
          </c:spPr>
          <c:invertIfNegative val="0"/>
          <c:cat>
            <c:strRef>
              <c:f>'Data CH'!$B$16:$J$16</c:f>
              <c:strCache>
                <c:ptCount val="9"/>
                <c:pt idx="0">
                  <c:v>NSW</c:v>
                </c:pt>
                <c:pt idx="1">
                  <c:v>Vic</c:v>
                </c:pt>
                <c:pt idx="2">
                  <c:v>Qld</c:v>
                </c:pt>
                <c:pt idx="3">
                  <c:v>WA</c:v>
                </c:pt>
                <c:pt idx="4">
                  <c:v>SA</c:v>
                </c:pt>
                <c:pt idx="5">
                  <c:v>Tas</c:v>
                </c:pt>
                <c:pt idx="6">
                  <c:v>ACT</c:v>
                </c:pt>
                <c:pt idx="7">
                  <c:v>NT</c:v>
                </c:pt>
                <c:pt idx="8">
                  <c:v>Total</c:v>
                </c:pt>
              </c:strCache>
            </c:strRef>
          </c:cat>
          <c:val>
            <c:numRef>
              <c:f>'Data CH'!$B$17:$J$17</c:f>
              <c:numCache>
                <c:formatCode>0</c:formatCode>
                <c:ptCount val="9"/>
                <c:pt idx="0">
                  <c:v>10517.094017094018</c:v>
                </c:pt>
                <c:pt idx="1">
                  <c:v>9668.8034188034198</c:v>
                </c:pt>
                <c:pt idx="2">
                  <c:v>6213.6752136752139</c:v>
                </c:pt>
                <c:pt idx="3">
                  <c:v>5944.4444444444453</c:v>
                </c:pt>
                <c:pt idx="4">
                  <c:v>6897.4358974358975</c:v>
                </c:pt>
                <c:pt idx="5">
                  <c:v>15106.837606837607</c:v>
                </c:pt>
                <c:pt idx="6">
                  <c:v>7744.6581196581201</c:v>
                </c:pt>
                <c:pt idx="7">
                  <c:v>0</c:v>
                </c:pt>
                <c:pt idx="8">
                  <c:v>8784.1880341880351</c:v>
                </c:pt>
              </c:numCache>
            </c:numRef>
          </c:val>
        </c:ser>
        <c:ser>
          <c:idx val="1"/>
          <c:order val="1"/>
          <c:tx>
            <c:strRef>
              <c:f>'Data CH'!$A$18</c:f>
              <c:strCache>
                <c:ptCount val="1"/>
              </c:strCache>
            </c:strRef>
          </c:tx>
          <c:spPr>
            <a:solidFill>
              <a:srgbClr val="78A22F"/>
            </a:solidFill>
            <a:ln>
              <a:solidFill>
                <a:srgbClr val="78A22F"/>
              </a:solidFill>
            </a:ln>
          </c:spPr>
          <c:invertIfNegative val="0"/>
          <c:cat>
            <c:strRef>
              <c:f>'Data CH'!$B$16:$J$16</c:f>
              <c:strCache>
                <c:ptCount val="9"/>
                <c:pt idx="0">
                  <c:v>NSW</c:v>
                </c:pt>
                <c:pt idx="1">
                  <c:v>Vic</c:v>
                </c:pt>
                <c:pt idx="2">
                  <c:v>Qld</c:v>
                </c:pt>
                <c:pt idx="3">
                  <c:v>WA</c:v>
                </c:pt>
                <c:pt idx="4">
                  <c:v>SA</c:v>
                </c:pt>
                <c:pt idx="5">
                  <c:v>Tas</c:v>
                </c:pt>
                <c:pt idx="6">
                  <c:v>ACT</c:v>
                </c:pt>
                <c:pt idx="7">
                  <c:v>NT</c:v>
                </c:pt>
                <c:pt idx="8">
                  <c:v>Total</c:v>
                </c:pt>
              </c:strCache>
            </c:strRef>
          </c:cat>
          <c:val>
            <c:numRef>
              <c:f>'Data CH'!$B$18:$J$18</c:f>
              <c:numCache>
                <c:formatCode>0</c:formatCode>
                <c:ptCount val="9"/>
                <c:pt idx="0">
                  <c:v>11255.344783983139</c:v>
                </c:pt>
                <c:pt idx="1">
                  <c:v>9017.7909336143293</c:v>
                </c:pt>
                <c:pt idx="2">
                  <c:v>6607.0711395152784</c:v>
                </c:pt>
                <c:pt idx="3">
                  <c:v>7322.8337278187555</c:v>
                </c:pt>
                <c:pt idx="4">
                  <c:v>7673.6931505795574</c:v>
                </c:pt>
                <c:pt idx="5">
                  <c:v>15550.049873024236</c:v>
                </c:pt>
                <c:pt idx="6">
                  <c:v>6422.7227593256057</c:v>
                </c:pt>
                <c:pt idx="7">
                  <c:v>0</c:v>
                </c:pt>
                <c:pt idx="8">
                  <c:v>9316.5650506849306</c:v>
                </c:pt>
              </c:numCache>
            </c:numRef>
          </c:val>
        </c:ser>
        <c:ser>
          <c:idx val="2"/>
          <c:order val="2"/>
          <c:tx>
            <c:strRef>
              <c:f>'Data CH'!$A$19</c:f>
              <c:strCache>
                <c:ptCount val="1"/>
              </c:strCache>
            </c:strRef>
          </c:tx>
          <c:spPr>
            <a:solidFill>
              <a:srgbClr val="78A22F"/>
            </a:solidFill>
            <a:ln>
              <a:solidFill>
                <a:srgbClr val="78A22F"/>
              </a:solidFill>
            </a:ln>
          </c:spPr>
          <c:invertIfNegative val="0"/>
          <c:cat>
            <c:strRef>
              <c:f>'Data CH'!$B$16:$J$16</c:f>
              <c:strCache>
                <c:ptCount val="9"/>
                <c:pt idx="0">
                  <c:v>NSW</c:v>
                </c:pt>
                <c:pt idx="1">
                  <c:v>Vic</c:v>
                </c:pt>
                <c:pt idx="2">
                  <c:v>Qld</c:v>
                </c:pt>
                <c:pt idx="3">
                  <c:v>WA</c:v>
                </c:pt>
                <c:pt idx="4">
                  <c:v>SA</c:v>
                </c:pt>
                <c:pt idx="5">
                  <c:v>Tas</c:v>
                </c:pt>
                <c:pt idx="6">
                  <c:v>ACT</c:v>
                </c:pt>
                <c:pt idx="7">
                  <c:v>NT</c:v>
                </c:pt>
                <c:pt idx="8">
                  <c:v>Total</c:v>
                </c:pt>
              </c:strCache>
            </c:strRef>
          </c:cat>
          <c:val>
            <c:numRef>
              <c:f>'Data CH'!$B$19:$J$19</c:f>
              <c:numCache>
                <c:formatCode>0</c:formatCode>
                <c:ptCount val="9"/>
                <c:pt idx="0">
                  <c:v>10790.02079002079</c:v>
                </c:pt>
                <c:pt idx="1">
                  <c:v>9135.135135135135</c:v>
                </c:pt>
                <c:pt idx="2">
                  <c:v>7547.8170478170478</c:v>
                </c:pt>
                <c:pt idx="3">
                  <c:v>9899.1683991683985</c:v>
                </c:pt>
                <c:pt idx="4">
                  <c:v>9979.2099792099798</c:v>
                </c:pt>
                <c:pt idx="5">
                  <c:v>0</c:v>
                </c:pt>
                <c:pt idx="6">
                  <c:v>6900.2079002078999</c:v>
                </c:pt>
                <c:pt idx="7">
                  <c:v>0</c:v>
                </c:pt>
                <c:pt idx="8">
                  <c:v>9629.937629937629</c:v>
                </c:pt>
              </c:numCache>
            </c:numRef>
          </c:val>
        </c:ser>
        <c:ser>
          <c:idx val="3"/>
          <c:order val="3"/>
          <c:tx>
            <c:strRef>
              <c:f>'Data CH'!$A$20</c:f>
              <c:strCache>
                <c:ptCount val="1"/>
              </c:strCache>
            </c:strRef>
          </c:tx>
          <c:spPr>
            <a:solidFill>
              <a:srgbClr val="78A22F"/>
            </a:solidFill>
            <a:ln>
              <a:solidFill>
                <a:srgbClr val="78A22F"/>
              </a:solidFill>
            </a:ln>
          </c:spPr>
          <c:invertIfNegative val="0"/>
          <c:cat>
            <c:strRef>
              <c:f>'Data CH'!$B$16:$J$16</c:f>
              <c:strCache>
                <c:ptCount val="9"/>
                <c:pt idx="0">
                  <c:v>NSW</c:v>
                </c:pt>
                <c:pt idx="1">
                  <c:v>Vic</c:v>
                </c:pt>
                <c:pt idx="2">
                  <c:v>Qld</c:v>
                </c:pt>
                <c:pt idx="3">
                  <c:v>WA</c:v>
                </c:pt>
                <c:pt idx="4">
                  <c:v>SA</c:v>
                </c:pt>
                <c:pt idx="5">
                  <c:v>Tas</c:v>
                </c:pt>
                <c:pt idx="6">
                  <c:v>ACT</c:v>
                </c:pt>
                <c:pt idx="7">
                  <c:v>NT</c:v>
                </c:pt>
                <c:pt idx="8">
                  <c:v>Total</c:v>
                </c:pt>
              </c:strCache>
            </c:strRef>
          </c:cat>
          <c:val>
            <c:numRef>
              <c:f>'Data CH'!$B$20:$J$20</c:f>
              <c:numCache>
                <c:formatCode>0</c:formatCode>
                <c:ptCount val="9"/>
                <c:pt idx="0">
                  <c:v>12157.786885245903</c:v>
                </c:pt>
                <c:pt idx="1">
                  <c:v>14049.180327868853</c:v>
                </c:pt>
                <c:pt idx="2">
                  <c:v>13101.434426229509</c:v>
                </c:pt>
                <c:pt idx="3">
                  <c:v>9771.5163934426237</c:v>
                </c:pt>
                <c:pt idx="4">
                  <c:v>11325.819672131149</c:v>
                </c:pt>
                <c:pt idx="5">
                  <c:v>13605.532786885247</c:v>
                </c:pt>
                <c:pt idx="6">
                  <c:v>5012.2950819672133</c:v>
                </c:pt>
                <c:pt idx="7">
                  <c:v>0</c:v>
                </c:pt>
                <c:pt idx="8">
                  <c:v>12280.737704918034</c:v>
                </c:pt>
              </c:numCache>
            </c:numRef>
          </c:val>
        </c:ser>
        <c:ser>
          <c:idx val="4"/>
          <c:order val="4"/>
          <c:tx>
            <c:strRef>
              <c:f>'Data CH'!$A$21</c:f>
              <c:strCache>
                <c:ptCount val="1"/>
                <c:pt idx="0">
                  <c:v>2015-16</c:v>
                </c:pt>
              </c:strCache>
            </c:strRef>
          </c:tx>
          <c:spPr>
            <a:solidFill>
              <a:srgbClr val="265A9A"/>
            </a:solidFill>
            <a:ln>
              <a:solidFill>
                <a:srgbClr val="265A9A"/>
              </a:solidFill>
            </a:ln>
          </c:spPr>
          <c:invertIfNegative val="0"/>
          <c:cat>
            <c:strRef>
              <c:f>'Data CH'!$B$16:$J$16</c:f>
              <c:strCache>
                <c:ptCount val="9"/>
                <c:pt idx="0">
                  <c:v>NSW</c:v>
                </c:pt>
                <c:pt idx="1">
                  <c:v>Vic</c:v>
                </c:pt>
                <c:pt idx="2">
                  <c:v>Qld</c:v>
                </c:pt>
                <c:pt idx="3">
                  <c:v>WA</c:v>
                </c:pt>
                <c:pt idx="4">
                  <c:v>SA</c:v>
                </c:pt>
                <c:pt idx="5">
                  <c:v>Tas</c:v>
                </c:pt>
                <c:pt idx="6">
                  <c:v>ACT</c:v>
                </c:pt>
                <c:pt idx="7">
                  <c:v>NT</c:v>
                </c:pt>
                <c:pt idx="8">
                  <c:v>Total</c:v>
                </c:pt>
              </c:strCache>
            </c:strRef>
          </c:cat>
          <c:val>
            <c:numRef>
              <c:f>'Data CH'!$B$21:$J$21</c:f>
              <c:numCache>
                <c:formatCode>0</c:formatCode>
                <c:ptCount val="9"/>
                <c:pt idx="0">
                  <c:v>12684</c:v>
                </c:pt>
                <c:pt idx="1">
                  <c:v>11928</c:v>
                </c:pt>
                <c:pt idx="2">
                  <c:v>12707</c:v>
                </c:pt>
                <c:pt idx="3">
                  <c:v>9764</c:v>
                </c:pt>
                <c:pt idx="4">
                  <c:v>10591</c:v>
                </c:pt>
                <c:pt idx="5">
                  <c:v>12549</c:v>
                </c:pt>
                <c:pt idx="6">
                  <c:v>4763</c:v>
                </c:pt>
                <c:pt idx="7">
                  <c:v>0</c:v>
                </c:pt>
                <c:pt idx="8">
                  <c:v>11802</c:v>
                </c:pt>
              </c:numCache>
            </c:numRef>
          </c:val>
        </c:ser>
        <c:dLbls>
          <c:showLegendKey val="0"/>
          <c:showVal val="0"/>
          <c:showCatName val="0"/>
          <c:showSerName val="0"/>
          <c:showPercent val="0"/>
          <c:showBubbleSize val="0"/>
        </c:dLbls>
        <c:gapWidth val="150"/>
        <c:axId val="658860408"/>
        <c:axId val="541088952"/>
      </c:barChart>
      <c:catAx>
        <c:axId val="65886040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8952"/>
        <c:crosses val="autoZero"/>
        <c:auto val="1"/>
        <c:lblAlgn val="ctr"/>
        <c:lblOffset val="100"/>
        <c:noMultiLvlLbl val="0"/>
      </c:catAx>
      <c:valAx>
        <c:axId val="541088952"/>
        <c:scaling>
          <c:orientation val="minMax"/>
        </c:scaling>
        <c:delete val="0"/>
        <c:axPos val="l"/>
        <c:majorGridlines>
          <c:spPr>
            <a:ln>
              <a:noFill/>
            </a:ln>
          </c:spPr>
        </c:majorGridlines>
        <c:title>
          <c:tx>
            <c:rich>
              <a:bodyPr rot="-5400000" vert="horz"/>
              <a:lstStyle/>
              <a:p>
                <a:pPr>
                  <a:defRPr sz="900">
                    <a:latin typeface="arial"/>
                    <a:ea typeface="arial"/>
                    <a:cs typeface="arial"/>
                  </a:defRPr>
                </a:pPr>
                <a:r>
                  <a:rPr lang="en-AU"/>
                  <a:t>$/tenancy</a:t>
                </a:r>
              </a:p>
            </c:rich>
          </c:tx>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658860408"/>
        <c:crosses val="autoZero"/>
        <c:crossBetween val="between"/>
        <c:majorUnit val="3000"/>
      </c:valAx>
      <c:spPr>
        <a:noFill/>
        <a:ln>
          <a:noFill/>
        </a:ln>
      </c:spPr>
    </c:plotArea>
    <c:legend>
      <c:legendPos val="b"/>
      <c:legendEntry>
        <c:idx val="1"/>
        <c:delete val="1"/>
      </c:legendEntry>
      <c:legendEntry>
        <c:idx val="2"/>
        <c:delete val="1"/>
      </c:legendEntry>
      <c:legendEntry>
        <c:idx val="3"/>
        <c:delete val="1"/>
      </c:legendEntry>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CH'!$A$11</c:f>
              <c:strCache>
                <c:ptCount val="1"/>
                <c:pt idx="0">
                  <c:v>2012-13</c:v>
                </c:pt>
              </c:strCache>
            </c:strRef>
          </c:tx>
          <c:spPr>
            <a:solidFill>
              <a:srgbClr val="78A22F"/>
            </a:solidFill>
            <a:ln>
              <a:solidFill>
                <a:srgbClr val="78A22F"/>
              </a:solidFill>
            </a:ln>
          </c:spPr>
          <c:invertIfNegative val="0"/>
          <c:cat>
            <c:strRef>
              <c:f>'Data CH'!$B$10:$J$10</c:f>
              <c:strCache>
                <c:ptCount val="9"/>
                <c:pt idx="0">
                  <c:v>NSW</c:v>
                </c:pt>
                <c:pt idx="1">
                  <c:v>Vic</c:v>
                </c:pt>
                <c:pt idx="2">
                  <c:v>Qld</c:v>
                </c:pt>
                <c:pt idx="3">
                  <c:v>WA</c:v>
                </c:pt>
                <c:pt idx="4">
                  <c:v>SA</c:v>
                </c:pt>
                <c:pt idx="5">
                  <c:v>Tas</c:v>
                </c:pt>
                <c:pt idx="6">
                  <c:v>ACT</c:v>
                </c:pt>
                <c:pt idx="7">
                  <c:v>NT</c:v>
                </c:pt>
                <c:pt idx="8">
                  <c:v>Total</c:v>
                </c:pt>
              </c:strCache>
            </c:strRef>
          </c:cat>
          <c:val>
            <c:numRef>
              <c:f>'Data CH'!$B$11:$J$11</c:f>
              <c:numCache>
                <c:formatCode>0.0</c:formatCode>
                <c:ptCount val="9"/>
                <c:pt idx="0">
                  <c:v>77.662454873645999</c:v>
                </c:pt>
                <c:pt idx="1">
                  <c:v>89.8</c:v>
                </c:pt>
                <c:pt idx="2">
                  <c:v>96.9</c:v>
                </c:pt>
                <c:pt idx="3">
                  <c:v>76.260000000000005</c:v>
                </c:pt>
                <c:pt idx="4">
                  <c:v>49.77</c:v>
                </c:pt>
                <c:pt idx="5">
                  <c:v>81</c:v>
                </c:pt>
                <c:pt idx="6">
                  <c:v>97.53</c:v>
                </c:pt>
                <c:pt idx="7">
                  <c:v>0</c:v>
                </c:pt>
                <c:pt idx="8">
                  <c:v>76.656122910077002</c:v>
                </c:pt>
              </c:numCache>
            </c:numRef>
          </c:val>
        </c:ser>
        <c:ser>
          <c:idx val="1"/>
          <c:order val="1"/>
          <c:tx>
            <c:strRef>
              <c:f>'Data CH'!$A$12</c:f>
              <c:strCache>
                <c:ptCount val="1"/>
                <c:pt idx="0">
                  <c:v>2013-14</c:v>
                </c:pt>
              </c:strCache>
            </c:strRef>
          </c:tx>
          <c:spPr>
            <a:solidFill>
              <a:srgbClr val="78A22F"/>
            </a:solidFill>
            <a:ln>
              <a:solidFill>
                <a:srgbClr val="78A22F"/>
              </a:solidFill>
            </a:ln>
          </c:spPr>
          <c:invertIfNegative val="0"/>
          <c:cat>
            <c:strRef>
              <c:f>'Data CH'!$B$10:$J$10</c:f>
              <c:strCache>
                <c:ptCount val="9"/>
                <c:pt idx="0">
                  <c:v>NSW</c:v>
                </c:pt>
                <c:pt idx="1">
                  <c:v>Vic</c:v>
                </c:pt>
                <c:pt idx="2">
                  <c:v>Qld</c:v>
                </c:pt>
                <c:pt idx="3">
                  <c:v>WA</c:v>
                </c:pt>
                <c:pt idx="4">
                  <c:v>SA</c:v>
                </c:pt>
                <c:pt idx="5">
                  <c:v>Tas</c:v>
                </c:pt>
                <c:pt idx="6">
                  <c:v>ACT</c:v>
                </c:pt>
                <c:pt idx="7">
                  <c:v>NT</c:v>
                </c:pt>
                <c:pt idx="8">
                  <c:v>Total</c:v>
                </c:pt>
              </c:strCache>
            </c:strRef>
          </c:cat>
          <c:val>
            <c:numRef>
              <c:f>'Data CH'!$B$12:$J$12</c:f>
              <c:numCache>
                <c:formatCode>0.0</c:formatCode>
                <c:ptCount val="9"/>
                <c:pt idx="0">
                  <c:v>70.2</c:v>
                </c:pt>
                <c:pt idx="1">
                  <c:v>86.91</c:v>
                </c:pt>
                <c:pt idx="2">
                  <c:v>95.9</c:v>
                </c:pt>
                <c:pt idx="3">
                  <c:v>84.07</c:v>
                </c:pt>
                <c:pt idx="4">
                  <c:v>76.61</c:v>
                </c:pt>
                <c:pt idx="5">
                  <c:v>29.2</c:v>
                </c:pt>
                <c:pt idx="6">
                  <c:v>97.023809499999999</c:v>
                </c:pt>
                <c:pt idx="7">
                  <c:v>0</c:v>
                </c:pt>
                <c:pt idx="8">
                  <c:v>75.099999999999994</c:v>
                </c:pt>
              </c:numCache>
            </c:numRef>
          </c:val>
        </c:ser>
        <c:ser>
          <c:idx val="2"/>
          <c:order val="2"/>
          <c:tx>
            <c:strRef>
              <c:f>'Data CH'!$A$13</c:f>
              <c:strCache>
                <c:ptCount val="1"/>
                <c:pt idx="0">
                  <c:v>2014-15</c:v>
                </c:pt>
              </c:strCache>
            </c:strRef>
          </c:tx>
          <c:spPr>
            <a:solidFill>
              <a:srgbClr val="78A22F"/>
            </a:solidFill>
            <a:ln>
              <a:solidFill>
                <a:srgbClr val="78A22F"/>
              </a:solidFill>
            </a:ln>
          </c:spPr>
          <c:invertIfNegative val="0"/>
          <c:cat>
            <c:strRef>
              <c:f>'Data CH'!$B$10:$J$10</c:f>
              <c:strCache>
                <c:ptCount val="9"/>
                <c:pt idx="0">
                  <c:v>NSW</c:v>
                </c:pt>
                <c:pt idx="1">
                  <c:v>Vic</c:v>
                </c:pt>
                <c:pt idx="2">
                  <c:v>Qld</c:v>
                </c:pt>
                <c:pt idx="3">
                  <c:v>WA</c:v>
                </c:pt>
                <c:pt idx="4">
                  <c:v>SA</c:v>
                </c:pt>
                <c:pt idx="5">
                  <c:v>Tas</c:v>
                </c:pt>
                <c:pt idx="6">
                  <c:v>ACT</c:v>
                </c:pt>
                <c:pt idx="7">
                  <c:v>NT</c:v>
                </c:pt>
                <c:pt idx="8">
                  <c:v>Total</c:v>
                </c:pt>
              </c:strCache>
            </c:strRef>
          </c:cat>
          <c:val>
            <c:numRef>
              <c:f>'Data CH'!$B$13:$J$13</c:f>
              <c:numCache>
                <c:formatCode>0.0</c:formatCode>
                <c:ptCount val="9"/>
                <c:pt idx="0">
                  <c:v>72.5</c:v>
                </c:pt>
                <c:pt idx="1">
                  <c:v>84.9</c:v>
                </c:pt>
                <c:pt idx="2">
                  <c:v>86</c:v>
                </c:pt>
                <c:pt idx="3">
                  <c:v>79.400000000000006</c:v>
                </c:pt>
                <c:pt idx="4">
                  <c:v>83.1</c:v>
                </c:pt>
                <c:pt idx="5">
                  <c:v>51.7</c:v>
                </c:pt>
                <c:pt idx="6">
                  <c:v>97.9</c:v>
                </c:pt>
                <c:pt idx="7">
                  <c:v>0</c:v>
                </c:pt>
                <c:pt idx="8">
                  <c:v>75.599999999999994</c:v>
                </c:pt>
              </c:numCache>
            </c:numRef>
          </c:val>
        </c:ser>
        <c:ser>
          <c:idx val="3"/>
          <c:order val="3"/>
          <c:tx>
            <c:strRef>
              <c:f>'Data CH'!$A$14</c:f>
              <c:strCache>
                <c:ptCount val="1"/>
                <c:pt idx="0">
                  <c:v>2015-16</c:v>
                </c:pt>
              </c:strCache>
            </c:strRef>
          </c:tx>
          <c:spPr>
            <a:solidFill>
              <a:srgbClr val="78A22F"/>
            </a:solidFill>
            <a:ln>
              <a:solidFill>
                <a:srgbClr val="78A22F"/>
              </a:solidFill>
            </a:ln>
          </c:spPr>
          <c:invertIfNegative val="0"/>
          <c:cat>
            <c:strRef>
              <c:f>'Data CH'!$B$10:$J$10</c:f>
              <c:strCache>
                <c:ptCount val="9"/>
                <c:pt idx="0">
                  <c:v>NSW</c:v>
                </c:pt>
                <c:pt idx="1">
                  <c:v>Vic</c:v>
                </c:pt>
                <c:pt idx="2">
                  <c:v>Qld</c:v>
                </c:pt>
                <c:pt idx="3">
                  <c:v>WA</c:v>
                </c:pt>
                <c:pt idx="4">
                  <c:v>SA</c:v>
                </c:pt>
                <c:pt idx="5">
                  <c:v>Tas</c:v>
                </c:pt>
                <c:pt idx="6">
                  <c:v>ACT</c:v>
                </c:pt>
                <c:pt idx="7">
                  <c:v>NT</c:v>
                </c:pt>
                <c:pt idx="8">
                  <c:v>Total</c:v>
                </c:pt>
              </c:strCache>
            </c:strRef>
          </c:cat>
          <c:val>
            <c:numRef>
              <c:f>'Data CH'!$B$14:$J$14</c:f>
              <c:numCache>
                <c:formatCode>0.0</c:formatCode>
                <c:ptCount val="9"/>
                <c:pt idx="0">
                  <c:v>75.8</c:v>
                </c:pt>
                <c:pt idx="1">
                  <c:v>83.9</c:v>
                </c:pt>
                <c:pt idx="2">
                  <c:v>97.5</c:v>
                </c:pt>
                <c:pt idx="3">
                  <c:v>82.7</c:v>
                </c:pt>
                <c:pt idx="4">
                  <c:v>87.6</c:v>
                </c:pt>
                <c:pt idx="5">
                  <c:v>71.5</c:v>
                </c:pt>
                <c:pt idx="6">
                  <c:v>99.5</c:v>
                </c:pt>
                <c:pt idx="7">
                  <c:v>0</c:v>
                </c:pt>
                <c:pt idx="8">
                  <c:v>83.6</c:v>
                </c:pt>
              </c:numCache>
            </c:numRef>
          </c:val>
        </c:ser>
        <c:ser>
          <c:idx val="4"/>
          <c:order val="4"/>
          <c:tx>
            <c:strRef>
              <c:f>'Data CH'!$A$15</c:f>
              <c:strCache>
                <c:ptCount val="1"/>
                <c:pt idx="0">
                  <c:v>2016-17</c:v>
                </c:pt>
              </c:strCache>
            </c:strRef>
          </c:tx>
          <c:spPr>
            <a:solidFill>
              <a:srgbClr val="265A9A"/>
            </a:solidFill>
            <a:ln>
              <a:solidFill>
                <a:srgbClr val="265A9A"/>
              </a:solidFill>
            </a:ln>
          </c:spPr>
          <c:invertIfNegative val="0"/>
          <c:cat>
            <c:strRef>
              <c:f>'Data CH'!$B$10:$J$10</c:f>
              <c:strCache>
                <c:ptCount val="9"/>
                <c:pt idx="0">
                  <c:v>NSW</c:v>
                </c:pt>
                <c:pt idx="1">
                  <c:v>Vic</c:v>
                </c:pt>
                <c:pt idx="2">
                  <c:v>Qld</c:v>
                </c:pt>
                <c:pt idx="3">
                  <c:v>WA</c:v>
                </c:pt>
                <c:pt idx="4">
                  <c:v>SA</c:v>
                </c:pt>
                <c:pt idx="5">
                  <c:v>Tas</c:v>
                </c:pt>
                <c:pt idx="6">
                  <c:v>ACT</c:v>
                </c:pt>
                <c:pt idx="7">
                  <c:v>NT</c:v>
                </c:pt>
                <c:pt idx="8">
                  <c:v>Total</c:v>
                </c:pt>
              </c:strCache>
            </c:strRef>
          </c:cat>
          <c:val>
            <c:numRef>
              <c:f>'Data CH'!$B$15:$J$15</c:f>
              <c:numCache>
                <c:formatCode>0.0</c:formatCode>
                <c:ptCount val="9"/>
                <c:pt idx="0">
                  <c:v>79</c:v>
                </c:pt>
                <c:pt idx="1">
                  <c:v>90.5</c:v>
                </c:pt>
                <c:pt idx="2">
                  <c:v>98.5</c:v>
                </c:pt>
                <c:pt idx="3">
                  <c:v>82</c:v>
                </c:pt>
                <c:pt idx="4">
                  <c:v>78.900000000000006</c:v>
                </c:pt>
                <c:pt idx="5">
                  <c:v>93.1</c:v>
                </c:pt>
                <c:pt idx="6">
                  <c:v>95.7</c:v>
                </c:pt>
                <c:pt idx="7">
                  <c:v>0</c:v>
                </c:pt>
                <c:pt idx="8">
                  <c:v>86.4</c:v>
                </c:pt>
              </c:numCache>
            </c:numRef>
          </c:val>
        </c:ser>
        <c:dLbls>
          <c:showLegendKey val="0"/>
          <c:showVal val="0"/>
          <c:showCatName val="0"/>
          <c:showSerName val="0"/>
          <c:showPercent val="0"/>
          <c:showBubbleSize val="0"/>
        </c:dLbls>
        <c:gapWidth val="150"/>
        <c:axId val="544059792"/>
        <c:axId val="544060184"/>
      </c:barChart>
      <c:catAx>
        <c:axId val="54405979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60184"/>
        <c:crosses val="autoZero"/>
        <c:auto val="1"/>
        <c:lblAlgn val="ctr"/>
        <c:lblOffset val="100"/>
        <c:noMultiLvlLbl val="0"/>
      </c:catAx>
      <c:valAx>
        <c:axId val="544060184"/>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59792"/>
        <c:crosses val="autoZero"/>
        <c:crossBetween val="between"/>
        <c:majorUnit val="20"/>
        <c:minorUnit val="4"/>
      </c:valAx>
      <c:spPr>
        <a:noFill/>
        <a:ln>
          <a:noFill/>
        </a:ln>
      </c:spPr>
    </c:plotArea>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A22F"/>
            </a:solidFill>
            <a:ln>
              <a:solidFill>
                <a:srgbClr val="78A22F"/>
              </a:solidFill>
            </a:ln>
          </c:spPr>
          <c:invertIfNegative val="0"/>
          <c:cat>
            <c:strRef>
              <c:f>'Data PH'!$B$3:$J$3</c:f>
              <c:strCache>
                <c:ptCount val="9"/>
                <c:pt idx="0">
                  <c:v>NSW</c:v>
                </c:pt>
                <c:pt idx="1">
                  <c:v>Vic</c:v>
                </c:pt>
                <c:pt idx="2">
                  <c:v>Qld</c:v>
                </c:pt>
                <c:pt idx="3">
                  <c:v>WA</c:v>
                </c:pt>
                <c:pt idx="4">
                  <c:v>SA</c:v>
                </c:pt>
                <c:pt idx="5">
                  <c:v>Tas</c:v>
                </c:pt>
                <c:pt idx="6">
                  <c:v>ACT</c:v>
                </c:pt>
                <c:pt idx="7">
                  <c:v>NT</c:v>
                </c:pt>
                <c:pt idx="8">
                  <c:v>Aust</c:v>
                </c:pt>
              </c:strCache>
            </c:strRef>
          </c:cat>
          <c:val>
            <c:numRef>
              <c:f>'Data PH'!$B$4:$J$4</c:f>
              <c:numCache>
                <c:formatCode>0.0</c:formatCode>
                <c:ptCount val="9"/>
                <c:pt idx="0">
                  <c:v>69.665599999999998</c:v>
                </c:pt>
                <c:pt idx="1">
                  <c:v>46.765599999999999</c:v>
                </c:pt>
                <c:pt idx="2">
                  <c:v>67.593500000000006</c:v>
                </c:pt>
                <c:pt idx="3">
                  <c:v>59.524700000000003</c:v>
                </c:pt>
                <c:pt idx="4">
                  <c:v>69.570599999999999</c:v>
                </c:pt>
                <c:pt idx="5">
                  <c:v>64.263599999999997</c:v>
                </c:pt>
                <c:pt idx="6">
                  <c:v>61.465000000000003</c:v>
                </c:pt>
                <c:pt idx="7">
                  <c:v>65.108999999999995</c:v>
                </c:pt>
                <c:pt idx="8">
                  <c:v>63.1</c:v>
                </c:pt>
              </c:numCache>
            </c:numRef>
          </c:val>
        </c:ser>
        <c:ser>
          <c:idx val="1"/>
          <c:order val="1"/>
          <c:spPr>
            <a:solidFill>
              <a:srgbClr val="78A22F"/>
            </a:solidFill>
            <a:ln>
              <a:solidFill>
                <a:srgbClr val="78A22F"/>
              </a:solidFill>
            </a:ln>
          </c:spPr>
          <c:invertIfNegative val="0"/>
          <c:cat>
            <c:strRef>
              <c:f>'Data PH'!$B$3:$J$3</c:f>
              <c:strCache>
                <c:ptCount val="9"/>
                <c:pt idx="0">
                  <c:v>NSW</c:v>
                </c:pt>
                <c:pt idx="1">
                  <c:v>Vic</c:v>
                </c:pt>
                <c:pt idx="2">
                  <c:v>Qld</c:v>
                </c:pt>
                <c:pt idx="3">
                  <c:v>WA</c:v>
                </c:pt>
                <c:pt idx="4">
                  <c:v>SA</c:v>
                </c:pt>
                <c:pt idx="5">
                  <c:v>Tas</c:v>
                </c:pt>
                <c:pt idx="6">
                  <c:v>ACT</c:v>
                </c:pt>
                <c:pt idx="7">
                  <c:v>NT</c:v>
                </c:pt>
                <c:pt idx="8">
                  <c:v>Aust</c:v>
                </c:pt>
              </c:strCache>
            </c:strRef>
          </c:cat>
          <c:val>
            <c:numRef>
              <c:f>'Data PH'!$B$5:$J$5</c:f>
              <c:numCache>
                <c:formatCode>0.0</c:formatCode>
                <c:ptCount val="9"/>
                <c:pt idx="0">
                  <c:v>68.876300000000001</c:v>
                </c:pt>
                <c:pt idx="1">
                  <c:v>58.448399999999999</c:v>
                </c:pt>
                <c:pt idx="2">
                  <c:v>66.602800000000002</c:v>
                </c:pt>
                <c:pt idx="3">
                  <c:v>63.944299999999998</c:v>
                </c:pt>
                <c:pt idx="4">
                  <c:v>70.185199999999995</c:v>
                </c:pt>
                <c:pt idx="5">
                  <c:v>65.330699999999993</c:v>
                </c:pt>
                <c:pt idx="6">
                  <c:v>57.565800000000003</c:v>
                </c:pt>
                <c:pt idx="7">
                  <c:v>71.847499999999997</c:v>
                </c:pt>
                <c:pt idx="8">
                  <c:v>65.400000000000006</c:v>
                </c:pt>
              </c:numCache>
            </c:numRef>
          </c:val>
        </c:ser>
        <c:ser>
          <c:idx val="2"/>
          <c:order val="2"/>
          <c:spPr>
            <a:solidFill>
              <a:srgbClr val="78A22F"/>
            </a:solidFill>
            <a:ln>
              <a:solidFill>
                <a:srgbClr val="78A22F"/>
              </a:solidFill>
            </a:ln>
          </c:spPr>
          <c:invertIfNegative val="0"/>
          <c:cat>
            <c:strRef>
              <c:f>'Data PH'!$B$3:$J$3</c:f>
              <c:strCache>
                <c:ptCount val="9"/>
                <c:pt idx="0">
                  <c:v>NSW</c:v>
                </c:pt>
                <c:pt idx="1">
                  <c:v>Vic</c:v>
                </c:pt>
                <c:pt idx="2">
                  <c:v>Qld</c:v>
                </c:pt>
                <c:pt idx="3">
                  <c:v>WA</c:v>
                </c:pt>
                <c:pt idx="4">
                  <c:v>SA</c:v>
                </c:pt>
                <c:pt idx="5">
                  <c:v>Tas</c:v>
                </c:pt>
                <c:pt idx="6">
                  <c:v>ACT</c:v>
                </c:pt>
                <c:pt idx="7">
                  <c:v>NT</c:v>
                </c:pt>
                <c:pt idx="8">
                  <c:v>Aust</c:v>
                </c:pt>
              </c:strCache>
            </c:strRef>
          </c:cat>
          <c:val>
            <c:numRef>
              <c:f>'Data PH'!$B$6:$J$6</c:f>
              <c:numCache>
                <c:formatCode>0.0</c:formatCode>
                <c:ptCount val="9"/>
                <c:pt idx="0">
                  <c:v>68</c:v>
                </c:pt>
                <c:pt idx="1">
                  <c:v>57.7</c:v>
                </c:pt>
                <c:pt idx="2">
                  <c:v>67.2</c:v>
                </c:pt>
                <c:pt idx="3">
                  <c:v>54.1</c:v>
                </c:pt>
                <c:pt idx="4">
                  <c:v>67.2</c:v>
                </c:pt>
                <c:pt idx="5">
                  <c:v>60.6</c:v>
                </c:pt>
                <c:pt idx="6">
                  <c:v>66.5</c:v>
                </c:pt>
                <c:pt idx="7">
                  <c:v>69.8</c:v>
                </c:pt>
                <c:pt idx="8">
                  <c:v>63.7</c:v>
                </c:pt>
              </c:numCache>
            </c:numRef>
          </c:val>
        </c:ser>
        <c:ser>
          <c:idx val="3"/>
          <c:order val="3"/>
          <c:spPr>
            <a:solidFill>
              <a:srgbClr val="78A22F"/>
            </a:solidFill>
            <a:ln>
              <a:solidFill>
                <a:srgbClr val="78A22F"/>
              </a:solidFill>
            </a:ln>
          </c:spPr>
          <c:invertIfNegative val="0"/>
          <c:cat>
            <c:strRef>
              <c:f>'Data PH'!$B$3:$J$3</c:f>
              <c:strCache>
                <c:ptCount val="9"/>
                <c:pt idx="0">
                  <c:v>NSW</c:v>
                </c:pt>
                <c:pt idx="1">
                  <c:v>Vic</c:v>
                </c:pt>
                <c:pt idx="2">
                  <c:v>Qld</c:v>
                </c:pt>
                <c:pt idx="3">
                  <c:v>WA</c:v>
                </c:pt>
                <c:pt idx="4">
                  <c:v>SA</c:v>
                </c:pt>
                <c:pt idx="5">
                  <c:v>Tas</c:v>
                </c:pt>
                <c:pt idx="6">
                  <c:v>ACT</c:v>
                </c:pt>
                <c:pt idx="7">
                  <c:v>NT</c:v>
                </c:pt>
                <c:pt idx="8">
                  <c:v>Aust</c:v>
                </c:pt>
              </c:strCache>
            </c:strRef>
          </c:cat>
          <c:val>
            <c:numRef>
              <c:f>'Data PH'!$B$7:$J$7</c:f>
              <c:numCache>
                <c:formatCode>0.0</c:formatCode>
                <c:ptCount val="9"/>
                <c:pt idx="0">
                  <c:v>64.599999999999994</c:v>
                </c:pt>
                <c:pt idx="1">
                  <c:v>56.5</c:v>
                </c:pt>
                <c:pt idx="2">
                  <c:v>66.2</c:v>
                </c:pt>
                <c:pt idx="3">
                  <c:v>48.5</c:v>
                </c:pt>
                <c:pt idx="4">
                  <c:v>67.900000000000006</c:v>
                </c:pt>
                <c:pt idx="5">
                  <c:v>61.7</c:v>
                </c:pt>
                <c:pt idx="6">
                  <c:v>65.7</c:v>
                </c:pt>
                <c:pt idx="7">
                  <c:v>64.5</c:v>
                </c:pt>
                <c:pt idx="8">
                  <c:v>61.5</c:v>
                </c:pt>
              </c:numCache>
            </c:numRef>
          </c:val>
        </c:ser>
        <c:ser>
          <c:idx val="4"/>
          <c:order val="4"/>
          <c:spPr>
            <a:solidFill>
              <a:srgbClr val="265A9A"/>
            </a:solidFill>
            <a:ln>
              <a:solidFill>
                <a:srgbClr val="265A9A"/>
              </a:solidFill>
            </a:ln>
          </c:spPr>
          <c:invertIfNegative val="0"/>
          <c:cat>
            <c:strRef>
              <c:f>'Data PH'!$B$3:$J$3</c:f>
              <c:strCache>
                <c:ptCount val="9"/>
                <c:pt idx="0">
                  <c:v>NSW</c:v>
                </c:pt>
                <c:pt idx="1">
                  <c:v>Vic</c:v>
                </c:pt>
                <c:pt idx="2">
                  <c:v>Qld</c:v>
                </c:pt>
                <c:pt idx="3">
                  <c:v>WA</c:v>
                </c:pt>
                <c:pt idx="4">
                  <c:v>SA</c:v>
                </c:pt>
                <c:pt idx="5">
                  <c:v>Tas</c:v>
                </c:pt>
                <c:pt idx="6">
                  <c:v>ACT</c:v>
                </c:pt>
                <c:pt idx="7">
                  <c:v>NT</c:v>
                </c:pt>
                <c:pt idx="8">
                  <c:v>Aust</c:v>
                </c:pt>
              </c:strCache>
            </c:strRef>
          </c:cat>
          <c:val>
            <c:numRef>
              <c:f>'Data PH'!$B$8:$J$8</c:f>
              <c:numCache>
                <c:formatCode>0.0</c:formatCode>
                <c:ptCount val="9"/>
                <c:pt idx="0">
                  <c:v>62</c:v>
                </c:pt>
                <c:pt idx="1">
                  <c:v>54.6</c:v>
                </c:pt>
                <c:pt idx="2">
                  <c:v>65.599999999999994</c:v>
                </c:pt>
                <c:pt idx="3">
                  <c:v>56.3</c:v>
                </c:pt>
                <c:pt idx="4">
                  <c:v>70.099999999999994</c:v>
                </c:pt>
                <c:pt idx="5">
                  <c:v>64.7</c:v>
                </c:pt>
                <c:pt idx="6">
                  <c:v>60.2</c:v>
                </c:pt>
                <c:pt idx="7">
                  <c:v>70.099999999999994</c:v>
                </c:pt>
                <c:pt idx="8">
                  <c:v>61.5</c:v>
                </c:pt>
              </c:numCache>
            </c:numRef>
          </c:val>
        </c:ser>
        <c:dLbls>
          <c:showLegendKey val="0"/>
          <c:showVal val="0"/>
          <c:showCatName val="0"/>
          <c:showSerName val="0"/>
          <c:showPercent val="0"/>
          <c:showBubbleSize val="0"/>
        </c:dLbls>
        <c:gapWidth val="150"/>
        <c:axId val="544060968"/>
        <c:axId val="544057048"/>
      </c:barChart>
      <c:catAx>
        <c:axId val="54406096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7048"/>
        <c:crosses val="autoZero"/>
        <c:auto val="1"/>
        <c:lblAlgn val="ctr"/>
        <c:lblOffset val="100"/>
        <c:noMultiLvlLbl val="0"/>
      </c:catAx>
      <c:valAx>
        <c:axId val="544057048"/>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60968"/>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SOMIH'!$A$5</c:f>
              <c:strCache>
                <c:ptCount val="1"/>
                <c:pt idx="0">
                  <c:v>2012-13</c:v>
                </c:pt>
              </c:strCache>
            </c:strRef>
          </c:tx>
          <c:spPr>
            <a:solidFill>
              <a:srgbClr val="78A22F"/>
            </a:solidFill>
            <a:ln>
              <a:solidFill>
                <a:srgbClr val="78A22F"/>
              </a:solidFill>
            </a:ln>
          </c:spPr>
          <c:invertIfNegative val="0"/>
          <c:cat>
            <c:strRef>
              <c:f>'Data SOMIH'!$B$3:$H$4</c:f>
              <c:strCache>
                <c:ptCount val="6"/>
                <c:pt idx="0">
                  <c:v>NSW</c:v>
                </c:pt>
                <c:pt idx="1">
                  <c:v>Qld</c:v>
                </c:pt>
                <c:pt idx="2">
                  <c:v>SA</c:v>
                </c:pt>
                <c:pt idx="3">
                  <c:v>Tas</c:v>
                </c:pt>
                <c:pt idx="4">
                  <c:v>NT</c:v>
                </c:pt>
                <c:pt idx="5">
                  <c:v>Total</c:v>
                </c:pt>
              </c:strCache>
            </c:strRef>
          </c:cat>
          <c:val>
            <c:numRef>
              <c:f>'Data SOMIH'!$B$5:$H$5</c:f>
              <c:numCache>
                <c:formatCode>0.0</c:formatCode>
                <c:ptCount val="6"/>
                <c:pt idx="0">
                  <c:v>55.837600000000002</c:v>
                </c:pt>
                <c:pt idx="1">
                  <c:v>48.543700000000001</c:v>
                </c:pt>
                <c:pt idx="2">
                  <c:v>52.8</c:v>
                </c:pt>
                <c:pt idx="3">
                  <c:v>50</c:v>
                </c:pt>
                <c:pt idx="4">
                  <c:v>0</c:v>
                </c:pt>
                <c:pt idx="5">
                  <c:v>52.564102564103003</c:v>
                </c:pt>
              </c:numCache>
            </c:numRef>
          </c:val>
        </c:ser>
        <c:ser>
          <c:idx val="1"/>
          <c:order val="1"/>
          <c:tx>
            <c:strRef>
              <c:f>'Data SOMIH'!$A$6</c:f>
              <c:strCache>
                <c:ptCount val="1"/>
                <c:pt idx="0">
                  <c:v>2013-14</c:v>
                </c:pt>
              </c:strCache>
            </c:strRef>
          </c:tx>
          <c:spPr>
            <a:solidFill>
              <a:srgbClr val="78A22F"/>
            </a:solidFill>
            <a:ln>
              <a:solidFill>
                <a:srgbClr val="78A22F"/>
              </a:solidFill>
            </a:ln>
          </c:spPr>
          <c:invertIfNegative val="0"/>
          <c:cat>
            <c:strRef>
              <c:f>'Data SOMIH'!$B$3:$H$4</c:f>
              <c:strCache>
                <c:ptCount val="6"/>
                <c:pt idx="0">
                  <c:v>NSW</c:v>
                </c:pt>
                <c:pt idx="1">
                  <c:v>Qld</c:v>
                </c:pt>
                <c:pt idx="2">
                  <c:v>SA</c:v>
                </c:pt>
                <c:pt idx="3">
                  <c:v>Tas</c:v>
                </c:pt>
                <c:pt idx="4">
                  <c:v>NT</c:v>
                </c:pt>
                <c:pt idx="5">
                  <c:v>Total</c:v>
                </c:pt>
              </c:strCache>
            </c:strRef>
          </c:cat>
          <c:val>
            <c:numRef>
              <c:f>'Data SOMIH'!$B$6:$H$6</c:f>
              <c:numCache>
                <c:formatCode>0.0</c:formatCode>
                <c:ptCount val="6"/>
                <c:pt idx="0">
                  <c:v>58.0214</c:v>
                </c:pt>
                <c:pt idx="1">
                  <c:v>50</c:v>
                </c:pt>
                <c:pt idx="2">
                  <c:v>53.210999999999999</c:v>
                </c:pt>
                <c:pt idx="3">
                  <c:v>77.777799999999999</c:v>
                </c:pt>
                <c:pt idx="4">
                  <c:v>0</c:v>
                </c:pt>
                <c:pt idx="5">
                  <c:v>55.598455600000001</c:v>
                </c:pt>
              </c:numCache>
            </c:numRef>
          </c:val>
        </c:ser>
        <c:ser>
          <c:idx val="2"/>
          <c:order val="2"/>
          <c:tx>
            <c:strRef>
              <c:f>'Data SOMIH'!$A$7</c:f>
              <c:strCache>
                <c:ptCount val="1"/>
                <c:pt idx="0">
                  <c:v>2014-15</c:v>
                </c:pt>
              </c:strCache>
            </c:strRef>
          </c:tx>
          <c:spPr>
            <a:solidFill>
              <a:srgbClr val="78A22F"/>
            </a:solidFill>
            <a:ln>
              <a:solidFill>
                <a:srgbClr val="78A22F"/>
              </a:solidFill>
            </a:ln>
          </c:spPr>
          <c:invertIfNegative val="0"/>
          <c:cat>
            <c:strRef>
              <c:f>'Data SOMIH'!$B$3:$H$4</c:f>
              <c:strCache>
                <c:ptCount val="6"/>
                <c:pt idx="0">
                  <c:v>NSW</c:v>
                </c:pt>
                <c:pt idx="1">
                  <c:v>Qld</c:v>
                </c:pt>
                <c:pt idx="2">
                  <c:v>SA</c:v>
                </c:pt>
                <c:pt idx="3">
                  <c:v>Tas</c:v>
                </c:pt>
                <c:pt idx="4">
                  <c:v>NT</c:v>
                </c:pt>
                <c:pt idx="5">
                  <c:v>Total</c:v>
                </c:pt>
              </c:strCache>
            </c:strRef>
          </c:cat>
          <c:val>
            <c:numRef>
              <c:f>'Data SOMIH'!$B$7:$H$7</c:f>
              <c:numCache>
                <c:formatCode>0.0</c:formatCode>
                <c:ptCount val="6"/>
                <c:pt idx="0">
                  <c:v>55.6</c:v>
                </c:pt>
                <c:pt idx="1">
                  <c:v>51.9</c:v>
                </c:pt>
                <c:pt idx="2">
                  <c:v>50</c:v>
                </c:pt>
                <c:pt idx="3">
                  <c:v>63</c:v>
                </c:pt>
                <c:pt idx="4">
                  <c:v>0</c:v>
                </c:pt>
                <c:pt idx="5">
                  <c:v>53.8</c:v>
                </c:pt>
              </c:numCache>
            </c:numRef>
          </c:val>
        </c:ser>
        <c:ser>
          <c:idx val="3"/>
          <c:order val="3"/>
          <c:tx>
            <c:strRef>
              <c:f>'Data SOMIH'!$A$8</c:f>
              <c:strCache>
                <c:ptCount val="1"/>
                <c:pt idx="0">
                  <c:v>2015-16</c:v>
                </c:pt>
              </c:strCache>
            </c:strRef>
          </c:tx>
          <c:spPr>
            <a:solidFill>
              <a:srgbClr val="78A22F"/>
            </a:solidFill>
            <a:ln>
              <a:solidFill>
                <a:srgbClr val="78A22F"/>
              </a:solidFill>
            </a:ln>
          </c:spPr>
          <c:invertIfNegative val="0"/>
          <c:cat>
            <c:strRef>
              <c:f>'Data SOMIH'!$B$3:$H$4</c:f>
              <c:strCache>
                <c:ptCount val="6"/>
                <c:pt idx="0">
                  <c:v>NSW</c:v>
                </c:pt>
                <c:pt idx="1">
                  <c:v>Qld</c:v>
                </c:pt>
                <c:pt idx="2">
                  <c:v>SA</c:v>
                </c:pt>
                <c:pt idx="3">
                  <c:v>Tas</c:v>
                </c:pt>
                <c:pt idx="4">
                  <c:v>NT</c:v>
                </c:pt>
                <c:pt idx="5">
                  <c:v>Total</c:v>
                </c:pt>
              </c:strCache>
            </c:strRef>
          </c:cat>
          <c:val>
            <c:numRef>
              <c:f>'Data SOMIH'!$B$8:$H$8</c:f>
              <c:numCache>
                <c:formatCode>0.0</c:formatCode>
                <c:ptCount val="6"/>
                <c:pt idx="0">
                  <c:v>49.7</c:v>
                </c:pt>
                <c:pt idx="1">
                  <c:v>45.2</c:v>
                </c:pt>
                <c:pt idx="2">
                  <c:v>49.6</c:v>
                </c:pt>
                <c:pt idx="3">
                  <c:v>64.5</c:v>
                </c:pt>
                <c:pt idx="4">
                  <c:v>0</c:v>
                </c:pt>
                <c:pt idx="5">
                  <c:v>48.7</c:v>
                </c:pt>
              </c:numCache>
            </c:numRef>
          </c:val>
        </c:ser>
        <c:ser>
          <c:idx val="4"/>
          <c:order val="4"/>
          <c:tx>
            <c:strRef>
              <c:f>'Data SOMIH'!$A$9</c:f>
              <c:strCache>
                <c:ptCount val="1"/>
                <c:pt idx="0">
                  <c:v>2016-17</c:v>
                </c:pt>
              </c:strCache>
            </c:strRef>
          </c:tx>
          <c:spPr>
            <a:solidFill>
              <a:srgbClr val="265A9A"/>
            </a:solidFill>
            <a:ln>
              <a:solidFill>
                <a:srgbClr val="265A9A"/>
              </a:solidFill>
            </a:ln>
          </c:spPr>
          <c:invertIfNegative val="0"/>
          <c:cat>
            <c:strRef>
              <c:f>'Data SOMIH'!$B$3:$H$4</c:f>
              <c:strCache>
                <c:ptCount val="6"/>
                <c:pt idx="0">
                  <c:v>NSW</c:v>
                </c:pt>
                <c:pt idx="1">
                  <c:v>Qld</c:v>
                </c:pt>
                <c:pt idx="2">
                  <c:v>SA</c:v>
                </c:pt>
                <c:pt idx="3">
                  <c:v>Tas</c:v>
                </c:pt>
                <c:pt idx="4">
                  <c:v>NT</c:v>
                </c:pt>
                <c:pt idx="5">
                  <c:v>Total</c:v>
                </c:pt>
              </c:strCache>
            </c:strRef>
          </c:cat>
          <c:val>
            <c:numRef>
              <c:f>'Data SOMIH'!$B$9:$H$9</c:f>
              <c:numCache>
                <c:formatCode>0.0</c:formatCode>
                <c:ptCount val="6"/>
                <c:pt idx="0">
                  <c:v>44.4</c:v>
                </c:pt>
                <c:pt idx="1">
                  <c:v>42.7</c:v>
                </c:pt>
                <c:pt idx="2">
                  <c:v>53.7</c:v>
                </c:pt>
                <c:pt idx="3">
                  <c:v>75</c:v>
                </c:pt>
                <c:pt idx="4">
                  <c:v>0</c:v>
                </c:pt>
                <c:pt idx="5">
                  <c:v>45.9</c:v>
                </c:pt>
              </c:numCache>
            </c:numRef>
          </c:val>
        </c:ser>
        <c:dLbls>
          <c:showLegendKey val="0"/>
          <c:showVal val="0"/>
          <c:showCatName val="0"/>
          <c:showSerName val="0"/>
          <c:showPercent val="0"/>
          <c:showBubbleSize val="0"/>
        </c:dLbls>
        <c:gapWidth val="150"/>
        <c:axId val="544057440"/>
        <c:axId val="544055088"/>
      </c:barChart>
      <c:catAx>
        <c:axId val="54405744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5088"/>
        <c:crosses val="autoZero"/>
        <c:auto val="1"/>
        <c:lblAlgn val="ctr"/>
        <c:lblOffset val="100"/>
        <c:noMultiLvlLbl val="0"/>
      </c:catAx>
      <c:valAx>
        <c:axId val="544055088"/>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57440"/>
        <c:crosses val="autoZero"/>
        <c:crossBetween val="between"/>
        <c:majorUnit val="2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CH'!$A$5</c:f>
              <c:strCache>
                <c:ptCount val="1"/>
                <c:pt idx="0">
                  <c:v>2012-13</c:v>
                </c:pt>
              </c:strCache>
            </c:strRef>
          </c:tx>
          <c:spPr>
            <a:solidFill>
              <a:srgbClr val="78A22F"/>
            </a:solidFill>
            <a:ln>
              <a:solidFill>
                <a:srgbClr val="78A22F"/>
              </a:solidFill>
            </a:ln>
          </c:spPr>
          <c:invertIfNegative val="0"/>
          <c:cat>
            <c:strRef>
              <c:f>'Data CH'!$B$4:$J$4</c:f>
              <c:strCache>
                <c:ptCount val="9"/>
                <c:pt idx="0">
                  <c:v>NSW</c:v>
                </c:pt>
                <c:pt idx="1">
                  <c:v>Vic</c:v>
                </c:pt>
                <c:pt idx="2">
                  <c:v>Qld</c:v>
                </c:pt>
                <c:pt idx="3">
                  <c:v>WA</c:v>
                </c:pt>
                <c:pt idx="4">
                  <c:v>SA</c:v>
                </c:pt>
                <c:pt idx="5">
                  <c:v>Tas</c:v>
                </c:pt>
                <c:pt idx="6">
                  <c:v>ACT</c:v>
                </c:pt>
                <c:pt idx="7">
                  <c:v>NT</c:v>
                </c:pt>
                <c:pt idx="8">
                  <c:v>Total</c:v>
                </c:pt>
              </c:strCache>
            </c:strRef>
          </c:cat>
          <c:val>
            <c:numRef>
              <c:f>'Data CH'!$B$5:$J$5</c:f>
              <c:numCache>
                <c:formatCode>0.0</c:formatCode>
                <c:ptCount val="9"/>
                <c:pt idx="0">
                  <c:v>70.3</c:v>
                </c:pt>
                <c:pt idx="1">
                  <c:v>49.6</c:v>
                </c:pt>
                <c:pt idx="2">
                  <c:v>75.610687022901004</c:v>
                </c:pt>
                <c:pt idx="3">
                  <c:v>53.41</c:v>
                </c:pt>
                <c:pt idx="4">
                  <c:v>77.42</c:v>
                </c:pt>
                <c:pt idx="5">
                  <c:v>56.28</c:v>
                </c:pt>
                <c:pt idx="6">
                  <c:v>45.96</c:v>
                </c:pt>
                <c:pt idx="7">
                  <c:v>0</c:v>
                </c:pt>
                <c:pt idx="8">
                  <c:v>62.862336171434002</c:v>
                </c:pt>
              </c:numCache>
            </c:numRef>
          </c:val>
        </c:ser>
        <c:ser>
          <c:idx val="1"/>
          <c:order val="1"/>
          <c:tx>
            <c:strRef>
              <c:f>'Data CH'!$A$6</c:f>
              <c:strCache>
                <c:ptCount val="1"/>
                <c:pt idx="0">
                  <c:v>2013-14</c:v>
                </c:pt>
              </c:strCache>
            </c:strRef>
          </c:tx>
          <c:spPr>
            <a:solidFill>
              <a:srgbClr val="78A22F"/>
            </a:solidFill>
            <a:ln>
              <a:solidFill>
                <a:srgbClr val="78A22F"/>
              </a:solidFill>
            </a:ln>
          </c:spPr>
          <c:invertIfNegative val="0"/>
          <c:cat>
            <c:strRef>
              <c:f>'Data CH'!$B$4:$J$4</c:f>
              <c:strCache>
                <c:ptCount val="9"/>
                <c:pt idx="0">
                  <c:v>NSW</c:v>
                </c:pt>
                <c:pt idx="1">
                  <c:v>Vic</c:v>
                </c:pt>
                <c:pt idx="2">
                  <c:v>Qld</c:v>
                </c:pt>
                <c:pt idx="3">
                  <c:v>WA</c:v>
                </c:pt>
                <c:pt idx="4">
                  <c:v>SA</c:v>
                </c:pt>
                <c:pt idx="5">
                  <c:v>Tas</c:v>
                </c:pt>
                <c:pt idx="6">
                  <c:v>ACT</c:v>
                </c:pt>
                <c:pt idx="7">
                  <c:v>NT</c:v>
                </c:pt>
                <c:pt idx="8">
                  <c:v>Total</c:v>
                </c:pt>
              </c:strCache>
            </c:strRef>
          </c:cat>
          <c:val>
            <c:numRef>
              <c:f>'Data CH'!$B$6:$J$6</c:f>
              <c:numCache>
                <c:formatCode>0.0</c:formatCode>
                <c:ptCount val="9"/>
                <c:pt idx="0">
                  <c:v>61.6</c:v>
                </c:pt>
                <c:pt idx="1">
                  <c:v>49.81</c:v>
                </c:pt>
                <c:pt idx="2">
                  <c:v>67.014925399999996</c:v>
                </c:pt>
                <c:pt idx="3">
                  <c:v>50.85</c:v>
                </c:pt>
                <c:pt idx="4">
                  <c:v>55.61</c:v>
                </c:pt>
                <c:pt idx="5">
                  <c:v>72.3</c:v>
                </c:pt>
                <c:pt idx="6">
                  <c:v>48.214285699999998</c:v>
                </c:pt>
                <c:pt idx="7">
                  <c:v>0</c:v>
                </c:pt>
                <c:pt idx="8">
                  <c:v>58.73</c:v>
                </c:pt>
              </c:numCache>
            </c:numRef>
          </c:val>
        </c:ser>
        <c:ser>
          <c:idx val="2"/>
          <c:order val="2"/>
          <c:tx>
            <c:strRef>
              <c:f>'Data CH'!$A$7</c:f>
              <c:strCache>
                <c:ptCount val="1"/>
                <c:pt idx="0">
                  <c:v>2014-15</c:v>
                </c:pt>
              </c:strCache>
            </c:strRef>
          </c:tx>
          <c:spPr>
            <a:solidFill>
              <a:srgbClr val="78A22F"/>
            </a:solidFill>
            <a:ln>
              <a:solidFill>
                <a:srgbClr val="78A22F"/>
              </a:solidFill>
            </a:ln>
          </c:spPr>
          <c:invertIfNegative val="0"/>
          <c:cat>
            <c:strRef>
              <c:f>'Data CH'!$B$4:$J$4</c:f>
              <c:strCache>
                <c:ptCount val="9"/>
                <c:pt idx="0">
                  <c:v>NSW</c:v>
                </c:pt>
                <c:pt idx="1">
                  <c:v>Vic</c:v>
                </c:pt>
                <c:pt idx="2">
                  <c:v>Qld</c:v>
                </c:pt>
                <c:pt idx="3">
                  <c:v>WA</c:v>
                </c:pt>
                <c:pt idx="4">
                  <c:v>SA</c:v>
                </c:pt>
                <c:pt idx="5">
                  <c:v>Tas</c:v>
                </c:pt>
                <c:pt idx="6">
                  <c:v>ACT</c:v>
                </c:pt>
                <c:pt idx="7">
                  <c:v>NT</c:v>
                </c:pt>
                <c:pt idx="8">
                  <c:v>Total</c:v>
                </c:pt>
              </c:strCache>
            </c:strRef>
          </c:cat>
          <c:val>
            <c:numRef>
              <c:f>'Data CH'!$B$7:$J$7</c:f>
              <c:numCache>
                <c:formatCode>0.0</c:formatCode>
                <c:ptCount val="9"/>
                <c:pt idx="0">
                  <c:v>57.7</c:v>
                </c:pt>
                <c:pt idx="1">
                  <c:v>46.7</c:v>
                </c:pt>
                <c:pt idx="2">
                  <c:v>62.7</c:v>
                </c:pt>
                <c:pt idx="3">
                  <c:v>49.4</c:v>
                </c:pt>
                <c:pt idx="4">
                  <c:v>60.5</c:v>
                </c:pt>
                <c:pt idx="5">
                  <c:v>67.5</c:v>
                </c:pt>
                <c:pt idx="6">
                  <c:v>61.5</c:v>
                </c:pt>
                <c:pt idx="7">
                  <c:v>0</c:v>
                </c:pt>
                <c:pt idx="8">
                  <c:v>56.9</c:v>
                </c:pt>
              </c:numCache>
            </c:numRef>
          </c:val>
        </c:ser>
        <c:ser>
          <c:idx val="3"/>
          <c:order val="3"/>
          <c:tx>
            <c:strRef>
              <c:f>'Data CH'!$A$8</c:f>
              <c:strCache>
                <c:ptCount val="1"/>
                <c:pt idx="0">
                  <c:v>2015-16</c:v>
                </c:pt>
              </c:strCache>
            </c:strRef>
          </c:tx>
          <c:spPr>
            <a:solidFill>
              <a:srgbClr val="78A22F"/>
            </a:solidFill>
            <a:ln>
              <a:solidFill>
                <a:srgbClr val="78A22F"/>
              </a:solidFill>
            </a:ln>
          </c:spPr>
          <c:invertIfNegative val="0"/>
          <c:cat>
            <c:strRef>
              <c:f>'Data CH'!$B$4:$J$4</c:f>
              <c:strCache>
                <c:ptCount val="9"/>
                <c:pt idx="0">
                  <c:v>NSW</c:v>
                </c:pt>
                <c:pt idx="1">
                  <c:v>Vic</c:v>
                </c:pt>
                <c:pt idx="2">
                  <c:v>Qld</c:v>
                </c:pt>
                <c:pt idx="3">
                  <c:v>WA</c:v>
                </c:pt>
                <c:pt idx="4">
                  <c:v>SA</c:v>
                </c:pt>
                <c:pt idx="5">
                  <c:v>Tas</c:v>
                </c:pt>
                <c:pt idx="6">
                  <c:v>ACT</c:v>
                </c:pt>
                <c:pt idx="7">
                  <c:v>NT</c:v>
                </c:pt>
                <c:pt idx="8">
                  <c:v>Total</c:v>
                </c:pt>
              </c:strCache>
            </c:strRef>
          </c:cat>
          <c:val>
            <c:numRef>
              <c:f>'Data CH'!$B$8:$J$8</c:f>
              <c:numCache>
                <c:formatCode>0.0</c:formatCode>
                <c:ptCount val="9"/>
                <c:pt idx="0">
                  <c:v>64.8</c:v>
                </c:pt>
                <c:pt idx="1">
                  <c:v>49.1</c:v>
                </c:pt>
                <c:pt idx="2">
                  <c:v>68.900000000000006</c:v>
                </c:pt>
                <c:pt idx="3">
                  <c:v>48.9</c:v>
                </c:pt>
                <c:pt idx="4">
                  <c:v>52.1</c:v>
                </c:pt>
                <c:pt idx="5">
                  <c:v>79.900000000000006</c:v>
                </c:pt>
                <c:pt idx="6">
                  <c:v>52.4</c:v>
                </c:pt>
                <c:pt idx="7">
                  <c:v>0</c:v>
                </c:pt>
                <c:pt idx="8">
                  <c:v>59.2</c:v>
                </c:pt>
              </c:numCache>
            </c:numRef>
          </c:val>
        </c:ser>
        <c:ser>
          <c:idx val="4"/>
          <c:order val="4"/>
          <c:tx>
            <c:strRef>
              <c:f>'Data CH'!$A$9</c:f>
              <c:strCache>
                <c:ptCount val="1"/>
                <c:pt idx="0">
                  <c:v>2016-17</c:v>
                </c:pt>
              </c:strCache>
            </c:strRef>
          </c:tx>
          <c:spPr>
            <a:solidFill>
              <a:srgbClr val="265A9A"/>
            </a:solidFill>
            <a:ln>
              <a:solidFill>
                <a:srgbClr val="265A9A"/>
              </a:solidFill>
            </a:ln>
          </c:spPr>
          <c:invertIfNegative val="0"/>
          <c:cat>
            <c:strRef>
              <c:f>'Data CH'!$B$4:$J$4</c:f>
              <c:strCache>
                <c:ptCount val="9"/>
                <c:pt idx="0">
                  <c:v>NSW</c:v>
                </c:pt>
                <c:pt idx="1">
                  <c:v>Vic</c:v>
                </c:pt>
                <c:pt idx="2">
                  <c:v>Qld</c:v>
                </c:pt>
                <c:pt idx="3">
                  <c:v>WA</c:v>
                </c:pt>
                <c:pt idx="4">
                  <c:v>SA</c:v>
                </c:pt>
                <c:pt idx="5">
                  <c:v>Tas</c:v>
                </c:pt>
                <c:pt idx="6">
                  <c:v>ACT</c:v>
                </c:pt>
                <c:pt idx="7">
                  <c:v>NT</c:v>
                </c:pt>
                <c:pt idx="8">
                  <c:v>Total</c:v>
                </c:pt>
              </c:strCache>
            </c:strRef>
          </c:cat>
          <c:val>
            <c:numRef>
              <c:f>'Data CH'!$B$9:$J$9</c:f>
              <c:numCache>
                <c:formatCode>0.0</c:formatCode>
                <c:ptCount val="9"/>
                <c:pt idx="0">
                  <c:v>62.2</c:v>
                </c:pt>
                <c:pt idx="1">
                  <c:v>49.2</c:v>
                </c:pt>
                <c:pt idx="2">
                  <c:v>52.8</c:v>
                </c:pt>
                <c:pt idx="3">
                  <c:v>53.7</c:v>
                </c:pt>
                <c:pt idx="4">
                  <c:v>57.4</c:v>
                </c:pt>
                <c:pt idx="5">
                  <c:v>58.1</c:v>
                </c:pt>
                <c:pt idx="6">
                  <c:v>28.5</c:v>
                </c:pt>
                <c:pt idx="7">
                  <c:v>0</c:v>
                </c:pt>
                <c:pt idx="8">
                  <c:v>56.2</c:v>
                </c:pt>
              </c:numCache>
            </c:numRef>
          </c:val>
        </c:ser>
        <c:dLbls>
          <c:showLegendKey val="0"/>
          <c:showVal val="0"/>
          <c:showCatName val="0"/>
          <c:showSerName val="0"/>
          <c:showPercent val="0"/>
          <c:showBubbleSize val="0"/>
        </c:dLbls>
        <c:gapWidth val="150"/>
        <c:axId val="544055872"/>
        <c:axId val="544056264"/>
      </c:barChart>
      <c:catAx>
        <c:axId val="544055872"/>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4056264"/>
        <c:crosses val="autoZero"/>
        <c:auto val="1"/>
        <c:lblAlgn val="ctr"/>
        <c:lblOffset val="100"/>
        <c:noMultiLvlLbl val="0"/>
      </c:catAx>
      <c:valAx>
        <c:axId val="544056264"/>
        <c:scaling>
          <c:orientation val="minMax"/>
          <c:max val="10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55872"/>
        <c:crosses val="autoZero"/>
        <c:crossBetween val="between"/>
        <c:majorUnit val="20"/>
        <c:minorUnit val="2"/>
      </c:valAx>
      <c:spPr>
        <a:noFill/>
        <a:ln>
          <a:noFill/>
        </a:ln>
      </c:spPr>
    </c:plotArea>
    <c:plotVisOnly val="1"/>
    <c:dispBlanksAs val="gap"/>
    <c:showDLblsOverMax val="0"/>
  </c:chart>
  <c:spPr>
    <a:ln w="76200">
      <a:noFill/>
    </a:ln>
  </c:spPr>
  <c:txPr>
    <a:bodyPr/>
    <a:lstStyle/>
    <a:p>
      <a:pPr>
        <a:defRPr baseline="0">
          <a:latin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8261641792012"/>
          <c:y val="3.7118906961172371E-2"/>
          <c:w val="0.85794416236603843"/>
          <c:h val="0.76121305611825429"/>
        </c:manualLayout>
      </c:layout>
      <c:barChart>
        <c:barDir val="col"/>
        <c:grouping val="clustered"/>
        <c:varyColors val="0"/>
        <c:ser>
          <c:idx val="0"/>
          <c:order val="0"/>
          <c:tx>
            <c:strRef>
              <c:f>'Data PH'!$M$201</c:f>
              <c:strCache>
                <c:ptCount val="1"/>
                <c:pt idx="0">
                  <c:v>2013 to 2016</c:v>
                </c:pt>
              </c:strCache>
            </c:strRef>
          </c:tx>
          <c:spPr>
            <a:solidFill>
              <a:srgbClr val="78A22F"/>
            </a:solidFill>
            <a:ln>
              <a:solidFill>
                <a:srgbClr val="78A22F"/>
              </a:solidFill>
            </a:ln>
          </c:spPr>
          <c:invertIfNegative val="0"/>
          <c:cat>
            <c:strRef>
              <c:f>'Data PH'!$N$199:$V$200</c:f>
              <c:strCache>
                <c:ptCount val="9"/>
                <c:pt idx="0">
                  <c:v>NSW </c:v>
                </c:pt>
                <c:pt idx="1">
                  <c:v>Vic</c:v>
                </c:pt>
                <c:pt idx="2">
                  <c:v>Qld</c:v>
                </c:pt>
                <c:pt idx="3">
                  <c:v>WA</c:v>
                </c:pt>
                <c:pt idx="4">
                  <c:v>SA</c:v>
                </c:pt>
                <c:pt idx="5">
                  <c:v>Tas</c:v>
                </c:pt>
                <c:pt idx="6">
                  <c:v>ACT </c:v>
                </c:pt>
                <c:pt idx="7">
                  <c:v>NT</c:v>
                </c:pt>
                <c:pt idx="8">
                  <c:v>Aust</c:v>
                </c:pt>
              </c:strCache>
            </c:strRef>
          </c:cat>
          <c:val>
            <c:numRef>
              <c:f>'Data PH'!$N$201:$V$201</c:f>
              <c:numCache>
                <c:formatCode>0.0_ ;\-0.0\ </c:formatCode>
                <c:ptCount val="9"/>
                <c:pt idx="0">
                  <c:v>4.8418000000000001</c:v>
                </c:pt>
                <c:pt idx="1">
                  <c:v>7.1543000000000001</c:v>
                </c:pt>
                <c:pt idx="2">
                  <c:v>4.9196999999999997</c:v>
                </c:pt>
                <c:pt idx="3">
                  <c:v>4.9490999999999996</c:v>
                </c:pt>
                <c:pt idx="4">
                  <c:v>2.1175000000000002</c:v>
                </c:pt>
                <c:pt idx="5">
                  <c:v>4.1409000000000002</c:v>
                </c:pt>
                <c:pt idx="6">
                  <c:v>4.9009999999999998</c:v>
                </c:pt>
                <c:pt idx="7">
                  <c:v>7.7954999999999997</c:v>
                </c:pt>
                <c:pt idx="8">
                  <c:v>5</c:v>
                </c:pt>
              </c:numCache>
            </c:numRef>
          </c:val>
        </c:ser>
        <c:ser>
          <c:idx val="1"/>
          <c:order val="1"/>
          <c:tx>
            <c:strRef>
              <c:f>'Data PH'!$M$202</c:f>
              <c:strCache>
                <c:ptCount val="1"/>
              </c:strCache>
            </c:strRef>
          </c:tx>
          <c:spPr>
            <a:solidFill>
              <a:srgbClr val="78A22F"/>
            </a:solidFill>
            <a:ln>
              <a:solidFill>
                <a:srgbClr val="78A22F"/>
              </a:solidFill>
            </a:ln>
          </c:spPr>
          <c:invertIfNegative val="0"/>
          <c:cat>
            <c:strRef>
              <c:f>'Data PH'!$N$199:$V$200</c:f>
              <c:strCache>
                <c:ptCount val="9"/>
                <c:pt idx="0">
                  <c:v>NSW </c:v>
                </c:pt>
                <c:pt idx="1">
                  <c:v>Vic</c:v>
                </c:pt>
                <c:pt idx="2">
                  <c:v>Qld</c:v>
                </c:pt>
                <c:pt idx="3">
                  <c:v>WA</c:v>
                </c:pt>
                <c:pt idx="4">
                  <c:v>SA</c:v>
                </c:pt>
                <c:pt idx="5">
                  <c:v>Tas</c:v>
                </c:pt>
                <c:pt idx="6">
                  <c:v>ACT </c:v>
                </c:pt>
                <c:pt idx="7">
                  <c:v>NT</c:v>
                </c:pt>
                <c:pt idx="8">
                  <c:v>Aust</c:v>
                </c:pt>
              </c:strCache>
            </c:strRef>
          </c:cat>
          <c:val>
            <c:numRef>
              <c:f>'Data PH'!$N$202:$V$202</c:f>
              <c:numCache>
                <c:formatCode>0.0_ ;\-0.0\ </c:formatCode>
                <c:ptCount val="9"/>
                <c:pt idx="0">
                  <c:v>4.7065999999999999</c:v>
                </c:pt>
                <c:pt idx="1">
                  <c:v>5.7045000000000003</c:v>
                </c:pt>
                <c:pt idx="2">
                  <c:v>4.734</c:v>
                </c:pt>
                <c:pt idx="3">
                  <c:v>5.0411999999999999</c:v>
                </c:pt>
                <c:pt idx="4">
                  <c:v>2.1555</c:v>
                </c:pt>
                <c:pt idx="5">
                  <c:v>3.6861999999999999</c:v>
                </c:pt>
                <c:pt idx="6">
                  <c:v>4.8331</c:v>
                </c:pt>
                <c:pt idx="7">
                  <c:v>7.3634000000000004</c:v>
                </c:pt>
                <c:pt idx="8">
                  <c:v>4.6484730000000001</c:v>
                </c:pt>
              </c:numCache>
            </c:numRef>
          </c:val>
        </c:ser>
        <c:ser>
          <c:idx val="2"/>
          <c:order val="2"/>
          <c:tx>
            <c:strRef>
              <c:f>'Data PH'!$M$203</c:f>
              <c:strCache>
                <c:ptCount val="1"/>
              </c:strCache>
            </c:strRef>
          </c:tx>
          <c:spPr>
            <a:solidFill>
              <a:srgbClr val="78A22F"/>
            </a:solidFill>
            <a:ln>
              <a:solidFill>
                <a:srgbClr val="78A22F"/>
              </a:solidFill>
            </a:ln>
          </c:spPr>
          <c:invertIfNegative val="0"/>
          <c:cat>
            <c:strRef>
              <c:f>'Data PH'!$N$199:$V$200</c:f>
              <c:strCache>
                <c:ptCount val="9"/>
                <c:pt idx="0">
                  <c:v>NSW </c:v>
                </c:pt>
                <c:pt idx="1">
                  <c:v>Vic</c:v>
                </c:pt>
                <c:pt idx="2">
                  <c:v>Qld</c:v>
                </c:pt>
                <c:pt idx="3">
                  <c:v>WA</c:v>
                </c:pt>
                <c:pt idx="4">
                  <c:v>SA</c:v>
                </c:pt>
                <c:pt idx="5">
                  <c:v>Tas</c:v>
                </c:pt>
                <c:pt idx="6">
                  <c:v>ACT </c:v>
                </c:pt>
                <c:pt idx="7">
                  <c:v>NT</c:v>
                </c:pt>
                <c:pt idx="8">
                  <c:v>Aust</c:v>
                </c:pt>
              </c:strCache>
            </c:strRef>
          </c:cat>
          <c:val>
            <c:numRef>
              <c:f>'Data PH'!$N$203:$V$203</c:f>
              <c:numCache>
                <c:formatCode>0.0_ ;\-0.0\ </c:formatCode>
                <c:ptCount val="9"/>
                <c:pt idx="0">
                  <c:v>4.5999999999999996</c:v>
                </c:pt>
                <c:pt idx="1">
                  <c:v>4.5</c:v>
                </c:pt>
                <c:pt idx="2">
                  <c:v>4.5</c:v>
                </c:pt>
                <c:pt idx="3">
                  <c:v>6.3</c:v>
                </c:pt>
                <c:pt idx="4">
                  <c:v>1.9</c:v>
                </c:pt>
                <c:pt idx="5">
                  <c:v>3.7</c:v>
                </c:pt>
                <c:pt idx="6">
                  <c:v>5</c:v>
                </c:pt>
                <c:pt idx="7">
                  <c:v>7.3</c:v>
                </c:pt>
                <c:pt idx="8">
                  <c:v>4.4000000000000004</c:v>
                </c:pt>
              </c:numCache>
            </c:numRef>
          </c:val>
        </c:ser>
        <c:ser>
          <c:idx val="3"/>
          <c:order val="3"/>
          <c:tx>
            <c:strRef>
              <c:f>'Data PH'!$M$204</c:f>
              <c:strCache>
                <c:ptCount val="1"/>
              </c:strCache>
            </c:strRef>
          </c:tx>
          <c:spPr>
            <a:solidFill>
              <a:srgbClr val="78A22F"/>
            </a:solidFill>
            <a:ln>
              <a:solidFill>
                <a:srgbClr val="78A22F"/>
              </a:solidFill>
            </a:ln>
          </c:spPr>
          <c:invertIfNegative val="0"/>
          <c:cat>
            <c:strRef>
              <c:f>'Data PH'!$N$199:$V$200</c:f>
              <c:strCache>
                <c:ptCount val="9"/>
                <c:pt idx="0">
                  <c:v>NSW </c:v>
                </c:pt>
                <c:pt idx="1">
                  <c:v>Vic</c:v>
                </c:pt>
                <c:pt idx="2">
                  <c:v>Qld</c:v>
                </c:pt>
                <c:pt idx="3">
                  <c:v>WA</c:v>
                </c:pt>
                <c:pt idx="4">
                  <c:v>SA</c:v>
                </c:pt>
                <c:pt idx="5">
                  <c:v>Tas</c:v>
                </c:pt>
                <c:pt idx="6">
                  <c:v>ACT </c:v>
                </c:pt>
                <c:pt idx="7">
                  <c:v>NT</c:v>
                </c:pt>
                <c:pt idx="8">
                  <c:v>Aust</c:v>
                </c:pt>
              </c:strCache>
            </c:strRef>
          </c:cat>
          <c:val>
            <c:numRef>
              <c:f>'Data PH'!$N$204:$V$204</c:f>
              <c:numCache>
                <c:formatCode>0.0_ ;\-0.0\ </c:formatCode>
                <c:ptCount val="9"/>
                <c:pt idx="0">
                  <c:v>4.2</c:v>
                </c:pt>
                <c:pt idx="1">
                  <c:v>4.9000000000000004</c:v>
                </c:pt>
                <c:pt idx="2">
                  <c:v>4.0999999999999996</c:v>
                </c:pt>
                <c:pt idx="3">
                  <c:v>4.4000000000000004</c:v>
                </c:pt>
                <c:pt idx="4">
                  <c:v>2.1</c:v>
                </c:pt>
                <c:pt idx="5">
                  <c:v>3.9</c:v>
                </c:pt>
                <c:pt idx="6">
                  <c:v>4.5999999999999996</c:v>
                </c:pt>
                <c:pt idx="7">
                  <c:v>8</c:v>
                </c:pt>
                <c:pt idx="8">
                  <c:v>4.2</c:v>
                </c:pt>
              </c:numCache>
            </c:numRef>
          </c:val>
        </c:ser>
        <c:ser>
          <c:idx val="4"/>
          <c:order val="4"/>
          <c:tx>
            <c:strRef>
              <c:f>'Data PH'!$M$205</c:f>
              <c:strCache>
                <c:ptCount val="1"/>
                <c:pt idx="0">
                  <c:v>2017</c:v>
                </c:pt>
              </c:strCache>
            </c:strRef>
          </c:tx>
          <c:spPr>
            <a:solidFill>
              <a:srgbClr val="265A9A"/>
            </a:solidFill>
            <a:ln>
              <a:solidFill>
                <a:srgbClr val="265A9A"/>
              </a:solidFill>
            </a:ln>
          </c:spPr>
          <c:invertIfNegative val="0"/>
          <c:cat>
            <c:strRef>
              <c:f>'Data PH'!$N$199:$V$200</c:f>
              <c:strCache>
                <c:ptCount val="9"/>
                <c:pt idx="0">
                  <c:v>NSW </c:v>
                </c:pt>
                <c:pt idx="1">
                  <c:v>Vic</c:v>
                </c:pt>
                <c:pt idx="2">
                  <c:v>Qld</c:v>
                </c:pt>
                <c:pt idx="3">
                  <c:v>WA</c:v>
                </c:pt>
                <c:pt idx="4">
                  <c:v>SA</c:v>
                </c:pt>
                <c:pt idx="5">
                  <c:v>Tas</c:v>
                </c:pt>
                <c:pt idx="6">
                  <c:v>ACT </c:v>
                </c:pt>
                <c:pt idx="7">
                  <c:v>NT</c:v>
                </c:pt>
                <c:pt idx="8">
                  <c:v>Aust</c:v>
                </c:pt>
              </c:strCache>
            </c:strRef>
          </c:cat>
          <c:val>
            <c:numRef>
              <c:f>'Data PH'!$N$205:$V$205</c:f>
              <c:numCache>
                <c:formatCode>0.0_ ;\-0.0\ </c:formatCode>
                <c:ptCount val="9"/>
                <c:pt idx="0">
                  <c:v>3.6</c:v>
                </c:pt>
                <c:pt idx="1">
                  <c:v>4.8</c:v>
                </c:pt>
                <c:pt idx="2">
                  <c:v>4.2</c:v>
                </c:pt>
                <c:pt idx="3">
                  <c:v>4.2</c:v>
                </c:pt>
                <c:pt idx="4">
                  <c:v>2.1</c:v>
                </c:pt>
                <c:pt idx="5">
                  <c:v>5.4</c:v>
                </c:pt>
                <c:pt idx="6">
                  <c:v>4.5</c:v>
                </c:pt>
                <c:pt idx="7">
                  <c:v>7.3</c:v>
                </c:pt>
                <c:pt idx="8">
                  <c:v>4</c:v>
                </c:pt>
              </c:numCache>
            </c:numRef>
          </c:val>
        </c:ser>
        <c:dLbls>
          <c:showLegendKey val="0"/>
          <c:showVal val="0"/>
          <c:showCatName val="0"/>
          <c:showSerName val="0"/>
          <c:showPercent val="0"/>
          <c:showBubbleSize val="0"/>
        </c:dLbls>
        <c:gapWidth val="150"/>
        <c:axId val="544058224"/>
        <c:axId val="541084248"/>
      </c:barChart>
      <c:catAx>
        <c:axId val="54405822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4248"/>
        <c:crosses val="autoZero"/>
        <c:auto val="1"/>
        <c:lblAlgn val="ctr"/>
        <c:lblOffset val="100"/>
        <c:noMultiLvlLbl val="0"/>
      </c:catAx>
      <c:valAx>
        <c:axId val="541084248"/>
        <c:scaling>
          <c:orientation val="minMax"/>
          <c:max val="10"/>
        </c:scaling>
        <c:delete val="0"/>
        <c:axPos val="l"/>
        <c:majorGridlines>
          <c:spPr>
            <a:ln>
              <a:noFill/>
            </a:ln>
          </c:spPr>
        </c:majorGridlines>
        <c:title>
          <c:tx>
            <c:rich>
              <a:bodyPr rot="-5400000" vert="horz"/>
              <a:lstStyle/>
              <a:p>
                <a:pPr>
                  <a:defRPr sz="900">
                    <a:latin typeface="arial"/>
                    <a:ea typeface="arial"/>
                    <a:cs typeface="arial"/>
                  </a:defRPr>
                </a:pPr>
                <a:r>
                  <a:rPr lang="en-US"/>
                  <a:t>Per cent</a:t>
                </a:r>
              </a:p>
            </c:rich>
          </c:tx>
          <c:layout/>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4058224"/>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10555555555573E-2"/>
          <c:y val="7.7611111111111117E-2"/>
          <c:w val="0.88241907407407405"/>
          <c:h val="0.76522666666666672"/>
        </c:manualLayout>
      </c:layout>
      <c:barChart>
        <c:barDir val="col"/>
        <c:grouping val="clustered"/>
        <c:varyColors val="0"/>
        <c:ser>
          <c:idx val="0"/>
          <c:order val="0"/>
          <c:tx>
            <c:strRef>
              <c:f>'Data SOMIH'!$A$49</c:f>
              <c:strCache>
                <c:ptCount val="1"/>
                <c:pt idx="0">
                  <c:v>2013</c:v>
                </c:pt>
              </c:strCache>
            </c:strRef>
          </c:tx>
          <c:spPr>
            <a:solidFill>
              <a:srgbClr val="78A22F"/>
            </a:solidFill>
            <a:ln>
              <a:solidFill>
                <a:srgbClr val="78A22F"/>
              </a:solidFill>
            </a:ln>
          </c:spPr>
          <c:invertIfNegative val="0"/>
          <c:cat>
            <c:strRef>
              <c:f>'Data SOMIH'!$B$48:$H$48</c:f>
              <c:strCache>
                <c:ptCount val="6"/>
                <c:pt idx="0">
                  <c:v>NSW</c:v>
                </c:pt>
                <c:pt idx="1">
                  <c:v>Qld</c:v>
                </c:pt>
                <c:pt idx="2">
                  <c:v>SA</c:v>
                </c:pt>
                <c:pt idx="3">
                  <c:v>Tas</c:v>
                </c:pt>
                <c:pt idx="4">
                  <c:v>NT</c:v>
                </c:pt>
                <c:pt idx="5">
                  <c:v>Total</c:v>
                </c:pt>
              </c:strCache>
            </c:strRef>
          </c:cat>
          <c:val>
            <c:numRef>
              <c:f>'Data SOMIH'!$B$49:$H$49</c:f>
              <c:numCache>
                <c:formatCode>0.0</c:formatCode>
                <c:ptCount val="6"/>
                <c:pt idx="0">
                  <c:v>8.5591000000000008</c:v>
                </c:pt>
                <c:pt idx="1">
                  <c:v>14.759600000000001</c:v>
                </c:pt>
                <c:pt idx="2">
                  <c:v>9.2426999999999992</c:v>
                </c:pt>
                <c:pt idx="3">
                  <c:v>6.0975999999999999</c:v>
                </c:pt>
                <c:pt idx="4">
                  <c:v>0</c:v>
                </c:pt>
                <c:pt idx="5">
                  <c:v>10.698058700000001</c:v>
                </c:pt>
              </c:numCache>
            </c:numRef>
          </c:val>
        </c:ser>
        <c:ser>
          <c:idx val="1"/>
          <c:order val="1"/>
          <c:tx>
            <c:strRef>
              <c:f>'Data SOMIH'!$A$50</c:f>
              <c:strCache>
                <c:ptCount val="1"/>
                <c:pt idx="0">
                  <c:v>2014</c:v>
                </c:pt>
              </c:strCache>
            </c:strRef>
          </c:tx>
          <c:spPr>
            <a:solidFill>
              <a:srgbClr val="78A22F"/>
            </a:solidFill>
            <a:ln>
              <a:solidFill>
                <a:srgbClr val="78A22F"/>
              </a:solidFill>
            </a:ln>
          </c:spPr>
          <c:invertIfNegative val="0"/>
          <c:cat>
            <c:strRef>
              <c:f>'Data SOMIH'!$B$48:$H$48</c:f>
              <c:strCache>
                <c:ptCount val="6"/>
                <c:pt idx="0">
                  <c:v>NSW</c:v>
                </c:pt>
                <c:pt idx="1">
                  <c:v>Qld</c:v>
                </c:pt>
                <c:pt idx="2">
                  <c:v>SA</c:v>
                </c:pt>
                <c:pt idx="3">
                  <c:v>Tas</c:v>
                </c:pt>
                <c:pt idx="4">
                  <c:v>NT</c:v>
                </c:pt>
                <c:pt idx="5">
                  <c:v>Total</c:v>
                </c:pt>
              </c:strCache>
            </c:strRef>
          </c:cat>
          <c:val>
            <c:numRef>
              <c:f>'Data SOMIH'!$B$50:$H$50</c:f>
              <c:numCache>
                <c:formatCode>0.0</c:formatCode>
                <c:ptCount val="6"/>
                <c:pt idx="0">
                  <c:v>8.5307999999999993</c:v>
                </c:pt>
                <c:pt idx="1">
                  <c:v>13.639099999999999</c:v>
                </c:pt>
                <c:pt idx="2">
                  <c:v>8.6618999999999993</c:v>
                </c:pt>
                <c:pt idx="3">
                  <c:v>4.3635999999999999</c:v>
                </c:pt>
                <c:pt idx="4">
                  <c:v>0</c:v>
                </c:pt>
                <c:pt idx="5">
                  <c:v>10.1658031</c:v>
                </c:pt>
              </c:numCache>
            </c:numRef>
          </c:val>
        </c:ser>
        <c:ser>
          <c:idx val="2"/>
          <c:order val="2"/>
          <c:tx>
            <c:strRef>
              <c:f>'Data SOMIH'!$A$51</c:f>
              <c:strCache>
                <c:ptCount val="1"/>
                <c:pt idx="0">
                  <c:v>2015</c:v>
                </c:pt>
              </c:strCache>
            </c:strRef>
          </c:tx>
          <c:spPr>
            <a:solidFill>
              <a:srgbClr val="78A22F"/>
            </a:solidFill>
            <a:ln>
              <a:solidFill>
                <a:srgbClr val="78A22F"/>
              </a:solidFill>
            </a:ln>
          </c:spPr>
          <c:invertIfNegative val="0"/>
          <c:cat>
            <c:strRef>
              <c:f>'Data SOMIH'!$B$48:$H$48</c:f>
              <c:strCache>
                <c:ptCount val="6"/>
                <c:pt idx="0">
                  <c:v>NSW</c:v>
                </c:pt>
                <c:pt idx="1">
                  <c:v>Qld</c:v>
                </c:pt>
                <c:pt idx="2">
                  <c:v>SA</c:v>
                </c:pt>
                <c:pt idx="3">
                  <c:v>Tas</c:v>
                </c:pt>
                <c:pt idx="4">
                  <c:v>NT</c:v>
                </c:pt>
                <c:pt idx="5">
                  <c:v>Total</c:v>
                </c:pt>
              </c:strCache>
            </c:strRef>
          </c:cat>
          <c:val>
            <c:numRef>
              <c:f>'Data SOMIH'!$B$51:$H$51</c:f>
              <c:numCache>
                <c:formatCode>0.0</c:formatCode>
                <c:ptCount val="6"/>
                <c:pt idx="0">
                  <c:v>8.4</c:v>
                </c:pt>
                <c:pt idx="1">
                  <c:v>12.6</c:v>
                </c:pt>
                <c:pt idx="2">
                  <c:v>7.7</c:v>
                </c:pt>
                <c:pt idx="3">
                  <c:v>4.5999999999999996</c:v>
                </c:pt>
                <c:pt idx="4">
                  <c:v>0</c:v>
                </c:pt>
                <c:pt idx="5">
                  <c:v>9.6</c:v>
                </c:pt>
              </c:numCache>
            </c:numRef>
          </c:val>
        </c:ser>
        <c:ser>
          <c:idx val="3"/>
          <c:order val="3"/>
          <c:tx>
            <c:strRef>
              <c:f>'Data SOMIH'!$A$52</c:f>
              <c:strCache>
                <c:ptCount val="1"/>
                <c:pt idx="0">
                  <c:v>2016</c:v>
                </c:pt>
              </c:strCache>
            </c:strRef>
          </c:tx>
          <c:spPr>
            <a:solidFill>
              <a:srgbClr val="78A22F"/>
            </a:solidFill>
            <a:ln>
              <a:solidFill>
                <a:srgbClr val="78A22F"/>
              </a:solidFill>
            </a:ln>
          </c:spPr>
          <c:invertIfNegative val="0"/>
          <c:cat>
            <c:strRef>
              <c:f>'Data SOMIH'!$B$48:$H$48</c:f>
              <c:strCache>
                <c:ptCount val="6"/>
                <c:pt idx="0">
                  <c:v>NSW</c:v>
                </c:pt>
                <c:pt idx="1">
                  <c:v>Qld</c:v>
                </c:pt>
                <c:pt idx="2">
                  <c:v>SA</c:v>
                </c:pt>
                <c:pt idx="3">
                  <c:v>Tas</c:v>
                </c:pt>
                <c:pt idx="4">
                  <c:v>NT</c:v>
                </c:pt>
                <c:pt idx="5">
                  <c:v>Total</c:v>
                </c:pt>
              </c:strCache>
            </c:strRef>
          </c:cat>
          <c:val>
            <c:numRef>
              <c:f>'Data SOMIH'!$B$52:$H$52</c:f>
              <c:numCache>
                <c:formatCode>0.0</c:formatCode>
                <c:ptCount val="6"/>
                <c:pt idx="0">
                  <c:v>7.7</c:v>
                </c:pt>
                <c:pt idx="1">
                  <c:v>11.8</c:v>
                </c:pt>
                <c:pt idx="2">
                  <c:v>7.5</c:v>
                </c:pt>
                <c:pt idx="3">
                  <c:v>3.6</c:v>
                </c:pt>
                <c:pt idx="4">
                  <c:v>0</c:v>
                </c:pt>
                <c:pt idx="5">
                  <c:v>8.9</c:v>
                </c:pt>
              </c:numCache>
            </c:numRef>
          </c:val>
        </c:ser>
        <c:ser>
          <c:idx val="4"/>
          <c:order val="4"/>
          <c:tx>
            <c:strRef>
              <c:f>'Data SOMIH'!$A$53</c:f>
              <c:strCache>
                <c:ptCount val="1"/>
                <c:pt idx="0">
                  <c:v>2017</c:v>
                </c:pt>
              </c:strCache>
            </c:strRef>
          </c:tx>
          <c:spPr>
            <a:solidFill>
              <a:srgbClr val="265A9A"/>
            </a:solidFill>
            <a:ln>
              <a:solidFill>
                <a:srgbClr val="265A9A"/>
              </a:solidFill>
            </a:ln>
          </c:spPr>
          <c:invertIfNegative val="0"/>
          <c:cat>
            <c:strRef>
              <c:f>'Data SOMIH'!$B$48:$H$48</c:f>
              <c:strCache>
                <c:ptCount val="6"/>
                <c:pt idx="0">
                  <c:v>NSW</c:v>
                </c:pt>
                <c:pt idx="1">
                  <c:v>Qld</c:v>
                </c:pt>
                <c:pt idx="2">
                  <c:v>SA</c:v>
                </c:pt>
                <c:pt idx="3">
                  <c:v>Tas</c:v>
                </c:pt>
                <c:pt idx="4">
                  <c:v>NT</c:v>
                </c:pt>
                <c:pt idx="5">
                  <c:v>Total</c:v>
                </c:pt>
              </c:strCache>
            </c:strRef>
          </c:cat>
          <c:val>
            <c:numRef>
              <c:f>'Data SOMIH'!$B$53:$H$53</c:f>
              <c:numCache>
                <c:formatCode>0.0</c:formatCode>
                <c:ptCount val="6"/>
                <c:pt idx="0">
                  <c:v>7.3</c:v>
                </c:pt>
                <c:pt idx="1">
                  <c:v>11.7</c:v>
                </c:pt>
                <c:pt idx="2">
                  <c:v>8.1</c:v>
                </c:pt>
                <c:pt idx="3">
                  <c:v>4.5</c:v>
                </c:pt>
                <c:pt idx="4">
                  <c:v>56</c:v>
                </c:pt>
                <c:pt idx="5">
                  <c:v>24.4</c:v>
                </c:pt>
              </c:numCache>
            </c:numRef>
          </c:val>
        </c:ser>
        <c:dLbls>
          <c:showLegendKey val="0"/>
          <c:showVal val="0"/>
          <c:showCatName val="0"/>
          <c:showSerName val="0"/>
          <c:showPercent val="0"/>
          <c:showBubbleSize val="0"/>
        </c:dLbls>
        <c:gapWidth val="150"/>
        <c:axId val="541083856"/>
        <c:axId val="541084640"/>
      </c:barChart>
      <c:catAx>
        <c:axId val="54108385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4640"/>
        <c:crosses val="autoZero"/>
        <c:auto val="1"/>
        <c:lblAlgn val="ctr"/>
        <c:lblOffset val="100"/>
        <c:noMultiLvlLbl val="0"/>
      </c:catAx>
      <c:valAx>
        <c:axId val="541084640"/>
        <c:scaling>
          <c:orientation val="minMax"/>
          <c:max val="6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3856"/>
        <c:crosses val="autoZero"/>
        <c:crossBetween val="between"/>
        <c:minorUnit val="10"/>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51296296296301E-2"/>
          <c:y val="7.7611111111111117E-2"/>
          <c:w val="0.88147833333333336"/>
          <c:h val="0.76522666666666672"/>
        </c:manualLayout>
      </c:layout>
      <c:barChart>
        <c:barDir val="col"/>
        <c:grouping val="clustered"/>
        <c:varyColors val="0"/>
        <c:ser>
          <c:idx val="0"/>
          <c:order val="0"/>
          <c:tx>
            <c:strRef>
              <c:f>'Data CH'!$A$36</c:f>
              <c:strCache>
                <c:ptCount val="1"/>
                <c:pt idx="0">
                  <c:v>2013</c:v>
                </c:pt>
              </c:strCache>
            </c:strRef>
          </c:tx>
          <c:spPr>
            <a:solidFill>
              <a:srgbClr val="78A22F"/>
            </a:solidFill>
            <a:ln>
              <a:solidFill>
                <a:srgbClr val="78A22F"/>
              </a:solidFill>
            </a:ln>
          </c:spPr>
          <c:invertIfNegative val="0"/>
          <c:cat>
            <c:strRef>
              <c:f>'Data CH'!$B$35:$J$35</c:f>
              <c:strCache>
                <c:ptCount val="9"/>
                <c:pt idx="0">
                  <c:v>NSW</c:v>
                </c:pt>
                <c:pt idx="1">
                  <c:v>Vic</c:v>
                </c:pt>
                <c:pt idx="2">
                  <c:v>Qld</c:v>
                </c:pt>
                <c:pt idx="3">
                  <c:v>WA</c:v>
                </c:pt>
                <c:pt idx="4">
                  <c:v>SA</c:v>
                </c:pt>
                <c:pt idx="5">
                  <c:v>Tas</c:v>
                </c:pt>
                <c:pt idx="6">
                  <c:v>ACT</c:v>
                </c:pt>
                <c:pt idx="7">
                  <c:v>NT</c:v>
                </c:pt>
                <c:pt idx="8">
                  <c:v>Total</c:v>
                </c:pt>
              </c:strCache>
            </c:strRef>
          </c:cat>
          <c:val>
            <c:numRef>
              <c:f>'Data CH'!$B$36:$J$36</c:f>
              <c:numCache>
                <c:formatCode>0.0</c:formatCode>
                <c:ptCount val="9"/>
                <c:pt idx="0">
                  <c:v>3.1020478700423002</c:v>
                </c:pt>
                <c:pt idx="1">
                  <c:v>3.41</c:v>
                </c:pt>
                <c:pt idx="2">
                  <c:v>0</c:v>
                </c:pt>
                <c:pt idx="3">
                  <c:v>2.69</c:v>
                </c:pt>
                <c:pt idx="4">
                  <c:v>2.3199999999999998</c:v>
                </c:pt>
                <c:pt idx="5">
                  <c:v>1.42</c:v>
                </c:pt>
                <c:pt idx="6">
                  <c:v>0.37</c:v>
                </c:pt>
                <c:pt idx="7">
                  <c:v>0</c:v>
                </c:pt>
                <c:pt idx="8">
                  <c:v>2.9256391216718001</c:v>
                </c:pt>
              </c:numCache>
            </c:numRef>
          </c:val>
        </c:ser>
        <c:ser>
          <c:idx val="1"/>
          <c:order val="1"/>
          <c:tx>
            <c:strRef>
              <c:f>'Data CH'!$A$37</c:f>
              <c:strCache>
                <c:ptCount val="1"/>
                <c:pt idx="0">
                  <c:v>2014</c:v>
                </c:pt>
              </c:strCache>
            </c:strRef>
          </c:tx>
          <c:spPr>
            <a:solidFill>
              <a:srgbClr val="78A22F"/>
            </a:solidFill>
            <a:ln>
              <a:solidFill>
                <a:srgbClr val="78A22F"/>
              </a:solidFill>
            </a:ln>
          </c:spPr>
          <c:invertIfNegative val="0"/>
          <c:cat>
            <c:strRef>
              <c:f>'Data CH'!$B$35:$J$35</c:f>
              <c:strCache>
                <c:ptCount val="9"/>
                <c:pt idx="0">
                  <c:v>NSW</c:v>
                </c:pt>
                <c:pt idx="1">
                  <c:v>Vic</c:v>
                </c:pt>
                <c:pt idx="2">
                  <c:v>Qld</c:v>
                </c:pt>
                <c:pt idx="3">
                  <c:v>WA</c:v>
                </c:pt>
                <c:pt idx="4">
                  <c:v>SA</c:v>
                </c:pt>
                <c:pt idx="5">
                  <c:v>Tas</c:v>
                </c:pt>
                <c:pt idx="6">
                  <c:v>ACT</c:v>
                </c:pt>
                <c:pt idx="7">
                  <c:v>NT</c:v>
                </c:pt>
                <c:pt idx="8">
                  <c:v>Total</c:v>
                </c:pt>
              </c:strCache>
            </c:strRef>
          </c:cat>
          <c:val>
            <c:numRef>
              <c:f>'Data CH'!$B$37:$J$37</c:f>
              <c:numCache>
                <c:formatCode>0.0</c:formatCode>
                <c:ptCount val="9"/>
                <c:pt idx="0">
                  <c:v>6.4</c:v>
                </c:pt>
                <c:pt idx="1">
                  <c:v>2.19</c:v>
                </c:pt>
                <c:pt idx="2">
                  <c:v>0</c:v>
                </c:pt>
                <c:pt idx="3">
                  <c:v>1.81</c:v>
                </c:pt>
                <c:pt idx="4">
                  <c:v>2.13</c:v>
                </c:pt>
                <c:pt idx="5">
                  <c:v>1</c:v>
                </c:pt>
                <c:pt idx="6">
                  <c:v>0.37950660000000003</c:v>
                </c:pt>
                <c:pt idx="7">
                  <c:v>0</c:v>
                </c:pt>
                <c:pt idx="8">
                  <c:v>4.0999999999999996</c:v>
                </c:pt>
              </c:numCache>
            </c:numRef>
          </c:val>
        </c:ser>
        <c:ser>
          <c:idx val="2"/>
          <c:order val="2"/>
          <c:tx>
            <c:strRef>
              <c:f>'Data CH'!$A$38</c:f>
              <c:strCache>
                <c:ptCount val="1"/>
                <c:pt idx="0">
                  <c:v>2015</c:v>
                </c:pt>
              </c:strCache>
            </c:strRef>
          </c:tx>
          <c:spPr>
            <a:solidFill>
              <a:srgbClr val="78A22F"/>
            </a:solidFill>
            <a:ln>
              <a:solidFill>
                <a:srgbClr val="78A22F"/>
              </a:solidFill>
            </a:ln>
          </c:spPr>
          <c:invertIfNegative val="0"/>
          <c:cat>
            <c:strRef>
              <c:f>'Data CH'!$B$35:$J$35</c:f>
              <c:strCache>
                <c:ptCount val="9"/>
                <c:pt idx="0">
                  <c:v>NSW</c:v>
                </c:pt>
                <c:pt idx="1">
                  <c:v>Vic</c:v>
                </c:pt>
                <c:pt idx="2">
                  <c:v>Qld</c:v>
                </c:pt>
                <c:pt idx="3">
                  <c:v>WA</c:v>
                </c:pt>
                <c:pt idx="4">
                  <c:v>SA</c:v>
                </c:pt>
                <c:pt idx="5">
                  <c:v>Tas</c:v>
                </c:pt>
                <c:pt idx="6">
                  <c:v>ACT</c:v>
                </c:pt>
                <c:pt idx="7">
                  <c:v>NT</c:v>
                </c:pt>
                <c:pt idx="8">
                  <c:v>Total</c:v>
                </c:pt>
              </c:strCache>
            </c:strRef>
          </c:cat>
          <c:val>
            <c:numRef>
              <c:f>'Data CH'!$B$38:$J$38</c:f>
              <c:numCache>
                <c:formatCode>0.0</c:formatCode>
                <c:ptCount val="9"/>
                <c:pt idx="0">
                  <c:v>4.8</c:v>
                </c:pt>
                <c:pt idx="1">
                  <c:v>5.0999999999999996</c:v>
                </c:pt>
                <c:pt idx="2">
                  <c:v>0</c:v>
                </c:pt>
                <c:pt idx="3">
                  <c:v>1.8</c:v>
                </c:pt>
                <c:pt idx="4">
                  <c:v>2.1</c:v>
                </c:pt>
                <c:pt idx="5">
                  <c:v>1.8</c:v>
                </c:pt>
                <c:pt idx="6">
                  <c:v>0.3</c:v>
                </c:pt>
                <c:pt idx="7">
                  <c:v>0</c:v>
                </c:pt>
                <c:pt idx="8">
                  <c:v>3.9</c:v>
                </c:pt>
              </c:numCache>
            </c:numRef>
          </c:val>
        </c:ser>
        <c:ser>
          <c:idx val="3"/>
          <c:order val="3"/>
          <c:tx>
            <c:strRef>
              <c:f>'Data CH'!$A$39</c:f>
              <c:strCache>
                <c:ptCount val="1"/>
                <c:pt idx="0">
                  <c:v>2016</c:v>
                </c:pt>
              </c:strCache>
            </c:strRef>
          </c:tx>
          <c:spPr>
            <a:solidFill>
              <a:srgbClr val="78A22F"/>
            </a:solidFill>
            <a:ln>
              <a:solidFill>
                <a:srgbClr val="78A22F"/>
              </a:solidFill>
            </a:ln>
          </c:spPr>
          <c:invertIfNegative val="0"/>
          <c:cat>
            <c:strRef>
              <c:f>'Data CH'!$B$35:$J$35</c:f>
              <c:strCache>
                <c:ptCount val="9"/>
                <c:pt idx="0">
                  <c:v>NSW</c:v>
                </c:pt>
                <c:pt idx="1">
                  <c:v>Vic</c:v>
                </c:pt>
                <c:pt idx="2">
                  <c:v>Qld</c:v>
                </c:pt>
                <c:pt idx="3">
                  <c:v>WA</c:v>
                </c:pt>
                <c:pt idx="4">
                  <c:v>SA</c:v>
                </c:pt>
                <c:pt idx="5">
                  <c:v>Tas</c:v>
                </c:pt>
                <c:pt idx="6">
                  <c:v>ACT</c:v>
                </c:pt>
                <c:pt idx="7">
                  <c:v>NT</c:v>
                </c:pt>
                <c:pt idx="8">
                  <c:v>Total</c:v>
                </c:pt>
              </c:strCache>
            </c:strRef>
          </c:cat>
          <c:val>
            <c:numRef>
              <c:f>'Data CH'!$B$39:$J$39</c:f>
              <c:numCache>
                <c:formatCode>0.0</c:formatCode>
                <c:ptCount val="9"/>
                <c:pt idx="0">
                  <c:v>9.4</c:v>
                </c:pt>
                <c:pt idx="1">
                  <c:v>3.3</c:v>
                </c:pt>
                <c:pt idx="2">
                  <c:v>1.7</c:v>
                </c:pt>
                <c:pt idx="3">
                  <c:v>1.6</c:v>
                </c:pt>
                <c:pt idx="4">
                  <c:v>2.2999999999999998</c:v>
                </c:pt>
                <c:pt idx="5">
                  <c:v>3.3</c:v>
                </c:pt>
                <c:pt idx="6">
                  <c:v>0.9</c:v>
                </c:pt>
                <c:pt idx="7">
                  <c:v>0</c:v>
                </c:pt>
                <c:pt idx="8">
                  <c:v>5.3</c:v>
                </c:pt>
              </c:numCache>
            </c:numRef>
          </c:val>
        </c:ser>
        <c:ser>
          <c:idx val="4"/>
          <c:order val="4"/>
          <c:tx>
            <c:strRef>
              <c:f>'Data CH'!$A$40</c:f>
              <c:strCache>
                <c:ptCount val="1"/>
                <c:pt idx="0">
                  <c:v>2017</c:v>
                </c:pt>
              </c:strCache>
            </c:strRef>
          </c:tx>
          <c:spPr>
            <a:solidFill>
              <a:srgbClr val="265A9A"/>
            </a:solidFill>
            <a:ln>
              <a:solidFill>
                <a:srgbClr val="265A9A"/>
              </a:solidFill>
            </a:ln>
          </c:spPr>
          <c:invertIfNegative val="0"/>
          <c:cat>
            <c:strRef>
              <c:f>'Data CH'!$B$35:$J$35</c:f>
              <c:strCache>
                <c:ptCount val="9"/>
                <c:pt idx="0">
                  <c:v>NSW</c:v>
                </c:pt>
                <c:pt idx="1">
                  <c:v>Vic</c:v>
                </c:pt>
                <c:pt idx="2">
                  <c:v>Qld</c:v>
                </c:pt>
                <c:pt idx="3">
                  <c:v>WA</c:v>
                </c:pt>
                <c:pt idx="4">
                  <c:v>SA</c:v>
                </c:pt>
                <c:pt idx="5">
                  <c:v>Tas</c:v>
                </c:pt>
                <c:pt idx="6">
                  <c:v>ACT</c:v>
                </c:pt>
                <c:pt idx="7">
                  <c:v>NT</c:v>
                </c:pt>
                <c:pt idx="8">
                  <c:v>Total</c:v>
                </c:pt>
              </c:strCache>
            </c:strRef>
          </c:cat>
          <c:val>
            <c:numRef>
              <c:f>'Data CH'!$B$40:$J$40</c:f>
              <c:numCache>
                <c:formatCode>0.0</c:formatCode>
                <c:ptCount val="9"/>
                <c:pt idx="0">
                  <c:v>6.7</c:v>
                </c:pt>
                <c:pt idx="1">
                  <c:v>4.5</c:v>
                </c:pt>
                <c:pt idx="2">
                  <c:v>1.6</c:v>
                </c:pt>
                <c:pt idx="3">
                  <c:v>1.3</c:v>
                </c:pt>
                <c:pt idx="4">
                  <c:v>2.6</c:v>
                </c:pt>
                <c:pt idx="5">
                  <c:v>1.6</c:v>
                </c:pt>
                <c:pt idx="6">
                  <c:v>1.1000000000000001</c:v>
                </c:pt>
                <c:pt idx="7">
                  <c:v>0</c:v>
                </c:pt>
                <c:pt idx="8">
                  <c:v>4.3</c:v>
                </c:pt>
              </c:numCache>
            </c:numRef>
          </c:val>
        </c:ser>
        <c:dLbls>
          <c:showLegendKey val="0"/>
          <c:showVal val="0"/>
          <c:showCatName val="0"/>
          <c:showSerName val="0"/>
          <c:showPercent val="0"/>
          <c:showBubbleSize val="0"/>
        </c:dLbls>
        <c:gapWidth val="150"/>
        <c:axId val="541086600"/>
        <c:axId val="541085032"/>
      </c:barChart>
      <c:catAx>
        <c:axId val="54108660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541085032"/>
        <c:crosses val="autoZero"/>
        <c:auto val="1"/>
        <c:lblAlgn val="ctr"/>
        <c:lblOffset val="100"/>
        <c:noMultiLvlLbl val="0"/>
      </c:catAx>
      <c:valAx>
        <c:axId val="541085032"/>
        <c:scaling>
          <c:orientation val="minMax"/>
          <c:max val="15"/>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layout/>
          <c:overlay val="0"/>
        </c:title>
        <c:numFmt formatCode="###\ ###\ ##0;0###\ ###\ ##0;&quot;0&quot;"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541086600"/>
        <c:crosses val="autoZero"/>
        <c:crossBetween val="between"/>
        <c:majorUnit val="3"/>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12EF-60BB-4FE5-B76F-65F0392C1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8027</Words>
  <Characters>45349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Chapter 18 Housing - Report on Government Services 2018</vt:lpstr>
    </vt:vector>
  </TitlesOfParts>
  <Company>Productivity Commission</Company>
  <LinksUpToDate>false</LinksUpToDate>
  <CharactersWithSpaces>53270</CharactersWithSpaces>
  <SharedDoc>false</SharedDoc>
  <HLinks>
    <vt:vector size="450" baseType="variant">
      <vt:variant>
        <vt:i4>655418</vt:i4>
      </vt:variant>
      <vt:variant>
        <vt:i4>573</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570</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567</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564</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561</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558</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555</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552</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549</vt:i4>
      </vt:variant>
      <vt:variant>
        <vt:i4>0</vt:i4>
      </vt:variant>
      <vt:variant>
        <vt:i4>5</vt:i4>
      </vt:variant>
      <vt:variant>
        <vt:lpwstr>C:\Users\svassiliou\AppData\Local\Microsoft\Windows\Temporary Internet Files\Content.MSO\FDCE1A96.xlsm</vt:lpwstr>
      </vt:variant>
      <vt:variant>
        <vt:lpwstr>RANGE!A1</vt:lpwstr>
      </vt:variant>
      <vt:variant>
        <vt:i4>655418</vt:i4>
      </vt:variant>
      <vt:variant>
        <vt:i4>546</vt:i4>
      </vt:variant>
      <vt:variant>
        <vt:i4>0</vt:i4>
      </vt:variant>
      <vt:variant>
        <vt:i4>5</vt:i4>
      </vt:variant>
      <vt:variant>
        <vt:lpwstr>C:\Users\svassiliou\AppData\Local\Microsoft\Windows\Temporary Internet Files\Content.MSO\FDCE1A96.xlsm</vt:lpwstr>
      </vt:variant>
      <vt:variant>
        <vt:lpwstr>RANGE!A1</vt:lpwstr>
      </vt:variant>
      <vt:variant>
        <vt:i4>4980775</vt:i4>
      </vt:variant>
      <vt:variant>
        <vt:i4>543</vt:i4>
      </vt:variant>
      <vt:variant>
        <vt:i4>0</vt:i4>
      </vt:variant>
      <vt:variant>
        <vt:i4>5</vt:i4>
      </vt:variant>
      <vt:variant>
        <vt:lpwstr>C:\Users\svassiliou\AppData\Local\Microsoft\Windows\Temporary Internet Files\Content.MSO\FDCE1A96.xlsm</vt:lpwstr>
      </vt:variant>
      <vt:variant>
        <vt:lpwstr>'Table 16A.56'!A1</vt:lpwstr>
      </vt:variant>
      <vt:variant>
        <vt:i4>4980772</vt:i4>
      </vt:variant>
      <vt:variant>
        <vt:i4>540</vt:i4>
      </vt:variant>
      <vt:variant>
        <vt:i4>0</vt:i4>
      </vt:variant>
      <vt:variant>
        <vt:i4>5</vt:i4>
      </vt:variant>
      <vt:variant>
        <vt:lpwstr>C:\Users\svassiliou\AppData\Local\Microsoft\Windows\Temporary Internet Files\Content.MSO\FDCE1A96.xlsm</vt:lpwstr>
      </vt:variant>
      <vt:variant>
        <vt:lpwstr>'Table 16A.55'!A1</vt:lpwstr>
      </vt:variant>
      <vt:variant>
        <vt:i4>4980773</vt:i4>
      </vt:variant>
      <vt:variant>
        <vt:i4>537</vt:i4>
      </vt:variant>
      <vt:variant>
        <vt:i4>0</vt:i4>
      </vt:variant>
      <vt:variant>
        <vt:i4>5</vt:i4>
      </vt:variant>
      <vt:variant>
        <vt:lpwstr>C:\Users\svassiliou\AppData\Local\Microsoft\Windows\Temporary Internet Files\Content.MSO\FDCE1A96.xlsm</vt:lpwstr>
      </vt:variant>
      <vt:variant>
        <vt:lpwstr>'Table 16A.54'!A1</vt:lpwstr>
      </vt:variant>
      <vt:variant>
        <vt:i4>4980770</vt:i4>
      </vt:variant>
      <vt:variant>
        <vt:i4>534</vt:i4>
      </vt:variant>
      <vt:variant>
        <vt:i4>0</vt:i4>
      </vt:variant>
      <vt:variant>
        <vt:i4>5</vt:i4>
      </vt:variant>
      <vt:variant>
        <vt:lpwstr>C:\Users\svassiliou\AppData\Local\Microsoft\Windows\Temporary Internet Files\Content.MSO\FDCE1A96.xlsm</vt:lpwstr>
      </vt:variant>
      <vt:variant>
        <vt:lpwstr>'Table 16A.53'!A1</vt:lpwstr>
      </vt:variant>
      <vt:variant>
        <vt:i4>4980771</vt:i4>
      </vt:variant>
      <vt:variant>
        <vt:i4>531</vt:i4>
      </vt:variant>
      <vt:variant>
        <vt:i4>0</vt:i4>
      </vt:variant>
      <vt:variant>
        <vt:i4>5</vt:i4>
      </vt:variant>
      <vt:variant>
        <vt:lpwstr>C:\Users\svassiliou\AppData\Local\Microsoft\Windows\Temporary Internet Files\Content.MSO\FDCE1A96.xlsm</vt:lpwstr>
      </vt:variant>
      <vt:variant>
        <vt:lpwstr>'Table 16A.52'!A1</vt:lpwstr>
      </vt:variant>
      <vt:variant>
        <vt:i4>4980768</vt:i4>
      </vt:variant>
      <vt:variant>
        <vt:i4>528</vt:i4>
      </vt:variant>
      <vt:variant>
        <vt:i4>0</vt:i4>
      </vt:variant>
      <vt:variant>
        <vt:i4>5</vt:i4>
      </vt:variant>
      <vt:variant>
        <vt:lpwstr>C:\Users\svassiliou\AppData\Local\Microsoft\Windows\Temporary Internet Files\Content.MSO\FDCE1A96.xlsm</vt:lpwstr>
      </vt:variant>
      <vt:variant>
        <vt:lpwstr>'Table 16A.51'!A1</vt:lpwstr>
      </vt:variant>
      <vt:variant>
        <vt:i4>4980769</vt:i4>
      </vt:variant>
      <vt:variant>
        <vt:i4>525</vt:i4>
      </vt:variant>
      <vt:variant>
        <vt:i4>0</vt:i4>
      </vt:variant>
      <vt:variant>
        <vt:i4>5</vt:i4>
      </vt:variant>
      <vt:variant>
        <vt:lpwstr>C:\Users\svassiliou\AppData\Local\Microsoft\Windows\Temporary Internet Files\Content.MSO\FDCE1A96.xlsm</vt:lpwstr>
      </vt:variant>
      <vt:variant>
        <vt:lpwstr>'Table 16A.50'!A1</vt:lpwstr>
      </vt:variant>
      <vt:variant>
        <vt:i4>5046312</vt:i4>
      </vt:variant>
      <vt:variant>
        <vt:i4>522</vt:i4>
      </vt:variant>
      <vt:variant>
        <vt:i4>0</vt:i4>
      </vt:variant>
      <vt:variant>
        <vt:i4>5</vt:i4>
      </vt:variant>
      <vt:variant>
        <vt:lpwstr>C:\Users\svassiliou\AppData\Local\Microsoft\Windows\Temporary Internet Files\Content.MSO\FDCE1A96.xlsm</vt:lpwstr>
      </vt:variant>
      <vt:variant>
        <vt:lpwstr>'Table 16A.49'!A1</vt:lpwstr>
      </vt:variant>
      <vt:variant>
        <vt:i4>5046313</vt:i4>
      </vt:variant>
      <vt:variant>
        <vt:i4>519</vt:i4>
      </vt:variant>
      <vt:variant>
        <vt:i4>0</vt:i4>
      </vt:variant>
      <vt:variant>
        <vt:i4>5</vt:i4>
      </vt:variant>
      <vt:variant>
        <vt:lpwstr>C:\Users\svassiliou\AppData\Local\Microsoft\Windows\Temporary Internet Files\Content.MSO\FDCE1A96.xlsm</vt:lpwstr>
      </vt:variant>
      <vt:variant>
        <vt:lpwstr>'Table 16A.48'!A1</vt:lpwstr>
      </vt:variant>
      <vt:variant>
        <vt:i4>5046310</vt:i4>
      </vt:variant>
      <vt:variant>
        <vt:i4>516</vt:i4>
      </vt:variant>
      <vt:variant>
        <vt:i4>0</vt:i4>
      </vt:variant>
      <vt:variant>
        <vt:i4>5</vt:i4>
      </vt:variant>
      <vt:variant>
        <vt:lpwstr>C:\Users\svassiliou\AppData\Local\Microsoft\Windows\Temporary Internet Files\Content.MSO\FDCE1A96.xlsm</vt:lpwstr>
      </vt:variant>
      <vt:variant>
        <vt:lpwstr>'Table 16A.47'!A1</vt:lpwstr>
      </vt:variant>
      <vt:variant>
        <vt:i4>5046311</vt:i4>
      </vt:variant>
      <vt:variant>
        <vt:i4>513</vt:i4>
      </vt:variant>
      <vt:variant>
        <vt:i4>0</vt:i4>
      </vt:variant>
      <vt:variant>
        <vt:i4>5</vt:i4>
      </vt:variant>
      <vt:variant>
        <vt:lpwstr>C:\Users\svassiliou\AppData\Local\Microsoft\Windows\Temporary Internet Files\Content.MSO\FDCE1A96.xlsm</vt:lpwstr>
      </vt:variant>
      <vt:variant>
        <vt:lpwstr>'Table 16A.46'!A1</vt:lpwstr>
      </vt:variant>
      <vt:variant>
        <vt:i4>5046308</vt:i4>
      </vt:variant>
      <vt:variant>
        <vt:i4>510</vt:i4>
      </vt:variant>
      <vt:variant>
        <vt:i4>0</vt:i4>
      </vt:variant>
      <vt:variant>
        <vt:i4>5</vt:i4>
      </vt:variant>
      <vt:variant>
        <vt:lpwstr>C:\Users\svassiliou\AppData\Local\Microsoft\Windows\Temporary Internet Files\Content.MSO\FDCE1A96.xlsm</vt:lpwstr>
      </vt:variant>
      <vt:variant>
        <vt:lpwstr>'Table 16A.45'!A1</vt:lpwstr>
      </vt:variant>
      <vt:variant>
        <vt:i4>5046309</vt:i4>
      </vt:variant>
      <vt:variant>
        <vt:i4>507</vt:i4>
      </vt:variant>
      <vt:variant>
        <vt:i4>0</vt:i4>
      </vt:variant>
      <vt:variant>
        <vt:i4>5</vt:i4>
      </vt:variant>
      <vt:variant>
        <vt:lpwstr>C:\Users\svassiliou\AppData\Local\Microsoft\Windows\Temporary Internet Files\Content.MSO\FDCE1A96.xlsm</vt:lpwstr>
      </vt:variant>
      <vt:variant>
        <vt:lpwstr>'Table 16A.44'!A1</vt:lpwstr>
      </vt:variant>
      <vt:variant>
        <vt:i4>5046306</vt:i4>
      </vt:variant>
      <vt:variant>
        <vt:i4>504</vt:i4>
      </vt:variant>
      <vt:variant>
        <vt:i4>0</vt:i4>
      </vt:variant>
      <vt:variant>
        <vt:i4>5</vt:i4>
      </vt:variant>
      <vt:variant>
        <vt:lpwstr>C:\Users\svassiliou\AppData\Local\Microsoft\Windows\Temporary Internet Files\Content.MSO\FDCE1A96.xlsm</vt:lpwstr>
      </vt:variant>
      <vt:variant>
        <vt:lpwstr>'Table 16A.43'!A1</vt:lpwstr>
      </vt:variant>
      <vt:variant>
        <vt:i4>5046307</vt:i4>
      </vt:variant>
      <vt:variant>
        <vt:i4>501</vt:i4>
      </vt:variant>
      <vt:variant>
        <vt:i4>0</vt:i4>
      </vt:variant>
      <vt:variant>
        <vt:i4>5</vt:i4>
      </vt:variant>
      <vt:variant>
        <vt:lpwstr>C:\Users\svassiliou\AppData\Local\Microsoft\Windows\Temporary Internet Files\Content.MSO\FDCE1A96.xlsm</vt:lpwstr>
      </vt:variant>
      <vt:variant>
        <vt:lpwstr>'Table 16A.42'!A1</vt:lpwstr>
      </vt:variant>
      <vt:variant>
        <vt:i4>5046304</vt:i4>
      </vt:variant>
      <vt:variant>
        <vt:i4>498</vt:i4>
      </vt:variant>
      <vt:variant>
        <vt:i4>0</vt:i4>
      </vt:variant>
      <vt:variant>
        <vt:i4>5</vt:i4>
      </vt:variant>
      <vt:variant>
        <vt:lpwstr>C:\Users\svassiliou\AppData\Local\Microsoft\Windows\Temporary Internet Files\Content.MSO\FDCE1A96.xlsm</vt:lpwstr>
      </vt:variant>
      <vt:variant>
        <vt:lpwstr>'Table 16A.41'!A1</vt:lpwstr>
      </vt:variant>
      <vt:variant>
        <vt:i4>5046305</vt:i4>
      </vt:variant>
      <vt:variant>
        <vt:i4>495</vt:i4>
      </vt:variant>
      <vt:variant>
        <vt:i4>0</vt:i4>
      </vt:variant>
      <vt:variant>
        <vt:i4>5</vt:i4>
      </vt:variant>
      <vt:variant>
        <vt:lpwstr>C:\Users\svassiliou\AppData\Local\Microsoft\Windows\Temporary Internet Files\Content.MSO\FDCE1A96.xlsm</vt:lpwstr>
      </vt:variant>
      <vt:variant>
        <vt:lpwstr>'Table 16A.40'!A1</vt:lpwstr>
      </vt:variant>
      <vt:variant>
        <vt:i4>4849704</vt:i4>
      </vt:variant>
      <vt:variant>
        <vt:i4>492</vt:i4>
      </vt:variant>
      <vt:variant>
        <vt:i4>0</vt:i4>
      </vt:variant>
      <vt:variant>
        <vt:i4>5</vt:i4>
      </vt:variant>
      <vt:variant>
        <vt:lpwstr>C:\Users\svassiliou\AppData\Local\Microsoft\Windows\Temporary Internet Files\Content.MSO\FDCE1A96.xlsm</vt:lpwstr>
      </vt:variant>
      <vt:variant>
        <vt:lpwstr>'Table 16A.39'!A1</vt:lpwstr>
      </vt:variant>
      <vt:variant>
        <vt:i4>4849705</vt:i4>
      </vt:variant>
      <vt:variant>
        <vt:i4>489</vt:i4>
      </vt:variant>
      <vt:variant>
        <vt:i4>0</vt:i4>
      </vt:variant>
      <vt:variant>
        <vt:i4>5</vt:i4>
      </vt:variant>
      <vt:variant>
        <vt:lpwstr>C:\Users\svassiliou\AppData\Local\Microsoft\Windows\Temporary Internet Files\Content.MSO\FDCE1A96.xlsm</vt:lpwstr>
      </vt:variant>
      <vt:variant>
        <vt:lpwstr>'Table 16A.38'!A1</vt:lpwstr>
      </vt:variant>
      <vt:variant>
        <vt:i4>4849702</vt:i4>
      </vt:variant>
      <vt:variant>
        <vt:i4>486</vt:i4>
      </vt:variant>
      <vt:variant>
        <vt:i4>0</vt:i4>
      </vt:variant>
      <vt:variant>
        <vt:i4>5</vt:i4>
      </vt:variant>
      <vt:variant>
        <vt:lpwstr>C:\Users\svassiliou\AppData\Local\Microsoft\Windows\Temporary Internet Files\Content.MSO\FDCE1A96.xlsm</vt:lpwstr>
      </vt:variant>
      <vt:variant>
        <vt:lpwstr>'Table 16A.37'!A1</vt:lpwstr>
      </vt:variant>
      <vt:variant>
        <vt:i4>4849703</vt:i4>
      </vt:variant>
      <vt:variant>
        <vt:i4>483</vt:i4>
      </vt:variant>
      <vt:variant>
        <vt:i4>0</vt:i4>
      </vt:variant>
      <vt:variant>
        <vt:i4>5</vt:i4>
      </vt:variant>
      <vt:variant>
        <vt:lpwstr>C:\Users\svassiliou\AppData\Local\Microsoft\Windows\Temporary Internet Files\Content.MSO\FDCE1A96.xlsm</vt:lpwstr>
      </vt:variant>
      <vt:variant>
        <vt:lpwstr>'Table 16A.36'!A1</vt:lpwstr>
      </vt:variant>
      <vt:variant>
        <vt:i4>4849700</vt:i4>
      </vt:variant>
      <vt:variant>
        <vt:i4>480</vt:i4>
      </vt:variant>
      <vt:variant>
        <vt:i4>0</vt:i4>
      </vt:variant>
      <vt:variant>
        <vt:i4>5</vt:i4>
      </vt:variant>
      <vt:variant>
        <vt:lpwstr>C:\Users\svassiliou\AppData\Local\Microsoft\Windows\Temporary Internet Files\Content.MSO\FDCE1A96.xlsm</vt:lpwstr>
      </vt:variant>
      <vt:variant>
        <vt:lpwstr>'Table 16A.35'!A1</vt:lpwstr>
      </vt:variant>
      <vt:variant>
        <vt:i4>4849701</vt:i4>
      </vt:variant>
      <vt:variant>
        <vt:i4>477</vt:i4>
      </vt:variant>
      <vt:variant>
        <vt:i4>0</vt:i4>
      </vt:variant>
      <vt:variant>
        <vt:i4>5</vt:i4>
      </vt:variant>
      <vt:variant>
        <vt:lpwstr>C:\Users\svassiliou\AppData\Local\Microsoft\Windows\Temporary Internet Files\Content.MSO\FDCE1A96.xlsm</vt:lpwstr>
      </vt:variant>
      <vt:variant>
        <vt:lpwstr>'Table 16A.34'!A1</vt:lpwstr>
      </vt:variant>
      <vt:variant>
        <vt:i4>4849698</vt:i4>
      </vt:variant>
      <vt:variant>
        <vt:i4>474</vt:i4>
      </vt:variant>
      <vt:variant>
        <vt:i4>0</vt:i4>
      </vt:variant>
      <vt:variant>
        <vt:i4>5</vt:i4>
      </vt:variant>
      <vt:variant>
        <vt:lpwstr>C:\Users\svassiliou\AppData\Local\Microsoft\Windows\Temporary Internet Files\Content.MSO\FDCE1A96.xlsm</vt:lpwstr>
      </vt:variant>
      <vt:variant>
        <vt:lpwstr>'Table 16A.33'!A1</vt:lpwstr>
      </vt:variant>
      <vt:variant>
        <vt:i4>4849699</vt:i4>
      </vt:variant>
      <vt:variant>
        <vt:i4>471</vt:i4>
      </vt:variant>
      <vt:variant>
        <vt:i4>0</vt:i4>
      </vt:variant>
      <vt:variant>
        <vt:i4>5</vt:i4>
      </vt:variant>
      <vt:variant>
        <vt:lpwstr>C:\Users\svassiliou\AppData\Local\Microsoft\Windows\Temporary Internet Files\Content.MSO\FDCE1A96.xlsm</vt:lpwstr>
      </vt:variant>
      <vt:variant>
        <vt:lpwstr>'Table 16A.32'!A1</vt:lpwstr>
      </vt:variant>
      <vt:variant>
        <vt:i4>4849696</vt:i4>
      </vt:variant>
      <vt:variant>
        <vt:i4>468</vt:i4>
      </vt:variant>
      <vt:variant>
        <vt:i4>0</vt:i4>
      </vt:variant>
      <vt:variant>
        <vt:i4>5</vt:i4>
      </vt:variant>
      <vt:variant>
        <vt:lpwstr>C:\Users\svassiliou\AppData\Local\Microsoft\Windows\Temporary Internet Files\Content.MSO\FDCE1A96.xlsm</vt:lpwstr>
      </vt:variant>
      <vt:variant>
        <vt:lpwstr>'Table 16A.31'!A1</vt:lpwstr>
      </vt:variant>
      <vt:variant>
        <vt:i4>4849697</vt:i4>
      </vt:variant>
      <vt:variant>
        <vt:i4>465</vt:i4>
      </vt:variant>
      <vt:variant>
        <vt:i4>0</vt:i4>
      </vt:variant>
      <vt:variant>
        <vt:i4>5</vt:i4>
      </vt:variant>
      <vt:variant>
        <vt:lpwstr>C:\Users\svassiliou\AppData\Local\Microsoft\Windows\Temporary Internet Files\Content.MSO\FDCE1A96.xlsm</vt:lpwstr>
      </vt:variant>
      <vt:variant>
        <vt:lpwstr>'Table 16A.30'!A1</vt:lpwstr>
      </vt:variant>
      <vt:variant>
        <vt:i4>4915240</vt:i4>
      </vt:variant>
      <vt:variant>
        <vt:i4>462</vt:i4>
      </vt:variant>
      <vt:variant>
        <vt:i4>0</vt:i4>
      </vt:variant>
      <vt:variant>
        <vt:i4>5</vt:i4>
      </vt:variant>
      <vt:variant>
        <vt:lpwstr>C:\Users\svassiliou\AppData\Local\Microsoft\Windows\Temporary Internet Files\Content.MSO\FDCE1A96.xlsm</vt:lpwstr>
      </vt:variant>
      <vt:variant>
        <vt:lpwstr>'Table 16A.29'!A1</vt:lpwstr>
      </vt:variant>
      <vt:variant>
        <vt:i4>4915241</vt:i4>
      </vt:variant>
      <vt:variant>
        <vt:i4>459</vt:i4>
      </vt:variant>
      <vt:variant>
        <vt:i4>0</vt:i4>
      </vt:variant>
      <vt:variant>
        <vt:i4>5</vt:i4>
      </vt:variant>
      <vt:variant>
        <vt:lpwstr>C:\Users\svassiliou\AppData\Local\Microsoft\Windows\Temporary Internet Files\Content.MSO\FDCE1A96.xlsm</vt:lpwstr>
      </vt:variant>
      <vt:variant>
        <vt:lpwstr>'Table 16A.28'!A1</vt:lpwstr>
      </vt:variant>
      <vt:variant>
        <vt:i4>4915238</vt:i4>
      </vt:variant>
      <vt:variant>
        <vt:i4>456</vt:i4>
      </vt:variant>
      <vt:variant>
        <vt:i4>0</vt:i4>
      </vt:variant>
      <vt:variant>
        <vt:i4>5</vt:i4>
      </vt:variant>
      <vt:variant>
        <vt:lpwstr>C:\Users\svassiliou\AppData\Local\Microsoft\Windows\Temporary Internet Files\Content.MSO\FDCE1A96.xlsm</vt:lpwstr>
      </vt:variant>
      <vt:variant>
        <vt:lpwstr>'Table 16A.27'!A1</vt:lpwstr>
      </vt:variant>
      <vt:variant>
        <vt:i4>4915239</vt:i4>
      </vt:variant>
      <vt:variant>
        <vt:i4>453</vt:i4>
      </vt:variant>
      <vt:variant>
        <vt:i4>0</vt:i4>
      </vt:variant>
      <vt:variant>
        <vt:i4>5</vt:i4>
      </vt:variant>
      <vt:variant>
        <vt:lpwstr>C:\Users\svassiliou\AppData\Local\Microsoft\Windows\Temporary Internet Files\Content.MSO\FDCE1A96.xlsm</vt:lpwstr>
      </vt:variant>
      <vt:variant>
        <vt:lpwstr>'Table 16A.26'!A1</vt:lpwstr>
      </vt:variant>
      <vt:variant>
        <vt:i4>4915236</vt:i4>
      </vt:variant>
      <vt:variant>
        <vt:i4>450</vt:i4>
      </vt:variant>
      <vt:variant>
        <vt:i4>0</vt:i4>
      </vt:variant>
      <vt:variant>
        <vt:i4>5</vt:i4>
      </vt:variant>
      <vt:variant>
        <vt:lpwstr>C:\Users\svassiliou\AppData\Local\Microsoft\Windows\Temporary Internet Files\Content.MSO\FDCE1A96.xlsm</vt:lpwstr>
      </vt:variant>
      <vt:variant>
        <vt:lpwstr>'Table 16A.25'!A1</vt:lpwstr>
      </vt:variant>
      <vt:variant>
        <vt:i4>4915237</vt:i4>
      </vt:variant>
      <vt:variant>
        <vt:i4>447</vt:i4>
      </vt:variant>
      <vt:variant>
        <vt:i4>0</vt:i4>
      </vt:variant>
      <vt:variant>
        <vt:i4>5</vt:i4>
      </vt:variant>
      <vt:variant>
        <vt:lpwstr>C:\Users\svassiliou\AppData\Local\Microsoft\Windows\Temporary Internet Files\Content.MSO\FDCE1A96.xlsm</vt:lpwstr>
      </vt:variant>
      <vt:variant>
        <vt:lpwstr>'Table 16A.24'!A1</vt:lpwstr>
      </vt:variant>
      <vt:variant>
        <vt:i4>4915234</vt:i4>
      </vt:variant>
      <vt:variant>
        <vt:i4>444</vt:i4>
      </vt:variant>
      <vt:variant>
        <vt:i4>0</vt:i4>
      </vt:variant>
      <vt:variant>
        <vt:i4>5</vt:i4>
      </vt:variant>
      <vt:variant>
        <vt:lpwstr>C:\Users\svassiliou\AppData\Local\Microsoft\Windows\Temporary Internet Files\Content.MSO\FDCE1A96.xlsm</vt:lpwstr>
      </vt:variant>
      <vt:variant>
        <vt:lpwstr>'Table 16A.23'!A1</vt:lpwstr>
      </vt:variant>
      <vt:variant>
        <vt:i4>4915235</vt:i4>
      </vt:variant>
      <vt:variant>
        <vt:i4>441</vt:i4>
      </vt:variant>
      <vt:variant>
        <vt:i4>0</vt:i4>
      </vt:variant>
      <vt:variant>
        <vt:i4>5</vt:i4>
      </vt:variant>
      <vt:variant>
        <vt:lpwstr>C:\Users\svassiliou\AppData\Local\Microsoft\Windows\Temporary Internet Files\Content.MSO\FDCE1A96.xlsm</vt:lpwstr>
      </vt:variant>
      <vt:variant>
        <vt:lpwstr>'Table 16A.22'!A1</vt:lpwstr>
      </vt:variant>
      <vt:variant>
        <vt:i4>4915232</vt:i4>
      </vt:variant>
      <vt:variant>
        <vt:i4>438</vt:i4>
      </vt:variant>
      <vt:variant>
        <vt:i4>0</vt:i4>
      </vt:variant>
      <vt:variant>
        <vt:i4>5</vt:i4>
      </vt:variant>
      <vt:variant>
        <vt:lpwstr>C:\Users\svassiliou\AppData\Local\Microsoft\Windows\Temporary Internet Files\Content.MSO\FDCE1A96.xlsm</vt:lpwstr>
      </vt:variant>
      <vt:variant>
        <vt:lpwstr>'Table 16A.21'!A1</vt:lpwstr>
      </vt:variant>
      <vt:variant>
        <vt:i4>4915233</vt:i4>
      </vt:variant>
      <vt:variant>
        <vt:i4>435</vt:i4>
      </vt:variant>
      <vt:variant>
        <vt:i4>0</vt:i4>
      </vt:variant>
      <vt:variant>
        <vt:i4>5</vt:i4>
      </vt:variant>
      <vt:variant>
        <vt:lpwstr>C:\Users\svassiliou\AppData\Local\Microsoft\Windows\Temporary Internet Files\Content.MSO\FDCE1A96.xlsm</vt:lpwstr>
      </vt:variant>
      <vt:variant>
        <vt:lpwstr>'Table 16A.20'!A1</vt:lpwstr>
      </vt:variant>
      <vt:variant>
        <vt:i4>4718632</vt:i4>
      </vt:variant>
      <vt:variant>
        <vt:i4>432</vt:i4>
      </vt:variant>
      <vt:variant>
        <vt:i4>0</vt:i4>
      </vt:variant>
      <vt:variant>
        <vt:i4>5</vt:i4>
      </vt:variant>
      <vt:variant>
        <vt:lpwstr>C:\Users\svassiliou\AppData\Local\Microsoft\Windows\Temporary Internet Files\Content.MSO\FDCE1A96.xlsm</vt:lpwstr>
      </vt:variant>
      <vt:variant>
        <vt:lpwstr>'Table 16A.19'!A1</vt:lpwstr>
      </vt:variant>
      <vt:variant>
        <vt:i4>4718633</vt:i4>
      </vt:variant>
      <vt:variant>
        <vt:i4>429</vt:i4>
      </vt:variant>
      <vt:variant>
        <vt:i4>0</vt:i4>
      </vt:variant>
      <vt:variant>
        <vt:i4>5</vt:i4>
      </vt:variant>
      <vt:variant>
        <vt:lpwstr>C:\Users\svassiliou\AppData\Local\Microsoft\Windows\Temporary Internet Files\Content.MSO\FDCE1A96.xlsm</vt:lpwstr>
      </vt:variant>
      <vt:variant>
        <vt:lpwstr>'Table 16A.18'!A1</vt:lpwstr>
      </vt:variant>
      <vt:variant>
        <vt:i4>4718630</vt:i4>
      </vt:variant>
      <vt:variant>
        <vt:i4>426</vt:i4>
      </vt:variant>
      <vt:variant>
        <vt:i4>0</vt:i4>
      </vt:variant>
      <vt:variant>
        <vt:i4>5</vt:i4>
      </vt:variant>
      <vt:variant>
        <vt:lpwstr>C:\Users\svassiliou\AppData\Local\Microsoft\Windows\Temporary Internet Files\Content.MSO\FDCE1A96.xlsm</vt:lpwstr>
      </vt:variant>
      <vt:variant>
        <vt:lpwstr>'Table 16A.17'!A1</vt:lpwstr>
      </vt:variant>
      <vt:variant>
        <vt:i4>4718631</vt:i4>
      </vt:variant>
      <vt:variant>
        <vt:i4>423</vt:i4>
      </vt:variant>
      <vt:variant>
        <vt:i4>0</vt:i4>
      </vt:variant>
      <vt:variant>
        <vt:i4>5</vt:i4>
      </vt:variant>
      <vt:variant>
        <vt:lpwstr>C:\Users\svassiliou\AppData\Local\Microsoft\Windows\Temporary Internet Files\Content.MSO\FDCE1A96.xlsm</vt:lpwstr>
      </vt:variant>
      <vt:variant>
        <vt:lpwstr>'Table 16A.16'!A1</vt:lpwstr>
      </vt:variant>
      <vt:variant>
        <vt:i4>4718628</vt:i4>
      </vt:variant>
      <vt:variant>
        <vt:i4>420</vt:i4>
      </vt:variant>
      <vt:variant>
        <vt:i4>0</vt:i4>
      </vt:variant>
      <vt:variant>
        <vt:i4>5</vt:i4>
      </vt:variant>
      <vt:variant>
        <vt:lpwstr>C:\Users\svassiliou\AppData\Local\Microsoft\Windows\Temporary Internet Files\Content.MSO\FDCE1A96.xlsm</vt:lpwstr>
      </vt:variant>
      <vt:variant>
        <vt:lpwstr>'Table 16A.15'!A1</vt:lpwstr>
      </vt:variant>
      <vt:variant>
        <vt:i4>4718629</vt:i4>
      </vt:variant>
      <vt:variant>
        <vt:i4>417</vt:i4>
      </vt:variant>
      <vt:variant>
        <vt:i4>0</vt:i4>
      </vt:variant>
      <vt:variant>
        <vt:i4>5</vt:i4>
      </vt:variant>
      <vt:variant>
        <vt:lpwstr>C:\Users\svassiliou\AppData\Local\Microsoft\Windows\Temporary Internet Files\Content.MSO\FDCE1A96.xlsm</vt:lpwstr>
      </vt:variant>
      <vt:variant>
        <vt:lpwstr>'Table 16A.14'!A1</vt:lpwstr>
      </vt:variant>
      <vt:variant>
        <vt:i4>4718626</vt:i4>
      </vt:variant>
      <vt:variant>
        <vt:i4>414</vt:i4>
      </vt:variant>
      <vt:variant>
        <vt:i4>0</vt:i4>
      </vt:variant>
      <vt:variant>
        <vt:i4>5</vt:i4>
      </vt:variant>
      <vt:variant>
        <vt:lpwstr>C:\Users\svassiliou\AppData\Local\Microsoft\Windows\Temporary Internet Files\Content.MSO\FDCE1A96.xlsm</vt:lpwstr>
      </vt:variant>
      <vt:variant>
        <vt:lpwstr>'Table 16A.13'!A1</vt:lpwstr>
      </vt:variant>
      <vt:variant>
        <vt:i4>4718627</vt:i4>
      </vt:variant>
      <vt:variant>
        <vt:i4>411</vt:i4>
      </vt:variant>
      <vt:variant>
        <vt:i4>0</vt:i4>
      </vt:variant>
      <vt:variant>
        <vt:i4>5</vt:i4>
      </vt:variant>
      <vt:variant>
        <vt:lpwstr>C:\Users\svassiliou\AppData\Local\Microsoft\Windows\Temporary Internet Files\Content.MSO\FDCE1A96.xlsm</vt:lpwstr>
      </vt:variant>
      <vt:variant>
        <vt:lpwstr>'Table 16A.12'!A1</vt:lpwstr>
      </vt:variant>
      <vt:variant>
        <vt:i4>4718624</vt:i4>
      </vt:variant>
      <vt:variant>
        <vt:i4>408</vt:i4>
      </vt:variant>
      <vt:variant>
        <vt:i4>0</vt:i4>
      </vt:variant>
      <vt:variant>
        <vt:i4>5</vt:i4>
      </vt:variant>
      <vt:variant>
        <vt:lpwstr>C:\Users\svassiliou\AppData\Local\Microsoft\Windows\Temporary Internet Files\Content.MSO\FDCE1A96.xlsm</vt:lpwstr>
      </vt:variant>
      <vt:variant>
        <vt:lpwstr>'Table 16A.11'!A1</vt:lpwstr>
      </vt:variant>
      <vt:variant>
        <vt:i4>4718625</vt:i4>
      </vt:variant>
      <vt:variant>
        <vt:i4>405</vt:i4>
      </vt:variant>
      <vt:variant>
        <vt:i4>0</vt:i4>
      </vt:variant>
      <vt:variant>
        <vt:i4>5</vt:i4>
      </vt:variant>
      <vt:variant>
        <vt:lpwstr>C:\Users\svassiliou\AppData\Local\Microsoft\Windows\Temporary Internet Files\Content.MSO\FDCE1A96.xlsm</vt:lpwstr>
      </vt:variant>
      <vt:variant>
        <vt:lpwstr>'Table 16A.10'!A1</vt:lpwstr>
      </vt:variant>
      <vt:variant>
        <vt:i4>1441910</vt:i4>
      </vt:variant>
      <vt:variant>
        <vt:i4>402</vt:i4>
      </vt:variant>
      <vt:variant>
        <vt:i4>0</vt:i4>
      </vt:variant>
      <vt:variant>
        <vt:i4>5</vt:i4>
      </vt:variant>
      <vt:variant>
        <vt:lpwstr>C:\Users\svassiliou\AppData\Local\Microsoft\Windows\Temporary Internet Files\Content.MSO\FDCE1A96.xlsm</vt:lpwstr>
      </vt:variant>
      <vt:variant>
        <vt:lpwstr>'Table 16A.9'!A1</vt:lpwstr>
      </vt:variant>
      <vt:variant>
        <vt:i4>1507446</vt:i4>
      </vt:variant>
      <vt:variant>
        <vt:i4>399</vt:i4>
      </vt:variant>
      <vt:variant>
        <vt:i4>0</vt:i4>
      </vt:variant>
      <vt:variant>
        <vt:i4>5</vt:i4>
      </vt:variant>
      <vt:variant>
        <vt:lpwstr>C:\Users\svassiliou\AppData\Local\Microsoft\Windows\Temporary Internet Files\Content.MSO\FDCE1A96.xlsm</vt:lpwstr>
      </vt:variant>
      <vt:variant>
        <vt:lpwstr>'Table 16A.8'!A1</vt:lpwstr>
      </vt:variant>
      <vt:variant>
        <vt:i4>1572982</vt:i4>
      </vt:variant>
      <vt:variant>
        <vt:i4>396</vt:i4>
      </vt:variant>
      <vt:variant>
        <vt:i4>0</vt:i4>
      </vt:variant>
      <vt:variant>
        <vt:i4>5</vt:i4>
      </vt:variant>
      <vt:variant>
        <vt:lpwstr>C:\Users\svassiliou\AppData\Local\Microsoft\Windows\Temporary Internet Files\Content.MSO\FDCE1A96.xlsm</vt:lpwstr>
      </vt:variant>
      <vt:variant>
        <vt:lpwstr>'Table 16A.7'!A1</vt:lpwstr>
      </vt:variant>
      <vt:variant>
        <vt:i4>1638518</vt:i4>
      </vt:variant>
      <vt:variant>
        <vt:i4>393</vt:i4>
      </vt:variant>
      <vt:variant>
        <vt:i4>0</vt:i4>
      </vt:variant>
      <vt:variant>
        <vt:i4>5</vt:i4>
      </vt:variant>
      <vt:variant>
        <vt:lpwstr>C:\Users\svassiliou\AppData\Local\Microsoft\Windows\Temporary Internet Files\Content.MSO\FDCE1A96.xlsm</vt:lpwstr>
      </vt:variant>
      <vt:variant>
        <vt:lpwstr>'Table 16A.6'!A1</vt:lpwstr>
      </vt:variant>
      <vt:variant>
        <vt:i4>1704054</vt:i4>
      </vt:variant>
      <vt:variant>
        <vt:i4>390</vt:i4>
      </vt:variant>
      <vt:variant>
        <vt:i4>0</vt:i4>
      </vt:variant>
      <vt:variant>
        <vt:i4>5</vt:i4>
      </vt:variant>
      <vt:variant>
        <vt:lpwstr>C:\Users\svassiliou\AppData\Local\Microsoft\Windows\Temporary Internet Files\Content.MSO\FDCE1A96.xlsm</vt:lpwstr>
      </vt:variant>
      <vt:variant>
        <vt:lpwstr>'Table 16A.5'!A1</vt:lpwstr>
      </vt:variant>
      <vt:variant>
        <vt:i4>1769590</vt:i4>
      </vt:variant>
      <vt:variant>
        <vt:i4>387</vt:i4>
      </vt:variant>
      <vt:variant>
        <vt:i4>0</vt:i4>
      </vt:variant>
      <vt:variant>
        <vt:i4>5</vt:i4>
      </vt:variant>
      <vt:variant>
        <vt:lpwstr>C:\Users\svassiliou\AppData\Local\Microsoft\Windows\Temporary Internet Files\Content.MSO\FDCE1A96.xlsm</vt:lpwstr>
      </vt:variant>
      <vt:variant>
        <vt:lpwstr>'Table 16A.4'!A1</vt:lpwstr>
      </vt:variant>
      <vt:variant>
        <vt:i4>1835126</vt:i4>
      </vt:variant>
      <vt:variant>
        <vt:i4>384</vt:i4>
      </vt:variant>
      <vt:variant>
        <vt:i4>0</vt:i4>
      </vt:variant>
      <vt:variant>
        <vt:i4>5</vt:i4>
      </vt:variant>
      <vt:variant>
        <vt:lpwstr>C:\Users\svassiliou\AppData\Local\Microsoft\Windows\Temporary Internet Files\Content.MSO\FDCE1A96.xlsm</vt:lpwstr>
      </vt:variant>
      <vt:variant>
        <vt:lpwstr>'Table 16A.3'!A1</vt:lpwstr>
      </vt:variant>
      <vt:variant>
        <vt:i4>1900662</vt:i4>
      </vt:variant>
      <vt:variant>
        <vt:i4>381</vt:i4>
      </vt:variant>
      <vt:variant>
        <vt:i4>0</vt:i4>
      </vt:variant>
      <vt:variant>
        <vt:i4>5</vt:i4>
      </vt:variant>
      <vt:variant>
        <vt:lpwstr>C:\Users\svassiliou\AppData\Local\Microsoft\Windows\Temporary Internet Files\Content.MSO\FDCE1A96.xlsm</vt:lpwstr>
      </vt:variant>
      <vt:variant>
        <vt:lpwstr>'Table 16A.2'!A1</vt:lpwstr>
      </vt:variant>
      <vt:variant>
        <vt:i4>1966198</vt:i4>
      </vt:variant>
      <vt:variant>
        <vt:i4>378</vt:i4>
      </vt:variant>
      <vt:variant>
        <vt:i4>0</vt:i4>
      </vt:variant>
      <vt:variant>
        <vt:i4>5</vt:i4>
      </vt:variant>
      <vt:variant>
        <vt:lpwstr>C:\Users\svassiliou\AppData\Local\Microsoft\Windows\Temporary Internet Files\Content.MSO\FDCE1A96.xlsm</vt:lpwstr>
      </vt:variant>
      <vt:variant>
        <vt:lpwstr>'Table 16A.1'!A1</vt:lpwstr>
      </vt:variant>
      <vt:variant>
        <vt:i4>5636127</vt:i4>
      </vt:variant>
      <vt:variant>
        <vt:i4>375</vt:i4>
      </vt:variant>
      <vt:variant>
        <vt:i4>0</vt:i4>
      </vt:variant>
      <vt:variant>
        <vt:i4>5</vt:i4>
      </vt:variant>
      <vt:variant>
        <vt:lpwstr>http://www.pc.gov.au/gsp</vt:lpwstr>
      </vt:variant>
      <vt:variant>
        <vt:lpwstr/>
      </vt:variant>
      <vt:variant>
        <vt:i4>1048629</vt:i4>
      </vt:variant>
      <vt:variant>
        <vt:i4>44</vt:i4>
      </vt:variant>
      <vt:variant>
        <vt:i4>0</vt:i4>
      </vt:variant>
      <vt:variant>
        <vt:i4>5</vt:i4>
      </vt:variant>
      <vt:variant>
        <vt:lpwstr/>
      </vt:variant>
      <vt:variant>
        <vt:lpwstr>_Toc314211354</vt:lpwstr>
      </vt:variant>
      <vt:variant>
        <vt:i4>1048629</vt:i4>
      </vt:variant>
      <vt:variant>
        <vt:i4>38</vt:i4>
      </vt:variant>
      <vt:variant>
        <vt:i4>0</vt:i4>
      </vt:variant>
      <vt:variant>
        <vt:i4>5</vt:i4>
      </vt:variant>
      <vt:variant>
        <vt:lpwstr/>
      </vt:variant>
      <vt:variant>
        <vt:lpwstr>_Toc314211353</vt:lpwstr>
      </vt:variant>
      <vt:variant>
        <vt:i4>1048629</vt:i4>
      </vt:variant>
      <vt:variant>
        <vt:i4>32</vt:i4>
      </vt:variant>
      <vt:variant>
        <vt:i4>0</vt:i4>
      </vt:variant>
      <vt:variant>
        <vt:i4>5</vt:i4>
      </vt:variant>
      <vt:variant>
        <vt:lpwstr/>
      </vt:variant>
      <vt:variant>
        <vt:lpwstr>_Toc314211352</vt:lpwstr>
      </vt:variant>
      <vt:variant>
        <vt:i4>1048629</vt:i4>
      </vt:variant>
      <vt:variant>
        <vt:i4>26</vt:i4>
      </vt:variant>
      <vt:variant>
        <vt:i4>0</vt:i4>
      </vt:variant>
      <vt:variant>
        <vt:i4>5</vt:i4>
      </vt:variant>
      <vt:variant>
        <vt:lpwstr/>
      </vt:variant>
      <vt:variant>
        <vt:lpwstr>_Toc314211351</vt:lpwstr>
      </vt:variant>
      <vt:variant>
        <vt:i4>1048629</vt:i4>
      </vt:variant>
      <vt:variant>
        <vt:i4>20</vt:i4>
      </vt:variant>
      <vt:variant>
        <vt:i4>0</vt:i4>
      </vt:variant>
      <vt:variant>
        <vt:i4>5</vt:i4>
      </vt:variant>
      <vt:variant>
        <vt:lpwstr/>
      </vt:variant>
      <vt:variant>
        <vt:lpwstr>_Toc314211350</vt:lpwstr>
      </vt:variant>
      <vt:variant>
        <vt:i4>1114165</vt:i4>
      </vt:variant>
      <vt:variant>
        <vt:i4>14</vt:i4>
      </vt:variant>
      <vt:variant>
        <vt:i4>0</vt:i4>
      </vt:variant>
      <vt:variant>
        <vt:i4>5</vt:i4>
      </vt:variant>
      <vt:variant>
        <vt:lpwstr/>
      </vt:variant>
      <vt:variant>
        <vt:lpwstr>_Toc314211349</vt:lpwstr>
      </vt:variant>
      <vt:variant>
        <vt:i4>1114165</vt:i4>
      </vt:variant>
      <vt:variant>
        <vt:i4>8</vt:i4>
      </vt:variant>
      <vt:variant>
        <vt:i4>0</vt:i4>
      </vt:variant>
      <vt:variant>
        <vt:i4>5</vt:i4>
      </vt:variant>
      <vt:variant>
        <vt:lpwstr/>
      </vt:variant>
      <vt:variant>
        <vt:lpwstr>_Toc314211348</vt:lpwstr>
      </vt:variant>
      <vt:variant>
        <vt:i4>1114165</vt:i4>
      </vt:variant>
      <vt:variant>
        <vt:i4>2</vt:i4>
      </vt:variant>
      <vt:variant>
        <vt:i4>0</vt:i4>
      </vt:variant>
      <vt:variant>
        <vt:i4>5</vt:i4>
      </vt:variant>
      <vt:variant>
        <vt:lpwstr/>
      </vt:variant>
      <vt:variant>
        <vt:lpwstr>_Toc314211347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18 Housing - Report on Government Services 2018</dc:title>
  <dc:subject/>
  <dc:creator>Steering Committee for the Review of Government Service Provision</dc:creator>
  <dc:description/>
  <cp:lastModifiedBy>Apeness, Kathryn</cp:lastModifiedBy>
  <cp:revision>3</cp:revision>
  <cp:lastPrinted>2017-12-21T06:38:00Z</cp:lastPrinted>
  <dcterms:created xsi:type="dcterms:W3CDTF">2017-12-22T00:30:00Z</dcterms:created>
  <dcterms:modified xsi:type="dcterms:W3CDTF">2018-01-08T00:14:00Z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