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D06F4" w14:textId="072A459B" w:rsidR="00061391" w:rsidRDefault="009525ED" w:rsidP="009525ED">
      <w:pPr>
        <w:pStyle w:val="Heading1"/>
      </w:pPr>
      <w:bookmarkStart w:id="0" w:name="ChapterNumber"/>
      <w:bookmarkStart w:id="1" w:name="_Toc396916145"/>
      <w:bookmarkStart w:id="2" w:name="_Toc463966140"/>
      <w:bookmarkStart w:id="3" w:name="_Toc526867543"/>
      <w:r>
        <w:t>10</w:t>
      </w:r>
      <w:bookmarkEnd w:id="0"/>
      <w:r>
        <w:tab/>
      </w:r>
      <w:bookmarkStart w:id="4" w:name="ChapterTitle"/>
      <w:r>
        <w:t>Primary and community healt</w:t>
      </w:r>
      <w:bookmarkEnd w:id="4"/>
      <w:r w:rsidR="001E2855">
        <w:t>h</w:t>
      </w:r>
      <w:bookmarkEnd w:id="1"/>
      <w:bookmarkEnd w:id="2"/>
      <w:bookmarkEnd w:id="3"/>
    </w:p>
    <w:sdt>
      <w:sdtPr>
        <w:rPr>
          <w:b/>
          <w:sz w:val="26"/>
          <w:szCs w:val="26"/>
          <w:lang w:eastAsia="en-US"/>
        </w:rPr>
        <w:id w:val="-9990401"/>
        <w:docPartObj>
          <w:docPartGallery w:val="Table of Contents"/>
          <w:docPartUnique/>
        </w:docPartObj>
      </w:sdtPr>
      <w:sdtEndPr>
        <w:rPr>
          <w:b w:val="0"/>
          <w:highlight w:val="yellow"/>
        </w:rPr>
      </w:sdtEndPr>
      <w:sdtContent>
        <w:p w14:paraId="56EE68B4" w14:textId="49CDE8DA" w:rsidR="00234290" w:rsidRDefault="001F1423" w:rsidP="009525ED">
          <w:pPr>
            <w:pStyle w:val="Heading4"/>
            <w:rPr>
              <w:noProof/>
            </w:rPr>
          </w:pPr>
          <w:r w:rsidRPr="004A10AF">
            <w:t>CONTENTS</w:t>
          </w:r>
        </w:p>
        <w:p w14:paraId="40C2567B" w14:textId="2ADF44BC" w:rsidR="00234290" w:rsidRDefault="00234290">
          <w:pPr>
            <w:pStyle w:val="TOC2"/>
            <w:tabs>
              <w:tab w:val="left" w:pos="1320"/>
            </w:tabs>
            <w:rPr>
              <w:rFonts w:asciiTheme="minorHAnsi" w:eastAsiaTheme="minorEastAsia" w:hAnsiTheme="minorHAnsi" w:cstheme="minorBidi"/>
              <w:noProof/>
              <w:sz w:val="22"/>
              <w:szCs w:val="22"/>
              <w:lang w:eastAsia="en-AU"/>
            </w:rPr>
          </w:pPr>
          <w:r>
            <w:rPr>
              <w:noProof/>
            </w:rPr>
            <w:t>10.1</w:t>
          </w:r>
          <w:r>
            <w:rPr>
              <w:rFonts w:asciiTheme="minorHAnsi" w:eastAsiaTheme="minorEastAsia" w:hAnsiTheme="minorHAnsi" w:cstheme="minorBidi"/>
              <w:noProof/>
              <w:sz w:val="22"/>
              <w:szCs w:val="22"/>
              <w:lang w:eastAsia="en-AU"/>
            </w:rPr>
            <w:tab/>
          </w:r>
          <w:r>
            <w:rPr>
              <w:noProof/>
            </w:rPr>
            <w:t>Profile of primary and community health</w:t>
          </w:r>
          <w:r>
            <w:rPr>
              <w:noProof/>
            </w:rPr>
            <w:tab/>
            <w:t>10.</w:t>
          </w:r>
          <w:r w:rsidR="0008386D">
            <w:rPr>
              <w:noProof/>
            </w:rPr>
            <w:t>2</w:t>
          </w:r>
        </w:p>
        <w:p w14:paraId="7A7C88C4" w14:textId="2C592F05" w:rsidR="00234290" w:rsidRDefault="00234290">
          <w:pPr>
            <w:pStyle w:val="TOC2"/>
            <w:tabs>
              <w:tab w:val="left" w:pos="1320"/>
            </w:tabs>
            <w:rPr>
              <w:rFonts w:asciiTheme="minorHAnsi" w:eastAsiaTheme="minorEastAsia" w:hAnsiTheme="minorHAnsi" w:cstheme="minorBidi"/>
              <w:noProof/>
              <w:sz w:val="22"/>
              <w:szCs w:val="22"/>
              <w:lang w:eastAsia="en-AU"/>
            </w:rPr>
          </w:pPr>
          <w:r>
            <w:rPr>
              <w:noProof/>
            </w:rPr>
            <w:t>10.2</w:t>
          </w:r>
          <w:r>
            <w:rPr>
              <w:rFonts w:asciiTheme="minorHAnsi" w:eastAsiaTheme="minorEastAsia" w:hAnsiTheme="minorHAnsi" w:cstheme="minorBidi"/>
              <w:noProof/>
              <w:sz w:val="22"/>
              <w:szCs w:val="22"/>
              <w:lang w:eastAsia="en-AU"/>
            </w:rPr>
            <w:tab/>
          </w:r>
          <w:r>
            <w:rPr>
              <w:noProof/>
            </w:rPr>
            <w:t>Framework of performance indicators</w:t>
          </w:r>
          <w:r>
            <w:rPr>
              <w:noProof/>
            </w:rPr>
            <w:tab/>
            <w:t>10.</w:t>
          </w:r>
          <w:r w:rsidR="0008386D">
            <w:rPr>
              <w:noProof/>
            </w:rPr>
            <w:t>6</w:t>
          </w:r>
        </w:p>
        <w:p w14:paraId="1697D079" w14:textId="6C7CED1A" w:rsidR="00234290" w:rsidRDefault="00234290">
          <w:pPr>
            <w:pStyle w:val="TOC2"/>
            <w:tabs>
              <w:tab w:val="left" w:pos="1320"/>
            </w:tabs>
            <w:rPr>
              <w:rFonts w:asciiTheme="minorHAnsi" w:eastAsiaTheme="minorEastAsia" w:hAnsiTheme="minorHAnsi" w:cstheme="minorBidi"/>
              <w:noProof/>
              <w:sz w:val="22"/>
              <w:szCs w:val="22"/>
              <w:lang w:eastAsia="en-AU"/>
            </w:rPr>
          </w:pPr>
          <w:r>
            <w:rPr>
              <w:noProof/>
            </w:rPr>
            <w:t>10.3</w:t>
          </w:r>
          <w:r>
            <w:rPr>
              <w:rFonts w:asciiTheme="minorHAnsi" w:eastAsiaTheme="minorEastAsia" w:hAnsiTheme="minorHAnsi" w:cstheme="minorBidi"/>
              <w:noProof/>
              <w:sz w:val="22"/>
              <w:szCs w:val="22"/>
              <w:lang w:eastAsia="en-AU"/>
            </w:rPr>
            <w:tab/>
          </w:r>
          <w:r>
            <w:rPr>
              <w:noProof/>
            </w:rPr>
            <w:t>Key performance indicator results</w:t>
          </w:r>
          <w:r>
            <w:rPr>
              <w:noProof/>
            </w:rPr>
            <w:tab/>
            <w:t>10.</w:t>
          </w:r>
          <w:r w:rsidR="0008386D">
            <w:rPr>
              <w:noProof/>
            </w:rPr>
            <w:t>7</w:t>
          </w:r>
        </w:p>
        <w:p w14:paraId="592582CE" w14:textId="78BBB7B9" w:rsidR="00234290" w:rsidRDefault="00234290">
          <w:pPr>
            <w:pStyle w:val="TOC2"/>
            <w:tabs>
              <w:tab w:val="left" w:pos="1320"/>
            </w:tabs>
            <w:rPr>
              <w:rFonts w:asciiTheme="minorHAnsi" w:eastAsiaTheme="minorEastAsia" w:hAnsiTheme="minorHAnsi" w:cstheme="minorBidi"/>
              <w:noProof/>
              <w:sz w:val="22"/>
              <w:szCs w:val="22"/>
              <w:lang w:eastAsia="en-AU"/>
            </w:rPr>
          </w:pPr>
          <w:r>
            <w:rPr>
              <w:noProof/>
            </w:rPr>
            <w:t>10.4</w:t>
          </w:r>
          <w:r>
            <w:rPr>
              <w:rFonts w:asciiTheme="minorHAnsi" w:eastAsiaTheme="minorEastAsia" w:hAnsiTheme="minorHAnsi" w:cstheme="minorBidi"/>
              <w:noProof/>
              <w:sz w:val="22"/>
              <w:szCs w:val="22"/>
              <w:lang w:eastAsia="en-AU"/>
            </w:rPr>
            <w:tab/>
          </w:r>
          <w:r>
            <w:rPr>
              <w:noProof/>
            </w:rPr>
            <w:t>Definitions of key terms</w:t>
          </w:r>
          <w:r>
            <w:rPr>
              <w:noProof/>
            </w:rPr>
            <w:tab/>
            <w:t>10.</w:t>
          </w:r>
          <w:r w:rsidR="0008386D">
            <w:rPr>
              <w:noProof/>
            </w:rPr>
            <w:t>34</w:t>
          </w:r>
        </w:p>
        <w:p w14:paraId="0F17F24E" w14:textId="71F7563D" w:rsidR="00234290" w:rsidRDefault="00234290">
          <w:pPr>
            <w:pStyle w:val="TOC2"/>
            <w:tabs>
              <w:tab w:val="left" w:pos="1320"/>
            </w:tabs>
            <w:rPr>
              <w:rFonts w:asciiTheme="minorHAnsi" w:eastAsiaTheme="minorEastAsia" w:hAnsiTheme="minorHAnsi" w:cstheme="minorBidi"/>
              <w:noProof/>
              <w:sz w:val="22"/>
              <w:szCs w:val="22"/>
              <w:lang w:eastAsia="en-AU"/>
            </w:rPr>
          </w:pPr>
          <w:r>
            <w:rPr>
              <w:noProof/>
            </w:rPr>
            <w:t>10.5</w:t>
          </w:r>
          <w:r>
            <w:rPr>
              <w:rFonts w:asciiTheme="minorHAnsi" w:eastAsiaTheme="minorEastAsia" w:hAnsiTheme="minorHAnsi" w:cstheme="minorBidi"/>
              <w:noProof/>
              <w:sz w:val="22"/>
              <w:szCs w:val="22"/>
              <w:lang w:eastAsia="en-AU"/>
            </w:rPr>
            <w:tab/>
          </w:r>
          <w:r>
            <w:rPr>
              <w:noProof/>
            </w:rPr>
            <w:t>References</w:t>
          </w:r>
          <w:r>
            <w:rPr>
              <w:noProof/>
            </w:rPr>
            <w:tab/>
            <w:t>10.</w:t>
          </w:r>
          <w:r w:rsidR="0008386D">
            <w:rPr>
              <w:noProof/>
            </w:rPr>
            <w:t>37</w:t>
          </w:r>
        </w:p>
        <w:p w14:paraId="15CCDDF0" w14:textId="525CB664" w:rsidR="00A54B3F" w:rsidRPr="004A10AF" w:rsidRDefault="00AE2BA6" w:rsidP="00A54B3F">
          <w:pPr>
            <w:pStyle w:val="TOC2"/>
            <w:tabs>
              <w:tab w:val="left" w:pos="1134"/>
            </w:tabs>
          </w:pPr>
        </w:p>
      </w:sdtContent>
    </w:sdt>
    <w:p w14:paraId="6F6B0276" w14:textId="7D756EF6" w:rsidR="00D728C8" w:rsidRDefault="00D728C8">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D728C8" w14:paraId="77DB10CA" w14:textId="77777777" w:rsidTr="005D0593">
        <w:tc>
          <w:tcPr>
            <w:tcW w:w="8793" w:type="dxa"/>
            <w:tcBorders>
              <w:top w:val="single" w:sz="6" w:space="0" w:color="78A22F"/>
              <w:left w:val="nil"/>
              <w:bottom w:val="nil"/>
              <w:right w:val="nil"/>
            </w:tcBorders>
            <w:shd w:val="clear" w:color="auto" w:fill="F2F2F2"/>
          </w:tcPr>
          <w:p w14:paraId="774A48E2" w14:textId="77777777" w:rsidR="00D728C8" w:rsidRDefault="00D728C8">
            <w:pPr>
              <w:pStyle w:val="BoxTitle"/>
            </w:pPr>
            <w:r w:rsidRPr="00744FCC">
              <w:t>Attachment tables</w:t>
            </w:r>
          </w:p>
        </w:tc>
      </w:tr>
      <w:tr w:rsidR="00D728C8" w14:paraId="2D2ADEC2" w14:textId="77777777" w:rsidTr="005D0593">
        <w:trPr>
          <w:cantSplit/>
        </w:trPr>
        <w:tc>
          <w:tcPr>
            <w:tcW w:w="8793" w:type="dxa"/>
            <w:tcBorders>
              <w:top w:val="nil"/>
              <w:left w:val="nil"/>
              <w:bottom w:val="nil"/>
              <w:right w:val="nil"/>
            </w:tcBorders>
            <w:shd w:val="clear" w:color="auto" w:fill="F2F2F2"/>
          </w:tcPr>
          <w:p w14:paraId="2A201DFB" w14:textId="4686700C" w:rsidR="00D728C8" w:rsidRDefault="00D728C8" w:rsidP="00B50492">
            <w:pPr>
              <w:pStyle w:val="Box"/>
            </w:pPr>
            <w:r w:rsidRPr="00D728C8">
              <w:t>Attachment tables are identified in references throughout this chapter by a ‘10A’ pre</w:t>
            </w:r>
            <w:r w:rsidR="00265BEE">
              <w:t xml:space="preserve">fix (for example, table 10A.1) and </w:t>
            </w:r>
            <w:r w:rsidRPr="00D728C8">
              <w:t xml:space="preserve">are available </w:t>
            </w:r>
            <w:r w:rsidR="00134B15">
              <w:t>on</w:t>
            </w:r>
            <w:r w:rsidRPr="00D728C8">
              <w:t xml:space="preserve"> the website </w:t>
            </w:r>
            <w:r w:rsidR="008A3D1E" w:rsidRPr="008A3D1E">
              <w:t>https://www.pc.gov.au/research/</w:t>
            </w:r>
            <w:r w:rsidR="00A23754">
              <w:t xml:space="preserve"> </w:t>
            </w:r>
            <w:r w:rsidR="008A3D1E" w:rsidRPr="008A3D1E">
              <w:t>ongoing/report-on-government-services</w:t>
            </w:r>
            <w:r w:rsidRPr="00D728C8">
              <w:t>.</w:t>
            </w:r>
          </w:p>
        </w:tc>
      </w:tr>
      <w:tr w:rsidR="00D728C8" w14:paraId="6BF65821" w14:textId="77777777" w:rsidTr="005D0593">
        <w:trPr>
          <w:cantSplit/>
        </w:trPr>
        <w:tc>
          <w:tcPr>
            <w:tcW w:w="8793" w:type="dxa"/>
            <w:tcBorders>
              <w:top w:val="nil"/>
              <w:left w:val="nil"/>
              <w:bottom w:val="single" w:sz="6" w:space="0" w:color="78A22F"/>
              <w:right w:val="nil"/>
            </w:tcBorders>
            <w:shd w:val="clear" w:color="auto" w:fill="F2F2F2"/>
          </w:tcPr>
          <w:p w14:paraId="60B07145" w14:textId="77777777" w:rsidR="00D728C8" w:rsidRDefault="00D728C8">
            <w:pPr>
              <w:pStyle w:val="Box"/>
              <w:spacing w:before="0" w:line="120" w:lineRule="exact"/>
            </w:pPr>
          </w:p>
        </w:tc>
      </w:tr>
      <w:tr w:rsidR="00D728C8" w:rsidRPr="000863A5" w14:paraId="623C35C3" w14:textId="77777777" w:rsidTr="005D0593">
        <w:tc>
          <w:tcPr>
            <w:tcW w:w="8793" w:type="dxa"/>
            <w:tcBorders>
              <w:top w:val="single" w:sz="6" w:space="0" w:color="78A22F"/>
              <w:left w:val="nil"/>
              <w:bottom w:val="nil"/>
              <w:right w:val="nil"/>
            </w:tcBorders>
          </w:tcPr>
          <w:p w14:paraId="649FD1B0" w14:textId="77777777" w:rsidR="00D728C8" w:rsidRPr="00626D32" w:rsidRDefault="00D728C8" w:rsidP="00C3426D">
            <w:pPr>
              <w:pStyle w:val="BoxSpaceBelow"/>
            </w:pPr>
          </w:p>
        </w:tc>
      </w:tr>
    </w:tbl>
    <w:p w14:paraId="3AE7581A" w14:textId="41C3131F" w:rsidR="00320815" w:rsidRPr="000E768B" w:rsidRDefault="001E7871" w:rsidP="00320815">
      <w:pPr>
        <w:pStyle w:val="BodyText"/>
      </w:pPr>
      <w:r w:rsidRPr="001E7871">
        <w:t xml:space="preserve">This chapter reports on the performance of </w:t>
      </w:r>
      <w:r>
        <w:t>p</w:t>
      </w:r>
      <w:r w:rsidR="00320815">
        <w:t xml:space="preserve">rimary and community </w:t>
      </w:r>
      <w:r w:rsidR="00320815" w:rsidRPr="00C8787E">
        <w:t>health</w:t>
      </w:r>
      <w:r w:rsidR="00320815">
        <w:t xml:space="preserve"> services</w:t>
      </w:r>
      <w:r w:rsidR="002A0011">
        <w:t xml:space="preserve"> which </w:t>
      </w:r>
      <w:r w:rsidR="00320815">
        <w:t xml:space="preserve">include general practice, </w:t>
      </w:r>
      <w:r w:rsidR="0095054D">
        <w:t>pharmaceutical services</w:t>
      </w:r>
      <w:r w:rsidR="001412F3">
        <w:t xml:space="preserve">, dentistry, </w:t>
      </w:r>
      <w:r w:rsidR="00320815">
        <w:t xml:space="preserve">allied health services, </w:t>
      </w:r>
      <w:r w:rsidR="0008540E">
        <w:t xml:space="preserve">community health services, </w:t>
      </w:r>
      <w:r w:rsidR="0095054D">
        <w:t>maternal and child health</w:t>
      </w:r>
      <w:r w:rsidR="0008540E">
        <w:t xml:space="preserve"> and</w:t>
      </w:r>
      <w:r w:rsidR="0095054D">
        <w:t xml:space="preserve"> </w:t>
      </w:r>
      <w:r w:rsidR="00320815">
        <w:t>alcohol and other dru</w:t>
      </w:r>
      <w:r w:rsidR="00361262">
        <w:t>g treatment.</w:t>
      </w:r>
      <w:r w:rsidR="00A9633A" w:rsidRPr="00320815">
        <w:t xml:space="preserve"> </w:t>
      </w:r>
      <w:r w:rsidR="002A0011">
        <w:t>T</w:t>
      </w:r>
      <w:r w:rsidR="00414281">
        <w:t xml:space="preserve">his chapter does not </w:t>
      </w:r>
      <w:r w:rsidR="002A0011">
        <w:t>include</w:t>
      </w:r>
      <w:r w:rsidR="00414281">
        <w:t>:</w:t>
      </w:r>
    </w:p>
    <w:p w14:paraId="582BA440" w14:textId="77777777" w:rsidR="00320815" w:rsidRDefault="00320815" w:rsidP="00320815">
      <w:pPr>
        <w:pStyle w:val="ListBullet"/>
      </w:pPr>
      <w:r>
        <w:t xml:space="preserve">public hospital emergency departments and </w:t>
      </w:r>
      <w:r w:rsidRPr="00C8787E">
        <w:t>outpatient</w:t>
      </w:r>
      <w:r>
        <w:t xml:space="preserve"> services (reported in chapter </w:t>
      </w:r>
      <w:r w:rsidRPr="00BB1180">
        <w:t>1</w:t>
      </w:r>
      <w:r w:rsidR="00BB1180">
        <w:t>2</w:t>
      </w:r>
      <w:r>
        <w:t>, ‘Public hospitals’)</w:t>
      </w:r>
    </w:p>
    <w:p w14:paraId="1D491E0B" w14:textId="77777777" w:rsidR="00320815" w:rsidRDefault="00320815" w:rsidP="00320815">
      <w:pPr>
        <w:pStyle w:val="ListBullet"/>
      </w:pPr>
      <w:r>
        <w:t>community mental health services (reported in chapter </w:t>
      </w:r>
      <w:r w:rsidRPr="00BB1180">
        <w:t>1</w:t>
      </w:r>
      <w:r w:rsidR="00BB1180">
        <w:t>3</w:t>
      </w:r>
      <w:r>
        <w:t>, ‘</w:t>
      </w:r>
      <w:r w:rsidRPr="004D7297">
        <w:t>Mental health management</w:t>
      </w:r>
      <w:r>
        <w:t>’)</w:t>
      </w:r>
    </w:p>
    <w:p w14:paraId="191249F7" w14:textId="77777777" w:rsidR="00320815" w:rsidRPr="00F30540" w:rsidRDefault="00320815" w:rsidP="00320815">
      <w:pPr>
        <w:pStyle w:val="ListBullet"/>
      </w:pPr>
      <w:r w:rsidRPr="00F30540">
        <w:t>Home and Community Care program services (reported in chapter 1</w:t>
      </w:r>
      <w:r w:rsidR="00BB1180" w:rsidRPr="00F30540">
        <w:t>4</w:t>
      </w:r>
      <w:r w:rsidRPr="00F30540">
        <w:t>, ‘Aged care’ and chapter 1</w:t>
      </w:r>
      <w:r w:rsidR="00BB1180" w:rsidRPr="00F30540">
        <w:t>5</w:t>
      </w:r>
      <w:r w:rsidRPr="00F30540">
        <w:t>, ‘Services for people with disability’).</w:t>
      </w:r>
    </w:p>
    <w:p w14:paraId="6DAC4485" w14:textId="31D7B643" w:rsidR="00320815" w:rsidRPr="00E52E8A" w:rsidRDefault="004A1C3D" w:rsidP="00320815">
      <w:pPr>
        <w:pStyle w:val="BodyText"/>
      </w:pPr>
      <w:r>
        <w:t xml:space="preserve">Further information on the Report on Government Services including other reported service areas, the glossary and list of abbreviations is available at </w:t>
      </w:r>
      <w:r w:rsidR="008A3D1E" w:rsidRPr="008A3D1E">
        <w:t>https://www.pc.gov.au/</w:t>
      </w:r>
      <w:r w:rsidR="00A23754">
        <w:t xml:space="preserve"> </w:t>
      </w:r>
      <w:r w:rsidR="008A3D1E" w:rsidRPr="008A3D1E">
        <w:t>research/ongoing/report-on-government-services</w:t>
      </w:r>
      <w:r>
        <w:t xml:space="preserve">. </w:t>
      </w:r>
    </w:p>
    <w:p w14:paraId="04CDA093" w14:textId="63200554" w:rsidR="00320815" w:rsidRPr="00BC1CC1" w:rsidRDefault="009525ED" w:rsidP="00320815">
      <w:pPr>
        <w:pStyle w:val="Heading2"/>
      </w:pPr>
      <w:bookmarkStart w:id="5" w:name="_Toc526867544"/>
      <w:r>
        <w:lastRenderedPageBreak/>
        <w:t>10.</w:t>
      </w:r>
      <w:r w:rsidR="0008386D">
        <w:rPr>
          <w:noProof/>
        </w:rPr>
        <w:t>1</w:t>
      </w:r>
      <w:r w:rsidR="00C31CF2">
        <w:tab/>
      </w:r>
      <w:r w:rsidR="00320815" w:rsidRPr="00BC1CC1">
        <w:t>Profile of primary and community health</w:t>
      </w:r>
      <w:bookmarkEnd w:id="5"/>
    </w:p>
    <w:p w14:paraId="5F95DD6D" w14:textId="77777777" w:rsidR="00320815" w:rsidRDefault="003668EB" w:rsidP="00320815">
      <w:pPr>
        <w:pStyle w:val="Heading3"/>
      </w:pPr>
      <w:r>
        <w:t>R</w:t>
      </w:r>
      <w:r w:rsidR="00320815">
        <w:t>oles and responsibilities</w:t>
      </w:r>
    </w:p>
    <w:p w14:paraId="135C7704" w14:textId="053057CB" w:rsidR="007779F4" w:rsidRDefault="008D2B0D" w:rsidP="007779F4">
      <w:pPr>
        <w:pStyle w:val="BodyText"/>
      </w:pPr>
      <w:r>
        <w:t>Primary and community health</w:t>
      </w:r>
      <w:r w:rsidR="007779F4" w:rsidRPr="000127B7">
        <w:t xml:space="preserve"> services are delivered by a range of </w:t>
      </w:r>
      <w:r w:rsidR="007779F4" w:rsidRPr="003668EB">
        <w:t>health and allied health professionals in various private, not</w:t>
      </w:r>
      <w:r w:rsidR="007779F4">
        <w:noBreakHyphen/>
      </w:r>
      <w:r w:rsidR="007779F4" w:rsidRPr="003668EB">
        <w:t>for</w:t>
      </w:r>
      <w:r w:rsidR="007779F4">
        <w:noBreakHyphen/>
      </w:r>
      <w:r w:rsidR="007779F4" w:rsidRPr="003668EB">
        <w:t xml:space="preserve">profit and government service settings. </w:t>
      </w:r>
      <w:r w:rsidR="007779F4">
        <w:t>Definitions for common health terms are provided in section 10.4.</w:t>
      </w:r>
    </w:p>
    <w:p w14:paraId="5D4E94D1" w14:textId="77777777" w:rsidR="007779F4" w:rsidRDefault="007779F4" w:rsidP="007779F4">
      <w:pPr>
        <w:pStyle w:val="Heading4"/>
      </w:pPr>
      <w:r>
        <w:t>General practice</w:t>
      </w:r>
    </w:p>
    <w:p w14:paraId="2AAFF0E4" w14:textId="6B8284E4" w:rsidR="007779F4" w:rsidRDefault="007779F4" w:rsidP="007779F4">
      <w:pPr>
        <w:pStyle w:val="BodyText"/>
      </w:pPr>
      <w:r>
        <w:t xml:space="preserve">General practice is a major provider of primary healthcare in Australia. General </w:t>
      </w:r>
      <w:r w:rsidR="004B7576">
        <w:t>p</w:t>
      </w:r>
      <w:r>
        <w:t xml:space="preserve">ractice services </w:t>
      </w:r>
      <w:r w:rsidRPr="00360D7C">
        <w:t>include preventative care</w:t>
      </w:r>
      <w:r>
        <w:t xml:space="preserve"> and the</w:t>
      </w:r>
      <w:r w:rsidRPr="00360D7C">
        <w:t xml:space="preserve"> diagnosis and treatment of illness and injury, through direct service provision and/or referral to acute (hospital) or other healthcare services, as appropriate.</w:t>
      </w:r>
    </w:p>
    <w:p w14:paraId="3AB921F0" w14:textId="72A4AB90" w:rsidR="007779F4" w:rsidRDefault="007779F4" w:rsidP="007779F4">
      <w:pPr>
        <w:pStyle w:val="BodyText"/>
      </w:pPr>
      <w:r>
        <w:t>The Australian Government provides the majority of general practice income, through D</w:t>
      </w:r>
      <w:r w:rsidR="008D2B0D">
        <w:t xml:space="preserve">epartment of </w:t>
      </w:r>
      <w:r>
        <w:t>H</w:t>
      </w:r>
      <w:r w:rsidR="008D2B0D">
        <w:t xml:space="preserve">uman </w:t>
      </w:r>
      <w:r>
        <w:t>S</w:t>
      </w:r>
      <w:r w:rsidR="008D2B0D">
        <w:t>ervices (DHS)</w:t>
      </w:r>
      <w:r>
        <w:t xml:space="preserve"> Medicare — mainly as fee</w:t>
      </w:r>
      <w:r>
        <w:noBreakHyphen/>
        <w:t>for</w:t>
      </w:r>
      <w:r>
        <w:noBreakHyphen/>
        <w:t xml:space="preserve">service payments via the Medicare Benefits Schedule (MBS) — and the Department of Veterans Affairs (DVA). </w:t>
      </w:r>
      <w:r w:rsidRPr="00B5665D">
        <w:t xml:space="preserve">Additional funding is provided to influence the supply, regional distribution and quality of general practice services, through initiatives such as the Practice Incentives Program (PIP) and </w:t>
      </w:r>
      <w:r>
        <w:t>Primary Health Networks (</w:t>
      </w:r>
      <w:r w:rsidRPr="00B5665D">
        <w:t>PHNs</w:t>
      </w:r>
      <w:r>
        <w:t>)</w:t>
      </w:r>
      <w:r w:rsidRPr="00B5665D">
        <w:t xml:space="preserve"> (Australian Government DHS 2015)</w:t>
      </w:r>
      <w:r w:rsidRPr="00933C1A">
        <w:t>.</w:t>
      </w:r>
      <w:r>
        <w:t xml:space="preserve"> </w:t>
      </w:r>
      <w:r w:rsidRPr="00C60B1C">
        <w:t xml:space="preserve">State and Territory governments also provide some funding </w:t>
      </w:r>
      <w:r>
        <w:t xml:space="preserve">for such programs, mainly </w:t>
      </w:r>
      <w:r w:rsidRPr="007639D2">
        <w:t>to influence the availability of GPs in rural and remote areas</w:t>
      </w:r>
      <w:r w:rsidRPr="00C60B1C">
        <w:t>.</w:t>
      </w:r>
      <w:r>
        <w:t xml:space="preserve"> The remainder comes </w:t>
      </w:r>
      <w:r w:rsidR="008D2B0D">
        <w:t>primarily</w:t>
      </w:r>
      <w:r>
        <w:t xml:space="preserve"> from insurance schemes and patient contributions.</w:t>
      </w:r>
    </w:p>
    <w:p w14:paraId="6B57B61F" w14:textId="77777777" w:rsidR="007779F4" w:rsidRDefault="007779F4" w:rsidP="007779F4">
      <w:pPr>
        <w:pStyle w:val="Heading4"/>
      </w:pPr>
      <w:r>
        <w:t>Pharmaceutical services</w:t>
      </w:r>
    </w:p>
    <w:p w14:paraId="1EF2BD79" w14:textId="48E0B103" w:rsidR="007779F4" w:rsidRPr="00097C57" w:rsidRDefault="007779F4" w:rsidP="007779F4">
      <w:pPr>
        <w:pStyle w:val="BodyText"/>
      </w:pPr>
      <w:r w:rsidRPr="003B0B3C">
        <w:t xml:space="preserve">The </w:t>
      </w:r>
      <w:r w:rsidRPr="0075654A">
        <w:t>Australian Government fund</w:t>
      </w:r>
      <w:r w:rsidR="0008540E" w:rsidRPr="0075654A">
        <w:t>s the</w:t>
      </w:r>
      <w:r w:rsidRPr="0075654A">
        <w:t xml:space="preserve"> Pharmaceutical Benefits Scheme (PBS)</w:t>
      </w:r>
      <w:r w:rsidR="005D28B4" w:rsidRPr="0075654A">
        <w:t>, which subsidises the cost of many medicines in Australia</w:t>
      </w:r>
      <w:r w:rsidRPr="0075654A">
        <w:t>.</w:t>
      </w:r>
      <w:r w:rsidR="005D28B4" w:rsidRPr="0075654A">
        <w:t xml:space="preserve"> The PBS </w:t>
      </w:r>
      <w:r w:rsidR="00221BD7" w:rsidRPr="0075654A">
        <w:t xml:space="preserve">schedule </w:t>
      </w:r>
      <w:r w:rsidR="005D28B4" w:rsidRPr="0075654A">
        <w:t xml:space="preserve">sets a price </w:t>
      </w:r>
      <w:r w:rsidR="004A1AF3" w:rsidRPr="0075654A">
        <w:t xml:space="preserve">for </w:t>
      </w:r>
      <w:r w:rsidR="00221BD7" w:rsidRPr="0075654A">
        <w:t xml:space="preserve">listed medicines </w:t>
      </w:r>
      <w:r w:rsidR="005D28B4" w:rsidRPr="0075654A">
        <w:t xml:space="preserve">and a maximum co-payment amount that people </w:t>
      </w:r>
      <w:r w:rsidR="00221BD7" w:rsidRPr="0075654A">
        <w:t xml:space="preserve">contribute </w:t>
      </w:r>
      <w:r w:rsidR="005D28B4" w:rsidRPr="0075654A">
        <w:t>towards the cost of the</w:t>
      </w:r>
      <w:r w:rsidR="00674EB8" w:rsidRPr="0075654A">
        <w:t>se</w:t>
      </w:r>
      <w:r w:rsidR="005D28B4" w:rsidRPr="0075654A">
        <w:t xml:space="preserve"> medicines</w:t>
      </w:r>
      <w:r w:rsidR="00F157F6" w:rsidRPr="0075654A">
        <w:t>. T</w:t>
      </w:r>
      <w:r w:rsidR="004A1AF3" w:rsidRPr="0075654A">
        <w:t xml:space="preserve">he Australian Government </w:t>
      </w:r>
      <w:r w:rsidR="00F157F6" w:rsidRPr="0075654A">
        <w:t>subsidises</w:t>
      </w:r>
      <w:r w:rsidR="004A1AF3" w:rsidRPr="0075654A">
        <w:t xml:space="preserve"> </w:t>
      </w:r>
      <w:r w:rsidR="00FD7545" w:rsidRPr="0075654A">
        <w:t>any</w:t>
      </w:r>
      <w:r w:rsidR="004A1AF3" w:rsidRPr="0075654A">
        <w:t xml:space="preserve"> difference</w:t>
      </w:r>
      <w:r w:rsidR="00FD7545" w:rsidRPr="0075654A">
        <w:t xml:space="preserve"> </w:t>
      </w:r>
      <w:r w:rsidR="001D7E4D" w:rsidRPr="0075654A">
        <w:t>where</w:t>
      </w:r>
      <w:r w:rsidR="00FD7545" w:rsidRPr="0075654A">
        <w:t xml:space="preserve"> the listed price exceeds the patient co-contribution</w:t>
      </w:r>
      <w:r w:rsidR="00E76AF2" w:rsidRPr="0075654A">
        <w:t xml:space="preserve"> (whether </w:t>
      </w:r>
      <w:r w:rsidR="00FF2D4B" w:rsidRPr="0075654A">
        <w:t xml:space="preserve">for </w:t>
      </w:r>
      <w:r w:rsidR="00E76AF2" w:rsidRPr="0075654A">
        <w:t>general or concessional</w:t>
      </w:r>
      <w:r w:rsidR="00903BE3" w:rsidRPr="0075654A">
        <w:t xml:space="preserve"> patients</w:t>
      </w:r>
      <w:r w:rsidR="00E76AF2" w:rsidRPr="0075654A">
        <w:t>)</w:t>
      </w:r>
      <w:r w:rsidR="005D28B4" w:rsidRPr="0075654A">
        <w:t>.</w:t>
      </w:r>
      <w:r w:rsidRPr="0075654A">
        <w:t xml:space="preserve"> </w:t>
      </w:r>
      <w:r w:rsidR="00AE238C" w:rsidRPr="0075654A">
        <w:t>Around 70 </w:t>
      </w:r>
      <w:r w:rsidR="00296A4C" w:rsidRPr="0075654A">
        <w:t>pe</w:t>
      </w:r>
      <w:r w:rsidR="00934256">
        <w:t>r cent of prescriptions for PBS-</w:t>
      </w:r>
      <w:r w:rsidR="00296A4C" w:rsidRPr="0075654A">
        <w:t>listed medicines attract a PBS subsidy</w:t>
      </w:r>
      <w:r w:rsidR="00B0610D" w:rsidRPr="0075654A">
        <w:t xml:space="preserve"> (the remainder are under the general co-payment level)</w:t>
      </w:r>
      <w:r w:rsidRPr="0075654A">
        <w:t xml:space="preserve"> (Department of Health 201</w:t>
      </w:r>
      <w:r w:rsidR="00C2651D" w:rsidRPr="0075654A">
        <w:t>7</w:t>
      </w:r>
      <w:r w:rsidRPr="0075654A">
        <w:t>). Co</w:t>
      </w:r>
      <w:r w:rsidR="00AC5856">
        <w:noBreakHyphen/>
      </w:r>
      <w:r w:rsidRPr="0075654A">
        <w:t xml:space="preserve">payments are subject to </w:t>
      </w:r>
      <w:r w:rsidRPr="002F29F6">
        <w:t>a safety net threshold.</w:t>
      </w:r>
    </w:p>
    <w:p w14:paraId="615B8852" w14:textId="77777777" w:rsidR="007779F4" w:rsidRDefault="007779F4" w:rsidP="007779F4">
      <w:pPr>
        <w:pStyle w:val="BodyText"/>
      </w:pPr>
      <w:r>
        <w:t xml:space="preserve">The Repatriation Pharmaceutical Benefits Scheme (RPBS) provides subsidised pharmaceutical medicines, dressings and other items to war veterans and war widows. </w:t>
      </w:r>
      <w:r w:rsidRPr="003B5698">
        <w:t xml:space="preserve">The </w:t>
      </w:r>
      <w:r>
        <w:t>RPBS is administered by the DVA.</w:t>
      </w:r>
    </w:p>
    <w:p w14:paraId="0F89A8EE" w14:textId="77777777" w:rsidR="007779F4" w:rsidRDefault="007779F4" w:rsidP="007779F4">
      <w:pPr>
        <w:pStyle w:val="Heading4"/>
      </w:pPr>
      <w:r>
        <w:lastRenderedPageBreak/>
        <w:t>Dental services</w:t>
      </w:r>
    </w:p>
    <w:p w14:paraId="2F225E98" w14:textId="3B227D13" w:rsidR="007779F4" w:rsidRPr="00097C57" w:rsidRDefault="007779F4" w:rsidP="007779F4">
      <w:pPr>
        <w:pStyle w:val="BodyText"/>
        <w:tabs>
          <w:tab w:val="left" w:pos="6946"/>
          <w:tab w:val="left" w:pos="8222"/>
          <w:tab w:val="left" w:pos="8647"/>
        </w:tabs>
      </w:pPr>
      <w:r>
        <w:t xml:space="preserve">Australia has a mixed system of public and private dental healthcare. State and Territory governments have the main </w:t>
      </w:r>
      <w:r w:rsidRPr="00625FFC">
        <w:t>responsibility for funding and deliver</w:t>
      </w:r>
      <w:r w:rsidR="002D199E">
        <w:t>ing</w:t>
      </w:r>
      <w:r w:rsidRPr="00625FFC">
        <w:t xml:space="preserve"> major public dental programs, with public dental services primarily available to children and disadvantaged adults. The private sector receives funding to provide some public dental services, from the Australian Government through the DVA and the </w:t>
      </w:r>
      <w:r w:rsidR="003976CF" w:rsidRPr="00862F2D">
        <w:t>Child</w:t>
      </w:r>
      <w:r w:rsidR="003976CF">
        <w:t xml:space="preserve"> </w:t>
      </w:r>
      <w:r w:rsidRPr="00625FFC">
        <w:t>Dental Benefits Schedule,</w:t>
      </w:r>
      <w:r>
        <w:t xml:space="preserve"> and from State and Territory governments through dental voucher systems.</w:t>
      </w:r>
    </w:p>
    <w:p w14:paraId="5493C688" w14:textId="77777777" w:rsidR="007779F4" w:rsidRDefault="007779F4" w:rsidP="007779F4">
      <w:pPr>
        <w:pStyle w:val="Heading4"/>
      </w:pPr>
      <w:r>
        <w:t>Allied health services</w:t>
      </w:r>
    </w:p>
    <w:p w14:paraId="44343D07" w14:textId="30259B2E" w:rsidR="007779F4" w:rsidRPr="00A9633A" w:rsidRDefault="007779F4" w:rsidP="007779F4">
      <w:pPr>
        <w:pStyle w:val="BodyText"/>
        <w:tabs>
          <w:tab w:val="left" w:pos="7513"/>
        </w:tabs>
      </w:pPr>
      <w:r>
        <w:t>Allied health services include, but are not limited to, physiotherapy, psychology, occupational therapy, audiology, podiatry and osteopathy. They are delivered mainly in the private sector. Some government funding of private allied health services is provided through insurance schemes and the private health insurance rebate. The Australian Government makes some allied health services available under the MBS to patients with particular needs — for example, people with chronic conditions and complex care needs</w:t>
      </w:r>
      <w:r w:rsidRPr="00865E22">
        <w:t>.</w:t>
      </w:r>
      <w:r>
        <w:t xml:space="preserve"> </w:t>
      </w:r>
      <w:r w:rsidRPr="005D3CD2">
        <w:t>Employment data for occupational therapists and psychologists working in the public sector are presented in table 10A.2</w:t>
      </w:r>
      <w:r w:rsidR="00D0107E">
        <w:t>3</w:t>
      </w:r>
      <w:r w:rsidRPr="005D3CD2">
        <w:t>.</w:t>
      </w:r>
    </w:p>
    <w:p w14:paraId="2316056B" w14:textId="77777777" w:rsidR="007779F4" w:rsidRDefault="007779F4" w:rsidP="007779F4">
      <w:pPr>
        <w:pStyle w:val="Heading4"/>
      </w:pPr>
      <w:r>
        <w:t>Community health services</w:t>
      </w:r>
    </w:p>
    <w:p w14:paraId="1EDAA57A" w14:textId="77777777" w:rsidR="007779F4" w:rsidRDefault="007779F4" w:rsidP="007779F4">
      <w:pPr>
        <w:pStyle w:val="BodyText"/>
      </w:pPr>
      <w:r>
        <w:t>Community health services generally comprise multidisciplinary teams of health and allied health professionals and aim to protect the health of people who experience barriers that impede access to private sector primary and community health services. Governments (including local governments) provide services directly or indirectly through funding of service provision by a local health service or community organisation. There is no national strategy for community health services and there is considerable variation in the services provided across jurisdictions.</w:t>
      </w:r>
    </w:p>
    <w:p w14:paraId="450AF75C" w14:textId="77777777" w:rsidR="007779F4" w:rsidRPr="00097C57" w:rsidRDefault="007779F4" w:rsidP="007779F4">
      <w:pPr>
        <w:pStyle w:val="BodyText"/>
      </w:pPr>
      <w:r w:rsidRPr="003B0B3C">
        <w:t xml:space="preserve">State and Territory governments are responsible for most community health services. </w:t>
      </w:r>
      <w:r>
        <w:t xml:space="preserve">Those serving </w:t>
      </w:r>
      <w:r w:rsidRPr="00CF7620">
        <w:t xml:space="preserve">Aboriginal and Torres Strait Islander </w:t>
      </w:r>
      <w:r>
        <w:t>communities are mainly the responsibility of t</w:t>
      </w:r>
      <w:r w:rsidRPr="00A67CAE">
        <w:t>he Australian Government</w:t>
      </w:r>
      <w:r>
        <w:t xml:space="preserve"> (State and Territory governments provide some funding).</w:t>
      </w:r>
    </w:p>
    <w:p w14:paraId="50C06D8C" w14:textId="77777777" w:rsidR="007779F4" w:rsidRDefault="007779F4" w:rsidP="007779F4">
      <w:pPr>
        <w:pStyle w:val="Heading4"/>
      </w:pPr>
      <w:r>
        <w:t>Maternal and child health</w:t>
      </w:r>
      <w:r w:rsidR="002D199E">
        <w:t xml:space="preserve"> services</w:t>
      </w:r>
    </w:p>
    <w:p w14:paraId="245CC898" w14:textId="66E07991" w:rsidR="003447F4" w:rsidRDefault="007779F4" w:rsidP="007779F4">
      <w:pPr>
        <w:pStyle w:val="BodyText"/>
      </w:pPr>
      <w:r>
        <w:t>Maternal and child health services are funded by State and Territory governments. They provide services including: parenting support (including antenatal and postnatal programs); early childhood nursing programs; disease prevention programs (including childhood immunisations); and early intervention and treatment programs related to child development and health. Some jurisdictions also provide sp</w:t>
      </w:r>
      <w:r w:rsidR="00132ACE">
        <w:t>ecialist programs through child</w:t>
      </w:r>
    </w:p>
    <w:p w14:paraId="013767A2" w14:textId="55EA2A64" w:rsidR="007779F4" w:rsidRPr="00097C57" w:rsidRDefault="003447F4" w:rsidP="002409DF">
      <w:pPr>
        <w:pStyle w:val="BodyText"/>
        <w:spacing w:before="160" w:line="240" w:lineRule="auto"/>
      </w:pPr>
      <w:r w:rsidRPr="00AE2BA6">
        <w:rPr>
          <w:sz w:val="20"/>
        </w:rPr>
        <w:lastRenderedPageBreak/>
        <w:t>This page has been changed since an earlier version of the Report. See errata at: https://www.pc.gov.au/research/ongoing/report-on-government-services/2019/health/</w:t>
      </w:r>
      <w:r w:rsidR="002409DF">
        <w:rPr>
          <w:sz w:val="20"/>
        </w:rPr>
        <w:t>primary-and-community-health</w:t>
      </w:r>
      <w:r w:rsidRPr="00AE2BA6">
        <w:rPr>
          <w:sz w:val="20"/>
        </w:rPr>
        <w:br/>
      </w:r>
      <w:r w:rsidR="002409DF">
        <w:br/>
      </w:r>
      <w:r w:rsidR="007779F4">
        <w:t>health services, including hearing screening programs, and mothers and babies residential programs.</w:t>
      </w:r>
    </w:p>
    <w:p w14:paraId="458F682D" w14:textId="77777777" w:rsidR="007779F4" w:rsidRDefault="007779F4" w:rsidP="002409DF">
      <w:pPr>
        <w:pStyle w:val="Heading4"/>
        <w:spacing w:before="360"/>
      </w:pPr>
      <w:r>
        <w:t xml:space="preserve">Alcohol and other drug treatment </w:t>
      </w:r>
    </w:p>
    <w:p w14:paraId="299C5447" w14:textId="6FFB1837" w:rsidR="007779F4" w:rsidRPr="00944E91" w:rsidRDefault="007779F4" w:rsidP="007779F4">
      <w:pPr>
        <w:pStyle w:val="BodyText"/>
      </w:pPr>
      <w:r w:rsidRPr="00BF7362">
        <w:t>Alcohol and other drug treatment activities range from a brief intervention to long</w:t>
      </w:r>
      <w:r>
        <w:noBreakHyphen/>
      </w:r>
      <w:r w:rsidRPr="00BF7362">
        <w:t>term residential treatment. Types of treatment include detoxification, pharmacological treatment,</w:t>
      </w:r>
      <w:r>
        <w:t xml:space="preserve"> counselling and rehabilitation.</w:t>
      </w:r>
    </w:p>
    <w:p w14:paraId="6D59E322" w14:textId="77777777" w:rsidR="007779F4" w:rsidRDefault="007779F4" w:rsidP="002409DF">
      <w:pPr>
        <w:pStyle w:val="Heading3"/>
        <w:spacing w:before="440"/>
      </w:pPr>
      <w:r>
        <w:t>Funding</w:t>
      </w:r>
    </w:p>
    <w:p w14:paraId="29FA545A" w14:textId="66D78FAB" w:rsidR="00DE00A0" w:rsidRPr="004334BB" w:rsidRDefault="007779F4" w:rsidP="00DD64D1">
      <w:pPr>
        <w:pStyle w:val="BodyText"/>
      </w:pPr>
      <w:r w:rsidRPr="000410BE">
        <w:t xml:space="preserve">In </w:t>
      </w:r>
      <w:r w:rsidR="00BF52F5">
        <w:t>2016-17</w:t>
      </w:r>
      <w:r w:rsidRPr="000410BE">
        <w:t xml:space="preserve">, </w:t>
      </w:r>
      <w:r w:rsidR="00DE00A0">
        <w:t>of the $</w:t>
      </w:r>
      <w:r w:rsidR="004334BB">
        <w:t>36.9</w:t>
      </w:r>
      <w:r w:rsidR="00DE00A0">
        <w:t xml:space="preserve"> billion </w:t>
      </w:r>
      <w:r w:rsidRPr="000410BE">
        <w:t xml:space="preserve">government recurrent </w:t>
      </w:r>
      <w:r w:rsidRPr="004334BB">
        <w:t xml:space="preserve">expenditure on primary and community health services (excluding public health), </w:t>
      </w:r>
      <w:r w:rsidR="00DE00A0" w:rsidRPr="004334BB">
        <w:t>around three-quarters was</w:t>
      </w:r>
      <w:r w:rsidRPr="004334BB">
        <w:t xml:space="preserve"> funded by </w:t>
      </w:r>
      <w:r w:rsidR="00561054" w:rsidRPr="004334BB">
        <w:t xml:space="preserve">the Australian Government and </w:t>
      </w:r>
      <w:r w:rsidR="00DE00A0" w:rsidRPr="004334BB">
        <w:t>one-quarter</w:t>
      </w:r>
      <w:r w:rsidR="0008540E" w:rsidRPr="004334BB">
        <w:t xml:space="preserve"> by </w:t>
      </w:r>
      <w:r w:rsidRPr="004334BB">
        <w:t>State, Territory and local governments (table 10A.1).</w:t>
      </w:r>
      <w:r w:rsidR="00DE00A0" w:rsidRPr="004334BB">
        <w:t xml:space="preserve"> This included:</w:t>
      </w:r>
    </w:p>
    <w:p w14:paraId="66C8F291" w14:textId="555109E0" w:rsidR="00DE00A0" w:rsidRPr="004334BB" w:rsidRDefault="00DE00A0">
      <w:pPr>
        <w:pStyle w:val="ListBullet"/>
      </w:pPr>
      <w:r w:rsidRPr="004334BB">
        <w:t>$</w:t>
      </w:r>
      <w:r w:rsidR="004334BB" w:rsidRPr="004334BB">
        <w:t>8.3</w:t>
      </w:r>
      <w:r w:rsidR="009E230B" w:rsidRPr="004334BB">
        <w:t xml:space="preserve"> </w:t>
      </w:r>
      <w:r w:rsidRPr="004334BB">
        <w:t>billion for community health services (1</w:t>
      </w:r>
      <w:r w:rsidR="004334BB" w:rsidRPr="004334BB">
        <w:t>2</w:t>
      </w:r>
      <w:r w:rsidRPr="004334BB">
        <w:t xml:space="preserve">.3 per cent by the Australian Government and </w:t>
      </w:r>
      <w:r w:rsidR="004334BB" w:rsidRPr="004334BB">
        <w:t>87.7</w:t>
      </w:r>
      <w:r w:rsidRPr="004334BB">
        <w:t xml:space="preserve"> per cent by State, Territory and local governments) </w:t>
      </w:r>
    </w:p>
    <w:p w14:paraId="34A015A5" w14:textId="60D382C9" w:rsidR="007779F4" w:rsidRDefault="00DE00A0">
      <w:pPr>
        <w:pStyle w:val="ListBullet"/>
      </w:pPr>
      <w:r w:rsidRPr="004334BB">
        <w:t>$2.</w:t>
      </w:r>
      <w:r w:rsidR="009E638F">
        <w:t>4</w:t>
      </w:r>
      <w:r w:rsidRPr="004334BB">
        <w:t xml:space="preserve"> billion</w:t>
      </w:r>
      <w:r>
        <w:t xml:space="preserve"> for dental services (</w:t>
      </w:r>
      <w:r w:rsidR="00E87515">
        <w:t>64.5 per cent</w:t>
      </w:r>
      <w:r>
        <w:t xml:space="preserve"> by the Australian Government and </w:t>
      </w:r>
      <w:r w:rsidR="00E87515">
        <w:t>35.6 per </w:t>
      </w:r>
      <w:r w:rsidR="004334BB">
        <w:t>cent</w:t>
      </w:r>
      <w:r>
        <w:t xml:space="preserve"> by State, Territory and local governments) (table 10A.</w:t>
      </w:r>
      <w:r w:rsidR="0014546F">
        <w:t>1</w:t>
      </w:r>
      <w:r>
        <w:t>).</w:t>
      </w:r>
    </w:p>
    <w:p w14:paraId="380F2BDF" w14:textId="3CF01A2E" w:rsidR="00DE00A0" w:rsidRPr="000F6DD4" w:rsidRDefault="00DE00A0" w:rsidP="00DD64D1">
      <w:pPr>
        <w:pStyle w:val="BodyText"/>
      </w:pPr>
      <w:r>
        <w:t xml:space="preserve">Where more </w:t>
      </w:r>
      <w:r w:rsidRPr="000F6DD4">
        <w:t>recent data are available for 201</w:t>
      </w:r>
      <w:r w:rsidR="00E87515" w:rsidRPr="000F6DD4">
        <w:t>7</w:t>
      </w:r>
      <w:r w:rsidR="0082448C" w:rsidRPr="000F6DD4">
        <w:noBreakHyphen/>
      </w:r>
      <w:r w:rsidRPr="000F6DD4">
        <w:t>1</w:t>
      </w:r>
      <w:r w:rsidR="00E87515" w:rsidRPr="000F6DD4">
        <w:t>8</w:t>
      </w:r>
      <w:r w:rsidR="00657982" w:rsidRPr="000F6DD4">
        <w:t>, Australian Government expenditure was</w:t>
      </w:r>
      <w:r w:rsidRPr="000F6DD4">
        <w:t>:</w:t>
      </w:r>
    </w:p>
    <w:p w14:paraId="7C6B311B" w14:textId="0CBA4F8E" w:rsidR="007779F4" w:rsidRPr="000F6DD4" w:rsidRDefault="007779F4" w:rsidP="007779F4">
      <w:pPr>
        <w:pStyle w:val="ListBullet"/>
      </w:pPr>
      <w:r w:rsidRPr="000F6DD4">
        <w:t>$</w:t>
      </w:r>
      <w:r w:rsidR="00DC39F6">
        <w:t>9.5</w:t>
      </w:r>
      <w:r w:rsidR="00BF52F5" w:rsidRPr="000F6DD4">
        <w:t xml:space="preserve"> </w:t>
      </w:r>
      <w:r w:rsidRPr="000F6DD4">
        <w:t>billion</w:t>
      </w:r>
      <w:r w:rsidR="00657982" w:rsidRPr="000F6DD4">
        <w:t xml:space="preserve"> on general practice</w:t>
      </w:r>
      <w:r w:rsidR="00F03ED4" w:rsidRPr="000F6DD4">
        <w:t xml:space="preserve"> (table 10A.2)</w:t>
      </w:r>
    </w:p>
    <w:p w14:paraId="3747D4AA" w14:textId="7C6B33BA" w:rsidR="007779F4" w:rsidRPr="000F6DD4" w:rsidRDefault="00657982" w:rsidP="007779F4">
      <w:pPr>
        <w:pStyle w:val="ListBullet"/>
      </w:pPr>
      <w:r w:rsidRPr="000F6DD4">
        <w:t>$</w:t>
      </w:r>
      <w:r w:rsidR="000F6DD4" w:rsidRPr="000F6DD4">
        <w:t>8.7</w:t>
      </w:r>
      <w:r w:rsidR="00BF52F5" w:rsidRPr="000F6DD4">
        <w:t xml:space="preserve"> </w:t>
      </w:r>
      <w:r w:rsidRPr="000F6DD4">
        <w:t>billion</w:t>
      </w:r>
      <w:r>
        <w:t xml:space="preserve"> t</w:t>
      </w:r>
      <w:r w:rsidR="007779F4" w:rsidRPr="007622FB">
        <w:t xml:space="preserve">hrough the PBS and RPBS on prescription medicines filled at pharmacies </w:t>
      </w:r>
      <w:r w:rsidR="00F03ED4" w:rsidRPr="007622FB">
        <w:t>(</w:t>
      </w:r>
      <w:r w:rsidR="00F03ED4" w:rsidRPr="000F6DD4">
        <w:t>table 10A.3)</w:t>
      </w:r>
    </w:p>
    <w:p w14:paraId="59B66156" w14:textId="41A4F28C" w:rsidR="007779F4" w:rsidRPr="000F6DD4" w:rsidRDefault="00657982" w:rsidP="007779F4">
      <w:pPr>
        <w:pStyle w:val="ListBullet"/>
      </w:pPr>
      <w:r w:rsidRPr="000F6DD4">
        <w:t>$</w:t>
      </w:r>
      <w:r w:rsidR="000F6DD4" w:rsidRPr="000F6DD4">
        <w:t>39.2</w:t>
      </w:r>
      <w:r w:rsidRPr="000F6DD4">
        <w:t xml:space="preserve"> million</w:t>
      </w:r>
      <w:r>
        <w:t xml:space="preserve"> on </w:t>
      </w:r>
      <w:r w:rsidR="007779F4" w:rsidRPr="00F72052">
        <w:t>fund</w:t>
      </w:r>
      <w:r w:rsidR="007779F4">
        <w:t>ing</w:t>
      </w:r>
      <w:r w:rsidR="007779F4" w:rsidRPr="00F72052">
        <w:t xml:space="preserve"> of PBS</w:t>
      </w:r>
      <w:r w:rsidR="007779F4" w:rsidRPr="000168C6">
        <w:t xml:space="preserve"> medicines to Aboriginal and Torres Strait Islander </w:t>
      </w:r>
      <w:r w:rsidR="008D2B0D">
        <w:t>primary health</w:t>
      </w:r>
      <w:r w:rsidR="007779F4" w:rsidRPr="000F6DD4">
        <w:t xml:space="preserve"> services in remote and very remote areas </w:t>
      </w:r>
      <w:r w:rsidR="00F03ED4" w:rsidRPr="000F6DD4">
        <w:t>(table</w:t>
      </w:r>
      <w:r w:rsidR="00561054" w:rsidRPr="000F6DD4">
        <w:t> </w:t>
      </w:r>
      <w:r w:rsidR="00F03ED4" w:rsidRPr="000F6DD4">
        <w:t>10A.5)</w:t>
      </w:r>
    </w:p>
    <w:p w14:paraId="170833F3" w14:textId="1E6F30D2" w:rsidR="007779F4" w:rsidRPr="00097C57" w:rsidRDefault="00657982" w:rsidP="00DA610A">
      <w:pPr>
        <w:pStyle w:val="ListBullet"/>
      </w:pPr>
      <w:r w:rsidRPr="000F6DD4">
        <w:t>$</w:t>
      </w:r>
      <w:r w:rsidR="000F6DD4" w:rsidRPr="000F6DD4">
        <w:t>711.5</w:t>
      </w:r>
      <w:r w:rsidRPr="000F6DD4">
        <w:t xml:space="preserve"> million</w:t>
      </w:r>
      <w:r>
        <w:t xml:space="preserve"> on </w:t>
      </w:r>
      <w:r w:rsidR="007779F4">
        <w:t xml:space="preserve">Aboriginal and Torres Strait Islander primary health services </w:t>
      </w:r>
      <w:r w:rsidR="008D2B0D">
        <w:t>(table </w:t>
      </w:r>
      <w:r w:rsidR="007779F4" w:rsidRPr="007622FB">
        <w:t>10A.</w:t>
      </w:r>
      <w:r w:rsidR="007779F4">
        <w:t>7</w:t>
      </w:r>
      <w:r w:rsidR="007779F4" w:rsidRPr="007622FB">
        <w:t>).</w:t>
      </w:r>
    </w:p>
    <w:p w14:paraId="30BDBF94" w14:textId="77777777" w:rsidR="007779F4" w:rsidRDefault="007779F4" w:rsidP="002409DF">
      <w:pPr>
        <w:pStyle w:val="Heading3"/>
        <w:spacing w:before="440"/>
      </w:pPr>
      <w:r w:rsidRPr="00A56D0C">
        <w:t>Size and scope</w:t>
      </w:r>
    </w:p>
    <w:p w14:paraId="7A6B637C" w14:textId="12A62C5C" w:rsidR="007779F4" w:rsidRDefault="00657982" w:rsidP="00862F2D">
      <w:pPr>
        <w:pStyle w:val="BodyText"/>
      </w:pPr>
      <w:r w:rsidRPr="00862F2D">
        <w:t>Nationally in 201</w:t>
      </w:r>
      <w:r w:rsidR="000F6DD4">
        <w:t>7</w:t>
      </w:r>
      <w:r w:rsidR="002F2C08">
        <w:noBreakHyphen/>
      </w:r>
      <w:r w:rsidRPr="00862F2D">
        <w:t>1</w:t>
      </w:r>
      <w:r w:rsidR="000F6DD4">
        <w:t>8</w:t>
      </w:r>
      <w:r w:rsidRPr="00862F2D">
        <w:t>, t</w:t>
      </w:r>
      <w:r w:rsidR="007779F4" w:rsidRPr="00862F2D">
        <w:t xml:space="preserve">here </w:t>
      </w:r>
      <w:r w:rsidR="007779F4" w:rsidRPr="000F6DD4">
        <w:t xml:space="preserve">were </w:t>
      </w:r>
      <w:r w:rsidR="000F6DD4" w:rsidRPr="000F6DD4">
        <w:t>36 938</w:t>
      </w:r>
      <w:r w:rsidR="007779F4" w:rsidRPr="000F6DD4">
        <w:t xml:space="preserve"> GPs — </w:t>
      </w:r>
      <w:r w:rsidR="00AF1FEA" w:rsidRPr="000F6DD4">
        <w:t>25</w:t>
      </w:r>
      <w:r w:rsidR="007779F4" w:rsidRPr="000F6DD4">
        <w:t> </w:t>
      </w:r>
      <w:r w:rsidR="000F6DD4" w:rsidRPr="000F6DD4">
        <w:t>149</w:t>
      </w:r>
      <w:r w:rsidR="007779F4" w:rsidRPr="000F6DD4">
        <w:t xml:space="preserve"> on a Full Service Equivalent (FSE)</w:t>
      </w:r>
      <w:r w:rsidR="00F96DC3" w:rsidRPr="000F6DD4">
        <w:rPr>
          <w:rStyle w:val="FootnoteReference"/>
        </w:rPr>
        <w:footnoteReference w:id="1"/>
      </w:r>
      <w:r w:rsidR="007779F4" w:rsidRPr="000F6DD4">
        <w:t xml:space="preserve"> basis</w:t>
      </w:r>
      <w:r w:rsidR="003B411C" w:rsidRPr="000F6DD4">
        <w:t xml:space="preserve">, equating to </w:t>
      </w:r>
      <w:r w:rsidR="000F6DD4" w:rsidRPr="000F6DD4">
        <w:t>101.5</w:t>
      </w:r>
      <w:r w:rsidR="003B411C" w:rsidRPr="000F6DD4">
        <w:t xml:space="preserve"> per 1</w:t>
      </w:r>
      <w:r w:rsidR="003B411C" w:rsidRPr="00862F2D">
        <w:t>00 000 people</w:t>
      </w:r>
      <w:r w:rsidR="007779F4" w:rsidRPr="00862F2D">
        <w:t xml:space="preserve"> — billing Medicare Australia for </w:t>
      </w:r>
      <w:r w:rsidR="007779F4" w:rsidRPr="00862F2D">
        <w:lastRenderedPageBreak/>
        <w:t xml:space="preserve">around </w:t>
      </w:r>
      <w:r w:rsidR="000F6DD4">
        <w:t>160.3</w:t>
      </w:r>
      <w:r w:rsidR="00BF52F5">
        <w:t> </w:t>
      </w:r>
      <w:r w:rsidR="007779F4" w:rsidRPr="00862F2D">
        <w:t>million services</w:t>
      </w:r>
      <w:r w:rsidR="003B411C" w:rsidRPr="00862F2D">
        <w:rPr>
          <w:rStyle w:val="FootnoteReference"/>
        </w:rPr>
        <w:footnoteReference w:id="2"/>
      </w:r>
      <w:r w:rsidR="007779F4" w:rsidRPr="00862F2D">
        <w:t xml:space="preserve"> (</w:t>
      </w:r>
      <w:r w:rsidRPr="00862F2D">
        <w:t xml:space="preserve">table 10A.8 and </w:t>
      </w:r>
      <w:r w:rsidR="007779F4" w:rsidRPr="00862F2D">
        <w:t xml:space="preserve">Department of Health unpublished). </w:t>
      </w:r>
      <w:r w:rsidR="00B0610D">
        <w:t xml:space="preserve">Nationally, </w:t>
      </w:r>
      <w:r w:rsidR="00EA1FC7">
        <w:t>r</w:t>
      </w:r>
      <w:r w:rsidR="009525ED">
        <w:t xml:space="preserve">ates of </w:t>
      </w:r>
      <w:r w:rsidR="003B411C" w:rsidRPr="00862F2D">
        <w:t>GPs per person</w:t>
      </w:r>
      <w:r w:rsidR="00F96DC3" w:rsidRPr="00862F2D">
        <w:t xml:space="preserve"> </w:t>
      </w:r>
      <w:r w:rsidR="003B411C" w:rsidRPr="00862F2D">
        <w:t xml:space="preserve">have </w:t>
      </w:r>
      <w:r w:rsidRPr="00862F2D">
        <w:t>increas</w:t>
      </w:r>
      <w:r w:rsidR="003B411C" w:rsidRPr="00862F2D">
        <w:t>ed</w:t>
      </w:r>
      <w:r w:rsidRPr="00862F2D">
        <w:t xml:space="preserve"> </w:t>
      </w:r>
      <w:r w:rsidR="000F6DD4">
        <w:t>over the</w:t>
      </w:r>
      <w:r w:rsidR="00F96DC3" w:rsidRPr="00862F2D">
        <w:t xml:space="preserve"> years presented in this Report</w:t>
      </w:r>
      <w:r w:rsidRPr="00862F2D">
        <w:t xml:space="preserve"> (</w:t>
      </w:r>
      <w:r w:rsidR="000F6DD4">
        <w:t>table </w:t>
      </w:r>
      <w:r w:rsidR="003B411C" w:rsidRPr="00862F2D">
        <w:t>10A.8</w:t>
      </w:r>
      <w:r w:rsidR="00EB2B27">
        <w:t>), while rate of services used per person increased to 2016-17 remaining the same in 2017-18 (</w:t>
      </w:r>
      <w:r w:rsidRPr="00862F2D">
        <w:t>figure 10.1).</w:t>
      </w:r>
    </w:p>
    <w:p w14:paraId="2762EA14" w14:textId="7C88638F" w:rsidR="00DA2FE1" w:rsidRDefault="00DA2FE1" w:rsidP="00032E36">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71"/>
      </w:tblGrid>
      <w:tr w:rsidR="00DA2FE1" w14:paraId="530A1144" w14:textId="77777777" w:rsidTr="00032E36">
        <w:tc>
          <w:tcPr>
            <w:tcW w:w="8771" w:type="dxa"/>
            <w:tcBorders>
              <w:top w:val="single" w:sz="6" w:space="0" w:color="78A22F"/>
              <w:left w:val="nil"/>
              <w:bottom w:val="nil"/>
              <w:right w:val="nil"/>
            </w:tcBorders>
            <w:shd w:val="clear" w:color="auto" w:fill="auto"/>
          </w:tcPr>
          <w:p w14:paraId="18BAD856" w14:textId="4A0D0623" w:rsidR="00DA2FE1" w:rsidRPr="00A747E5" w:rsidRDefault="00DA2FE1" w:rsidP="00DA2FE1">
            <w:pPr>
              <w:pStyle w:val="FigureTitle"/>
            </w:pPr>
            <w:r w:rsidRPr="00A747E5">
              <w:rPr>
                <w:b w:val="0"/>
              </w:rPr>
              <w:t xml:space="preserve">Figure </w:t>
            </w:r>
            <w:r w:rsidR="009525ED" w:rsidRPr="00A747E5">
              <w:rPr>
                <w:b w:val="0"/>
              </w:rPr>
              <w:t>10.</w:t>
            </w:r>
            <w:r w:rsidR="0008386D">
              <w:rPr>
                <w:b w:val="0"/>
                <w:noProof/>
              </w:rPr>
              <w:t>1</w:t>
            </w:r>
            <w:r w:rsidRPr="00A747E5">
              <w:tab/>
              <w:t>GP type service use</w:t>
            </w:r>
            <w:r w:rsidRPr="00A747E5">
              <w:rPr>
                <w:rStyle w:val="NoteLabel"/>
                <w:b/>
              </w:rPr>
              <w:t>a</w:t>
            </w:r>
          </w:p>
        </w:tc>
      </w:tr>
      <w:tr w:rsidR="00DA2FE1" w14:paraId="4BD2F576" w14:textId="77777777" w:rsidTr="00032E36">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DA2FE1" w:rsidRPr="00A747E5" w14:paraId="2E3A03A0" w14:textId="77777777" w:rsidTr="007511EB">
              <w:trPr>
                <w:jc w:val="center"/>
              </w:trPr>
              <w:tc>
                <w:tcPr>
                  <w:tcW w:w="8504" w:type="dxa"/>
                  <w:tcBorders>
                    <w:top w:val="nil"/>
                    <w:bottom w:val="nil"/>
                  </w:tcBorders>
                </w:tcPr>
                <w:p w14:paraId="4445361E" w14:textId="0C83E3BF" w:rsidR="00DA2FE1" w:rsidRPr="00A747E5" w:rsidRDefault="007511EB" w:rsidP="00032E36">
                  <w:pPr>
                    <w:pStyle w:val="Figure"/>
                    <w:spacing w:before="60" w:after="60"/>
                  </w:pPr>
                  <w:r>
                    <w:rPr>
                      <w:noProof/>
                    </w:rPr>
                    <w:drawing>
                      <wp:inline distT="0" distB="0" distL="0" distR="0" wp14:anchorId="3AC4BB67" wp14:editId="3E14950E">
                        <wp:extent cx="5239164" cy="2763362"/>
                        <wp:effectExtent l="0" t="0" r="0" b="0"/>
                        <wp:docPr id="3" name="Chart 3" descr="Figure 10.1 GP type service use&#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14:paraId="02A9EC18" w14:textId="77777777" w:rsidR="00DA2FE1" w:rsidRPr="00A747E5" w:rsidRDefault="00DA2FE1" w:rsidP="00032E36">
            <w:pPr>
              <w:pStyle w:val="Figure"/>
            </w:pPr>
          </w:p>
        </w:tc>
      </w:tr>
      <w:tr w:rsidR="00DA2FE1" w:rsidRPr="00176D3F" w14:paraId="121D9479" w14:textId="77777777" w:rsidTr="00032E36">
        <w:tc>
          <w:tcPr>
            <w:tcW w:w="8771" w:type="dxa"/>
            <w:tcBorders>
              <w:top w:val="nil"/>
              <w:left w:val="nil"/>
              <w:bottom w:val="nil"/>
              <w:right w:val="nil"/>
            </w:tcBorders>
            <w:shd w:val="clear" w:color="auto" w:fill="auto"/>
          </w:tcPr>
          <w:p w14:paraId="771F982B" w14:textId="77777777" w:rsidR="00DA2FE1" w:rsidRPr="00A747E5" w:rsidRDefault="00DA2FE1" w:rsidP="00310DF8">
            <w:pPr>
              <w:pStyle w:val="Note"/>
              <w:keepNext/>
              <w:rPr>
                <w:color w:val="FF0000"/>
              </w:rPr>
            </w:pPr>
            <w:r w:rsidRPr="00A747E5">
              <w:rPr>
                <w:rStyle w:val="NoteLabel"/>
              </w:rPr>
              <w:t>a</w:t>
            </w:r>
            <w:r w:rsidRPr="00A747E5">
              <w:t xml:space="preserve"> See table 10A.</w:t>
            </w:r>
            <w:r w:rsidR="00310DF8" w:rsidRPr="00A747E5">
              <w:t>9</w:t>
            </w:r>
            <w:r w:rsidRPr="00A747E5">
              <w:t xml:space="preserve"> for detailed footnotes and caveats.</w:t>
            </w:r>
          </w:p>
        </w:tc>
      </w:tr>
      <w:tr w:rsidR="00DA2FE1" w:rsidRPr="00176D3F" w14:paraId="048E8773" w14:textId="77777777" w:rsidTr="00032E36">
        <w:tc>
          <w:tcPr>
            <w:tcW w:w="8771" w:type="dxa"/>
            <w:tcBorders>
              <w:top w:val="nil"/>
              <w:left w:val="nil"/>
              <w:bottom w:val="nil"/>
              <w:right w:val="nil"/>
            </w:tcBorders>
            <w:shd w:val="clear" w:color="auto" w:fill="auto"/>
          </w:tcPr>
          <w:p w14:paraId="13D59A56" w14:textId="77777777" w:rsidR="00DA2FE1" w:rsidRPr="00A747E5" w:rsidRDefault="00DA2FE1" w:rsidP="00310DF8">
            <w:pPr>
              <w:pStyle w:val="Source"/>
              <w:keepNext/>
            </w:pPr>
            <w:r w:rsidRPr="00A747E5">
              <w:rPr>
                <w:i/>
              </w:rPr>
              <w:t>Source</w:t>
            </w:r>
            <w:r w:rsidRPr="00A747E5">
              <w:t xml:space="preserve">: Department of Health (unpublished) MBS Statistics; DVA (unpublished) DVA data collection; ABS (unpublished) </w:t>
            </w:r>
            <w:r w:rsidRPr="00A747E5">
              <w:rPr>
                <w:i/>
              </w:rPr>
              <w:t>Australian demographic statistics</w:t>
            </w:r>
            <w:r w:rsidRPr="00A747E5">
              <w:t>, Cat. no. 3101.0; table 10A.</w:t>
            </w:r>
            <w:r w:rsidR="00310DF8" w:rsidRPr="00A747E5">
              <w:t>9</w:t>
            </w:r>
            <w:r w:rsidRPr="00A747E5">
              <w:t>.</w:t>
            </w:r>
          </w:p>
        </w:tc>
      </w:tr>
      <w:tr w:rsidR="00DA2FE1" w14:paraId="6B48B533" w14:textId="77777777" w:rsidTr="00032E36">
        <w:tc>
          <w:tcPr>
            <w:tcW w:w="8771" w:type="dxa"/>
            <w:tcBorders>
              <w:top w:val="nil"/>
              <w:left w:val="nil"/>
              <w:bottom w:val="single" w:sz="6" w:space="0" w:color="78A22F"/>
              <w:right w:val="nil"/>
            </w:tcBorders>
            <w:shd w:val="clear" w:color="auto" w:fill="auto"/>
          </w:tcPr>
          <w:p w14:paraId="6AEEEEB6" w14:textId="77777777" w:rsidR="00DA2FE1" w:rsidRPr="00A747E5" w:rsidRDefault="00DA2FE1" w:rsidP="00032E36">
            <w:pPr>
              <w:pStyle w:val="Figurespace"/>
            </w:pPr>
          </w:p>
        </w:tc>
      </w:tr>
      <w:tr w:rsidR="00DA2FE1" w:rsidRPr="000863A5" w14:paraId="7405A7B7" w14:textId="77777777" w:rsidTr="00032E36">
        <w:tc>
          <w:tcPr>
            <w:tcW w:w="8771" w:type="dxa"/>
            <w:tcBorders>
              <w:top w:val="single" w:sz="6" w:space="0" w:color="78A22F"/>
              <w:left w:val="nil"/>
              <w:bottom w:val="nil"/>
              <w:right w:val="nil"/>
            </w:tcBorders>
          </w:tcPr>
          <w:p w14:paraId="5F5C53BF" w14:textId="176070C5" w:rsidR="00DA2FE1" w:rsidRPr="00A747E5" w:rsidRDefault="00DA2FE1" w:rsidP="00032E36">
            <w:pPr>
              <w:pStyle w:val="BoxSpaceBelow"/>
            </w:pPr>
          </w:p>
        </w:tc>
      </w:tr>
    </w:tbl>
    <w:p w14:paraId="64DA99B8" w14:textId="7101D4BC" w:rsidR="00657982" w:rsidRDefault="00657982" w:rsidP="00FE39F4">
      <w:pPr>
        <w:pStyle w:val="BodyText"/>
      </w:pPr>
      <w:bookmarkStart w:id="6" w:name="_Toc208034412"/>
      <w:bookmarkStart w:id="7" w:name="_Toc274941100"/>
      <w:bookmarkStart w:id="8" w:name="_Toc396916147"/>
      <w:r>
        <w:t xml:space="preserve">Around </w:t>
      </w:r>
      <w:r w:rsidR="009E79EB">
        <w:t>201</w:t>
      </w:r>
      <w:r>
        <w:t xml:space="preserve"> million services </w:t>
      </w:r>
      <w:r w:rsidR="00F96DC3">
        <w:t>(</w:t>
      </w:r>
      <w:r w:rsidR="00AC07F4">
        <w:t>8.1</w:t>
      </w:r>
      <w:r>
        <w:t xml:space="preserve"> per person</w:t>
      </w:r>
      <w:r w:rsidR="00F96DC3">
        <w:t>)</w:t>
      </w:r>
      <w:r>
        <w:t xml:space="preserve"> were provided under the PBS in 201</w:t>
      </w:r>
      <w:r w:rsidR="008B0A9C">
        <w:t>7</w:t>
      </w:r>
      <w:r>
        <w:t>-1</w:t>
      </w:r>
      <w:r w:rsidR="008B0A9C">
        <w:t>8</w:t>
      </w:r>
      <w:r w:rsidR="005D0593">
        <w:t> </w:t>
      </w:r>
      <w:r>
        <w:t xml:space="preserve">— </w:t>
      </w:r>
      <w:r w:rsidR="00F96DC3">
        <w:t xml:space="preserve">with </w:t>
      </w:r>
      <w:r w:rsidR="00AC07F4">
        <w:t>91.9</w:t>
      </w:r>
      <w:r>
        <w:t xml:space="preserve"> per cent concessional (tables 10A.10-11). A further </w:t>
      </w:r>
      <w:r w:rsidR="009E638F">
        <w:t>9.0</w:t>
      </w:r>
      <w:r>
        <w:t xml:space="preserve"> million services were provided under the RPBS.</w:t>
      </w:r>
    </w:p>
    <w:p w14:paraId="0E1F5517" w14:textId="6686B47C" w:rsidR="00F96DC3" w:rsidRDefault="00F96DC3" w:rsidP="00FE39F4">
      <w:pPr>
        <w:pStyle w:val="BodyText"/>
      </w:pPr>
      <w:r>
        <w:t>Nationally in 201</w:t>
      </w:r>
      <w:r w:rsidR="008B0A9C">
        <w:t>6</w:t>
      </w:r>
      <w:r w:rsidR="0082448C">
        <w:noBreakHyphen/>
      </w:r>
      <w:r>
        <w:t>1</w:t>
      </w:r>
      <w:r w:rsidR="008B0A9C">
        <w:t>7</w:t>
      </w:r>
      <w:r>
        <w:t>, there were:</w:t>
      </w:r>
    </w:p>
    <w:p w14:paraId="34A5EF07" w14:textId="06FD4B3B" w:rsidR="00657982" w:rsidRPr="001C146D" w:rsidRDefault="002D71F7" w:rsidP="00862F2D">
      <w:pPr>
        <w:pStyle w:val="ListBullet"/>
      </w:pPr>
      <w:r>
        <w:t xml:space="preserve">196 </w:t>
      </w:r>
      <w:r w:rsidR="00657982" w:rsidRPr="002D71F7">
        <w:t>Aboriginal and Torres St</w:t>
      </w:r>
      <w:r w:rsidR="008D2B0D">
        <w:t>rait Islander primary health</w:t>
      </w:r>
      <w:r w:rsidR="00657982" w:rsidRPr="002D71F7">
        <w:t xml:space="preserve"> </w:t>
      </w:r>
      <w:r w:rsidR="00D0761F" w:rsidRPr="002D71F7">
        <w:t>services which</w:t>
      </w:r>
      <w:r w:rsidR="00657982" w:rsidRPr="002D71F7">
        <w:t xml:space="preserve"> provided </w:t>
      </w:r>
      <w:r w:rsidRPr="002D71F7">
        <w:t>3.2</w:t>
      </w:r>
      <w:r w:rsidR="008D2B0D">
        <w:t> </w:t>
      </w:r>
      <w:r w:rsidR="00657982" w:rsidRPr="002D71F7">
        <w:t>millio</w:t>
      </w:r>
      <w:r w:rsidR="00D44B66" w:rsidRPr="002D71F7">
        <w:t>n</w:t>
      </w:r>
      <w:r w:rsidR="00D44B66" w:rsidRPr="001D1554">
        <w:t xml:space="preserve"> episodes of healthcare (table </w:t>
      </w:r>
      <w:r w:rsidR="00657982" w:rsidRPr="001D1554">
        <w:t>10A.1</w:t>
      </w:r>
      <w:r w:rsidR="00F9234B" w:rsidRPr="001D1554">
        <w:t>3</w:t>
      </w:r>
      <w:r w:rsidR="00657982" w:rsidRPr="001D1554">
        <w:t>)</w:t>
      </w:r>
      <w:r w:rsidR="00F9234B">
        <w:t xml:space="preserve"> (data by remoteness are provided in </w:t>
      </w:r>
      <w:r w:rsidR="00752FF5">
        <w:t>t</w:t>
      </w:r>
      <w:r w:rsidR="00F9234B">
        <w:t>able 10A.14).</w:t>
      </w:r>
      <w:r w:rsidR="00752FF5">
        <w:t xml:space="preserve"> </w:t>
      </w:r>
      <w:r w:rsidR="00D0761F">
        <w:t xml:space="preserve">Aboriginal and Torres Strait Islander health </w:t>
      </w:r>
      <w:r w:rsidR="00F9234B">
        <w:t xml:space="preserve">services </w:t>
      </w:r>
      <w:r w:rsidR="00D0761F">
        <w:t xml:space="preserve">that </w:t>
      </w:r>
      <w:r w:rsidR="00F9234B">
        <w:t xml:space="preserve">provided </w:t>
      </w:r>
      <w:r w:rsidR="00D0761F">
        <w:t xml:space="preserve">selected activities </w:t>
      </w:r>
      <w:r w:rsidR="00F9234B">
        <w:t xml:space="preserve">are </w:t>
      </w:r>
      <w:r w:rsidR="00F9234B" w:rsidRPr="001C146D">
        <w:t xml:space="preserve">outlined in </w:t>
      </w:r>
      <w:r w:rsidR="00752FF5" w:rsidRPr="001C146D">
        <w:t>t</w:t>
      </w:r>
      <w:r w:rsidR="00F9234B" w:rsidRPr="001C146D">
        <w:t>able 10A.15 and staffing numbers are provided in table 10A.16.</w:t>
      </w:r>
    </w:p>
    <w:p w14:paraId="5CCFBAF4" w14:textId="2AB0BC5C" w:rsidR="00657982" w:rsidRDefault="002D71F7">
      <w:pPr>
        <w:pStyle w:val="ListBullet"/>
      </w:pPr>
      <w:r w:rsidRPr="001C146D">
        <w:t>836</w:t>
      </w:r>
      <w:r w:rsidR="00657982" w:rsidRPr="001C146D">
        <w:t xml:space="preserve"> alcohol and other drug treatment agencies</w:t>
      </w:r>
      <w:r w:rsidR="00F96DC3" w:rsidRPr="001C146D">
        <w:t xml:space="preserve"> (</w:t>
      </w:r>
      <w:r w:rsidR="001C146D" w:rsidRPr="001C146D">
        <w:t>41.6</w:t>
      </w:r>
      <w:r w:rsidR="00657982" w:rsidRPr="001C146D">
        <w:t xml:space="preserve"> per cent identified as government providers</w:t>
      </w:r>
      <w:r w:rsidR="00F96DC3" w:rsidRPr="001C146D">
        <w:t>) with a reported</w:t>
      </w:r>
      <w:r w:rsidR="00657982" w:rsidRPr="001C146D">
        <w:t xml:space="preserve"> </w:t>
      </w:r>
      <w:r w:rsidR="001C146D" w:rsidRPr="001C146D">
        <w:t>200 751</w:t>
      </w:r>
      <w:r w:rsidR="00657982" w:rsidRPr="001C146D">
        <w:t xml:space="preserve"> closed treatment episodes </w:t>
      </w:r>
      <w:r w:rsidR="00F96DC3" w:rsidRPr="001C146D">
        <w:t>(</w:t>
      </w:r>
      <w:r w:rsidR="001C146D" w:rsidRPr="001C146D">
        <w:t>30.3</w:t>
      </w:r>
      <w:r w:rsidR="00F96DC3" w:rsidRPr="001C146D">
        <w:t xml:space="preserve"> per </w:t>
      </w:r>
      <w:r w:rsidR="00D44B66" w:rsidRPr="001C146D">
        <w:t xml:space="preserve">cent </w:t>
      </w:r>
      <w:r w:rsidR="00F96DC3" w:rsidRPr="001C146D">
        <w:t>identified as government provided</w:t>
      </w:r>
      <w:r w:rsidR="00F96DC3">
        <w:t>)</w:t>
      </w:r>
      <w:r w:rsidR="00657982">
        <w:t xml:space="preserve"> (table 10A.12).</w:t>
      </w:r>
    </w:p>
    <w:p w14:paraId="2C802DF0" w14:textId="142E7399" w:rsidR="00F96DC3" w:rsidRDefault="00F96DC3" w:rsidP="00FE39F4">
      <w:pPr>
        <w:pStyle w:val="BodyText"/>
      </w:pPr>
      <w:r w:rsidRPr="0003707A">
        <w:lastRenderedPageBreak/>
        <w:t xml:space="preserve">The most recent available data on public dental service usage </w:t>
      </w:r>
      <w:r w:rsidR="004E25E2" w:rsidRPr="0003707A">
        <w:t>are</w:t>
      </w:r>
      <w:r w:rsidRPr="0003707A">
        <w:t xml:space="preserve"> for 2013 and showed that nationally, around 97.8 per 1000 people accessed public dental services that year (AIHW, unpublished).</w:t>
      </w:r>
    </w:p>
    <w:p w14:paraId="180015D0" w14:textId="1AB50692" w:rsidR="00A43D54" w:rsidRPr="00BC1CC1" w:rsidRDefault="009525ED" w:rsidP="007779F4">
      <w:pPr>
        <w:pStyle w:val="Heading2"/>
      </w:pPr>
      <w:bookmarkStart w:id="9" w:name="_Toc526867545"/>
      <w:r>
        <w:t>10.</w:t>
      </w:r>
      <w:r w:rsidR="0008386D">
        <w:rPr>
          <w:noProof/>
        </w:rPr>
        <w:t>2</w:t>
      </w:r>
      <w:r w:rsidR="00C31CF2">
        <w:tab/>
      </w:r>
      <w:r w:rsidR="00FD18CA" w:rsidRPr="00BC1CC1">
        <w:t>Framework of performance indicators</w:t>
      </w:r>
      <w:bookmarkEnd w:id="6"/>
      <w:bookmarkEnd w:id="7"/>
      <w:bookmarkEnd w:id="8"/>
      <w:bookmarkEnd w:id="9"/>
    </w:p>
    <w:p w14:paraId="565189A1" w14:textId="491069E7" w:rsidR="002C6F35" w:rsidRPr="00245FF6" w:rsidRDefault="00FD18CA" w:rsidP="004064E7">
      <w:pPr>
        <w:pStyle w:val="BodyText"/>
      </w:pPr>
      <w:r w:rsidRPr="00FD18CA">
        <w:t xml:space="preserve">The performance indicator framework is based on </w:t>
      </w:r>
      <w:r w:rsidR="0098232E">
        <w:t>common</w:t>
      </w:r>
      <w:r w:rsidRPr="00FD18CA">
        <w:t xml:space="preserve"> objectives for primary and community health (box</w:t>
      </w:r>
      <w:r>
        <w:t> </w:t>
      </w:r>
      <w:r w:rsidR="007300C3">
        <w:t>1</w:t>
      </w:r>
      <w:r w:rsidR="00897589">
        <w:t>0</w:t>
      </w:r>
      <w:r w:rsidR="007300C3">
        <w:t>.1</w:t>
      </w:r>
      <w:r w:rsidR="004064E7">
        <w:t>).</w:t>
      </w:r>
    </w:p>
    <w:p w14:paraId="1119C0C1" w14:textId="69D2E6F1" w:rsidR="00066013" w:rsidRDefault="00066013">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066013" w14:paraId="5832A5C0" w14:textId="77777777" w:rsidTr="005D0593">
        <w:tc>
          <w:tcPr>
            <w:tcW w:w="8793" w:type="dxa"/>
            <w:tcBorders>
              <w:top w:val="single" w:sz="6" w:space="0" w:color="78A22F"/>
              <w:left w:val="nil"/>
              <w:bottom w:val="nil"/>
              <w:right w:val="nil"/>
            </w:tcBorders>
            <w:shd w:val="clear" w:color="auto" w:fill="F2F2F2"/>
          </w:tcPr>
          <w:p w14:paraId="240468BB" w14:textId="4DA77D0D" w:rsidR="00066013" w:rsidRDefault="00066013" w:rsidP="00A021FA">
            <w:pPr>
              <w:pStyle w:val="BoxTitle"/>
            </w:pPr>
            <w:r>
              <w:rPr>
                <w:b w:val="0"/>
              </w:rPr>
              <w:t xml:space="preserve">Box </w:t>
            </w:r>
            <w:r w:rsidR="009525ED">
              <w:rPr>
                <w:b w:val="0"/>
              </w:rPr>
              <w:t>10.</w:t>
            </w:r>
            <w:r w:rsidR="0008386D">
              <w:rPr>
                <w:b w:val="0"/>
                <w:noProof/>
              </w:rPr>
              <w:t>1</w:t>
            </w:r>
            <w:r>
              <w:tab/>
            </w:r>
            <w:r w:rsidRPr="00A22E1F">
              <w:t>Objectives for primary and community health</w:t>
            </w:r>
          </w:p>
        </w:tc>
      </w:tr>
      <w:tr w:rsidR="00066013" w14:paraId="5F7F1B68" w14:textId="77777777" w:rsidTr="005D0593">
        <w:trPr>
          <w:cantSplit/>
        </w:trPr>
        <w:tc>
          <w:tcPr>
            <w:tcW w:w="8793" w:type="dxa"/>
            <w:tcBorders>
              <w:top w:val="nil"/>
              <w:left w:val="nil"/>
              <w:bottom w:val="nil"/>
              <w:right w:val="nil"/>
            </w:tcBorders>
            <w:shd w:val="clear" w:color="auto" w:fill="F2F2F2"/>
          </w:tcPr>
          <w:p w14:paraId="2A0D8C18" w14:textId="7F14979F" w:rsidR="0042536B" w:rsidRDefault="0042536B" w:rsidP="0042536B">
            <w:pPr>
              <w:pStyle w:val="Box"/>
            </w:pPr>
            <w:r>
              <w:t>Primary and community health services aim to promote health, prevent illness and to support people to manage their health issues in the community</w:t>
            </w:r>
            <w:r w:rsidR="007C7F4E">
              <w:t>, by providing services</w:t>
            </w:r>
            <w:r>
              <w:t xml:space="preserve"> that </w:t>
            </w:r>
            <w:r w:rsidR="007C7F4E">
              <w:t>are</w:t>
            </w:r>
            <w:r>
              <w:t xml:space="preserve">: </w:t>
            </w:r>
          </w:p>
          <w:p w14:paraId="64C44A49" w14:textId="77777777" w:rsidR="0042536B" w:rsidRDefault="0042536B" w:rsidP="0042536B">
            <w:pPr>
              <w:pStyle w:val="BoxListBullet"/>
            </w:pPr>
            <w:r>
              <w:t>timely, affordable and accessible to all</w:t>
            </w:r>
          </w:p>
          <w:p w14:paraId="5962BCFE" w14:textId="77777777" w:rsidR="0042536B" w:rsidRDefault="0042536B" w:rsidP="0042536B">
            <w:pPr>
              <w:pStyle w:val="BoxListBullet"/>
            </w:pPr>
            <w:r>
              <w:t>appropriate and responsive to meet the needs of individuals throughout their lifespan and communities</w:t>
            </w:r>
          </w:p>
          <w:p w14:paraId="3BF93A62" w14:textId="77777777" w:rsidR="0042536B" w:rsidRDefault="0042536B" w:rsidP="0042536B">
            <w:pPr>
              <w:pStyle w:val="BoxListBullet"/>
            </w:pPr>
            <w:r>
              <w:t>high quality and safe</w:t>
            </w:r>
          </w:p>
          <w:p w14:paraId="6341A0D5" w14:textId="7A3F8B6F" w:rsidR="0042536B" w:rsidRDefault="006730F9" w:rsidP="0042536B">
            <w:pPr>
              <w:pStyle w:val="BoxListBullet"/>
            </w:pPr>
            <w:r>
              <w:t xml:space="preserve">well </w:t>
            </w:r>
            <w:r w:rsidR="003B027E">
              <w:t>co</w:t>
            </w:r>
            <w:r w:rsidR="0042536B">
              <w:t>ordinated to ensure continuity of care where more than one service type, and/or ongoing service provision is required</w:t>
            </w:r>
          </w:p>
          <w:p w14:paraId="67C40669" w14:textId="77777777" w:rsidR="0042536B" w:rsidRDefault="0042536B" w:rsidP="0042536B">
            <w:pPr>
              <w:pStyle w:val="BoxListBullet"/>
            </w:pPr>
            <w:r>
              <w:t>sustainable.</w:t>
            </w:r>
          </w:p>
          <w:p w14:paraId="6636CDB9" w14:textId="77777777" w:rsidR="00066013" w:rsidRPr="007C772D" w:rsidRDefault="0042536B" w:rsidP="0042536B">
            <w:pPr>
              <w:pStyle w:val="Box"/>
              <w:rPr>
                <w:rStyle w:val="DraftingNote"/>
              </w:rPr>
            </w:pPr>
            <w:r>
              <w:t>Governments aim for primary and community health services to meet these objectives in an equitable and efficient manner.</w:t>
            </w:r>
          </w:p>
        </w:tc>
      </w:tr>
      <w:tr w:rsidR="00066013" w14:paraId="23D0A9E2" w14:textId="77777777" w:rsidTr="005D0593">
        <w:trPr>
          <w:cantSplit/>
        </w:trPr>
        <w:tc>
          <w:tcPr>
            <w:tcW w:w="8793" w:type="dxa"/>
            <w:tcBorders>
              <w:top w:val="nil"/>
              <w:left w:val="nil"/>
              <w:bottom w:val="single" w:sz="6" w:space="0" w:color="78A22F"/>
              <w:right w:val="nil"/>
            </w:tcBorders>
            <w:shd w:val="clear" w:color="auto" w:fill="F2F2F2"/>
          </w:tcPr>
          <w:p w14:paraId="2A4B3F85" w14:textId="77777777" w:rsidR="00066013" w:rsidRDefault="00066013">
            <w:pPr>
              <w:pStyle w:val="Box"/>
              <w:spacing w:before="0" w:line="120" w:lineRule="exact"/>
            </w:pPr>
          </w:p>
        </w:tc>
      </w:tr>
      <w:tr w:rsidR="00066013" w:rsidRPr="000863A5" w14:paraId="2B326F24" w14:textId="77777777" w:rsidTr="005D0593">
        <w:tc>
          <w:tcPr>
            <w:tcW w:w="8793" w:type="dxa"/>
            <w:tcBorders>
              <w:top w:val="single" w:sz="6" w:space="0" w:color="78A22F"/>
              <w:left w:val="nil"/>
              <w:bottom w:val="nil"/>
              <w:right w:val="nil"/>
            </w:tcBorders>
          </w:tcPr>
          <w:p w14:paraId="17121168" w14:textId="5AF2A04A" w:rsidR="00066013" w:rsidRPr="00626D32" w:rsidRDefault="00066013" w:rsidP="00AD3FCC">
            <w:pPr>
              <w:pStyle w:val="BoxSpaceBelow"/>
            </w:pPr>
          </w:p>
        </w:tc>
      </w:tr>
    </w:tbl>
    <w:p w14:paraId="2D660602" w14:textId="77777777" w:rsidR="003B027E" w:rsidRDefault="00631BB6" w:rsidP="00E52E8A">
      <w:pPr>
        <w:pStyle w:val="BodyText"/>
      </w:pPr>
      <w:r w:rsidRPr="00FD18CA">
        <w:t xml:space="preserve">The performance indicator framework </w:t>
      </w:r>
      <w:r>
        <w:t xml:space="preserve">provides information on equity, efficiency and effectiveness, and distinguishes the outputs and outcomes of </w:t>
      </w:r>
      <w:r w:rsidR="005C08B7">
        <w:t xml:space="preserve">primary and community </w:t>
      </w:r>
      <w:r>
        <w:t xml:space="preserve">health services </w:t>
      </w:r>
      <w:r w:rsidRPr="00FD18CA">
        <w:t>(</w:t>
      </w:r>
      <w:r w:rsidR="00897589">
        <w:t>figure 10.</w:t>
      </w:r>
      <w:r w:rsidR="00077859">
        <w:t>2</w:t>
      </w:r>
      <w:r w:rsidRPr="00EA5ED5">
        <w:t>).</w:t>
      </w:r>
      <w:r w:rsidRPr="00FD18CA">
        <w:t xml:space="preserve"> </w:t>
      </w:r>
    </w:p>
    <w:p w14:paraId="48DE7FEF" w14:textId="3E014F79" w:rsidR="00D451D8" w:rsidRDefault="00631BB6" w:rsidP="00E52E8A">
      <w:pPr>
        <w:pStyle w:val="BodyText"/>
      </w:pPr>
      <w:r w:rsidRPr="00FD18CA">
        <w:t xml:space="preserve">The performance indicator framework shows which data are </w:t>
      </w:r>
      <w:r w:rsidR="008C0EB9">
        <w:t xml:space="preserve">complete and </w:t>
      </w:r>
      <w:r w:rsidRPr="00FD18CA">
        <w:t xml:space="preserve">comparable in the </w:t>
      </w:r>
      <w:r w:rsidRPr="00597DC3">
        <w:t>201</w:t>
      </w:r>
      <w:r w:rsidR="00A143BD">
        <w:t>9</w:t>
      </w:r>
      <w:r>
        <w:t> </w:t>
      </w:r>
      <w:r w:rsidRPr="00FD18CA">
        <w:t>Report</w:t>
      </w:r>
      <w:r w:rsidRPr="00EA5ED5">
        <w:t>.</w:t>
      </w:r>
    </w:p>
    <w:p w14:paraId="71A157A0" w14:textId="08E30477" w:rsidR="007C706B" w:rsidRDefault="00631BB6" w:rsidP="00416622">
      <w:pPr>
        <w:pStyle w:val="BodyText"/>
      </w:pPr>
      <w:r w:rsidRPr="00FD18CA">
        <w:t>For data that are not considered directly comparable, text includes relevant caveats and supporting commentary. Chapter</w:t>
      </w:r>
      <w:r>
        <w:t> </w:t>
      </w:r>
      <w:r w:rsidRPr="00FD18CA">
        <w:t>1 discusses d</w:t>
      </w:r>
      <w:r w:rsidR="00DE31B7">
        <w:t xml:space="preserve">ata comparability, </w:t>
      </w:r>
      <w:r w:rsidR="002E00E7" w:rsidRPr="00CC4FB1">
        <w:t>data completeness</w:t>
      </w:r>
      <w:r w:rsidR="002E00E7" w:rsidRPr="002E00E7">
        <w:t xml:space="preserve"> </w:t>
      </w:r>
      <w:r w:rsidR="00DE31B7">
        <w:t xml:space="preserve">and information on data quality </w:t>
      </w:r>
      <w:r w:rsidR="00FE12D6">
        <w:t>from a Report</w:t>
      </w:r>
      <w:r w:rsidR="00DE31B7">
        <w:t xml:space="preserve"> </w:t>
      </w:r>
      <w:r w:rsidRPr="00FD18CA">
        <w:t>wide pers</w:t>
      </w:r>
      <w:r w:rsidR="001D6FDD">
        <w:t>pective</w:t>
      </w:r>
      <w:r w:rsidR="00301B94">
        <w:t>.</w:t>
      </w:r>
      <w:r w:rsidR="00EB2620">
        <w:t xml:space="preserve"> </w:t>
      </w:r>
      <w:r w:rsidR="004B0922">
        <w:t xml:space="preserve">In addition to section 10.1, the Report’s </w:t>
      </w:r>
      <w:r w:rsidR="004B0922" w:rsidRPr="007D1F0C">
        <w:t xml:space="preserve">statistical context chapter </w:t>
      </w:r>
      <w:r w:rsidR="00D451D8">
        <w:t xml:space="preserve">(chapter 2) </w:t>
      </w:r>
      <w:r w:rsidR="004B0922">
        <w:t xml:space="preserve">contains data that may assist in interpreting the performance indicators </w:t>
      </w:r>
      <w:bookmarkStart w:id="10" w:name="_Toc208034413"/>
      <w:bookmarkStart w:id="11" w:name="_Toc274941101"/>
      <w:bookmarkStart w:id="12" w:name="_Toc396916148"/>
      <w:r w:rsidR="00D451D8">
        <w:t>in this chapter.</w:t>
      </w:r>
      <w:r w:rsidR="00443C75">
        <w:t xml:space="preserve"> Chapters 1 and 2 are available from the website at</w:t>
      </w:r>
      <w:r w:rsidR="008A3D1E">
        <w:t xml:space="preserve"> </w:t>
      </w:r>
      <w:r w:rsidR="008A3D1E" w:rsidRPr="008A3D1E">
        <w:t>https://www.pc.gov.au/research/ongoing/report-on-government-services</w:t>
      </w:r>
      <w:r w:rsidR="00443C75">
        <w:t>.</w:t>
      </w:r>
    </w:p>
    <w:p w14:paraId="729A9D2E" w14:textId="3F85DDC5" w:rsidR="0088042D" w:rsidRPr="00097C57" w:rsidRDefault="0088042D" w:rsidP="00416622">
      <w:pPr>
        <w:pStyle w:val="BodyText"/>
      </w:pPr>
      <w:r>
        <w:t xml:space="preserve">Improvements to performance reporting for </w:t>
      </w:r>
      <w:r>
        <w:rPr>
          <w:rFonts w:eastAsiaTheme="minorHAnsi"/>
        </w:rPr>
        <w:t>p</w:t>
      </w:r>
      <w:r w:rsidRPr="007C706B">
        <w:rPr>
          <w:rFonts w:eastAsiaTheme="minorHAnsi"/>
        </w:rPr>
        <w:t xml:space="preserve">rimary and </w:t>
      </w:r>
      <w:r>
        <w:rPr>
          <w:rFonts w:eastAsiaTheme="minorHAnsi"/>
        </w:rPr>
        <w:t>c</w:t>
      </w:r>
      <w:r w:rsidRPr="007C706B">
        <w:rPr>
          <w:rFonts w:eastAsiaTheme="minorHAnsi"/>
        </w:rPr>
        <w:t xml:space="preserve">ommunity </w:t>
      </w:r>
      <w:r>
        <w:rPr>
          <w:rFonts w:eastAsiaTheme="minorHAnsi"/>
        </w:rPr>
        <w:t>h</w:t>
      </w:r>
      <w:r w:rsidRPr="007C706B">
        <w:rPr>
          <w:rFonts w:eastAsiaTheme="minorHAnsi"/>
        </w:rPr>
        <w:t>ealth</w:t>
      </w:r>
      <w:r>
        <w:t xml:space="preserve"> services are ongoing and include </w:t>
      </w:r>
      <w:r w:rsidRPr="00CA33F2">
        <w:t>identifying data sources to fill gaps in reporting for performance indicators and measures</w:t>
      </w:r>
      <w:r>
        <w:t>, and improving the comparability and completeness of data.</w:t>
      </w:r>
    </w:p>
    <w:p w14:paraId="3F6CE605" w14:textId="28FC1093" w:rsidR="00416622" w:rsidRDefault="00416622" w:rsidP="00032E36">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416622" w14:paraId="3D078D24" w14:textId="77777777" w:rsidTr="005D0593">
        <w:tc>
          <w:tcPr>
            <w:tcW w:w="8793" w:type="dxa"/>
            <w:tcBorders>
              <w:top w:val="single" w:sz="6" w:space="0" w:color="78A22F"/>
              <w:left w:val="nil"/>
              <w:bottom w:val="nil"/>
              <w:right w:val="nil"/>
            </w:tcBorders>
            <w:shd w:val="clear" w:color="auto" w:fill="auto"/>
          </w:tcPr>
          <w:p w14:paraId="4FC11320" w14:textId="705B9BD8" w:rsidR="00416622" w:rsidRPr="00176D3F" w:rsidRDefault="00416622" w:rsidP="00127E9C">
            <w:pPr>
              <w:pStyle w:val="FigureTitle"/>
            </w:pPr>
            <w:r w:rsidRPr="00784A05">
              <w:rPr>
                <w:b w:val="0"/>
              </w:rPr>
              <w:t xml:space="preserve">Figure </w:t>
            </w:r>
            <w:r w:rsidR="009525ED">
              <w:rPr>
                <w:b w:val="0"/>
              </w:rPr>
              <w:t>10.</w:t>
            </w:r>
            <w:r w:rsidR="0008386D">
              <w:rPr>
                <w:b w:val="0"/>
                <w:noProof/>
              </w:rPr>
              <w:t>2</w:t>
            </w:r>
            <w:r>
              <w:tab/>
            </w:r>
            <w:r w:rsidRPr="00416622">
              <w:t>Primary and community health performance indicator framework</w:t>
            </w:r>
          </w:p>
        </w:tc>
      </w:tr>
      <w:tr w:rsidR="00416622" w14:paraId="53B86A53" w14:textId="77777777" w:rsidTr="005D0593">
        <w:tc>
          <w:tcPr>
            <w:tcW w:w="8793" w:type="dxa"/>
            <w:tcBorders>
              <w:top w:val="nil"/>
              <w:left w:val="nil"/>
              <w:bottom w:val="nil"/>
              <w:right w:val="nil"/>
            </w:tcBorders>
            <w:shd w:val="clear" w:color="auto" w:fill="auto"/>
            <w:tcMar>
              <w:top w:w="28" w:type="dxa"/>
              <w:bottom w:w="28" w:type="dxa"/>
            </w:tcMar>
          </w:tcPr>
          <w:p w14:paraId="65BE61BD" w14:textId="2F9ED97A" w:rsidR="00416622" w:rsidRDefault="00BF08DD" w:rsidP="00032E36">
            <w:pPr>
              <w:pStyle w:val="Figure"/>
            </w:pPr>
            <w:r w:rsidRPr="00A70A62">
              <w:rPr>
                <w:noProof/>
              </w:rPr>
              <w:drawing>
                <wp:inline distT="0" distB="0" distL="0" distR="0" wp14:anchorId="7C09E89F" wp14:editId="3269B54D">
                  <wp:extent cx="5431713" cy="6137063"/>
                  <wp:effectExtent l="0" t="0" r="0" b="0"/>
                  <wp:docPr id="2" name="Picture 2" descr="Figure 10.2 Primary and community health performance indicator framework&#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5082" cy="6140870"/>
                          </a:xfrm>
                          <a:prstGeom prst="rect">
                            <a:avLst/>
                          </a:prstGeom>
                          <a:noFill/>
                          <a:ln>
                            <a:noFill/>
                          </a:ln>
                        </pic:spPr>
                      </pic:pic>
                    </a:graphicData>
                  </a:graphic>
                </wp:inline>
              </w:drawing>
            </w:r>
          </w:p>
        </w:tc>
      </w:tr>
      <w:tr w:rsidR="00416622" w14:paraId="2B096F2C" w14:textId="77777777" w:rsidTr="005D0593">
        <w:tc>
          <w:tcPr>
            <w:tcW w:w="8793" w:type="dxa"/>
            <w:tcBorders>
              <w:top w:val="nil"/>
              <w:left w:val="nil"/>
              <w:bottom w:val="single" w:sz="6" w:space="0" w:color="78A22F"/>
              <w:right w:val="nil"/>
            </w:tcBorders>
            <w:shd w:val="clear" w:color="auto" w:fill="auto"/>
          </w:tcPr>
          <w:p w14:paraId="64D3C3BF" w14:textId="77777777" w:rsidR="00416622" w:rsidRDefault="00416622" w:rsidP="00032E36">
            <w:pPr>
              <w:pStyle w:val="Figurespace"/>
            </w:pPr>
          </w:p>
        </w:tc>
      </w:tr>
      <w:tr w:rsidR="00416622" w:rsidRPr="000863A5" w14:paraId="653E3141" w14:textId="77777777" w:rsidTr="005D0593">
        <w:tc>
          <w:tcPr>
            <w:tcW w:w="8793" w:type="dxa"/>
            <w:tcBorders>
              <w:top w:val="single" w:sz="6" w:space="0" w:color="78A22F"/>
              <w:left w:val="nil"/>
              <w:bottom w:val="nil"/>
              <w:right w:val="nil"/>
            </w:tcBorders>
          </w:tcPr>
          <w:p w14:paraId="23FABD55" w14:textId="69149B23" w:rsidR="00416622" w:rsidRPr="00626D32" w:rsidRDefault="00416622" w:rsidP="00032E36">
            <w:pPr>
              <w:pStyle w:val="BoxSpaceBelow"/>
            </w:pPr>
          </w:p>
        </w:tc>
      </w:tr>
    </w:tbl>
    <w:p w14:paraId="1DF4807A" w14:textId="1A8DC661" w:rsidR="00B14170" w:rsidRPr="00BC1CC1" w:rsidRDefault="009525ED" w:rsidP="006D70FB">
      <w:pPr>
        <w:pStyle w:val="Heading2"/>
      </w:pPr>
      <w:bookmarkStart w:id="13" w:name="_Toc526867546"/>
      <w:r>
        <w:t>10.</w:t>
      </w:r>
      <w:r w:rsidR="0008386D">
        <w:rPr>
          <w:noProof/>
        </w:rPr>
        <w:t>3</w:t>
      </w:r>
      <w:r w:rsidR="00C31CF2">
        <w:tab/>
      </w:r>
      <w:r w:rsidR="00B14170" w:rsidRPr="00BC1CC1">
        <w:t>Key performance indicator results</w:t>
      </w:r>
      <w:bookmarkEnd w:id="10"/>
      <w:bookmarkEnd w:id="11"/>
      <w:bookmarkEnd w:id="12"/>
      <w:bookmarkEnd w:id="13"/>
    </w:p>
    <w:p w14:paraId="47F19772" w14:textId="77777777" w:rsidR="00B14170" w:rsidRDefault="00B14170" w:rsidP="009821EC">
      <w:pPr>
        <w:pStyle w:val="BodyText"/>
      </w:pPr>
      <w:r w:rsidRPr="00B14170">
        <w:t>Different delivery contexts, locations and</w:t>
      </w:r>
      <w:r w:rsidR="00DB4814">
        <w:t xml:space="preserve"> client factors</w:t>
      </w:r>
      <w:r w:rsidRPr="00B14170">
        <w:t xml:space="preserve"> may affect the equity, effectiveness and efficien</w:t>
      </w:r>
      <w:r>
        <w:t xml:space="preserve">cy </w:t>
      </w:r>
      <w:r w:rsidR="00786E59">
        <w:t>of</w:t>
      </w:r>
      <w:r w:rsidR="004A469F">
        <w:t xml:space="preserve"> primary and community </w:t>
      </w:r>
      <w:r w:rsidR="00786E59">
        <w:t>health services.</w:t>
      </w:r>
    </w:p>
    <w:p w14:paraId="22B174A1" w14:textId="77777777" w:rsidR="00C06F10" w:rsidRDefault="00C06F10" w:rsidP="0083437D">
      <w:pPr>
        <w:pStyle w:val="BodyText"/>
      </w:pPr>
      <w:r w:rsidRPr="000F6C4E">
        <w:lastRenderedPageBreak/>
        <w:t>The comparability of performance indicator results are shaded in indicator interpretation boxes, figures and chapter and attachment tables as follows:</w:t>
      </w:r>
    </w:p>
    <w:p w14:paraId="47854F15" w14:textId="77777777" w:rsidR="00721E94" w:rsidRDefault="00721E94" w:rsidP="00721E94">
      <w:pPr>
        <w:pStyle w:val="BoxSpaceAbove"/>
        <w:rPr>
          <w:rFonts w:eastAsiaTheme="minorHAnsi"/>
        </w:rPr>
      </w:pPr>
    </w:p>
    <w:tbl>
      <w:tblPr>
        <w:tblW w:w="5000" w:type="pct"/>
        <w:tblCellMar>
          <w:top w:w="28" w:type="dxa"/>
          <w:left w:w="0" w:type="dxa"/>
          <w:right w:w="0" w:type="dxa"/>
        </w:tblCellMar>
        <w:tblLook w:val="0000" w:firstRow="0" w:lastRow="0" w:firstColumn="0" w:lastColumn="0" w:noHBand="0" w:noVBand="0"/>
      </w:tblPr>
      <w:tblGrid>
        <w:gridCol w:w="283"/>
        <w:gridCol w:w="568"/>
        <w:gridCol w:w="283"/>
        <w:gridCol w:w="7655"/>
      </w:tblGrid>
      <w:tr w:rsidR="00721E94" w:rsidRPr="000D77DB" w14:paraId="079D2947" w14:textId="77777777" w:rsidTr="002E2426">
        <w:tc>
          <w:tcPr>
            <w:tcW w:w="161" w:type="pct"/>
            <w:shd w:val="clear" w:color="auto" w:fill="auto"/>
          </w:tcPr>
          <w:p w14:paraId="6037A188" w14:textId="77777777" w:rsidR="00721E94" w:rsidRPr="000D77DB" w:rsidRDefault="00721E94" w:rsidP="002E2426">
            <w:pPr>
              <w:pStyle w:val="Note"/>
              <w:keepNext/>
            </w:pPr>
          </w:p>
        </w:tc>
        <w:tc>
          <w:tcPr>
            <w:tcW w:w="323" w:type="pct"/>
            <w:shd w:val="clear" w:color="auto" w:fill="F15A25"/>
          </w:tcPr>
          <w:p w14:paraId="513CD47E" w14:textId="77777777" w:rsidR="00721E94" w:rsidRPr="000D77DB" w:rsidRDefault="00721E94" w:rsidP="002E2426">
            <w:pPr>
              <w:pStyle w:val="Note"/>
              <w:rPr>
                <w:szCs w:val="18"/>
              </w:rPr>
            </w:pPr>
          </w:p>
        </w:tc>
        <w:tc>
          <w:tcPr>
            <w:tcW w:w="161" w:type="pct"/>
            <w:shd w:val="clear" w:color="auto" w:fill="auto"/>
          </w:tcPr>
          <w:p w14:paraId="25B0C9CE" w14:textId="77777777" w:rsidR="00721E94" w:rsidRPr="000D77DB" w:rsidRDefault="00721E94" w:rsidP="002E2426">
            <w:pPr>
              <w:pStyle w:val="Note"/>
              <w:rPr>
                <w:szCs w:val="18"/>
              </w:rPr>
            </w:pPr>
          </w:p>
        </w:tc>
        <w:tc>
          <w:tcPr>
            <w:tcW w:w="4355" w:type="pct"/>
            <w:shd w:val="clear" w:color="auto" w:fill="auto"/>
          </w:tcPr>
          <w:p w14:paraId="0A3AAA1F" w14:textId="77777777" w:rsidR="00721E94" w:rsidRPr="00E012A1" w:rsidRDefault="00721E94" w:rsidP="00721E94">
            <w:pPr>
              <w:pStyle w:val="TableBodyText"/>
              <w:jc w:val="left"/>
            </w:pPr>
            <w:r w:rsidRPr="00E012A1">
              <w:t>Data are comparable (subject to caveats) across jurisdictions and over time.</w:t>
            </w:r>
          </w:p>
        </w:tc>
      </w:tr>
      <w:tr w:rsidR="00721E94" w:rsidRPr="000D77DB" w14:paraId="50654CD4" w14:textId="77777777" w:rsidTr="002E2426">
        <w:tc>
          <w:tcPr>
            <w:tcW w:w="161" w:type="pct"/>
            <w:shd w:val="clear" w:color="auto" w:fill="auto"/>
          </w:tcPr>
          <w:p w14:paraId="33453D3E" w14:textId="77777777" w:rsidR="00721E94" w:rsidRPr="000D77DB" w:rsidRDefault="00721E94" w:rsidP="002E2426">
            <w:pPr>
              <w:pStyle w:val="Note"/>
            </w:pPr>
          </w:p>
        </w:tc>
        <w:tc>
          <w:tcPr>
            <w:tcW w:w="323" w:type="pct"/>
            <w:shd w:val="clear" w:color="auto" w:fill="FCDED3"/>
          </w:tcPr>
          <w:p w14:paraId="024B5310" w14:textId="77777777" w:rsidR="00721E94" w:rsidRPr="000D77DB" w:rsidRDefault="00721E94" w:rsidP="002E2426">
            <w:pPr>
              <w:pStyle w:val="Note"/>
              <w:rPr>
                <w:szCs w:val="18"/>
              </w:rPr>
            </w:pPr>
          </w:p>
        </w:tc>
        <w:tc>
          <w:tcPr>
            <w:tcW w:w="161" w:type="pct"/>
            <w:shd w:val="clear" w:color="auto" w:fill="auto"/>
          </w:tcPr>
          <w:p w14:paraId="1EBE30A1" w14:textId="77777777" w:rsidR="00721E94" w:rsidRPr="000D77DB" w:rsidRDefault="00721E94" w:rsidP="002E2426">
            <w:pPr>
              <w:pStyle w:val="Note"/>
              <w:rPr>
                <w:szCs w:val="18"/>
              </w:rPr>
            </w:pPr>
          </w:p>
        </w:tc>
        <w:tc>
          <w:tcPr>
            <w:tcW w:w="4355" w:type="pct"/>
            <w:shd w:val="clear" w:color="auto" w:fill="auto"/>
          </w:tcPr>
          <w:p w14:paraId="015C6397" w14:textId="77777777" w:rsidR="00721E94" w:rsidRPr="00E012A1" w:rsidRDefault="00721E94" w:rsidP="00721E94">
            <w:pPr>
              <w:pStyle w:val="TableBodyText"/>
              <w:jc w:val="left"/>
            </w:pPr>
            <w:r w:rsidRPr="00E012A1">
              <w:t>Data are either not comparable (subject to caveats) within jurisdictions over time or are not comparable across jurisdictions or both.</w:t>
            </w:r>
          </w:p>
        </w:tc>
      </w:tr>
    </w:tbl>
    <w:p w14:paraId="59414AF7" w14:textId="77777777" w:rsidR="00721E94" w:rsidRDefault="00721E94" w:rsidP="00721E94">
      <w:pPr>
        <w:spacing w:before="240" w:line="300" w:lineRule="atLeast"/>
        <w:jc w:val="both"/>
        <w:rPr>
          <w:szCs w:val="20"/>
        </w:rPr>
      </w:pPr>
      <w:r w:rsidRPr="000F6C4E">
        <w:rPr>
          <w:szCs w:val="20"/>
        </w:rPr>
        <w:t>The completeness of performance indicator results are shaded in indicator interpretation boxes</w:t>
      </w:r>
      <w:r>
        <w:rPr>
          <w:szCs w:val="20"/>
        </w:rPr>
        <w:t>,</w:t>
      </w:r>
      <w:r w:rsidRPr="000F6C4E">
        <w:rPr>
          <w:szCs w:val="20"/>
        </w:rPr>
        <w:t xml:space="preserve"> </w:t>
      </w:r>
      <w:r w:rsidRPr="00DF1F24">
        <w:rPr>
          <w:szCs w:val="20"/>
        </w:rPr>
        <w:t xml:space="preserve">figures and chapter and attachment tables </w:t>
      </w:r>
      <w:r w:rsidRPr="000F6C4E">
        <w:rPr>
          <w:szCs w:val="20"/>
        </w:rPr>
        <w:t>as follows:</w:t>
      </w:r>
    </w:p>
    <w:p w14:paraId="38E5C4E4" w14:textId="77777777" w:rsidR="00721E94" w:rsidRDefault="00721E94" w:rsidP="00721E94">
      <w:pPr>
        <w:pStyle w:val="BoxSpaceAbove"/>
        <w:rPr>
          <w:rFonts w:eastAsiaTheme="minorHAnsi"/>
        </w:rPr>
      </w:pPr>
    </w:p>
    <w:tbl>
      <w:tblPr>
        <w:tblW w:w="5000" w:type="pct"/>
        <w:tblCellMar>
          <w:top w:w="28" w:type="dxa"/>
          <w:left w:w="0" w:type="dxa"/>
          <w:right w:w="0" w:type="dxa"/>
        </w:tblCellMar>
        <w:tblLook w:val="0000" w:firstRow="0" w:lastRow="0" w:firstColumn="0" w:lastColumn="0" w:noHBand="0" w:noVBand="0"/>
      </w:tblPr>
      <w:tblGrid>
        <w:gridCol w:w="283"/>
        <w:gridCol w:w="568"/>
        <w:gridCol w:w="283"/>
        <w:gridCol w:w="7655"/>
      </w:tblGrid>
      <w:tr w:rsidR="00721E94" w:rsidRPr="000D77DB" w14:paraId="1E58F566" w14:textId="77777777" w:rsidTr="002E2426">
        <w:tc>
          <w:tcPr>
            <w:tcW w:w="161" w:type="pct"/>
            <w:shd w:val="clear" w:color="auto" w:fill="auto"/>
          </w:tcPr>
          <w:p w14:paraId="61BF2C87" w14:textId="77777777" w:rsidR="00721E94" w:rsidRPr="000D77DB" w:rsidRDefault="00721E94" w:rsidP="002E2426">
            <w:pPr>
              <w:pStyle w:val="Note"/>
              <w:keepNext/>
            </w:pPr>
          </w:p>
        </w:tc>
        <w:tc>
          <w:tcPr>
            <w:tcW w:w="323" w:type="pct"/>
            <w:shd w:val="clear" w:color="auto" w:fill="F15A25"/>
          </w:tcPr>
          <w:p w14:paraId="7E1C1EBE" w14:textId="77777777" w:rsidR="00721E94" w:rsidRPr="000D77DB" w:rsidRDefault="00721E94" w:rsidP="002E2426">
            <w:pPr>
              <w:pStyle w:val="Note"/>
              <w:rPr>
                <w:szCs w:val="18"/>
              </w:rPr>
            </w:pPr>
          </w:p>
        </w:tc>
        <w:tc>
          <w:tcPr>
            <w:tcW w:w="161" w:type="pct"/>
            <w:shd w:val="clear" w:color="auto" w:fill="auto"/>
          </w:tcPr>
          <w:p w14:paraId="17D447DA" w14:textId="77777777" w:rsidR="00721E94" w:rsidRPr="000D77DB" w:rsidRDefault="00721E94" w:rsidP="002E2426">
            <w:pPr>
              <w:pStyle w:val="Note"/>
              <w:rPr>
                <w:szCs w:val="18"/>
              </w:rPr>
            </w:pPr>
          </w:p>
        </w:tc>
        <w:tc>
          <w:tcPr>
            <w:tcW w:w="4355" w:type="pct"/>
            <w:shd w:val="clear" w:color="auto" w:fill="auto"/>
          </w:tcPr>
          <w:p w14:paraId="45D52E2B" w14:textId="77777777" w:rsidR="00721E94" w:rsidRPr="00E012A1" w:rsidRDefault="00721E94" w:rsidP="00721E94">
            <w:pPr>
              <w:pStyle w:val="TableBodyText"/>
              <w:jc w:val="left"/>
            </w:pPr>
            <w:r w:rsidRPr="00810CD8">
              <w:t>Data are complete (subject to caveats) for the current reporting period. All required data are available for all jurisdictions</w:t>
            </w:r>
          </w:p>
        </w:tc>
      </w:tr>
      <w:tr w:rsidR="00721E94" w:rsidRPr="000D77DB" w14:paraId="3EB8E34F" w14:textId="77777777" w:rsidTr="002E2426">
        <w:tc>
          <w:tcPr>
            <w:tcW w:w="161" w:type="pct"/>
            <w:shd w:val="clear" w:color="auto" w:fill="auto"/>
          </w:tcPr>
          <w:p w14:paraId="55CB125C" w14:textId="77777777" w:rsidR="00721E94" w:rsidRPr="000D77DB" w:rsidRDefault="00721E94" w:rsidP="002E2426">
            <w:pPr>
              <w:pStyle w:val="Note"/>
            </w:pPr>
          </w:p>
        </w:tc>
        <w:tc>
          <w:tcPr>
            <w:tcW w:w="323" w:type="pct"/>
            <w:shd w:val="clear" w:color="auto" w:fill="FCDED3"/>
          </w:tcPr>
          <w:p w14:paraId="6A8C3820" w14:textId="77777777" w:rsidR="00721E94" w:rsidRPr="000D77DB" w:rsidRDefault="00721E94" w:rsidP="002E2426">
            <w:pPr>
              <w:pStyle w:val="Note"/>
              <w:rPr>
                <w:szCs w:val="18"/>
              </w:rPr>
            </w:pPr>
          </w:p>
        </w:tc>
        <w:tc>
          <w:tcPr>
            <w:tcW w:w="161" w:type="pct"/>
            <w:shd w:val="clear" w:color="auto" w:fill="auto"/>
          </w:tcPr>
          <w:p w14:paraId="20520243" w14:textId="77777777" w:rsidR="00721E94" w:rsidRPr="000D77DB" w:rsidRDefault="00721E94" w:rsidP="002E2426">
            <w:pPr>
              <w:pStyle w:val="Note"/>
              <w:rPr>
                <w:szCs w:val="18"/>
              </w:rPr>
            </w:pPr>
          </w:p>
        </w:tc>
        <w:tc>
          <w:tcPr>
            <w:tcW w:w="4355" w:type="pct"/>
            <w:shd w:val="clear" w:color="auto" w:fill="auto"/>
          </w:tcPr>
          <w:p w14:paraId="052D87A1" w14:textId="77777777" w:rsidR="00721E94" w:rsidRPr="00E012A1" w:rsidRDefault="00721E94" w:rsidP="00721E94">
            <w:pPr>
              <w:pStyle w:val="TableBodyText"/>
              <w:jc w:val="left"/>
            </w:pPr>
            <w:r w:rsidRPr="00810CD8">
              <w:t>Data are incomplete for the current reporting period. At least some data were not available.</w:t>
            </w:r>
          </w:p>
        </w:tc>
      </w:tr>
    </w:tbl>
    <w:p w14:paraId="1A4BC310" w14:textId="77777777" w:rsidR="00B14170" w:rsidRDefault="00B14170" w:rsidP="00B14170">
      <w:pPr>
        <w:pStyle w:val="Heading3"/>
      </w:pPr>
      <w:r w:rsidRPr="005A2F75">
        <w:t>Outputs</w:t>
      </w:r>
    </w:p>
    <w:p w14:paraId="6786FDB3" w14:textId="77777777" w:rsidR="00B14170" w:rsidRDefault="00B14170" w:rsidP="006A75CD">
      <w:pPr>
        <w:pStyle w:val="BodyText"/>
      </w:pPr>
      <w:r>
        <w:t>Outputs are the services delivered (while outcomes are the impact of these services on the status of an indi</w:t>
      </w:r>
      <w:r w:rsidR="00C85D1A">
        <w:t>vidual or group) (see chapter 1</w:t>
      </w:r>
      <w:r>
        <w:t>).</w:t>
      </w:r>
      <w:r w:rsidR="002511A2">
        <w:t xml:space="preserve"> </w:t>
      </w:r>
      <w:r w:rsidR="002511A2" w:rsidRPr="002511A2">
        <w:t>Output information is also critical for equitable, efficient and effective management of government services.</w:t>
      </w:r>
    </w:p>
    <w:p w14:paraId="40BFA168" w14:textId="77777777" w:rsidR="00865E22" w:rsidRPr="00865E22" w:rsidRDefault="00B14170" w:rsidP="00865E22">
      <w:pPr>
        <w:pStyle w:val="Heading3"/>
      </w:pPr>
      <w:r>
        <w:t>Equity</w:t>
      </w:r>
    </w:p>
    <w:p w14:paraId="129FE368" w14:textId="77777777" w:rsidR="00B14170" w:rsidRDefault="00B14170" w:rsidP="00042D31">
      <w:pPr>
        <w:pStyle w:val="Heading4"/>
      </w:pPr>
      <w:r>
        <w:t>Access</w:t>
      </w:r>
      <w:r w:rsidR="001C74ED">
        <w:t xml:space="preserve"> — </w:t>
      </w:r>
      <w:r w:rsidRPr="00B14170">
        <w:t xml:space="preserve">Availability of </w:t>
      </w:r>
      <w:r w:rsidR="00077859">
        <w:t>p</w:t>
      </w:r>
      <w:r w:rsidR="00B42176">
        <w:t>rimary healthcare services</w:t>
      </w:r>
    </w:p>
    <w:p w14:paraId="1AE3D158" w14:textId="0699F462" w:rsidR="007E10EF" w:rsidRDefault="007E10EF" w:rsidP="007E10EF">
      <w:pPr>
        <w:pStyle w:val="BodyText"/>
      </w:pPr>
      <w:r w:rsidRPr="002117A6">
        <w:t>‘Availability of</w:t>
      </w:r>
      <w:r w:rsidR="002117A6" w:rsidRPr="002117A6">
        <w:t xml:space="preserve"> primary healthcare services</w:t>
      </w:r>
      <w:r w:rsidRPr="002117A6">
        <w:t xml:space="preserve">’ is an indicator of </w:t>
      </w:r>
      <w:r w:rsidR="004F50FD" w:rsidRPr="002117A6">
        <w:t xml:space="preserve">governments’ objective to provide </w:t>
      </w:r>
      <w:r w:rsidRPr="002117A6">
        <w:t xml:space="preserve">access to </w:t>
      </w:r>
      <w:r w:rsidR="002117A6" w:rsidRPr="002117A6">
        <w:t xml:space="preserve">primary healthcare services </w:t>
      </w:r>
      <w:r w:rsidR="000863B9" w:rsidRPr="002117A6">
        <w:t xml:space="preserve">in an equitable manner </w:t>
      </w:r>
      <w:r w:rsidR="00627ED5" w:rsidRPr="002117A6">
        <w:t>(</w:t>
      </w:r>
      <w:r w:rsidR="00897589" w:rsidRPr="002117A6">
        <w:t>box 10.</w:t>
      </w:r>
      <w:r w:rsidR="00445562" w:rsidRPr="002117A6">
        <w:t>2</w:t>
      </w:r>
      <w:r w:rsidR="00105A71" w:rsidRPr="002117A6">
        <w:t>)</w:t>
      </w:r>
      <w:r w:rsidRPr="002117A6">
        <w:t>.</w:t>
      </w:r>
    </w:p>
    <w:p w14:paraId="210F74B4" w14:textId="1FFD59E0" w:rsidR="00A57E66" w:rsidRDefault="00A57E66">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8"/>
      </w:tblGrid>
      <w:tr w:rsidR="00A57E66" w14:paraId="49160197" w14:textId="77777777" w:rsidTr="005D0593">
        <w:trPr>
          <w:tblHeader/>
        </w:trPr>
        <w:tc>
          <w:tcPr>
            <w:tcW w:w="5000" w:type="pct"/>
            <w:tcBorders>
              <w:top w:val="single" w:sz="6" w:space="0" w:color="78A22F"/>
              <w:left w:val="nil"/>
              <w:bottom w:val="nil"/>
              <w:right w:val="nil"/>
            </w:tcBorders>
            <w:shd w:val="clear" w:color="auto" w:fill="F2F2F2"/>
          </w:tcPr>
          <w:p w14:paraId="68FCE625" w14:textId="0CAAD2AF" w:rsidR="00A57E66" w:rsidRDefault="00A57E66">
            <w:pPr>
              <w:pStyle w:val="BoxTitle"/>
            </w:pPr>
            <w:r>
              <w:rPr>
                <w:b w:val="0"/>
              </w:rPr>
              <w:t xml:space="preserve">Box </w:t>
            </w:r>
            <w:r w:rsidR="009525ED">
              <w:rPr>
                <w:b w:val="0"/>
              </w:rPr>
              <w:t>10.</w:t>
            </w:r>
            <w:r w:rsidR="0008386D">
              <w:rPr>
                <w:b w:val="0"/>
                <w:noProof/>
              </w:rPr>
              <w:t>2</w:t>
            </w:r>
            <w:r>
              <w:tab/>
            </w:r>
            <w:r w:rsidRPr="00AD3FCC">
              <w:t xml:space="preserve">Availability of </w:t>
            </w:r>
            <w:r>
              <w:t>primary healthcare services</w:t>
            </w:r>
          </w:p>
        </w:tc>
      </w:tr>
      <w:tr w:rsidR="00A57E66" w14:paraId="1DEDB986" w14:textId="77777777" w:rsidTr="005D0593">
        <w:tc>
          <w:tcPr>
            <w:tcW w:w="5000" w:type="pct"/>
            <w:tcBorders>
              <w:top w:val="nil"/>
              <w:left w:val="nil"/>
              <w:bottom w:val="nil"/>
              <w:right w:val="nil"/>
            </w:tcBorders>
            <w:shd w:val="clear" w:color="auto" w:fill="F2F2F2"/>
          </w:tcPr>
          <w:p w14:paraId="210DBD56" w14:textId="77777777" w:rsidR="00A57E66" w:rsidRDefault="00A57E66" w:rsidP="00A57E66">
            <w:pPr>
              <w:pStyle w:val="Box"/>
            </w:pPr>
            <w:r>
              <w:t>‘Availability of primary healthcare services’ is defined by four measures:</w:t>
            </w:r>
          </w:p>
          <w:p w14:paraId="272542DE" w14:textId="359D784F" w:rsidR="00A57E66" w:rsidRDefault="00A57E66" w:rsidP="00A57E66">
            <w:pPr>
              <w:pStyle w:val="BoxListBullet"/>
            </w:pPr>
            <w:r>
              <w:t>PBS medicine</w:t>
            </w:r>
            <w:r w:rsidR="00997FF2">
              <w:t>s</w:t>
            </w:r>
            <w:r>
              <w:t xml:space="preserve"> by region, defined as the ABS census population divided by the number of approved providers of PBS medicines, by </w:t>
            </w:r>
            <w:r w:rsidR="00997FF2">
              <w:t xml:space="preserve">urban/rural location and </w:t>
            </w:r>
            <w:r w:rsidRPr="0066193F">
              <w:t>Pharmacy Access/Remoteness Index of Australia (PhARIA) area</w:t>
            </w:r>
          </w:p>
          <w:p w14:paraId="5B830215" w14:textId="3C0CB76E" w:rsidR="00A57E66" w:rsidRDefault="00A57E66" w:rsidP="00A57E66">
            <w:pPr>
              <w:pStyle w:val="BoxListBullet"/>
            </w:pPr>
            <w:r w:rsidRPr="00FF6AE2">
              <w:t>GP</w:t>
            </w:r>
            <w:r w:rsidR="00997FF2">
              <w:t>s</w:t>
            </w:r>
            <w:r w:rsidRPr="00FF6AE2">
              <w:t xml:space="preserve"> by region, defined as the number of F</w:t>
            </w:r>
            <w:r>
              <w:t>S</w:t>
            </w:r>
            <w:r w:rsidRPr="00FF6AE2">
              <w:t>E GPs per 100 000 people, by region</w:t>
            </w:r>
          </w:p>
          <w:p w14:paraId="4BF3CBC0" w14:textId="1A9F69C1" w:rsidR="00A57E66" w:rsidRDefault="00A57E66" w:rsidP="00A57E66">
            <w:pPr>
              <w:pStyle w:val="BoxListBullet"/>
            </w:pPr>
            <w:r w:rsidRPr="00FF6AE2">
              <w:t>GPs</w:t>
            </w:r>
            <w:r>
              <w:t xml:space="preserve"> by sex</w:t>
            </w:r>
            <w:r w:rsidRPr="00FF6AE2">
              <w:t xml:space="preserve">, defined </w:t>
            </w:r>
            <w:r>
              <w:t>as the number of FSE GPs</w:t>
            </w:r>
            <w:r w:rsidRPr="00FF6AE2">
              <w:t xml:space="preserve"> per 100 000 </w:t>
            </w:r>
            <w:r>
              <w:t>population, by sex</w:t>
            </w:r>
          </w:p>
          <w:p w14:paraId="62DC62B5" w14:textId="54BEC806" w:rsidR="00A57E66" w:rsidRPr="00FF6AE2" w:rsidRDefault="00997FF2" w:rsidP="00A57E66">
            <w:pPr>
              <w:pStyle w:val="BoxListBullet"/>
            </w:pPr>
            <w:r>
              <w:t>P</w:t>
            </w:r>
            <w:r w:rsidR="00A57E66">
              <w:t>ublic dentists</w:t>
            </w:r>
            <w:r>
              <w:t xml:space="preserve"> by region</w:t>
            </w:r>
            <w:r w:rsidR="00A57E66">
              <w:t>, defined as the number of full time equivalent (FTE) public dentists per </w:t>
            </w:r>
            <w:r w:rsidR="00A57E66" w:rsidRPr="00744A92">
              <w:t>100</w:t>
            </w:r>
            <w:r w:rsidR="00A57E66">
              <w:t> </w:t>
            </w:r>
            <w:r w:rsidR="00A57E66" w:rsidRPr="00744A92">
              <w:t>000</w:t>
            </w:r>
            <w:r w:rsidR="00A57E66">
              <w:t xml:space="preserve"> people by </w:t>
            </w:r>
            <w:r w:rsidR="00A57E66" w:rsidRPr="004A62AC">
              <w:t>region</w:t>
            </w:r>
            <w:r w:rsidR="00A57E66">
              <w:t>,</w:t>
            </w:r>
            <w:r w:rsidR="00A57E66" w:rsidRPr="004A62AC">
              <w:t xml:space="preserve"> based on clinical hours worked in the public sector</w:t>
            </w:r>
            <w:r w:rsidR="00A57E66">
              <w:t>.</w:t>
            </w:r>
          </w:p>
          <w:p w14:paraId="3BC3B16A" w14:textId="2C8ECA9A" w:rsidR="00A57E66" w:rsidRPr="00012020" w:rsidRDefault="00A57E66" w:rsidP="00FE39F4">
            <w:pPr>
              <w:pStyle w:val="Box"/>
            </w:pPr>
            <w:r w:rsidRPr="00FE39F4">
              <w:rPr>
                <w:i/>
              </w:rPr>
              <w:t>PBS medicines by region</w:t>
            </w:r>
          </w:p>
          <w:p w14:paraId="5D7A0C6B" w14:textId="01E447EB" w:rsidR="00A57E66" w:rsidRDefault="00997FF2" w:rsidP="00A57E66">
            <w:pPr>
              <w:pStyle w:val="Box"/>
            </w:pPr>
            <w:r>
              <w:t>Similar rates across regions indicates equity of access by location</w:t>
            </w:r>
            <w:r w:rsidR="00A57E66">
              <w:t>.</w:t>
            </w:r>
          </w:p>
          <w:p w14:paraId="2E3B47B4" w14:textId="77777777" w:rsidR="00A57E66" w:rsidRDefault="00A57E66" w:rsidP="00A57E66">
            <w:pPr>
              <w:pStyle w:val="Box"/>
            </w:pPr>
            <w:r>
              <w:t>Data reported for this measure are:</w:t>
            </w:r>
          </w:p>
          <w:p w14:paraId="57A8392F" w14:textId="77777777" w:rsidR="00721E94" w:rsidRDefault="00721E94" w:rsidP="008403DE">
            <w:pPr>
              <w:pStyle w:val="Box"/>
              <w:ind w:left="284"/>
            </w:pPr>
            <w:r w:rsidRPr="001B3B2F">
              <w:rPr>
                <w:shd w:val="clear" w:color="auto" w:fill="F15A25"/>
              </w:rPr>
              <w:t xml:space="preserve">    </w:t>
            </w:r>
            <w:r>
              <w:t xml:space="preserve"> comparable (subject to caveats) across jurisdictions </w:t>
            </w:r>
            <w:r w:rsidRPr="00AB11C8">
              <w:t>and over time</w:t>
            </w:r>
          </w:p>
          <w:p w14:paraId="6BA698A3" w14:textId="1FF33BBC" w:rsidR="00721E94" w:rsidRDefault="00721E94" w:rsidP="008403DE">
            <w:pPr>
              <w:pStyle w:val="Box"/>
              <w:ind w:left="284"/>
            </w:pPr>
            <w:r w:rsidRPr="001B3B2F">
              <w:rPr>
                <w:shd w:val="clear" w:color="auto" w:fill="F15A25"/>
              </w:rPr>
              <w:t xml:space="preserve">    </w:t>
            </w:r>
            <w:r>
              <w:t xml:space="preserve"> complete (subject to caveats) for the current reporting period. All required data are available for all jurisdictions as at 30 June 2018.</w:t>
            </w:r>
          </w:p>
          <w:p w14:paraId="4A1B3D7D" w14:textId="3BBDE45C" w:rsidR="00A57E66" w:rsidRPr="00012020" w:rsidRDefault="00A57E66" w:rsidP="00FE39F4">
            <w:pPr>
              <w:pStyle w:val="Box"/>
            </w:pPr>
            <w:r w:rsidRPr="00FE39F4">
              <w:rPr>
                <w:i/>
              </w:rPr>
              <w:t>GPs by region and sex</w:t>
            </w:r>
          </w:p>
          <w:p w14:paraId="6A5C41A3" w14:textId="77777777" w:rsidR="00FE39F4" w:rsidRDefault="004E1965">
            <w:pPr>
              <w:pStyle w:val="Box"/>
            </w:pPr>
            <w:r>
              <w:t xml:space="preserve">Similar rates across regions indicates equity of access by location. Similar rates by sex means it is more </w:t>
            </w:r>
            <w:r w:rsidRPr="00FF6AE2">
              <w:t xml:space="preserve">likely that patients who prefer to visit GPs </w:t>
            </w:r>
            <w:r>
              <w:t xml:space="preserve">of their own sex </w:t>
            </w:r>
            <w:r w:rsidRPr="00FF6AE2">
              <w:t xml:space="preserve">will have their preference met. Low availability of GPs </w:t>
            </w:r>
            <w:r>
              <w:t xml:space="preserve">of each sex </w:t>
            </w:r>
            <w:r w:rsidRPr="00FF6AE2">
              <w:t xml:space="preserve">can be associated with increased waiting times to see a GP, for </w:t>
            </w:r>
            <w:r>
              <w:t>patients</w:t>
            </w:r>
            <w:r w:rsidRPr="00FF6AE2">
              <w:t xml:space="preserve"> who </w:t>
            </w:r>
            <w:r>
              <w:t>prefer to visit GPs of their own sex</w:t>
            </w:r>
            <w:r w:rsidRPr="00FF6AE2">
              <w:t>.</w:t>
            </w:r>
          </w:p>
          <w:p w14:paraId="0CE12489" w14:textId="77777777" w:rsidR="00AC07F4" w:rsidRPr="00FF6AE2" w:rsidRDefault="00AC07F4" w:rsidP="00AC07F4">
            <w:pPr>
              <w:pStyle w:val="Box"/>
            </w:pPr>
            <w:r w:rsidRPr="00FF6AE2">
              <w:t xml:space="preserve">This </w:t>
            </w:r>
            <w:r>
              <w:t>measure</w:t>
            </w:r>
            <w:r w:rsidRPr="00FF6AE2">
              <w:t xml:space="preserve"> does not provide information on whether people are accessing GP services or whether the services are appropriate for the needs of the people receiving them.</w:t>
            </w:r>
          </w:p>
          <w:p w14:paraId="34435132" w14:textId="77777777" w:rsidR="00AC07F4" w:rsidRDefault="00AC07F4" w:rsidP="00AC07F4">
            <w:pPr>
              <w:pStyle w:val="Box"/>
            </w:pPr>
            <w:r w:rsidRPr="007639D2">
              <w:t>Data reported for th</w:t>
            </w:r>
            <w:r>
              <w:t>e</w:t>
            </w:r>
            <w:r w:rsidRPr="007639D2">
              <w:t>s</w:t>
            </w:r>
            <w:r>
              <w:t>e</w:t>
            </w:r>
            <w:r w:rsidRPr="007639D2">
              <w:t xml:space="preserve"> </w:t>
            </w:r>
            <w:r>
              <w:t>measures</w:t>
            </w:r>
            <w:r w:rsidRPr="007639D2">
              <w:t xml:space="preserve"> are:</w:t>
            </w:r>
          </w:p>
          <w:p w14:paraId="177B645E" w14:textId="4886C0F6" w:rsidR="00721E94" w:rsidRDefault="00721E94" w:rsidP="008403DE">
            <w:pPr>
              <w:pStyle w:val="Box"/>
              <w:ind w:left="284"/>
            </w:pPr>
            <w:r w:rsidRPr="001B3B2F">
              <w:rPr>
                <w:shd w:val="clear" w:color="auto" w:fill="F15A25"/>
              </w:rPr>
              <w:t xml:space="preserve">    </w:t>
            </w:r>
            <w:r>
              <w:t xml:space="preserve"> comparable (subject to caveats) across jurisdictions </w:t>
            </w:r>
            <w:r w:rsidRPr="00AB11C8">
              <w:t>and over time</w:t>
            </w:r>
          </w:p>
          <w:p w14:paraId="1E570980" w14:textId="70C065F2" w:rsidR="00AC07F4" w:rsidRDefault="00721E94" w:rsidP="008403DE">
            <w:pPr>
              <w:pStyle w:val="Box"/>
              <w:ind w:left="284"/>
            </w:pPr>
            <w:r w:rsidRPr="001B3B2F">
              <w:rPr>
                <w:shd w:val="clear" w:color="auto" w:fill="F15A25"/>
              </w:rPr>
              <w:t xml:space="preserve">    </w:t>
            </w:r>
            <w:r>
              <w:t xml:space="preserve"> complete (subject to caveats) for the current reporting period. </w:t>
            </w:r>
            <w:r w:rsidR="00201388">
              <w:t>All required 2017</w:t>
            </w:r>
            <w:r w:rsidR="00AC07F4">
              <w:t>-1</w:t>
            </w:r>
            <w:r w:rsidR="00201388">
              <w:t>8</w:t>
            </w:r>
            <w:r w:rsidR="00AC07F4">
              <w:t xml:space="preserve"> </w:t>
            </w:r>
            <w:r w:rsidR="00AC07F4" w:rsidRPr="000D77DB">
              <w:t>data</w:t>
            </w:r>
            <w:r>
              <w:t xml:space="preserve"> </w:t>
            </w:r>
            <w:r w:rsidR="00AC07F4" w:rsidRPr="000D77DB">
              <w:t>are available for all jurisdictions.</w:t>
            </w:r>
          </w:p>
          <w:p w14:paraId="0C14251B" w14:textId="77777777" w:rsidR="00AC07F4" w:rsidRPr="00012020" w:rsidRDefault="00AC07F4" w:rsidP="00AC07F4">
            <w:pPr>
              <w:pStyle w:val="Box"/>
            </w:pPr>
            <w:r>
              <w:rPr>
                <w:i/>
              </w:rPr>
              <w:t>P</w:t>
            </w:r>
            <w:r w:rsidRPr="00FE39F4">
              <w:rPr>
                <w:i/>
              </w:rPr>
              <w:t>ublic dentists</w:t>
            </w:r>
            <w:r>
              <w:rPr>
                <w:i/>
              </w:rPr>
              <w:t xml:space="preserve"> by region</w:t>
            </w:r>
          </w:p>
          <w:p w14:paraId="7BE039B9" w14:textId="77777777" w:rsidR="00AC07F4" w:rsidRDefault="00AC07F4" w:rsidP="00AC07F4">
            <w:pPr>
              <w:pStyle w:val="Box"/>
            </w:pPr>
            <w:r>
              <w:t xml:space="preserve">Similar rates across regions indicates equity of access by location. </w:t>
            </w:r>
          </w:p>
          <w:p w14:paraId="641361E5" w14:textId="77777777" w:rsidR="00AC07F4" w:rsidRDefault="00AC07F4" w:rsidP="00AC07F4">
            <w:pPr>
              <w:pStyle w:val="Box"/>
            </w:pPr>
            <w:r>
              <w:t>This measure does not provide information on whether people are accessing the service or whether the services are appropriate for the needs of the people receiving them. Data reported for this indicator are:</w:t>
            </w:r>
          </w:p>
          <w:p w14:paraId="392694CB" w14:textId="479B1EA1" w:rsidR="00721E94" w:rsidRDefault="00721E94" w:rsidP="008403DE">
            <w:pPr>
              <w:pStyle w:val="Box"/>
              <w:ind w:left="284"/>
            </w:pPr>
            <w:r w:rsidRPr="001B3B2F">
              <w:rPr>
                <w:shd w:val="clear" w:color="auto" w:fill="F15A25"/>
              </w:rPr>
              <w:t xml:space="preserve">    </w:t>
            </w:r>
            <w:r>
              <w:t xml:space="preserve"> comparable (subject to caveats) across jurisdictions </w:t>
            </w:r>
            <w:r w:rsidRPr="00AB11C8">
              <w:t>and over time</w:t>
            </w:r>
            <w:r>
              <w:t xml:space="preserve"> from 2014 onwards</w:t>
            </w:r>
          </w:p>
          <w:p w14:paraId="6C47EA20" w14:textId="0451E62A" w:rsidR="00AC07F4" w:rsidRDefault="00721E94" w:rsidP="008403DE">
            <w:pPr>
              <w:pStyle w:val="Box"/>
              <w:ind w:left="284"/>
            </w:pPr>
            <w:r w:rsidRPr="001B3B2F">
              <w:rPr>
                <w:shd w:val="clear" w:color="auto" w:fill="F15A25"/>
              </w:rPr>
              <w:t xml:space="preserve">    </w:t>
            </w:r>
            <w:r>
              <w:t xml:space="preserve"> complete (subject to caveats) for the current reporting period. All required 201</w:t>
            </w:r>
            <w:r w:rsidR="00201388">
              <w:t>7</w:t>
            </w:r>
            <w:r>
              <w:t xml:space="preserve"> </w:t>
            </w:r>
            <w:r w:rsidRPr="000D77DB">
              <w:t>data</w:t>
            </w:r>
            <w:r>
              <w:t xml:space="preserve"> </w:t>
            </w:r>
            <w:r w:rsidRPr="000D77DB">
              <w:t>are available for all jurisdictions.</w:t>
            </w:r>
          </w:p>
        </w:tc>
      </w:tr>
      <w:tr w:rsidR="00A57E66" w14:paraId="3D85A7C7" w14:textId="77777777" w:rsidTr="005D0593">
        <w:tc>
          <w:tcPr>
            <w:tcW w:w="5000" w:type="pct"/>
            <w:tcBorders>
              <w:top w:val="nil"/>
              <w:left w:val="nil"/>
              <w:bottom w:val="single" w:sz="6" w:space="0" w:color="78A22F"/>
              <w:right w:val="nil"/>
            </w:tcBorders>
            <w:shd w:val="clear" w:color="auto" w:fill="F2F2F2"/>
          </w:tcPr>
          <w:p w14:paraId="4C92F9CA" w14:textId="77777777" w:rsidR="00A57E66" w:rsidRDefault="00A57E66">
            <w:pPr>
              <w:pStyle w:val="Box"/>
              <w:spacing w:before="0" w:line="120" w:lineRule="exact"/>
            </w:pPr>
          </w:p>
        </w:tc>
      </w:tr>
      <w:tr w:rsidR="00A57E66" w:rsidRPr="000863A5" w14:paraId="6374F817" w14:textId="77777777" w:rsidTr="005D0593">
        <w:tc>
          <w:tcPr>
            <w:tcW w:w="5000" w:type="pct"/>
            <w:tcBorders>
              <w:top w:val="single" w:sz="6" w:space="0" w:color="78A22F"/>
              <w:left w:val="nil"/>
              <w:bottom w:val="nil"/>
              <w:right w:val="nil"/>
            </w:tcBorders>
          </w:tcPr>
          <w:p w14:paraId="4B825EA0" w14:textId="556DB3A0" w:rsidR="00A57E66" w:rsidRPr="00626D32" w:rsidRDefault="00A57E66" w:rsidP="00A57527">
            <w:pPr>
              <w:pStyle w:val="BoxSpaceBelow"/>
            </w:pPr>
          </w:p>
        </w:tc>
      </w:tr>
    </w:tbl>
    <w:p w14:paraId="01CD46FD" w14:textId="7627A195" w:rsidR="00042D31" w:rsidRDefault="009D1011" w:rsidP="005A650F">
      <w:pPr>
        <w:pStyle w:val="BodyText"/>
      </w:pPr>
      <w:r>
        <w:t>At 30 June 201</w:t>
      </w:r>
      <w:r w:rsidR="000C2C51">
        <w:t>8</w:t>
      </w:r>
      <w:r w:rsidR="005A650F" w:rsidRPr="00683D74">
        <w:t xml:space="preserve">, </w:t>
      </w:r>
      <w:r w:rsidR="007C7E4B">
        <w:t>the</w:t>
      </w:r>
      <w:r>
        <w:t xml:space="preserve">re were </w:t>
      </w:r>
      <w:r w:rsidR="00AC07F4" w:rsidRPr="00AC07F4">
        <w:t>4167</w:t>
      </w:r>
      <w:r w:rsidRPr="00AC07F4">
        <w:t xml:space="preserve"> </w:t>
      </w:r>
      <w:r>
        <w:t xml:space="preserve">people per approved PBS provider in urban areas and </w:t>
      </w:r>
      <w:r w:rsidR="00C93591">
        <w:t>3058</w:t>
      </w:r>
      <w:r w:rsidRPr="00AC07F4">
        <w:t xml:space="preserve"> </w:t>
      </w:r>
      <w:r>
        <w:t xml:space="preserve">people per approved </w:t>
      </w:r>
      <w:r w:rsidR="0088042D">
        <w:t xml:space="preserve">PBS </w:t>
      </w:r>
      <w:r>
        <w:t>provider in rural areas (figure 10.3</w:t>
      </w:r>
      <w:r w:rsidR="00590107">
        <w:t>(a)</w:t>
      </w:r>
      <w:r>
        <w:t xml:space="preserve">). </w:t>
      </w:r>
      <w:r w:rsidR="00C93591" w:rsidRPr="002C00D9">
        <w:t>This number has increased in urban areas, but remained relatively unchanged in rural areas, over</w:t>
      </w:r>
      <w:r w:rsidR="00AC07F4">
        <w:t xml:space="preserve"> the 4 years </w:t>
      </w:r>
      <w:r w:rsidR="00AC07F4">
        <w:lastRenderedPageBreak/>
        <w:t xml:space="preserve">of available data </w:t>
      </w:r>
      <w:r w:rsidR="00DC5AB8" w:rsidRPr="0085004F">
        <w:t>(</w:t>
      </w:r>
      <w:r>
        <w:t>tab</w:t>
      </w:r>
      <w:r w:rsidR="00DC5AB8" w:rsidRPr="0085004F">
        <w:t>le </w:t>
      </w:r>
      <w:r w:rsidR="007C7E4B" w:rsidRPr="0085004F">
        <w:t>10</w:t>
      </w:r>
      <w:r w:rsidR="00DC5AB8" w:rsidRPr="0085004F">
        <w:t>A</w:t>
      </w:r>
      <w:r w:rsidR="007C7E4B" w:rsidRPr="0085004F">
        <w:t>.</w:t>
      </w:r>
      <w:r w:rsidR="001F6064">
        <w:t>1</w:t>
      </w:r>
      <w:r w:rsidR="00C059E1">
        <w:t>8</w:t>
      </w:r>
      <w:r w:rsidR="007C7E4B" w:rsidRPr="0085004F">
        <w:t>).</w:t>
      </w:r>
      <w:r w:rsidR="007C7E4B">
        <w:t xml:space="preserve"> </w:t>
      </w:r>
      <w:r>
        <w:t>Data are available for pharmacy providers only (table 10A.18) and by Pharmacy Access/Remoteness Index of Australia locations (table 10A.17)</w:t>
      </w:r>
      <w:r w:rsidR="007C7E4B">
        <w:t>.</w:t>
      </w:r>
    </w:p>
    <w:p w14:paraId="3E35DAFB" w14:textId="55DB3DDE" w:rsidR="00063E66" w:rsidRDefault="00063E66" w:rsidP="00063E66">
      <w:pPr>
        <w:pStyle w:val="BodyText"/>
      </w:pPr>
      <w:r w:rsidRPr="002269A4">
        <w:t xml:space="preserve">In </w:t>
      </w:r>
      <w:r>
        <w:t>most jurisdictions in 2017</w:t>
      </w:r>
      <w:r>
        <w:noBreakHyphen/>
        <w:t>18</w:t>
      </w:r>
      <w:r w:rsidRPr="002269A4">
        <w:t xml:space="preserve">, there were more FSE GPs per 100 000 people available in major cities and inner regional areas than in outer regional, remote and very remote areas </w:t>
      </w:r>
      <w:r w:rsidR="00590107">
        <w:t>(figure 10.3(b))</w:t>
      </w:r>
      <w:r>
        <w:t>.</w:t>
      </w:r>
      <w:r w:rsidR="00590107">
        <w:t xml:space="preserve"> </w:t>
      </w:r>
      <w:r>
        <w:t>Nationally in 2017</w:t>
      </w:r>
      <w:r>
        <w:noBreakHyphen/>
        <w:t>18, t</w:t>
      </w:r>
      <w:r w:rsidRPr="002269A4">
        <w:t xml:space="preserve">here were </w:t>
      </w:r>
      <w:r>
        <w:t>76.5</w:t>
      </w:r>
      <w:r w:rsidRPr="002269A4">
        <w:t xml:space="preserve"> FSE female GPs per 100 000 females and </w:t>
      </w:r>
      <w:r>
        <w:t>127.0</w:t>
      </w:r>
      <w:r w:rsidR="0083437D">
        <w:t xml:space="preserve"> </w:t>
      </w:r>
      <w:r w:rsidRPr="002269A4">
        <w:t>FSE male GPs per 100 000 males</w:t>
      </w:r>
      <w:r w:rsidRPr="00F72052">
        <w:t xml:space="preserve"> (</w:t>
      </w:r>
      <w:r w:rsidRPr="003D66EF">
        <w:t>tables 10A.20–21</w:t>
      </w:r>
      <w:r>
        <w:t>).</w:t>
      </w:r>
    </w:p>
    <w:p w14:paraId="331EAF05" w14:textId="658FD2D6" w:rsidR="00063E66" w:rsidRDefault="00063E66" w:rsidP="00B349CB">
      <w:pPr>
        <w:pStyle w:val="BodyText"/>
        <w:rPr>
          <w:color w:val="FF0000"/>
        </w:rPr>
      </w:pPr>
      <w:r w:rsidRPr="00693B62">
        <w:t>Nationally in 201</w:t>
      </w:r>
      <w:r>
        <w:t>7</w:t>
      </w:r>
      <w:r w:rsidRPr="00693B62">
        <w:t>, th</w:t>
      </w:r>
      <w:r w:rsidR="00316F81">
        <w:t xml:space="preserve">e rate of </w:t>
      </w:r>
      <w:r w:rsidRPr="00693B62">
        <w:t xml:space="preserve">FTE </w:t>
      </w:r>
      <w:r w:rsidRPr="00EE32AF">
        <w:t xml:space="preserve">public dentists per 100 000 people </w:t>
      </w:r>
      <w:r w:rsidR="00316F81">
        <w:t xml:space="preserve">was higher in remote/very remote areas </w:t>
      </w:r>
      <w:r w:rsidR="00316F81" w:rsidRPr="00EE32AF">
        <w:t>(</w:t>
      </w:r>
      <w:r w:rsidR="00011705">
        <w:t>9.0</w:t>
      </w:r>
      <w:r w:rsidR="00316F81" w:rsidRPr="00EE32AF">
        <w:t xml:space="preserve"> per 100 000 people)</w:t>
      </w:r>
      <w:r w:rsidR="00316F81">
        <w:t xml:space="preserve"> compared to other areas </w:t>
      </w:r>
      <w:r w:rsidR="00316F81" w:rsidRPr="00EE32AF">
        <w:t>(</w:t>
      </w:r>
      <w:r w:rsidR="00011705">
        <w:t>5.6</w:t>
      </w:r>
      <w:r w:rsidR="00316F81" w:rsidRPr="00EE32AF">
        <w:t>–</w:t>
      </w:r>
      <w:r w:rsidR="00011705">
        <w:t>5.8</w:t>
      </w:r>
      <w:r w:rsidR="00316F81" w:rsidRPr="00EE32AF">
        <w:t xml:space="preserve"> per</w:t>
      </w:r>
      <w:r w:rsidR="00316F81">
        <w:t xml:space="preserve"> 100 000 people) </w:t>
      </w:r>
      <w:r w:rsidRPr="00EE32AF">
        <w:t>(figure 10.</w:t>
      </w:r>
      <w:r w:rsidR="0007740C">
        <w:t>3(c</w:t>
      </w:r>
      <w:r w:rsidR="00316F81">
        <w:t>)</w:t>
      </w:r>
      <w:r w:rsidR="00FF42CE">
        <w:t>)</w:t>
      </w:r>
      <w:r w:rsidRPr="00693B62">
        <w:t>.</w:t>
      </w:r>
      <w:r w:rsidRPr="004A62AC">
        <w:t xml:space="preserve"> </w:t>
      </w:r>
      <w:r w:rsidRPr="005A77F0">
        <w:t>Data</w:t>
      </w:r>
      <w:r w:rsidRPr="00FE1983">
        <w:t xml:space="preserve"> for FTE dental </w:t>
      </w:r>
      <w:r>
        <w:t xml:space="preserve">hygienists and dental therapists are presented in </w:t>
      </w:r>
      <w:r w:rsidRPr="002269A4">
        <w:t>table 10A.2</w:t>
      </w:r>
      <w:r>
        <w:t>2.</w:t>
      </w:r>
      <w:r w:rsidRPr="00451B54">
        <w:rPr>
          <w:color w:val="FF0000"/>
        </w:rPr>
        <w:t xml:space="preserve"> </w:t>
      </w:r>
    </w:p>
    <w:p w14:paraId="2ED50BE3" w14:textId="4B2BC7D6" w:rsidR="00063E66" w:rsidRDefault="00063E66">
      <w:pPr>
        <w:rPr>
          <w:szCs w:val="20"/>
        </w:rPr>
      </w:pPr>
      <w:r>
        <w:br w:type="page"/>
      </w:r>
    </w:p>
    <w:p w14:paraId="3B290EAF" w14:textId="6C90E560" w:rsidR="00416622" w:rsidRDefault="00416622" w:rsidP="00032E36">
      <w:pPr>
        <w:pStyle w:val="BoxSpaceAbove"/>
      </w:pPr>
    </w:p>
    <w:tbl>
      <w:tblPr>
        <w:tblW w:w="8793"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416622" w14:paraId="786DDECB" w14:textId="77777777" w:rsidTr="00B349CB">
        <w:tc>
          <w:tcPr>
            <w:tcW w:w="8793" w:type="dxa"/>
            <w:tcBorders>
              <w:top w:val="single" w:sz="6" w:space="0" w:color="78A22F"/>
              <w:left w:val="nil"/>
              <w:bottom w:val="nil"/>
              <w:right w:val="nil"/>
            </w:tcBorders>
            <w:shd w:val="clear" w:color="auto" w:fill="auto"/>
          </w:tcPr>
          <w:p w14:paraId="312520F3" w14:textId="3996E4FD" w:rsidR="00FF42CE" w:rsidRPr="00FF42CE" w:rsidRDefault="00416622" w:rsidP="00FF42CE">
            <w:pPr>
              <w:pStyle w:val="FigureTitle"/>
              <w:rPr>
                <w:position w:val="6"/>
                <w:sz w:val="18"/>
              </w:rPr>
            </w:pPr>
            <w:r w:rsidRPr="00A747E5">
              <w:rPr>
                <w:b w:val="0"/>
              </w:rPr>
              <w:t xml:space="preserve">Figure </w:t>
            </w:r>
            <w:r w:rsidR="009525ED" w:rsidRPr="00A747E5">
              <w:rPr>
                <w:b w:val="0"/>
              </w:rPr>
              <w:t>10.</w:t>
            </w:r>
            <w:r w:rsidR="0008386D">
              <w:rPr>
                <w:b w:val="0"/>
                <w:noProof/>
              </w:rPr>
              <w:t>3</w:t>
            </w:r>
            <w:r w:rsidRPr="00A747E5">
              <w:tab/>
            </w:r>
            <w:r w:rsidR="00063E66">
              <w:t>Availability of primary healthcare services, by region</w:t>
            </w:r>
            <w:r w:rsidRPr="00A747E5">
              <w:rPr>
                <w:rStyle w:val="NoteLabel"/>
                <w:b/>
              </w:rPr>
              <w:t>a</w:t>
            </w:r>
            <w:r w:rsidR="001F2791">
              <w:rPr>
                <w:rStyle w:val="NoteLabel"/>
                <w:b/>
              </w:rPr>
              <w:t>, b, c, d</w:t>
            </w:r>
          </w:p>
        </w:tc>
      </w:tr>
      <w:tr w:rsidR="00376E70" w14:paraId="3B81A7E5" w14:textId="77777777" w:rsidTr="00B349CB">
        <w:tc>
          <w:tcPr>
            <w:tcW w:w="8793" w:type="dxa"/>
            <w:tcBorders>
              <w:top w:val="nil"/>
              <w:left w:val="nil"/>
              <w:bottom w:val="nil"/>
              <w:right w:val="nil"/>
            </w:tcBorders>
            <w:shd w:val="clear" w:color="auto" w:fill="auto"/>
          </w:tcPr>
          <w:tbl>
            <w:tblPr>
              <w:tblW w:w="5000" w:type="pct"/>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551"/>
              <w:gridCol w:w="7958"/>
            </w:tblGrid>
            <w:tr w:rsidR="00721E94" w:rsidRPr="0021152C" w14:paraId="0EFBF202" w14:textId="77777777" w:rsidTr="001F2791">
              <w:trPr>
                <w:trHeight w:val="323"/>
              </w:trPr>
              <w:tc>
                <w:tcPr>
                  <w:tcW w:w="313" w:type="pct"/>
                  <w:tcBorders>
                    <w:top w:val="nil"/>
                    <w:left w:val="nil"/>
                    <w:bottom w:val="nil"/>
                    <w:right w:val="nil"/>
                  </w:tcBorders>
                  <w:shd w:val="clear" w:color="auto" w:fill="F15A25"/>
                </w:tcPr>
                <w:p w14:paraId="1FDCAD0A" w14:textId="77777777" w:rsidR="00721E94" w:rsidRPr="003A24C4" w:rsidRDefault="00721E94" w:rsidP="00721E94">
                  <w:pPr>
                    <w:pStyle w:val="Note"/>
                    <w:rPr>
                      <w:rFonts w:cs="Arial"/>
                      <w:szCs w:val="18"/>
                    </w:rPr>
                  </w:pPr>
                </w:p>
              </w:tc>
              <w:tc>
                <w:tcPr>
                  <w:tcW w:w="4510" w:type="pct"/>
                  <w:tcBorders>
                    <w:top w:val="nil"/>
                    <w:left w:val="nil"/>
                    <w:bottom w:val="nil"/>
                    <w:right w:val="nil"/>
                  </w:tcBorders>
                  <w:shd w:val="clear" w:color="auto" w:fill="auto"/>
                </w:tcPr>
                <w:p w14:paraId="6FE71420" w14:textId="428D1F12" w:rsidR="00721E94" w:rsidRPr="003A24C4" w:rsidRDefault="00721E94" w:rsidP="00BA7272">
                  <w:pPr>
                    <w:pStyle w:val="TableBodyText"/>
                    <w:jc w:val="left"/>
                    <w:rPr>
                      <w:rFonts w:cs="Arial"/>
                      <w:szCs w:val="18"/>
                    </w:rPr>
                  </w:pPr>
                  <w:r w:rsidRPr="003A24C4">
                    <w:rPr>
                      <w:rFonts w:cs="Arial"/>
                      <w:szCs w:val="18"/>
                    </w:rPr>
                    <w:t>Comparable (subject to caveats) across jurisdictions and over time</w:t>
                  </w:r>
                  <w:r w:rsidR="003A24C4" w:rsidRPr="003A24C4">
                    <w:rPr>
                      <w:rFonts w:cs="Arial"/>
                      <w:szCs w:val="18"/>
                    </w:rPr>
                    <w:t>.</w:t>
                  </w:r>
                </w:p>
              </w:tc>
            </w:tr>
            <w:tr w:rsidR="00721E94" w:rsidRPr="0021152C" w14:paraId="56D4E3EE" w14:textId="77777777" w:rsidTr="001F2791">
              <w:trPr>
                <w:trHeight w:val="285"/>
              </w:trPr>
              <w:tc>
                <w:tcPr>
                  <w:tcW w:w="313" w:type="pct"/>
                  <w:tcBorders>
                    <w:top w:val="nil"/>
                    <w:left w:val="nil"/>
                    <w:bottom w:val="nil"/>
                    <w:right w:val="nil"/>
                  </w:tcBorders>
                  <w:shd w:val="clear" w:color="auto" w:fill="F15A25"/>
                </w:tcPr>
                <w:p w14:paraId="727FFD3B" w14:textId="77777777" w:rsidR="00721E94" w:rsidRPr="000D77DB" w:rsidRDefault="00721E94" w:rsidP="00721E94">
                  <w:pPr>
                    <w:pStyle w:val="Note"/>
                    <w:rPr>
                      <w:rFonts w:cs="Arial"/>
                      <w:szCs w:val="18"/>
                    </w:rPr>
                  </w:pPr>
                </w:p>
              </w:tc>
              <w:tc>
                <w:tcPr>
                  <w:tcW w:w="4510" w:type="pct"/>
                  <w:tcBorders>
                    <w:top w:val="nil"/>
                    <w:left w:val="nil"/>
                    <w:bottom w:val="nil"/>
                    <w:right w:val="nil"/>
                  </w:tcBorders>
                  <w:shd w:val="clear" w:color="auto" w:fill="auto"/>
                </w:tcPr>
                <w:p w14:paraId="3322BDB7" w14:textId="77777777" w:rsidR="00721E94" w:rsidRPr="0021152C" w:rsidRDefault="00721E94" w:rsidP="00721E94">
                  <w:pPr>
                    <w:pStyle w:val="TableBodyText"/>
                    <w:jc w:val="left"/>
                  </w:pPr>
                  <w:r w:rsidRPr="000D77DB">
                    <w:t xml:space="preserve">Complete (subject to caveats) for the current reporting period. </w:t>
                  </w:r>
                </w:p>
              </w:tc>
            </w:tr>
          </w:tbl>
          <w:p w14:paraId="1F37D20B" w14:textId="64002190" w:rsidR="00376E70" w:rsidRPr="00063E66" w:rsidRDefault="00063E66" w:rsidP="001F2791">
            <w:pPr>
              <w:pStyle w:val="FigureTitle"/>
              <w:spacing w:before="0" w:after="0"/>
              <w:jc w:val="center"/>
              <w:rPr>
                <w:sz w:val="18"/>
                <w:szCs w:val="18"/>
              </w:rPr>
            </w:pPr>
            <w:r w:rsidRPr="00063E66">
              <w:rPr>
                <w:sz w:val="18"/>
                <w:szCs w:val="18"/>
              </w:rPr>
              <w:t>(</w:t>
            </w:r>
            <w:r w:rsidR="001F2791">
              <w:rPr>
                <w:sz w:val="18"/>
                <w:szCs w:val="18"/>
              </w:rPr>
              <w:t>a</w:t>
            </w:r>
            <w:r w:rsidRPr="00063E66">
              <w:rPr>
                <w:sz w:val="18"/>
                <w:szCs w:val="18"/>
              </w:rPr>
              <w:t>) People per approved PBS provider</w:t>
            </w:r>
            <w:r w:rsidR="0007740C">
              <w:rPr>
                <w:sz w:val="18"/>
                <w:szCs w:val="18"/>
              </w:rPr>
              <w:t xml:space="preserve"> by region</w:t>
            </w:r>
            <w:r w:rsidRPr="00063E66">
              <w:rPr>
                <w:sz w:val="18"/>
                <w:szCs w:val="18"/>
              </w:rPr>
              <w:t>, 30 June 2018</w:t>
            </w:r>
          </w:p>
        </w:tc>
      </w:tr>
      <w:tr w:rsidR="00416622" w14:paraId="233E4BE2" w14:textId="77777777" w:rsidTr="00B349CB">
        <w:tc>
          <w:tcPr>
            <w:tcW w:w="8793"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416622" w:rsidRPr="00A747E5" w14:paraId="38617044" w14:textId="77777777" w:rsidTr="00600B06">
              <w:trPr>
                <w:jc w:val="center"/>
              </w:trPr>
              <w:tc>
                <w:tcPr>
                  <w:tcW w:w="8504" w:type="dxa"/>
                  <w:tcBorders>
                    <w:top w:val="nil"/>
                    <w:bottom w:val="nil"/>
                  </w:tcBorders>
                </w:tcPr>
                <w:p w14:paraId="2A090DC1" w14:textId="0736D687" w:rsidR="00416622" w:rsidRPr="00A747E5" w:rsidRDefault="00C93591" w:rsidP="00032E36">
                  <w:pPr>
                    <w:pStyle w:val="Figure"/>
                    <w:spacing w:before="60" w:after="60"/>
                  </w:pPr>
                  <w:r>
                    <w:rPr>
                      <w:noProof/>
                    </w:rPr>
                    <w:drawing>
                      <wp:inline distT="0" distB="0" distL="0" distR="0" wp14:anchorId="5DD0A6E6" wp14:editId="1A76FCCB">
                        <wp:extent cx="5262880" cy="1724025"/>
                        <wp:effectExtent l="0" t="0" r="0" b="0"/>
                        <wp:docPr id="8" name="Chart 8" descr="Figure 10.3 Availability of primary healthcare services, by region&#10;&#10;(a) People per approved PBS provider by region, 30 June 2018&#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063E66" w:rsidRPr="00A747E5" w14:paraId="77AB1A53" w14:textId="77777777" w:rsidTr="000F0373">
              <w:trPr>
                <w:jc w:val="center"/>
              </w:trPr>
              <w:tc>
                <w:tcPr>
                  <w:tcW w:w="8504" w:type="dxa"/>
                  <w:tcBorders>
                    <w:top w:val="nil"/>
                    <w:bottom w:val="nil"/>
                  </w:tcBorders>
                </w:tcPr>
                <w:p w14:paraId="7A1DE127" w14:textId="74147890" w:rsidR="00063E66" w:rsidRPr="00063E66" w:rsidRDefault="00063E66" w:rsidP="0007740C">
                  <w:pPr>
                    <w:pStyle w:val="Figure"/>
                    <w:spacing w:before="0" w:after="0"/>
                    <w:rPr>
                      <w:rFonts w:ascii="Arial" w:hAnsi="Arial"/>
                      <w:b/>
                      <w:sz w:val="18"/>
                      <w:szCs w:val="18"/>
                    </w:rPr>
                  </w:pPr>
                  <w:r w:rsidRPr="00063E66">
                    <w:rPr>
                      <w:rFonts w:ascii="Arial" w:hAnsi="Arial"/>
                      <w:b/>
                      <w:sz w:val="18"/>
                      <w:szCs w:val="18"/>
                    </w:rPr>
                    <w:t>(</w:t>
                  </w:r>
                  <w:r w:rsidR="001F2791">
                    <w:rPr>
                      <w:rFonts w:ascii="Arial" w:hAnsi="Arial"/>
                      <w:b/>
                      <w:sz w:val="18"/>
                      <w:szCs w:val="18"/>
                    </w:rPr>
                    <w:t>b</w:t>
                  </w:r>
                  <w:r w:rsidRPr="00063E66">
                    <w:rPr>
                      <w:rFonts w:ascii="Arial" w:hAnsi="Arial"/>
                      <w:b/>
                      <w:sz w:val="18"/>
                      <w:szCs w:val="18"/>
                    </w:rPr>
                    <w:t xml:space="preserve">) </w:t>
                  </w:r>
                  <w:r>
                    <w:rPr>
                      <w:rFonts w:ascii="Arial" w:hAnsi="Arial"/>
                      <w:b/>
                      <w:sz w:val="18"/>
                      <w:szCs w:val="18"/>
                    </w:rPr>
                    <w:t>GPs by region, 2017-18</w:t>
                  </w:r>
                </w:p>
                <w:p w14:paraId="0BA0B15E" w14:textId="0217198D" w:rsidR="00063E66" w:rsidRDefault="00063E66" w:rsidP="00032E36">
                  <w:pPr>
                    <w:pStyle w:val="Figure"/>
                    <w:spacing w:before="60" w:after="60"/>
                    <w:rPr>
                      <w:rFonts w:ascii="Arial" w:hAnsi="Arial"/>
                      <w:b/>
                      <w:sz w:val="18"/>
                      <w:szCs w:val="18"/>
                    </w:rPr>
                  </w:pPr>
                  <w:r>
                    <w:rPr>
                      <w:noProof/>
                    </w:rPr>
                    <w:drawing>
                      <wp:inline distT="0" distB="0" distL="0" distR="0" wp14:anchorId="4B3BD53E" wp14:editId="56B02976">
                        <wp:extent cx="5262880" cy="1820333"/>
                        <wp:effectExtent l="0" t="0" r="0" b="8890"/>
                        <wp:docPr id="4" name="Chart 4" descr="Figure 10.3 Availability of primary healthcare services, by region&#10;&#10;(b) GPs by region, 2017-2018&#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483CC5E" w14:textId="5D4D83FF" w:rsidR="003C5353" w:rsidRDefault="00063E66" w:rsidP="001F2791">
                  <w:pPr>
                    <w:pStyle w:val="Figure"/>
                    <w:spacing w:after="0"/>
                    <w:rPr>
                      <w:rFonts w:ascii="Arial" w:hAnsi="Arial"/>
                      <w:b/>
                      <w:sz w:val="18"/>
                      <w:szCs w:val="18"/>
                    </w:rPr>
                  </w:pPr>
                  <w:r>
                    <w:rPr>
                      <w:rFonts w:ascii="Arial" w:hAnsi="Arial"/>
                      <w:b/>
                      <w:sz w:val="18"/>
                      <w:szCs w:val="18"/>
                    </w:rPr>
                    <w:t>(</w:t>
                  </w:r>
                  <w:r w:rsidR="001F2791">
                    <w:rPr>
                      <w:rFonts w:ascii="Arial" w:hAnsi="Arial"/>
                      <w:b/>
                      <w:sz w:val="18"/>
                      <w:szCs w:val="18"/>
                    </w:rPr>
                    <w:t>c</w:t>
                  </w:r>
                  <w:r>
                    <w:rPr>
                      <w:rFonts w:ascii="Arial" w:hAnsi="Arial"/>
                      <w:b/>
                      <w:sz w:val="18"/>
                      <w:szCs w:val="18"/>
                    </w:rPr>
                    <w:t>) Public dentists by region, 2017</w:t>
                  </w:r>
                </w:p>
                <w:p w14:paraId="75E54593" w14:textId="287CF04A" w:rsidR="00063E66" w:rsidRPr="00063E66" w:rsidRDefault="000F0373" w:rsidP="00032E36">
                  <w:pPr>
                    <w:pStyle w:val="Figure"/>
                    <w:spacing w:before="60" w:after="60"/>
                    <w:rPr>
                      <w:rFonts w:ascii="Arial" w:hAnsi="Arial"/>
                      <w:b/>
                      <w:sz w:val="18"/>
                      <w:szCs w:val="18"/>
                    </w:rPr>
                  </w:pPr>
                  <w:r>
                    <w:rPr>
                      <w:noProof/>
                    </w:rPr>
                    <w:drawing>
                      <wp:inline distT="0" distB="0" distL="0" distR="0" wp14:anchorId="5C1B0346" wp14:editId="2043736F">
                        <wp:extent cx="5262880" cy="1794934"/>
                        <wp:effectExtent l="0" t="0" r="0" b="0"/>
                        <wp:docPr id="13" name="Chart 13" descr="Figure 10.3 Availability of primary healthcare services, by region&#10;&#10;(c) Public dentists by region, 2017&#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0D1CC1AA" w14:textId="77777777" w:rsidR="00416622" w:rsidRPr="00A747E5" w:rsidRDefault="00416622" w:rsidP="00032E36">
            <w:pPr>
              <w:pStyle w:val="Figure"/>
            </w:pPr>
          </w:p>
        </w:tc>
      </w:tr>
      <w:tr w:rsidR="00416622" w:rsidRPr="00176D3F" w14:paraId="075C3B95" w14:textId="77777777" w:rsidTr="00AC07F4">
        <w:tc>
          <w:tcPr>
            <w:tcW w:w="8793" w:type="dxa"/>
            <w:tcBorders>
              <w:top w:val="nil"/>
              <w:left w:val="nil"/>
              <w:bottom w:val="nil"/>
              <w:right w:val="nil"/>
            </w:tcBorders>
            <w:shd w:val="clear" w:color="auto" w:fill="auto"/>
          </w:tcPr>
          <w:p w14:paraId="27F1EEA0" w14:textId="65547A6D" w:rsidR="00416622" w:rsidRPr="009839E2" w:rsidRDefault="00416622" w:rsidP="00BA7272">
            <w:pPr>
              <w:pStyle w:val="Note"/>
            </w:pPr>
            <w:r w:rsidRPr="009839E2">
              <w:rPr>
                <w:rStyle w:val="NoteLabel"/>
              </w:rPr>
              <w:t>a</w:t>
            </w:r>
            <w:r w:rsidRPr="009839E2">
              <w:sym w:font="Symbol" w:char="F020"/>
            </w:r>
            <w:r w:rsidRPr="009839E2">
              <w:t xml:space="preserve"> See box 10.2 and table</w:t>
            </w:r>
            <w:r w:rsidR="00063E66">
              <w:t>s</w:t>
            </w:r>
            <w:r w:rsidRPr="009839E2">
              <w:t xml:space="preserve"> 10A.</w:t>
            </w:r>
            <w:r w:rsidR="001F6064" w:rsidRPr="009839E2">
              <w:t>1</w:t>
            </w:r>
            <w:r w:rsidR="009D1011" w:rsidRPr="009839E2">
              <w:t>8</w:t>
            </w:r>
            <w:r w:rsidR="00063E66">
              <w:t>-19 and 10A.22</w:t>
            </w:r>
            <w:r w:rsidRPr="009839E2">
              <w:t xml:space="preserve"> for detailed definitions, footnotes and caveats. </w:t>
            </w:r>
            <w:r w:rsidRPr="009839E2">
              <w:rPr>
                <w:rStyle w:val="NoteLabel"/>
              </w:rPr>
              <w:t>b</w:t>
            </w:r>
            <w:r w:rsidRPr="009839E2">
              <w:sym w:font="Symbol" w:char="F020"/>
            </w:r>
            <w:r w:rsidR="003C5353">
              <w:t xml:space="preserve">For the PBS provider </w:t>
            </w:r>
            <w:r w:rsidR="0007740C">
              <w:t xml:space="preserve">by region </w:t>
            </w:r>
            <w:r w:rsidR="003C5353">
              <w:t>measure, t</w:t>
            </w:r>
            <w:r w:rsidRPr="009839E2">
              <w:t>he ACT has no rural areas under the classification used.</w:t>
            </w:r>
            <w:r w:rsidR="00063E66">
              <w:t xml:space="preserve"> </w:t>
            </w:r>
            <w:r w:rsidR="00063E66" w:rsidRPr="00063E66">
              <w:rPr>
                <w:rStyle w:val="NoteLabel"/>
              </w:rPr>
              <w:t>c</w:t>
            </w:r>
            <w:r w:rsidR="00063E66">
              <w:t xml:space="preserve"> </w:t>
            </w:r>
            <w:r w:rsidR="003C5353">
              <w:t>For the GPs by region measure</w:t>
            </w:r>
            <w:r w:rsidR="00BA7272">
              <w:t>: data for outer regional/remote/very remote areas are not published for NSW and Victoria;</w:t>
            </w:r>
            <w:r w:rsidR="003C5353">
              <w:t xml:space="preserve"> t</w:t>
            </w:r>
            <w:r w:rsidR="00063E66" w:rsidRPr="00757E81">
              <w:t>here are no major cities in Tasmania; no outer regional or remote areas in the ACT; no major cities</w:t>
            </w:r>
            <w:r w:rsidR="00063E66">
              <w:t xml:space="preserve"> or</w:t>
            </w:r>
            <w:r w:rsidR="00063E66" w:rsidRPr="00757E81">
              <w:t xml:space="preserve"> inner regional </w:t>
            </w:r>
            <w:r w:rsidR="00063E66">
              <w:t>areas</w:t>
            </w:r>
            <w:r w:rsidR="00063E66" w:rsidRPr="00757E81">
              <w:t xml:space="preserve"> in the NT</w:t>
            </w:r>
            <w:r w:rsidR="00063E66">
              <w:t>. Major cities and inner regional areas are combined for the ACT.</w:t>
            </w:r>
            <w:r w:rsidR="003C5353">
              <w:t xml:space="preserve"> </w:t>
            </w:r>
            <w:r w:rsidR="003C5353" w:rsidRPr="003C5353">
              <w:rPr>
                <w:rStyle w:val="NoteLabel"/>
              </w:rPr>
              <w:t>d</w:t>
            </w:r>
            <w:r w:rsidR="003C5353">
              <w:t> For the public dentist by region measure</w:t>
            </w:r>
            <w:r w:rsidR="00BA7272">
              <w:t>:</w:t>
            </w:r>
            <w:r w:rsidR="003C5353">
              <w:t xml:space="preserve"> </w:t>
            </w:r>
            <w:r w:rsidR="00BA7272">
              <w:t xml:space="preserve">data for remote/very remote areas are not published for NSW, Victoria and SA; </w:t>
            </w:r>
            <w:r w:rsidR="003C5353" w:rsidRPr="003C5353">
              <w:t>Tasmania has no major cities</w:t>
            </w:r>
            <w:r w:rsidR="003C5353">
              <w:t>; t</w:t>
            </w:r>
            <w:r w:rsidR="003C5353" w:rsidRPr="003C5353">
              <w:t>he ACT has no outer regional, remote or very remote areas</w:t>
            </w:r>
            <w:r w:rsidR="003C5353">
              <w:t>, and t</w:t>
            </w:r>
            <w:r w:rsidR="003C5353" w:rsidRPr="003C5353">
              <w:t>he NT has no major cities or inner regional areas.</w:t>
            </w:r>
          </w:p>
        </w:tc>
      </w:tr>
      <w:tr w:rsidR="00416622" w:rsidRPr="00176D3F" w14:paraId="0D5F8FCE" w14:textId="77777777" w:rsidTr="00AC07F4">
        <w:tc>
          <w:tcPr>
            <w:tcW w:w="8793" w:type="dxa"/>
            <w:tcBorders>
              <w:top w:val="nil"/>
              <w:left w:val="nil"/>
              <w:bottom w:val="nil"/>
              <w:right w:val="nil"/>
            </w:tcBorders>
            <w:shd w:val="clear" w:color="auto" w:fill="auto"/>
          </w:tcPr>
          <w:p w14:paraId="7866733B" w14:textId="12F04CC7" w:rsidR="00416622" w:rsidRPr="009839E2" w:rsidRDefault="00416622" w:rsidP="00063E66">
            <w:pPr>
              <w:pStyle w:val="Source"/>
            </w:pPr>
            <w:r w:rsidRPr="009839E2">
              <w:rPr>
                <w:i/>
              </w:rPr>
              <w:t>Source</w:t>
            </w:r>
            <w:r w:rsidRPr="009839E2">
              <w:t xml:space="preserve">: </w:t>
            </w:r>
            <w:r w:rsidR="00C97DE9" w:rsidRPr="009839E2">
              <w:t>Department of Health</w:t>
            </w:r>
            <w:r w:rsidR="00063E66">
              <w:t xml:space="preserve"> (unpublished)</w:t>
            </w:r>
            <w:r w:rsidR="00FD7153">
              <w:t xml:space="preserve"> and AIHW (unpublished)</w:t>
            </w:r>
            <w:r w:rsidR="00C97DE9" w:rsidRPr="009839E2">
              <w:t>;</w:t>
            </w:r>
            <w:r w:rsidR="009839E2" w:rsidRPr="009839E2">
              <w:t xml:space="preserve"> </w:t>
            </w:r>
            <w:r w:rsidRPr="009839E2">
              <w:t>table</w:t>
            </w:r>
            <w:r w:rsidR="00063E66">
              <w:t>s</w:t>
            </w:r>
            <w:r w:rsidRPr="009839E2">
              <w:t> 10A.</w:t>
            </w:r>
            <w:r w:rsidR="001F6064" w:rsidRPr="009839E2">
              <w:t>1</w:t>
            </w:r>
            <w:r w:rsidR="009D1011" w:rsidRPr="009839E2">
              <w:t>8</w:t>
            </w:r>
            <w:r w:rsidR="00063E66">
              <w:t>-19 and 10A.22</w:t>
            </w:r>
            <w:r w:rsidRPr="009839E2">
              <w:t>.</w:t>
            </w:r>
            <w:r w:rsidR="009839E2" w:rsidRPr="009839E2">
              <w:t xml:space="preserve"> </w:t>
            </w:r>
          </w:p>
        </w:tc>
      </w:tr>
      <w:tr w:rsidR="00416622" w14:paraId="2E306B60" w14:textId="77777777" w:rsidTr="00AC07F4">
        <w:tc>
          <w:tcPr>
            <w:tcW w:w="8793" w:type="dxa"/>
            <w:tcBorders>
              <w:top w:val="nil"/>
              <w:left w:val="nil"/>
              <w:bottom w:val="single" w:sz="6" w:space="0" w:color="78A22F"/>
              <w:right w:val="nil"/>
            </w:tcBorders>
            <w:shd w:val="clear" w:color="auto" w:fill="auto"/>
          </w:tcPr>
          <w:p w14:paraId="261C7E92" w14:textId="77777777" w:rsidR="00416622" w:rsidRPr="009839E2" w:rsidRDefault="00416622" w:rsidP="00032E36">
            <w:pPr>
              <w:pStyle w:val="Figurespace"/>
            </w:pPr>
          </w:p>
        </w:tc>
      </w:tr>
      <w:tr w:rsidR="00416622" w:rsidRPr="000863A5" w14:paraId="54FE23EA" w14:textId="77777777" w:rsidTr="00AC07F4">
        <w:tc>
          <w:tcPr>
            <w:tcW w:w="8793" w:type="dxa"/>
            <w:tcBorders>
              <w:top w:val="single" w:sz="6" w:space="0" w:color="78A22F"/>
              <w:left w:val="nil"/>
              <w:bottom w:val="nil"/>
              <w:right w:val="nil"/>
            </w:tcBorders>
          </w:tcPr>
          <w:p w14:paraId="12940E88" w14:textId="0DBC956E" w:rsidR="00416622" w:rsidRPr="00626D32" w:rsidRDefault="00416622" w:rsidP="00032E36">
            <w:pPr>
              <w:pStyle w:val="BoxSpaceBelow"/>
            </w:pPr>
          </w:p>
        </w:tc>
      </w:tr>
    </w:tbl>
    <w:p w14:paraId="7C37AF67" w14:textId="77777777" w:rsidR="00A26245" w:rsidRDefault="00977B19" w:rsidP="00366987">
      <w:pPr>
        <w:pStyle w:val="Heading4"/>
      </w:pPr>
      <w:r>
        <w:lastRenderedPageBreak/>
        <w:t xml:space="preserve">Access – </w:t>
      </w:r>
      <w:r w:rsidR="00A26245" w:rsidRPr="00A26245">
        <w:t xml:space="preserve">Early </w:t>
      </w:r>
      <w:r w:rsidR="00A26245" w:rsidRPr="006A354D">
        <w:t>detection</w:t>
      </w:r>
      <w:r w:rsidR="00A26245" w:rsidRPr="00A26245">
        <w:t xml:space="preserve"> and early treatment for </w:t>
      </w:r>
      <w:r w:rsidR="00D16EBA">
        <w:t>Aboriginal and Torres Strait Islander</w:t>
      </w:r>
      <w:r w:rsidR="006E4E2B">
        <w:t xml:space="preserve"> Australians</w:t>
      </w:r>
    </w:p>
    <w:p w14:paraId="7F50F701" w14:textId="77777777" w:rsidR="00525B3A" w:rsidRDefault="00AA1187" w:rsidP="003F7B15">
      <w:pPr>
        <w:pStyle w:val="BodyText"/>
      </w:pPr>
      <w:r>
        <w:t xml:space="preserve">‘Early </w:t>
      </w:r>
      <w:r w:rsidRPr="006A354D">
        <w:t>detection</w:t>
      </w:r>
      <w:r>
        <w:t xml:space="preserve"> and </w:t>
      </w:r>
      <w:r w:rsidRPr="00D22060">
        <w:t xml:space="preserve">early treatment for </w:t>
      </w:r>
      <w:r w:rsidR="00D16EBA">
        <w:t>Aboriginal and Torres Strait Islander</w:t>
      </w:r>
      <w:r w:rsidR="006E4E2B">
        <w:t xml:space="preserve"> Australians</w:t>
      </w:r>
      <w:r>
        <w:t>’ is an indicator of governments’ objective to provide access to p</w:t>
      </w:r>
      <w:r w:rsidR="00921B5A">
        <w:t xml:space="preserve">rimary and community healthcare </w:t>
      </w:r>
      <w:r w:rsidR="000863B9">
        <w:t xml:space="preserve">in an equitable manner </w:t>
      </w:r>
      <w:r>
        <w:t>(</w:t>
      </w:r>
      <w:r w:rsidR="003F7B15">
        <w:t>box </w:t>
      </w:r>
      <w:r w:rsidR="00897589">
        <w:t>10.</w:t>
      </w:r>
      <w:r w:rsidR="00926AD9">
        <w:t>3</w:t>
      </w:r>
      <w:r w:rsidRPr="00636C4F">
        <w:t>).</w:t>
      </w:r>
    </w:p>
    <w:p w14:paraId="6020D37A" w14:textId="16BD52B0" w:rsidR="001D01BB" w:rsidRDefault="001D01BB">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1D01BB" w14:paraId="3AA9D126" w14:textId="77777777" w:rsidTr="00AC6A7D">
        <w:tc>
          <w:tcPr>
            <w:tcW w:w="8793" w:type="dxa"/>
            <w:tcBorders>
              <w:top w:val="single" w:sz="6" w:space="0" w:color="78A22F"/>
              <w:left w:val="nil"/>
              <w:bottom w:val="nil"/>
              <w:right w:val="nil"/>
            </w:tcBorders>
            <w:shd w:val="clear" w:color="auto" w:fill="F2F2F2"/>
          </w:tcPr>
          <w:p w14:paraId="665DE1BC" w14:textId="4768D835" w:rsidR="001D01BB" w:rsidRDefault="001D01BB" w:rsidP="001D01BB">
            <w:pPr>
              <w:pStyle w:val="BoxTitle"/>
            </w:pPr>
            <w:r>
              <w:rPr>
                <w:b w:val="0"/>
              </w:rPr>
              <w:t xml:space="preserve">Box </w:t>
            </w:r>
            <w:r w:rsidR="009525ED">
              <w:rPr>
                <w:b w:val="0"/>
              </w:rPr>
              <w:t>10.</w:t>
            </w:r>
            <w:r w:rsidR="0008386D">
              <w:rPr>
                <w:b w:val="0"/>
                <w:noProof/>
              </w:rPr>
              <w:t>3</w:t>
            </w:r>
            <w:r>
              <w:tab/>
            </w:r>
            <w:r w:rsidRPr="00A26245">
              <w:t xml:space="preserve">Early detection and early treatment for </w:t>
            </w:r>
            <w:r>
              <w:t>Aboriginal and Torres Strait Islander Australians</w:t>
            </w:r>
          </w:p>
        </w:tc>
      </w:tr>
      <w:tr w:rsidR="001D01BB" w14:paraId="29078F9A" w14:textId="77777777" w:rsidTr="00AC6A7D">
        <w:trPr>
          <w:cantSplit/>
        </w:trPr>
        <w:tc>
          <w:tcPr>
            <w:tcW w:w="8793" w:type="dxa"/>
            <w:tcBorders>
              <w:top w:val="nil"/>
              <w:left w:val="nil"/>
              <w:bottom w:val="nil"/>
              <w:right w:val="nil"/>
            </w:tcBorders>
            <w:shd w:val="clear" w:color="auto" w:fill="F2F2F2"/>
          </w:tcPr>
          <w:p w14:paraId="0DBBF3E9" w14:textId="63264387" w:rsidR="001D01BB" w:rsidRDefault="00107939" w:rsidP="00487CDB">
            <w:pPr>
              <w:pStyle w:val="Box"/>
            </w:pPr>
            <w:r>
              <w:t>‘</w:t>
            </w:r>
            <w:r w:rsidR="00926AD9">
              <w:t>E</w:t>
            </w:r>
            <w:r w:rsidR="001D01BB" w:rsidRPr="00CB289F">
              <w:t xml:space="preserve">arly detection and early treatment for </w:t>
            </w:r>
            <w:r w:rsidR="001D01BB">
              <w:t>Aboriginal and Torres Strait Islander Australians</w:t>
            </w:r>
            <w:r>
              <w:t>’</w:t>
            </w:r>
            <w:r w:rsidR="001D01BB" w:rsidRPr="00CB289F">
              <w:t xml:space="preserve"> </w:t>
            </w:r>
            <w:r w:rsidR="00926AD9">
              <w:t>is</w:t>
            </w:r>
            <w:r w:rsidR="001D01BB" w:rsidRPr="00CB289F">
              <w:t xml:space="preserve"> </w:t>
            </w:r>
            <w:r w:rsidR="00092B7B">
              <w:t xml:space="preserve">defined as the </w:t>
            </w:r>
            <w:r w:rsidR="00A1694B">
              <w:t>p</w:t>
            </w:r>
            <w:r w:rsidR="00487CDB">
              <w:t>roportion</w:t>
            </w:r>
            <w:r w:rsidR="001D01BB">
              <w:t xml:space="preserve"> of older people who received a health assessment under Medicare by Indigenous status</w:t>
            </w:r>
            <w:r w:rsidR="00092B7B">
              <w:t>.</w:t>
            </w:r>
          </w:p>
          <w:p w14:paraId="67CD0546" w14:textId="0C5B6409" w:rsidR="001D01BB" w:rsidRPr="00CB289F" w:rsidRDefault="00092B7B" w:rsidP="00487CDB">
            <w:pPr>
              <w:pStyle w:val="Box"/>
            </w:pPr>
            <w:r>
              <w:t>O</w:t>
            </w:r>
            <w:r w:rsidR="001D01BB" w:rsidRPr="002D0651">
              <w:t>lder people are defined as</w:t>
            </w:r>
            <w:r w:rsidR="001D01BB">
              <w:t xml:space="preserve"> Aboriginal and Torres Strait Islander Australians aged 55 </w:t>
            </w:r>
            <w:r w:rsidR="001D01BB" w:rsidRPr="002D0651">
              <w:t>years or over</w:t>
            </w:r>
            <w:r w:rsidR="001D01BB">
              <w:t xml:space="preserve"> and other Australians</w:t>
            </w:r>
            <w:r w:rsidR="001D01BB" w:rsidRPr="002D0651">
              <w:t xml:space="preserve"> aged 75 years or ove</w:t>
            </w:r>
            <w:r w:rsidR="001D01BB">
              <w:t>r</w:t>
            </w:r>
            <w:r w:rsidR="001D01BB" w:rsidRPr="002D0651">
              <w:t>, excluding hospital inpatients and people living in aged care facilities</w:t>
            </w:r>
            <w:r>
              <w:t>. H</w:t>
            </w:r>
            <w:r w:rsidR="001D01BB" w:rsidRPr="00CB289F">
              <w:t xml:space="preserve">ealth assessments are MBS items that allow </w:t>
            </w:r>
            <w:r w:rsidR="001D01BB" w:rsidRPr="009538E3">
              <w:t>comprehensive examinations of patient health, including physical, psycho</w:t>
            </w:r>
            <w:r w:rsidR="001D01BB">
              <w:t>logical and social functioning</w:t>
            </w:r>
            <w:r w:rsidR="003E4F56">
              <w:t>.</w:t>
            </w:r>
          </w:p>
          <w:p w14:paraId="3F503010" w14:textId="2B5A6FA1" w:rsidR="001D01BB" w:rsidRDefault="001D01BB" w:rsidP="00F520F2">
            <w:pPr>
              <w:pStyle w:val="Box"/>
            </w:pPr>
            <w:r>
              <w:t xml:space="preserve">A </w:t>
            </w:r>
            <w:r w:rsidR="00092B7B">
              <w:t xml:space="preserve">small </w:t>
            </w:r>
            <w:r>
              <w:t xml:space="preserve">or </w:t>
            </w:r>
            <w:r w:rsidR="00092B7B">
              <w:t>narrowing</w:t>
            </w:r>
            <w:r>
              <w:t xml:space="preserve"> gap between the proportion of </w:t>
            </w:r>
            <w:r w:rsidRPr="00DC3CAF">
              <w:t>Aboriginal and Torres Strait Islander</w:t>
            </w:r>
            <w:r>
              <w:t xml:space="preserve"> and other Australians who received a health assessment can indicate more equitable access to early detection and early treatment services for Aboriginal and Torres Strait Islander Australians. An increase over time in the proportion of older Aboriginal and Torres Strait Islander Australians who received a health assessment is desirable as it indicates improved access to these services. </w:t>
            </w:r>
          </w:p>
          <w:p w14:paraId="0250A34B" w14:textId="77777777" w:rsidR="001D01BB" w:rsidRPr="001F6AA2" w:rsidRDefault="001D01BB" w:rsidP="00F520F2">
            <w:pPr>
              <w:pStyle w:val="Box"/>
            </w:pPr>
            <w:r w:rsidRPr="001F6AA2">
              <w:t xml:space="preserve">This indicator provides no </w:t>
            </w:r>
            <w:r w:rsidRPr="00AA1187">
              <w:t xml:space="preserve">information about </w:t>
            </w:r>
            <w:r w:rsidRPr="00C4450C">
              <w:t xml:space="preserve">health assessments provided </w:t>
            </w:r>
            <w:r>
              <w:t>outside DHS Medicare</w:t>
            </w:r>
            <w:r w:rsidR="004154F8">
              <w:t xml:space="preserve"> (</w:t>
            </w:r>
            <w:r>
              <w:t xml:space="preserve">predominantly </w:t>
            </w:r>
            <w:r w:rsidR="004154F8">
              <w:t xml:space="preserve">used </w:t>
            </w:r>
            <w:r>
              <w:t>by Aboriginal and Torres Strait Islander people</w:t>
            </w:r>
            <w:r w:rsidR="004154F8">
              <w:t xml:space="preserve"> </w:t>
            </w:r>
            <w:r w:rsidRPr="00C4450C">
              <w:t>in remote and very remote areas</w:t>
            </w:r>
            <w:r w:rsidR="004154F8">
              <w:t>)</w:t>
            </w:r>
            <w:r>
              <w:t>.</w:t>
            </w:r>
            <w:r w:rsidRPr="001F6AA2">
              <w:t xml:space="preserve"> Accordingly, this indicator understates the proportion of </w:t>
            </w:r>
            <w:r>
              <w:t>Aboriginal and Torres Strait Islander people</w:t>
            </w:r>
            <w:r w:rsidRPr="001F6AA2">
              <w:t xml:space="preserve"> who received early detection and early treatment services.</w:t>
            </w:r>
          </w:p>
          <w:p w14:paraId="6A9520AD" w14:textId="77777777" w:rsidR="001D01BB" w:rsidRDefault="001D01BB" w:rsidP="00F520F2">
            <w:pPr>
              <w:pStyle w:val="Box"/>
            </w:pPr>
            <w:r>
              <w:t>Data reported for this indicator are:</w:t>
            </w:r>
          </w:p>
          <w:p w14:paraId="7E112756" w14:textId="77777777" w:rsidR="00984DC8" w:rsidRPr="00CA3971" w:rsidRDefault="00984DC8" w:rsidP="00CA3971">
            <w:pPr>
              <w:pStyle w:val="Box"/>
              <w:ind w:left="284"/>
            </w:pPr>
            <w:r w:rsidRPr="001B3B2F">
              <w:rPr>
                <w:shd w:val="clear" w:color="auto" w:fill="F15A25"/>
              </w:rPr>
              <w:t xml:space="preserve">    </w:t>
            </w:r>
            <w:r w:rsidRPr="00CA3971">
              <w:t xml:space="preserve"> comparable (subject to caveats) across jurisdictions and over time </w:t>
            </w:r>
          </w:p>
          <w:p w14:paraId="65708768" w14:textId="00135B43" w:rsidR="003E0A6A" w:rsidRDefault="00984DC8" w:rsidP="00CA3971">
            <w:pPr>
              <w:pStyle w:val="Box"/>
              <w:ind w:left="284"/>
            </w:pPr>
            <w:r w:rsidRPr="001B3B2F">
              <w:rPr>
                <w:shd w:val="clear" w:color="auto" w:fill="F15A25"/>
              </w:rPr>
              <w:t xml:space="preserve">    </w:t>
            </w:r>
            <w:r>
              <w:t xml:space="preserve"> complete for the current reporting period (subject to caveats). All required 2017-18 data are available for all jurisdictions.</w:t>
            </w:r>
          </w:p>
        </w:tc>
      </w:tr>
      <w:tr w:rsidR="001D01BB" w14:paraId="46E00819" w14:textId="77777777" w:rsidTr="00AC6A7D">
        <w:trPr>
          <w:cantSplit/>
        </w:trPr>
        <w:tc>
          <w:tcPr>
            <w:tcW w:w="8793" w:type="dxa"/>
            <w:tcBorders>
              <w:top w:val="nil"/>
              <w:left w:val="nil"/>
              <w:bottom w:val="single" w:sz="6" w:space="0" w:color="78A22F"/>
              <w:right w:val="nil"/>
            </w:tcBorders>
            <w:shd w:val="clear" w:color="auto" w:fill="F2F2F2"/>
          </w:tcPr>
          <w:p w14:paraId="221CD339" w14:textId="77777777" w:rsidR="001D01BB" w:rsidRDefault="001D01BB">
            <w:pPr>
              <w:pStyle w:val="Box"/>
              <w:spacing w:before="0" w:line="120" w:lineRule="exact"/>
            </w:pPr>
          </w:p>
        </w:tc>
      </w:tr>
      <w:tr w:rsidR="001D01BB" w:rsidRPr="000863A5" w14:paraId="6D10F2D3" w14:textId="77777777" w:rsidTr="00AC6A7D">
        <w:tc>
          <w:tcPr>
            <w:tcW w:w="8793" w:type="dxa"/>
            <w:tcBorders>
              <w:top w:val="single" w:sz="6" w:space="0" w:color="78A22F"/>
              <w:left w:val="nil"/>
              <w:bottom w:val="nil"/>
              <w:right w:val="nil"/>
            </w:tcBorders>
          </w:tcPr>
          <w:p w14:paraId="1BA3917C" w14:textId="7819E67A" w:rsidR="001D01BB" w:rsidRPr="00626D32" w:rsidRDefault="001D01BB" w:rsidP="00F520F2">
            <w:pPr>
              <w:pStyle w:val="BoxSpaceBelow"/>
            </w:pPr>
          </w:p>
        </w:tc>
      </w:tr>
    </w:tbl>
    <w:p w14:paraId="3E406C02" w14:textId="423642F7" w:rsidR="008D368B" w:rsidRDefault="005B665E" w:rsidP="00A9633A">
      <w:pPr>
        <w:pStyle w:val="BodyText"/>
      </w:pPr>
      <w:r>
        <w:t>Nationally</w:t>
      </w:r>
      <w:r w:rsidR="000C0E91">
        <w:t xml:space="preserve"> in </w:t>
      </w:r>
      <w:r w:rsidR="00280888">
        <w:t>201</w:t>
      </w:r>
      <w:r w:rsidR="00061142">
        <w:t>7</w:t>
      </w:r>
      <w:r w:rsidR="002F2C08">
        <w:noBreakHyphen/>
      </w:r>
      <w:r w:rsidR="00280888">
        <w:t>1</w:t>
      </w:r>
      <w:r w:rsidR="00061142">
        <w:t>8</w:t>
      </w:r>
      <w:r>
        <w:t xml:space="preserve">, the proportion of older people receiving </w:t>
      </w:r>
      <w:r w:rsidR="00822DF9">
        <w:t>a health assessment</w:t>
      </w:r>
      <w:r>
        <w:t xml:space="preserve"> was </w:t>
      </w:r>
      <w:r w:rsidR="00061142">
        <w:t>40.0 </w:t>
      </w:r>
      <w:r w:rsidR="00F23751" w:rsidRPr="00481BE3">
        <w:t>per cent</w:t>
      </w:r>
      <w:r w:rsidR="00822DF9" w:rsidRPr="00481BE3">
        <w:t xml:space="preserve"> for Aboriginal and Torres Strait Islander people and </w:t>
      </w:r>
      <w:r w:rsidR="00061142">
        <w:t>33.1</w:t>
      </w:r>
      <w:r w:rsidR="00822DF9" w:rsidRPr="00481BE3">
        <w:t xml:space="preserve"> per cent </w:t>
      </w:r>
      <w:r w:rsidR="00BF53FE" w:rsidRPr="00481BE3">
        <w:t>for other Australians</w:t>
      </w:r>
      <w:r w:rsidR="00822DF9">
        <w:t xml:space="preserve"> (</w:t>
      </w:r>
      <w:r w:rsidR="00822DF9" w:rsidRPr="000715AF">
        <w:t>figure 10.</w:t>
      </w:r>
      <w:r w:rsidR="00FD7153">
        <w:t>4</w:t>
      </w:r>
      <w:r w:rsidR="00822DF9">
        <w:t>)</w:t>
      </w:r>
      <w:r w:rsidR="004154F8">
        <w:t>.</w:t>
      </w:r>
    </w:p>
    <w:p w14:paraId="1CE5247E" w14:textId="1A623E65" w:rsidR="00AC6A7D" w:rsidRDefault="00AC6A7D" w:rsidP="00A9633A">
      <w:pPr>
        <w:pStyle w:val="BodyText"/>
      </w:pPr>
      <w:r>
        <w:t xml:space="preserve">Nationally, over the </w:t>
      </w:r>
      <w:r w:rsidR="00527B79">
        <w:t>five</w:t>
      </w:r>
      <w:r>
        <w:t xml:space="preserve"> years to 201</w:t>
      </w:r>
      <w:r w:rsidR="00061142">
        <w:t>7</w:t>
      </w:r>
      <w:r w:rsidR="002F2C08">
        <w:noBreakHyphen/>
      </w:r>
      <w:r>
        <w:t>1</w:t>
      </w:r>
      <w:r w:rsidR="00061142">
        <w:t>8</w:t>
      </w:r>
      <w:r>
        <w:t>, t</w:t>
      </w:r>
      <w:r w:rsidRPr="004F092B">
        <w:t xml:space="preserve">he proportion of older </w:t>
      </w:r>
      <w:r>
        <w:t>Aboriginal and Torres Strait Islander people</w:t>
      </w:r>
      <w:r w:rsidRPr="004F092B">
        <w:t xml:space="preserve"> who received an annual health assessment</w:t>
      </w:r>
      <w:r>
        <w:t xml:space="preserve"> increased by </w:t>
      </w:r>
      <w:r w:rsidR="00527B79">
        <w:t>14.2</w:t>
      </w:r>
      <w:r w:rsidR="0083437D">
        <w:t> </w:t>
      </w:r>
      <w:r>
        <w:t xml:space="preserve">percentage points to </w:t>
      </w:r>
      <w:r w:rsidR="00061142">
        <w:t>40.0</w:t>
      </w:r>
      <w:r>
        <w:t xml:space="preserve"> per cent, compared to an increase of </w:t>
      </w:r>
      <w:r w:rsidR="00527B79">
        <w:t>3.8</w:t>
      </w:r>
      <w:r>
        <w:t xml:space="preserve"> percentage points to 33.</w:t>
      </w:r>
      <w:r w:rsidR="00527B79">
        <w:t>1</w:t>
      </w:r>
      <w:r>
        <w:t xml:space="preserve"> per cent for all older </w:t>
      </w:r>
      <w:r w:rsidR="00527B79">
        <w:t xml:space="preserve">non-Indigenous </w:t>
      </w:r>
      <w:r>
        <w:t>Australians (</w:t>
      </w:r>
      <w:r w:rsidR="00527B79">
        <w:t>with the proportion higher for Aboriginal and Torres Strait Islander older people from 2014-15</w:t>
      </w:r>
      <w:r>
        <w:t>) (</w:t>
      </w:r>
      <w:r w:rsidRPr="00481BE3">
        <w:t>table 10A.</w:t>
      </w:r>
      <w:r w:rsidR="00E9397D">
        <w:t>2</w:t>
      </w:r>
      <w:r w:rsidR="00984DC8">
        <w:t>4</w:t>
      </w:r>
      <w:r w:rsidR="00E9397D">
        <w:t>).</w:t>
      </w:r>
    </w:p>
    <w:p w14:paraId="487C5D2C" w14:textId="14ABCD89" w:rsidR="008D368B" w:rsidRDefault="008D368B" w:rsidP="0038602A">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8D368B" w14:paraId="6FA43597" w14:textId="77777777" w:rsidTr="00410A74">
        <w:tc>
          <w:tcPr>
            <w:tcW w:w="8793" w:type="dxa"/>
            <w:tcBorders>
              <w:top w:val="single" w:sz="6" w:space="0" w:color="78A22F"/>
              <w:left w:val="nil"/>
              <w:bottom w:val="nil"/>
              <w:right w:val="nil"/>
            </w:tcBorders>
            <w:shd w:val="clear" w:color="auto" w:fill="auto"/>
          </w:tcPr>
          <w:p w14:paraId="660F2FA8" w14:textId="001ADC4A" w:rsidR="008D368B" w:rsidRPr="00176D3F" w:rsidRDefault="008D368B" w:rsidP="00E9397D">
            <w:pPr>
              <w:pStyle w:val="FigureTitle"/>
            </w:pPr>
            <w:r w:rsidRPr="00784A05">
              <w:rPr>
                <w:b w:val="0"/>
              </w:rPr>
              <w:t xml:space="preserve">Figure </w:t>
            </w:r>
            <w:r w:rsidR="00FD7153">
              <w:rPr>
                <w:b w:val="0"/>
              </w:rPr>
              <w:t>10.</w:t>
            </w:r>
            <w:r w:rsidR="0008386D">
              <w:rPr>
                <w:b w:val="0"/>
                <w:noProof/>
              </w:rPr>
              <w:t>4</w:t>
            </w:r>
            <w:r>
              <w:tab/>
            </w:r>
            <w:r w:rsidRPr="002D6B26">
              <w:t xml:space="preserve">Older people who received a health assessment by </w:t>
            </w:r>
            <w:r>
              <w:t>Indigenous</w:t>
            </w:r>
            <w:r w:rsidRPr="002D6B26">
              <w:t xml:space="preserve"> status</w:t>
            </w:r>
            <w:r w:rsidRPr="00F73449">
              <w:t>,</w:t>
            </w:r>
            <w:r>
              <w:t xml:space="preserve"> </w:t>
            </w:r>
            <w:r w:rsidR="00280888">
              <w:t>201</w:t>
            </w:r>
            <w:r w:rsidR="00E9397D">
              <w:t>7</w:t>
            </w:r>
            <w:r w:rsidR="00280888">
              <w:t>-1</w:t>
            </w:r>
            <w:r w:rsidR="00E9397D">
              <w:t>8</w:t>
            </w:r>
            <w:r w:rsidRPr="00401391">
              <w:rPr>
                <w:rStyle w:val="NoteLabel"/>
                <w:b/>
              </w:rPr>
              <w:t>a</w:t>
            </w:r>
          </w:p>
        </w:tc>
      </w:tr>
      <w:tr w:rsidR="00334650" w14:paraId="7EEBC256" w14:textId="77777777" w:rsidTr="00410A74">
        <w:tc>
          <w:tcPr>
            <w:tcW w:w="8793" w:type="dxa"/>
            <w:tcBorders>
              <w:top w:val="nil"/>
              <w:left w:val="nil"/>
              <w:bottom w:val="nil"/>
              <w:right w:val="nil"/>
            </w:tcBorders>
            <w:shd w:val="clear" w:color="auto" w:fill="auto"/>
          </w:tcPr>
          <w:tbl>
            <w:tblPr>
              <w:tblW w:w="5000" w:type="pct"/>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551"/>
              <w:gridCol w:w="7958"/>
            </w:tblGrid>
            <w:tr w:rsidR="00410A74" w:rsidRPr="0021152C" w14:paraId="41574CA5" w14:textId="77777777" w:rsidTr="00426E46">
              <w:trPr>
                <w:trHeight w:hRule="exact" w:val="327"/>
              </w:trPr>
              <w:tc>
                <w:tcPr>
                  <w:tcW w:w="313" w:type="pct"/>
                  <w:tcBorders>
                    <w:top w:val="nil"/>
                    <w:left w:val="nil"/>
                    <w:bottom w:val="nil"/>
                    <w:right w:val="nil"/>
                  </w:tcBorders>
                  <w:shd w:val="clear" w:color="auto" w:fill="F15A25"/>
                </w:tcPr>
                <w:p w14:paraId="4650F549" w14:textId="77777777" w:rsidR="00410A74" w:rsidRPr="000D77DB" w:rsidRDefault="00410A74" w:rsidP="00410A74">
                  <w:pPr>
                    <w:pStyle w:val="Note"/>
                    <w:keepNext/>
                    <w:keepLines w:val="0"/>
                    <w:widowControl w:val="0"/>
                  </w:pPr>
                </w:p>
              </w:tc>
              <w:tc>
                <w:tcPr>
                  <w:tcW w:w="4510" w:type="pct"/>
                  <w:tcBorders>
                    <w:top w:val="nil"/>
                    <w:left w:val="nil"/>
                    <w:bottom w:val="nil"/>
                    <w:right w:val="nil"/>
                  </w:tcBorders>
                  <w:shd w:val="clear" w:color="auto" w:fill="auto"/>
                </w:tcPr>
                <w:p w14:paraId="2ADED327" w14:textId="3D4E14E7" w:rsidR="00410A74" w:rsidRPr="0021152C" w:rsidRDefault="00410A74" w:rsidP="00BA7272">
                  <w:pPr>
                    <w:pStyle w:val="TableBodyText"/>
                    <w:keepLines w:val="0"/>
                    <w:widowControl w:val="0"/>
                    <w:jc w:val="left"/>
                  </w:pPr>
                  <w:r w:rsidRPr="0021152C">
                    <w:t>Comparable (subject to caveats) across jurisdictions and over time</w:t>
                  </w:r>
                  <w:r>
                    <w:t>.</w:t>
                  </w:r>
                </w:p>
              </w:tc>
            </w:tr>
            <w:tr w:rsidR="00410A74" w:rsidRPr="0021152C" w14:paraId="2EE1D72F" w14:textId="77777777" w:rsidTr="00A52BE1">
              <w:trPr>
                <w:trHeight w:hRule="exact" w:val="397"/>
              </w:trPr>
              <w:tc>
                <w:tcPr>
                  <w:tcW w:w="313" w:type="pct"/>
                  <w:tcBorders>
                    <w:top w:val="nil"/>
                    <w:left w:val="nil"/>
                    <w:bottom w:val="nil"/>
                    <w:right w:val="nil"/>
                  </w:tcBorders>
                  <w:shd w:val="clear" w:color="auto" w:fill="F15A25"/>
                </w:tcPr>
                <w:p w14:paraId="4D2428BD" w14:textId="77777777" w:rsidR="00410A74" w:rsidRPr="000D77DB" w:rsidRDefault="00410A74" w:rsidP="00410A74">
                  <w:pPr>
                    <w:pStyle w:val="Note"/>
                    <w:keepNext/>
                    <w:keepLines w:val="0"/>
                    <w:widowControl w:val="0"/>
                    <w:rPr>
                      <w:rFonts w:cs="Arial"/>
                      <w:szCs w:val="18"/>
                    </w:rPr>
                  </w:pPr>
                </w:p>
              </w:tc>
              <w:tc>
                <w:tcPr>
                  <w:tcW w:w="4510" w:type="pct"/>
                  <w:tcBorders>
                    <w:top w:val="nil"/>
                    <w:left w:val="nil"/>
                    <w:bottom w:val="nil"/>
                    <w:right w:val="nil"/>
                  </w:tcBorders>
                  <w:shd w:val="clear" w:color="auto" w:fill="auto"/>
                </w:tcPr>
                <w:p w14:paraId="7F3BA97B" w14:textId="77777777" w:rsidR="00410A74" w:rsidRPr="0021152C" w:rsidRDefault="00410A74" w:rsidP="00410A74">
                  <w:pPr>
                    <w:pStyle w:val="TableBodyText"/>
                    <w:keepLines w:val="0"/>
                    <w:widowControl w:val="0"/>
                    <w:jc w:val="left"/>
                  </w:pPr>
                  <w:r w:rsidRPr="000D77DB">
                    <w:t xml:space="preserve">Complete (subject to caveats) for the current reporting period. </w:t>
                  </w:r>
                </w:p>
              </w:tc>
            </w:tr>
          </w:tbl>
          <w:p w14:paraId="10F76BB5" w14:textId="77777777" w:rsidR="00334650" w:rsidRPr="00784A05" w:rsidRDefault="00334650" w:rsidP="004154F8">
            <w:pPr>
              <w:pStyle w:val="FigureTitle"/>
              <w:rPr>
                <w:b w:val="0"/>
              </w:rPr>
            </w:pPr>
          </w:p>
        </w:tc>
      </w:tr>
      <w:tr w:rsidR="008D368B" w14:paraId="738D6D48" w14:textId="77777777" w:rsidTr="00AC6A7D">
        <w:tc>
          <w:tcPr>
            <w:tcW w:w="8793"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8D368B" w14:paraId="2EEC8B83" w14:textId="77777777" w:rsidTr="00E9397D">
              <w:trPr>
                <w:jc w:val="center"/>
              </w:trPr>
              <w:tc>
                <w:tcPr>
                  <w:tcW w:w="8504" w:type="dxa"/>
                  <w:tcBorders>
                    <w:top w:val="nil"/>
                    <w:bottom w:val="nil"/>
                  </w:tcBorders>
                </w:tcPr>
                <w:p w14:paraId="09A8E1D6" w14:textId="377A7AD3" w:rsidR="008D368B" w:rsidRDefault="00E9397D" w:rsidP="0038602A">
                  <w:pPr>
                    <w:pStyle w:val="Figure"/>
                    <w:spacing w:before="60" w:after="60"/>
                  </w:pPr>
                  <w:r>
                    <w:rPr>
                      <w:noProof/>
                    </w:rPr>
                    <w:drawing>
                      <wp:inline distT="0" distB="0" distL="0" distR="0" wp14:anchorId="70C6D534" wp14:editId="181EF53B">
                        <wp:extent cx="5262880" cy="2520000"/>
                        <wp:effectExtent l="0" t="0" r="0" b="0"/>
                        <wp:docPr id="23" name="Chart 23" descr="Figure 10.4 Older people who received a health assessment by Indigenous status, 2017-18&#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14:paraId="43B0DFFB" w14:textId="77777777" w:rsidR="008D368B" w:rsidRDefault="008D368B" w:rsidP="0038602A">
            <w:pPr>
              <w:pStyle w:val="Figure"/>
            </w:pPr>
          </w:p>
        </w:tc>
      </w:tr>
      <w:tr w:rsidR="008D368B" w:rsidRPr="00176D3F" w14:paraId="70B7782B" w14:textId="77777777" w:rsidTr="00AC6A7D">
        <w:tc>
          <w:tcPr>
            <w:tcW w:w="8793" w:type="dxa"/>
            <w:tcBorders>
              <w:top w:val="nil"/>
              <w:left w:val="nil"/>
              <w:bottom w:val="nil"/>
              <w:right w:val="nil"/>
            </w:tcBorders>
            <w:shd w:val="clear" w:color="auto" w:fill="auto"/>
          </w:tcPr>
          <w:p w14:paraId="13A65FD7" w14:textId="7784B9CE" w:rsidR="008D368B" w:rsidRPr="00176D3F" w:rsidRDefault="008D368B" w:rsidP="00994607">
            <w:pPr>
              <w:pStyle w:val="Note"/>
            </w:pPr>
            <w:r>
              <w:rPr>
                <w:rStyle w:val="NoteLabel"/>
              </w:rPr>
              <w:t>a</w:t>
            </w:r>
            <w:r>
              <w:t xml:space="preserve"> </w:t>
            </w:r>
            <w:r w:rsidR="00456535" w:rsidRPr="00023056">
              <w:t xml:space="preserve">See </w:t>
            </w:r>
            <w:r w:rsidR="00456535">
              <w:t>box 10.</w:t>
            </w:r>
            <w:r w:rsidR="00926AD9">
              <w:t>3</w:t>
            </w:r>
            <w:r w:rsidR="00456535">
              <w:t xml:space="preserve"> and </w:t>
            </w:r>
            <w:r w:rsidR="00456535" w:rsidRPr="00481BE3">
              <w:t>table 10A.</w:t>
            </w:r>
            <w:r w:rsidR="0070779C">
              <w:t>2</w:t>
            </w:r>
            <w:r w:rsidR="00BA7272">
              <w:t>4</w:t>
            </w:r>
            <w:r w:rsidR="00456535">
              <w:t xml:space="preserve"> </w:t>
            </w:r>
            <w:r w:rsidR="00456535" w:rsidRPr="00023056">
              <w:t xml:space="preserve">for </w:t>
            </w:r>
            <w:r w:rsidR="00456535">
              <w:t>detailed definitions, footnotes and caveats.</w:t>
            </w:r>
          </w:p>
        </w:tc>
      </w:tr>
      <w:tr w:rsidR="008D368B" w:rsidRPr="00176D3F" w14:paraId="4FDE5304" w14:textId="77777777" w:rsidTr="00AC6A7D">
        <w:tc>
          <w:tcPr>
            <w:tcW w:w="8793" w:type="dxa"/>
            <w:tcBorders>
              <w:top w:val="nil"/>
              <w:left w:val="nil"/>
              <w:bottom w:val="nil"/>
              <w:right w:val="nil"/>
            </w:tcBorders>
            <w:shd w:val="clear" w:color="auto" w:fill="auto"/>
          </w:tcPr>
          <w:p w14:paraId="498A0B3F" w14:textId="39D91683" w:rsidR="008D368B" w:rsidRPr="00176D3F" w:rsidRDefault="00456535" w:rsidP="00E26080">
            <w:pPr>
              <w:pStyle w:val="Source"/>
            </w:pPr>
            <w:r w:rsidRPr="001A57A2">
              <w:rPr>
                <w:i/>
              </w:rPr>
              <w:t>Source</w:t>
            </w:r>
            <w:r w:rsidRPr="001A57A2">
              <w:t xml:space="preserve">: Derived from </w:t>
            </w:r>
            <w:r>
              <w:t>Department of Health</w:t>
            </w:r>
            <w:r w:rsidRPr="001A57A2">
              <w:t xml:space="preserve"> (unpub</w:t>
            </w:r>
            <w:r>
              <w:t>lished) MBS Statistics, ABS (2014</w:t>
            </w:r>
            <w:r w:rsidRPr="001A57A2">
              <w:t xml:space="preserve">) </w:t>
            </w:r>
            <w:r w:rsidRPr="00FD0229">
              <w:rPr>
                <w:i/>
              </w:rPr>
              <w:t>Experimental estimates and projections, Aboriginal and Torres Strait Islander Australians 2001 to 2026</w:t>
            </w:r>
            <w:r w:rsidRPr="00FD0229">
              <w:t>, Cat. no. 3238.0</w:t>
            </w:r>
            <w:r w:rsidRPr="001A57A2">
              <w:t>; ABS </w:t>
            </w:r>
            <w:r>
              <w:t>(</w:t>
            </w:r>
            <w:r w:rsidRPr="00B06590">
              <w:t>various years</w:t>
            </w:r>
            <w:r>
              <w:t>)</w:t>
            </w:r>
            <w:r w:rsidRPr="001A57A2">
              <w:rPr>
                <w:i/>
              </w:rPr>
              <w:t xml:space="preserve"> Australian demographic statistics</w:t>
            </w:r>
            <w:r>
              <w:t>,</w:t>
            </w:r>
            <w:r w:rsidRPr="001A57A2">
              <w:rPr>
                <w:i/>
              </w:rPr>
              <w:t xml:space="preserve"> </w:t>
            </w:r>
            <w:r w:rsidRPr="001A57A2">
              <w:t xml:space="preserve">Cat. no. 3101.0; </w:t>
            </w:r>
            <w:r w:rsidRPr="00481BE3">
              <w:t>table 10A.</w:t>
            </w:r>
            <w:r w:rsidR="0070779C">
              <w:t>2</w:t>
            </w:r>
            <w:r w:rsidR="00E26080">
              <w:t>4</w:t>
            </w:r>
            <w:r w:rsidRPr="001A57A2">
              <w:t>.</w:t>
            </w:r>
            <w:r w:rsidR="008D368B" w:rsidRPr="00176D3F">
              <w:t xml:space="preserve"> </w:t>
            </w:r>
          </w:p>
        </w:tc>
      </w:tr>
      <w:tr w:rsidR="008D368B" w14:paraId="35AC0C5B" w14:textId="77777777" w:rsidTr="00AC6A7D">
        <w:tc>
          <w:tcPr>
            <w:tcW w:w="8793" w:type="dxa"/>
            <w:tcBorders>
              <w:top w:val="nil"/>
              <w:left w:val="nil"/>
              <w:bottom w:val="single" w:sz="6" w:space="0" w:color="78A22F"/>
              <w:right w:val="nil"/>
            </w:tcBorders>
            <w:shd w:val="clear" w:color="auto" w:fill="auto"/>
          </w:tcPr>
          <w:p w14:paraId="1F23A635" w14:textId="77777777" w:rsidR="008D368B" w:rsidRDefault="008D368B" w:rsidP="0038602A">
            <w:pPr>
              <w:pStyle w:val="Figurespace"/>
            </w:pPr>
          </w:p>
        </w:tc>
      </w:tr>
      <w:tr w:rsidR="008D368B" w:rsidRPr="000863A5" w14:paraId="7EA0A74D" w14:textId="77777777" w:rsidTr="00AC6A7D">
        <w:tc>
          <w:tcPr>
            <w:tcW w:w="8793" w:type="dxa"/>
            <w:tcBorders>
              <w:top w:val="single" w:sz="6" w:space="0" w:color="78A22F"/>
              <w:left w:val="nil"/>
              <w:bottom w:val="nil"/>
              <w:right w:val="nil"/>
            </w:tcBorders>
          </w:tcPr>
          <w:p w14:paraId="2462D561" w14:textId="1DF8B3F3" w:rsidR="008D368B" w:rsidRPr="00626D32" w:rsidRDefault="008D368B" w:rsidP="0038602A">
            <w:pPr>
              <w:pStyle w:val="BoxSpaceBelow"/>
            </w:pPr>
          </w:p>
        </w:tc>
      </w:tr>
    </w:tbl>
    <w:p w14:paraId="69767563" w14:textId="1860BDD6" w:rsidR="009D3AE0" w:rsidRPr="00115C8A" w:rsidRDefault="009D3AE0" w:rsidP="00A9633A">
      <w:pPr>
        <w:pStyle w:val="BodyText"/>
      </w:pPr>
      <w:r>
        <w:t>For Aboriginal and Torres Strait Islander people by age, the proportion who received an annual health assessment is higher for those aged 55 years or over (</w:t>
      </w:r>
      <w:r w:rsidR="00E9397D">
        <w:t>40.0</w:t>
      </w:r>
      <w:r>
        <w:t xml:space="preserve"> per cent) compared to those aged 15</w:t>
      </w:r>
      <w:r w:rsidR="008D3534">
        <w:t>–</w:t>
      </w:r>
      <w:r>
        <w:t>54 years and 0</w:t>
      </w:r>
      <w:r w:rsidR="008D3534">
        <w:t>–</w:t>
      </w:r>
      <w:r>
        <w:t>14 years (</w:t>
      </w:r>
      <w:r w:rsidR="00E9397D">
        <w:t>27.6</w:t>
      </w:r>
      <w:r>
        <w:t xml:space="preserve"> per cent and </w:t>
      </w:r>
      <w:r w:rsidR="00E9397D">
        <w:t>29.5</w:t>
      </w:r>
      <w:r>
        <w:t xml:space="preserve"> per </w:t>
      </w:r>
      <w:r w:rsidR="00984DC8">
        <w:t>cent respectively)</w:t>
      </w:r>
      <w:r w:rsidR="00527B79">
        <w:t>, though proportions have increased for all age groups over the years included in this Report (table 10A.25)</w:t>
      </w:r>
      <w:r>
        <w:t>.</w:t>
      </w:r>
    </w:p>
    <w:p w14:paraId="381E6EB7" w14:textId="77777777" w:rsidR="00AE7160" w:rsidRDefault="00AE7160" w:rsidP="00EB32FF">
      <w:pPr>
        <w:pStyle w:val="Heading3"/>
      </w:pPr>
      <w:r>
        <w:t>Effectiveness</w:t>
      </w:r>
    </w:p>
    <w:p w14:paraId="028A21F3" w14:textId="77777777" w:rsidR="00176FEB" w:rsidRDefault="00122D8D" w:rsidP="00EB1125">
      <w:pPr>
        <w:pStyle w:val="Heading4"/>
      </w:pPr>
      <w:r>
        <w:t xml:space="preserve">Access – </w:t>
      </w:r>
      <w:r w:rsidR="00D00B89">
        <w:t>Affordability of primary healthcare services</w:t>
      </w:r>
    </w:p>
    <w:p w14:paraId="084514FD" w14:textId="0E8ADB63" w:rsidR="00123ED0" w:rsidRDefault="00481BE3" w:rsidP="00481BE3">
      <w:pPr>
        <w:pStyle w:val="BodyText"/>
      </w:pPr>
      <w:r>
        <w:t>‘</w:t>
      </w:r>
      <w:r w:rsidR="008730FD">
        <w:t>Affordability of primary healthcare services</w:t>
      </w:r>
      <w:r>
        <w:t xml:space="preserve">’ is an indicator of governments’ objective to provide </w:t>
      </w:r>
      <w:r w:rsidRPr="00351BBC">
        <w:t>primary healthcare services</w:t>
      </w:r>
      <w:r w:rsidR="009D3AE0">
        <w:t xml:space="preserve"> that are affordable</w:t>
      </w:r>
      <w:r>
        <w:t xml:space="preserve"> (box 10.</w:t>
      </w:r>
      <w:r w:rsidR="00926AD9">
        <w:t>4</w:t>
      </w:r>
      <w:r>
        <w:t>)</w:t>
      </w:r>
      <w:r w:rsidR="00F5404E">
        <w:t>.</w:t>
      </w:r>
    </w:p>
    <w:p w14:paraId="2A198568" w14:textId="691C2713" w:rsidR="00AC6A7D" w:rsidRDefault="00AC6A7D">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8"/>
      </w:tblGrid>
      <w:tr w:rsidR="00AC6A7D" w14:paraId="4BD474F4" w14:textId="77777777" w:rsidTr="002409DF">
        <w:trPr>
          <w:tblHeader/>
        </w:trPr>
        <w:tc>
          <w:tcPr>
            <w:tcW w:w="5000" w:type="pct"/>
            <w:tcBorders>
              <w:top w:val="single" w:sz="6" w:space="0" w:color="78A22F"/>
              <w:left w:val="nil"/>
              <w:bottom w:val="nil"/>
              <w:right w:val="nil"/>
            </w:tcBorders>
            <w:shd w:val="clear" w:color="auto" w:fill="F2F2F2"/>
          </w:tcPr>
          <w:p w14:paraId="301FB7A1" w14:textId="362B6AEF" w:rsidR="00AC6A7D" w:rsidRDefault="00AC6A7D" w:rsidP="00E825E0">
            <w:pPr>
              <w:pStyle w:val="BoxTitle"/>
            </w:pPr>
            <w:r>
              <w:rPr>
                <w:b w:val="0"/>
              </w:rPr>
              <w:t xml:space="preserve">Box </w:t>
            </w:r>
            <w:r w:rsidR="009525ED">
              <w:rPr>
                <w:b w:val="0"/>
              </w:rPr>
              <w:t>10.</w:t>
            </w:r>
            <w:r w:rsidR="0008386D">
              <w:rPr>
                <w:b w:val="0"/>
                <w:noProof/>
              </w:rPr>
              <w:t>4</w:t>
            </w:r>
            <w:r>
              <w:tab/>
              <w:t>Affordability of primary healthcare</w:t>
            </w:r>
          </w:p>
        </w:tc>
      </w:tr>
      <w:tr w:rsidR="00AC6A7D" w14:paraId="408F9E60" w14:textId="77777777" w:rsidTr="002409DF">
        <w:tc>
          <w:tcPr>
            <w:tcW w:w="5000" w:type="pct"/>
            <w:tcBorders>
              <w:top w:val="nil"/>
              <w:left w:val="nil"/>
              <w:bottom w:val="nil"/>
              <w:right w:val="nil"/>
            </w:tcBorders>
            <w:shd w:val="clear" w:color="auto" w:fill="F2F2F2"/>
          </w:tcPr>
          <w:p w14:paraId="0C305F00" w14:textId="77777777" w:rsidR="00AC6A7D" w:rsidRDefault="00AC6A7D" w:rsidP="00AC6A7D">
            <w:pPr>
              <w:pStyle w:val="Box"/>
            </w:pPr>
            <w:r>
              <w:t>‘Affordability of primary healthcare’ is defined by two measures:</w:t>
            </w:r>
          </w:p>
          <w:p w14:paraId="735B8F23" w14:textId="77777777" w:rsidR="00AC6A7D" w:rsidRDefault="00AC6A7D" w:rsidP="0025258B">
            <w:pPr>
              <w:pStyle w:val="BoxListBullet"/>
            </w:pPr>
            <w:r>
              <w:t>People deferring visits to GPs due to cost, defined as</w:t>
            </w:r>
            <w:r w:rsidRPr="004C1535">
              <w:t xml:space="preserve"> the proportion of people who delayed seeing or did not see a GP </w:t>
            </w:r>
            <w:r>
              <w:t xml:space="preserve">at any time in the previous 12 months </w:t>
            </w:r>
            <w:r w:rsidRPr="004C1535">
              <w:t>due to cost</w:t>
            </w:r>
            <w:r>
              <w:t>.</w:t>
            </w:r>
            <w:r w:rsidRPr="00A97F84">
              <w:t xml:space="preserve"> </w:t>
            </w:r>
          </w:p>
          <w:p w14:paraId="6E27B462" w14:textId="77777777" w:rsidR="00E9397D" w:rsidRDefault="00E9397D" w:rsidP="00E9397D">
            <w:pPr>
              <w:pStyle w:val="BoxListBullet"/>
            </w:pPr>
            <w:r>
              <w:t xml:space="preserve">People deferring getting prescriptions filled due to cost, </w:t>
            </w:r>
            <w:r w:rsidRPr="00A97F84">
              <w:t xml:space="preserve">defined as the proportion of people who delayed getting or did not get a prescription filled </w:t>
            </w:r>
            <w:r w:rsidRPr="00A27A45">
              <w:t xml:space="preserve">at any time in the previous 12 months </w:t>
            </w:r>
            <w:r w:rsidRPr="00A97F84">
              <w:t>due to cost.</w:t>
            </w:r>
          </w:p>
          <w:p w14:paraId="043FF2C4" w14:textId="77777777" w:rsidR="00E9397D" w:rsidRDefault="00E9397D" w:rsidP="00E9397D">
            <w:pPr>
              <w:pStyle w:val="BoxListBullet"/>
              <w:numPr>
                <w:ilvl w:val="0"/>
                <w:numId w:val="0"/>
              </w:numPr>
            </w:pPr>
            <w:r w:rsidRPr="004C1535">
              <w:t>A low or decreasing proportion of people deferring visits to GPs</w:t>
            </w:r>
            <w:r>
              <w:t xml:space="preserve"> or filling PBS prescriptions</w:t>
            </w:r>
            <w:r w:rsidRPr="004C1535">
              <w:t xml:space="preserve"> due to </w:t>
            </w:r>
            <w:r>
              <w:t>cost</w:t>
            </w:r>
            <w:r w:rsidRPr="004C1535">
              <w:t xml:space="preserve"> indicates more w</w:t>
            </w:r>
            <w:r>
              <w:t>idely affordable access to GPs and medicines.</w:t>
            </w:r>
          </w:p>
          <w:p w14:paraId="2450F0B1" w14:textId="77777777" w:rsidR="00E9397D" w:rsidRDefault="00E9397D" w:rsidP="00E9397D">
            <w:pPr>
              <w:pStyle w:val="Box"/>
            </w:pPr>
            <w:r>
              <w:t>Data reported for these measures are:</w:t>
            </w:r>
          </w:p>
          <w:p w14:paraId="1F82FF0E" w14:textId="77777777" w:rsidR="00984DC8" w:rsidRDefault="00984DC8" w:rsidP="00FD7153">
            <w:pPr>
              <w:pStyle w:val="BoxListBullet"/>
              <w:numPr>
                <w:ilvl w:val="0"/>
                <w:numId w:val="0"/>
              </w:numPr>
              <w:ind w:left="568" w:hanging="284"/>
            </w:pPr>
            <w:r w:rsidRPr="001B3B2F">
              <w:rPr>
                <w:shd w:val="clear" w:color="auto" w:fill="F15A25"/>
              </w:rPr>
              <w:t xml:space="preserve">    </w:t>
            </w:r>
            <w:r>
              <w:t xml:space="preserve"> comparable (subject to caveats) across jurisdictions and over time </w:t>
            </w:r>
          </w:p>
          <w:p w14:paraId="407AE11B" w14:textId="4F66B24A" w:rsidR="00984DC8" w:rsidRDefault="00984DC8" w:rsidP="00FD7153">
            <w:pPr>
              <w:pStyle w:val="BoxListBullet"/>
              <w:numPr>
                <w:ilvl w:val="0"/>
                <w:numId w:val="0"/>
              </w:numPr>
              <w:ind w:left="284"/>
            </w:pPr>
            <w:r w:rsidRPr="001B3B2F">
              <w:rPr>
                <w:shd w:val="clear" w:color="auto" w:fill="F15A25"/>
              </w:rPr>
              <w:t xml:space="preserve">    </w:t>
            </w:r>
            <w:r>
              <w:t xml:space="preserve"> complete for the current reporting period (subject to caveats). All required 2017-18 data are available for all jurisdictions.</w:t>
            </w:r>
          </w:p>
          <w:p w14:paraId="309789D6" w14:textId="0F2AA7A2" w:rsidR="00E9397D" w:rsidRDefault="00E9397D" w:rsidP="005122C9">
            <w:pPr>
              <w:pStyle w:val="BoxListBullet"/>
              <w:numPr>
                <w:ilvl w:val="0"/>
                <w:numId w:val="0"/>
              </w:numPr>
            </w:pPr>
            <w:r w:rsidRPr="00A4297C">
              <w:t xml:space="preserve">The </w:t>
            </w:r>
            <w:r w:rsidR="005122C9">
              <w:t xml:space="preserve">ABS </w:t>
            </w:r>
            <w:r w:rsidRPr="00A4297C">
              <w:t>Patient Experience Survey</w:t>
            </w:r>
            <w:r>
              <w:t xml:space="preserve"> </w:t>
            </w:r>
            <w:r w:rsidRPr="00E1291A">
              <w:t xml:space="preserve">does not include people living in discrete </w:t>
            </w:r>
            <w:r>
              <w:t xml:space="preserve">Indigenous </w:t>
            </w:r>
            <w:r w:rsidRPr="00E1291A">
              <w:t xml:space="preserve">communities, which affects the </w:t>
            </w:r>
            <w:r w:rsidR="005E44B0">
              <w:t>representativeness</w:t>
            </w:r>
            <w:r w:rsidRPr="00E1291A">
              <w:t xml:space="preserve"> of the NT results</w:t>
            </w:r>
            <w:r>
              <w:t xml:space="preserve"> for both measures</w:t>
            </w:r>
            <w:r w:rsidRPr="00E1291A">
              <w:t>.</w:t>
            </w:r>
          </w:p>
        </w:tc>
      </w:tr>
      <w:tr w:rsidR="00AC6A7D" w14:paraId="3022FCAD" w14:textId="77777777" w:rsidTr="002409DF">
        <w:tc>
          <w:tcPr>
            <w:tcW w:w="5000" w:type="pct"/>
            <w:tcBorders>
              <w:top w:val="nil"/>
              <w:left w:val="nil"/>
              <w:bottom w:val="single" w:sz="6" w:space="0" w:color="78A22F"/>
              <w:right w:val="nil"/>
            </w:tcBorders>
            <w:shd w:val="clear" w:color="auto" w:fill="F2F2F2"/>
          </w:tcPr>
          <w:p w14:paraId="404EF53D" w14:textId="77777777" w:rsidR="00AC6A7D" w:rsidRDefault="00AC6A7D">
            <w:pPr>
              <w:pStyle w:val="Box"/>
              <w:spacing w:before="0" w:line="120" w:lineRule="exact"/>
            </w:pPr>
          </w:p>
        </w:tc>
      </w:tr>
      <w:tr w:rsidR="00AC6A7D" w:rsidRPr="000863A5" w14:paraId="5E0AF143" w14:textId="77777777" w:rsidTr="002409DF">
        <w:tc>
          <w:tcPr>
            <w:tcW w:w="5000" w:type="pct"/>
            <w:tcBorders>
              <w:top w:val="single" w:sz="6" w:space="0" w:color="78A22F"/>
              <w:left w:val="nil"/>
              <w:bottom w:val="nil"/>
              <w:right w:val="nil"/>
            </w:tcBorders>
          </w:tcPr>
          <w:p w14:paraId="494458AE" w14:textId="7813EDC6" w:rsidR="00AC6A7D" w:rsidRPr="00626D32" w:rsidRDefault="00AC6A7D" w:rsidP="0025258B">
            <w:pPr>
              <w:pStyle w:val="BoxSpaceBelow"/>
            </w:pPr>
          </w:p>
        </w:tc>
      </w:tr>
    </w:tbl>
    <w:p w14:paraId="33E801E6" w14:textId="6A1F6FDC" w:rsidR="00EE4E3E" w:rsidRDefault="00232EF8" w:rsidP="00B349CB">
      <w:pPr>
        <w:pStyle w:val="BodyText"/>
      </w:pPr>
      <w:r>
        <w:t>Nationally</w:t>
      </w:r>
      <w:r w:rsidR="00C947F2" w:rsidRPr="00B037F7">
        <w:t xml:space="preserve"> </w:t>
      </w:r>
      <w:r w:rsidR="00C947F2" w:rsidRPr="00211B55">
        <w:t xml:space="preserve">in </w:t>
      </w:r>
      <w:r w:rsidR="00655DB5">
        <w:t>2017-18</w:t>
      </w:r>
      <w:r w:rsidR="00C947F2" w:rsidRPr="00F72052">
        <w:t xml:space="preserve">, </w:t>
      </w:r>
      <w:r w:rsidR="00A06EE5">
        <w:t>4.0</w:t>
      </w:r>
      <w:r w:rsidR="0085571E" w:rsidRPr="00693B62">
        <w:t> </w:t>
      </w:r>
      <w:r w:rsidR="000656F5" w:rsidRPr="00693B62">
        <w:t>per cent</w:t>
      </w:r>
      <w:r w:rsidR="000656F5" w:rsidRPr="00211B55">
        <w:t xml:space="preserve"> of </w:t>
      </w:r>
      <w:r w:rsidR="00015016">
        <w:t>the population</w:t>
      </w:r>
      <w:r w:rsidR="000656F5" w:rsidRPr="00B037F7">
        <w:t xml:space="preserve"> reported that they delayed</w:t>
      </w:r>
      <w:r w:rsidR="000656F5" w:rsidRPr="00211276">
        <w:t xml:space="preserve"> or did no</w:t>
      </w:r>
      <w:r w:rsidR="00234A99" w:rsidRPr="00211276">
        <w:t>t visit a GP in the previous 12 </w:t>
      </w:r>
      <w:r w:rsidR="000656F5" w:rsidRPr="00211276">
        <w:t>months</w:t>
      </w:r>
      <w:r w:rsidR="005F13D0" w:rsidRPr="00211276">
        <w:t xml:space="preserve"> </w:t>
      </w:r>
      <w:r w:rsidR="00533FBA">
        <w:t xml:space="preserve">due to </w:t>
      </w:r>
      <w:r w:rsidR="005F13D0" w:rsidRPr="00211276">
        <w:t>cost</w:t>
      </w:r>
      <w:r w:rsidR="002E1F48">
        <w:t xml:space="preserve"> (</w:t>
      </w:r>
      <w:r w:rsidR="00897589">
        <w:t>figure 10.</w:t>
      </w:r>
      <w:r w:rsidR="00032A3A">
        <w:t>5</w:t>
      </w:r>
      <w:r w:rsidR="00CD6871">
        <w:t>(a)</w:t>
      </w:r>
      <w:r w:rsidR="00211276">
        <w:t>)</w:t>
      </w:r>
      <w:r w:rsidR="00533FBA">
        <w:t xml:space="preserve">, and </w:t>
      </w:r>
      <w:r w:rsidR="00A06EE5">
        <w:t>7.0</w:t>
      </w:r>
      <w:r w:rsidR="00533FBA" w:rsidRPr="00693B62">
        <w:t xml:space="preserve"> per cent</w:t>
      </w:r>
      <w:r w:rsidR="00533FBA" w:rsidRPr="00F13CD6">
        <w:t xml:space="preserve"> of </w:t>
      </w:r>
      <w:r w:rsidR="00533FBA">
        <w:t>the population reported they had</w:t>
      </w:r>
      <w:r w:rsidR="00533FBA" w:rsidRPr="00F13CD6">
        <w:t xml:space="preserve"> delayed or did not purchase prescribed medicines</w:t>
      </w:r>
      <w:r w:rsidR="00533FBA">
        <w:t xml:space="preserve"> in the previous 12 months</w:t>
      </w:r>
      <w:r w:rsidR="00533FBA" w:rsidRPr="00F13CD6">
        <w:t xml:space="preserve"> due to cost</w:t>
      </w:r>
      <w:r w:rsidR="00533FBA">
        <w:t xml:space="preserve"> </w:t>
      </w:r>
      <w:r w:rsidR="00533FBA" w:rsidRPr="00456535">
        <w:t>(figure 10.</w:t>
      </w:r>
      <w:r w:rsidR="00032A3A">
        <w:t>5</w:t>
      </w:r>
      <w:r w:rsidR="00CD6871">
        <w:t>(b)</w:t>
      </w:r>
      <w:r w:rsidR="00533FBA" w:rsidRPr="00456535">
        <w:t>)</w:t>
      </w:r>
      <w:r w:rsidR="00533FBA">
        <w:t>.</w:t>
      </w:r>
      <w:r w:rsidR="00655DB5">
        <w:t xml:space="preserve"> </w:t>
      </w:r>
    </w:p>
    <w:p w14:paraId="53134488" w14:textId="77777777" w:rsidR="00EE4E3E" w:rsidRDefault="00EE4E3E">
      <w:pPr>
        <w:rPr>
          <w:szCs w:val="20"/>
        </w:rPr>
      </w:pPr>
      <w:r>
        <w:br w:type="page"/>
      </w:r>
    </w:p>
    <w:p w14:paraId="0EAB7D5C" w14:textId="3C3898D9" w:rsidR="00642CFB" w:rsidRDefault="00642CFB" w:rsidP="00AC5856">
      <w:pPr>
        <w:pStyle w:val="BodyText"/>
      </w:pPr>
    </w:p>
    <w:tbl>
      <w:tblPr>
        <w:tblW w:w="8793"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93"/>
      </w:tblGrid>
      <w:tr w:rsidR="00642CFB" w14:paraId="627E6A6D" w14:textId="77777777" w:rsidTr="00B349CB">
        <w:trPr>
          <w:tblHeader/>
        </w:trPr>
        <w:tc>
          <w:tcPr>
            <w:tcW w:w="8793" w:type="dxa"/>
            <w:tcBorders>
              <w:top w:val="single" w:sz="6" w:space="0" w:color="78A22F"/>
              <w:left w:val="nil"/>
              <w:bottom w:val="nil"/>
              <w:right w:val="nil"/>
            </w:tcBorders>
            <w:shd w:val="clear" w:color="auto" w:fill="auto"/>
          </w:tcPr>
          <w:p w14:paraId="44F0BC8E" w14:textId="3C3898D9" w:rsidR="00655DB5" w:rsidRPr="005D7070" w:rsidRDefault="00642CFB" w:rsidP="005D7070">
            <w:pPr>
              <w:pStyle w:val="FigureTitle"/>
              <w:rPr>
                <w:position w:val="6"/>
                <w:sz w:val="18"/>
              </w:rPr>
            </w:pPr>
            <w:r w:rsidRPr="00784A05">
              <w:rPr>
                <w:b w:val="0"/>
              </w:rPr>
              <w:t xml:space="preserve">Figure </w:t>
            </w:r>
            <w:r w:rsidR="00032A3A">
              <w:rPr>
                <w:b w:val="0"/>
              </w:rPr>
              <w:t>10.</w:t>
            </w:r>
            <w:r w:rsidR="0008386D">
              <w:rPr>
                <w:b w:val="0"/>
                <w:noProof/>
              </w:rPr>
              <w:t>5</w:t>
            </w:r>
            <w:r>
              <w:tab/>
            </w:r>
            <w:r w:rsidR="00CD6871">
              <w:t>Affordability of primary healthcare</w:t>
            </w:r>
            <w:r>
              <w:rPr>
                <w:rStyle w:val="NoteLabel"/>
                <w:b/>
              </w:rPr>
              <w:t>a, b</w:t>
            </w:r>
          </w:p>
        </w:tc>
      </w:tr>
      <w:tr w:rsidR="00927386" w14:paraId="5F66ADC2" w14:textId="77777777" w:rsidTr="00B349CB">
        <w:trPr>
          <w:tblHeader/>
        </w:trPr>
        <w:tc>
          <w:tcPr>
            <w:tcW w:w="8793" w:type="dxa"/>
            <w:tcBorders>
              <w:top w:val="nil"/>
              <w:left w:val="nil"/>
              <w:bottom w:val="nil"/>
              <w:right w:val="nil"/>
            </w:tcBorders>
            <w:shd w:val="clear" w:color="auto" w:fill="auto"/>
          </w:tcPr>
          <w:tbl>
            <w:tblPr>
              <w:tblW w:w="5000" w:type="pct"/>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551"/>
              <w:gridCol w:w="7958"/>
            </w:tblGrid>
            <w:tr w:rsidR="00984DC8" w:rsidRPr="0021152C" w14:paraId="3ECC8ACA" w14:textId="77777777" w:rsidTr="00426E46">
              <w:trPr>
                <w:trHeight w:hRule="exact" w:val="327"/>
              </w:trPr>
              <w:tc>
                <w:tcPr>
                  <w:tcW w:w="313" w:type="pct"/>
                  <w:tcBorders>
                    <w:top w:val="nil"/>
                    <w:left w:val="nil"/>
                    <w:bottom w:val="nil"/>
                    <w:right w:val="nil"/>
                  </w:tcBorders>
                  <w:shd w:val="clear" w:color="auto" w:fill="F15A25"/>
                </w:tcPr>
                <w:p w14:paraId="28C75567" w14:textId="77777777" w:rsidR="00984DC8" w:rsidRPr="000D77DB" w:rsidRDefault="00984DC8" w:rsidP="00984DC8">
                  <w:pPr>
                    <w:pStyle w:val="Note"/>
                  </w:pPr>
                </w:p>
              </w:tc>
              <w:tc>
                <w:tcPr>
                  <w:tcW w:w="4510" w:type="pct"/>
                  <w:tcBorders>
                    <w:top w:val="nil"/>
                    <w:left w:val="nil"/>
                    <w:bottom w:val="nil"/>
                    <w:right w:val="nil"/>
                  </w:tcBorders>
                  <w:shd w:val="clear" w:color="auto" w:fill="auto"/>
                </w:tcPr>
                <w:p w14:paraId="02241F2C" w14:textId="1C7FE015" w:rsidR="00984DC8" w:rsidRPr="0021152C" w:rsidRDefault="00984DC8" w:rsidP="00984DC8">
                  <w:pPr>
                    <w:pStyle w:val="TableBodyText"/>
                    <w:jc w:val="left"/>
                  </w:pPr>
                  <w:r w:rsidRPr="0021152C">
                    <w:t>Comparable (subject to caveats) across jurisdictions and over time</w:t>
                  </w:r>
                  <w:r>
                    <w:t>.</w:t>
                  </w:r>
                </w:p>
              </w:tc>
            </w:tr>
            <w:tr w:rsidR="00984DC8" w:rsidRPr="0021152C" w14:paraId="34915244" w14:textId="77777777" w:rsidTr="00426E46">
              <w:trPr>
                <w:trHeight w:hRule="exact" w:val="275"/>
              </w:trPr>
              <w:tc>
                <w:tcPr>
                  <w:tcW w:w="313" w:type="pct"/>
                  <w:tcBorders>
                    <w:top w:val="nil"/>
                    <w:left w:val="nil"/>
                    <w:bottom w:val="nil"/>
                    <w:right w:val="nil"/>
                  </w:tcBorders>
                  <w:shd w:val="clear" w:color="auto" w:fill="F15A25"/>
                </w:tcPr>
                <w:p w14:paraId="47F53CE1" w14:textId="77777777" w:rsidR="00984DC8" w:rsidRPr="000D77DB" w:rsidRDefault="00984DC8" w:rsidP="00984DC8">
                  <w:pPr>
                    <w:pStyle w:val="Note"/>
                    <w:rPr>
                      <w:rFonts w:cs="Arial"/>
                      <w:szCs w:val="18"/>
                    </w:rPr>
                  </w:pPr>
                </w:p>
              </w:tc>
              <w:tc>
                <w:tcPr>
                  <w:tcW w:w="4510" w:type="pct"/>
                  <w:tcBorders>
                    <w:top w:val="nil"/>
                    <w:left w:val="nil"/>
                    <w:bottom w:val="nil"/>
                    <w:right w:val="nil"/>
                  </w:tcBorders>
                  <w:shd w:val="clear" w:color="auto" w:fill="auto"/>
                </w:tcPr>
                <w:p w14:paraId="262D57E2" w14:textId="77777777" w:rsidR="00984DC8" w:rsidRPr="0021152C" w:rsidRDefault="00984DC8" w:rsidP="00984DC8">
                  <w:pPr>
                    <w:pStyle w:val="TableBodyText"/>
                    <w:jc w:val="left"/>
                  </w:pPr>
                  <w:r w:rsidRPr="000D77DB">
                    <w:t xml:space="preserve">Complete (subject to caveats) for the current reporting period. </w:t>
                  </w:r>
                </w:p>
              </w:tc>
            </w:tr>
          </w:tbl>
          <w:p w14:paraId="426608A6" w14:textId="77777777" w:rsidR="00927386" w:rsidRPr="00784A05" w:rsidRDefault="00927386" w:rsidP="00E825E0">
            <w:pPr>
              <w:pStyle w:val="FigureTitle"/>
              <w:rPr>
                <w:b w:val="0"/>
              </w:rPr>
            </w:pPr>
          </w:p>
        </w:tc>
      </w:tr>
      <w:tr w:rsidR="00CD6871" w14:paraId="594BC484" w14:textId="77777777" w:rsidTr="00B349CB">
        <w:trPr>
          <w:tblHeader/>
        </w:trPr>
        <w:tc>
          <w:tcPr>
            <w:tcW w:w="8793" w:type="dxa"/>
            <w:tcBorders>
              <w:top w:val="nil"/>
              <w:left w:val="nil"/>
              <w:bottom w:val="nil"/>
              <w:right w:val="nil"/>
            </w:tcBorders>
            <w:shd w:val="clear" w:color="auto" w:fill="auto"/>
          </w:tcPr>
          <w:p w14:paraId="3A6895E8" w14:textId="7E0EA35F" w:rsidR="00CD6871" w:rsidRPr="00CD6871" w:rsidRDefault="00CD6871" w:rsidP="00CD6871">
            <w:pPr>
              <w:pStyle w:val="Note"/>
              <w:jc w:val="center"/>
              <w:rPr>
                <w:b/>
              </w:rPr>
            </w:pPr>
            <w:r w:rsidRPr="00CD6871">
              <w:rPr>
                <w:b/>
              </w:rPr>
              <w:t>(a) People deferring visits to GPs due to cost</w:t>
            </w:r>
          </w:p>
        </w:tc>
      </w:tr>
      <w:tr w:rsidR="00642CFB" w14:paraId="7A90D8EC" w14:textId="77777777" w:rsidTr="00B349CB">
        <w:tblPrEx>
          <w:tblCellMar>
            <w:left w:w="108" w:type="dxa"/>
            <w:right w:w="108" w:type="dxa"/>
          </w:tblCellMar>
        </w:tblPrEx>
        <w:trPr>
          <w:trHeight w:val="8072"/>
        </w:trPr>
        <w:tc>
          <w:tcPr>
            <w:tcW w:w="8793" w:type="dxa"/>
            <w:tcBorders>
              <w:top w:val="nil"/>
              <w:left w:val="nil"/>
              <w:bottom w:val="nil"/>
              <w:right w:val="nil"/>
            </w:tcBorders>
            <w:shd w:val="clear" w:color="auto" w:fill="auto"/>
          </w:tcPr>
          <w:p w14:paraId="480DFAB8" w14:textId="3EA1A969" w:rsidR="00CD6871" w:rsidRDefault="00841AE7" w:rsidP="00CD6871">
            <w:pPr>
              <w:rPr>
                <w:rFonts w:ascii="Arial" w:hAnsi="Arial"/>
                <w:b/>
                <w:sz w:val="18"/>
                <w:szCs w:val="20"/>
              </w:rPr>
            </w:pPr>
            <w:r>
              <w:rPr>
                <w:noProof/>
              </w:rPr>
              <w:drawing>
                <wp:inline distT="0" distB="0" distL="0" distR="0" wp14:anchorId="5AECFD28" wp14:editId="68F64E35">
                  <wp:extent cx="5248275" cy="2520000"/>
                  <wp:effectExtent l="0" t="0" r="0" b="0"/>
                  <wp:docPr id="18" name="Chart 18" descr="Figure 10.5 Affordability of primary healthcare&#10;&#10;(a) People deferring visits to GPs due to cost&#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8A0BBDB" w14:textId="5B584294" w:rsidR="00CD6871" w:rsidRPr="00CD6871" w:rsidRDefault="00CD6871" w:rsidP="00CD6871">
            <w:pPr>
              <w:spacing w:before="240"/>
              <w:jc w:val="center"/>
              <w:rPr>
                <w:rFonts w:ascii="Arial" w:hAnsi="Arial"/>
                <w:b/>
                <w:sz w:val="18"/>
                <w:szCs w:val="20"/>
              </w:rPr>
            </w:pPr>
            <w:r w:rsidRPr="00CD6871">
              <w:rPr>
                <w:rFonts w:ascii="Arial" w:hAnsi="Arial"/>
                <w:b/>
                <w:sz w:val="18"/>
                <w:szCs w:val="20"/>
              </w:rPr>
              <w:t>(b) People deferring buying prescribed medicines due to cost</w:t>
            </w:r>
          </w:p>
          <w:tbl>
            <w:tblPr>
              <w:tblW w:w="8696" w:type="dxa"/>
              <w:tblLayout w:type="fixed"/>
              <w:tblCellMar>
                <w:top w:w="28" w:type="dxa"/>
              </w:tblCellMar>
              <w:tblLook w:val="0000" w:firstRow="0" w:lastRow="0" w:firstColumn="0" w:lastColumn="0" w:noHBand="0" w:noVBand="0"/>
              <w:tblDescription w:val="Nested table used for design layout."/>
            </w:tblPr>
            <w:tblGrid>
              <w:gridCol w:w="8696"/>
            </w:tblGrid>
            <w:tr w:rsidR="008F4F3E" w:rsidRPr="00B1465D" w14:paraId="0C3464D5" w14:textId="77777777" w:rsidTr="00F24AE1">
              <w:trPr>
                <w:trHeight w:val="3666"/>
                <w:tblHeader/>
              </w:trPr>
              <w:tc>
                <w:tcPr>
                  <w:tcW w:w="8696" w:type="dxa"/>
                </w:tcPr>
                <w:p w14:paraId="26C5C572" w14:textId="4F50D404" w:rsidR="008F4F3E" w:rsidRPr="00B1465D" w:rsidRDefault="00F24AE1" w:rsidP="008F4F3E">
                  <w:pPr>
                    <w:pStyle w:val="Figure"/>
                    <w:spacing w:before="60" w:after="60"/>
                    <w:rPr>
                      <w:rFonts w:ascii="Arial" w:hAnsi="Arial" w:cs="Arial"/>
                      <w:sz w:val="18"/>
                      <w:szCs w:val="18"/>
                    </w:rPr>
                  </w:pPr>
                  <w:r>
                    <w:rPr>
                      <w:noProof/>
                    </w:rPr>
                    <w:drawing>
                      <wp:inline distT="0" distB="0" distL="0" distR="0" wp14:anchorId="6AE276FD" wp14:editId="48362664">
                        <wp:extent cx="5364479" cy="2520000"/>
                        <wp:effectExtent l="0" t="0" r="8255" b="0"/>
                        <wp:docPr id="6" name="Chart 6" descr="Figure 10.5 Affordability of primary healthcare&#10;&#10;(b) People deferring buying prescribed medicines due to cost&#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14:paraId="510CFE9E" w14:textId="77777777" w:rsidR="00642CFB" w:rsidRDefault="00642CFB" w:rsidP="00642CFB">
            <w:pPr>
              <w:pStyle w:val="Figure"/>
            </w:pPr>
          </w:p>
        </w:tc>
      </w:tr>
      <w:tr w:rsidR="00642CFB" w:rsidRPr="00176D3F" w14:paraId="7D7741DC" w14:textId="77777777" w:rsidTr="00841AE7">
        <w:tc>
          <w:tcPr>
            <w:tcW w:w="8793" w:type="dxa"/>
            <w:tcBorders>
              <w:top w:val="nil"/>
              <w:left w:val="nil"/>
              <w:bottom w:val="nil"/>
              <w:right w:val="nil"/>
            </w:tcBorders>
            <w:shd w:val="clear" w:color="auto" w:fill="auto"/>
          </w:tcPr>
          <w:p w14:paraId="21DEDAA9" w14:textId="6BBADC4B" w:rsidR="00642CFB" w:rsidRPr="00176D3F" w:rsidRDefault="00642CFB" w:rsidP="006149BA">
            <w:pPr>
              <w:pStyle w:val="Note"/>
            </w:pPr>
            <w:r>
              <w:rPr>
                <w:rStyle w:val="NoteLabel"/>
              </w:rPr>
              <w:t>a</w:t>
            </w:r>
            <w:r>
              <w:t xml:space="preserve"> </w:t>
            </w:r>
            <w:r w:rsidRPr="00C93961">
              <w:t>See box 10.</w:t>
            </w:r>
            <w:r>
              <w:t>4</w:t>
            </w:r>
            <w:r w:rsidRPr="00C93961">
              <w:t xml:space="preserve"> and </w:t>
            </w:r>
            <w:r w:rsidRPr="000067C3">
              <w:t>table</w:t>
            </w:r>
            <w:r w:rsidR="00CD6871">
              <w:t>s</w:t>
            </w:r>
            <w:r w:rsidRPr="000067C3">
              <w:t xml:space="preserve"> 10A.</w:t>
            </w:r>
            <w:r w:rsidR="00994607">
              <w:t>2</w:t>
            </w:r>
            <w:r w:rsidR="00FD7153">
              <w:t>6</w:t>
            </w:r>
            <w:r w:rsidR="00CD6871">
              <w:t xml:space="preserve"> and 10A.</w:t>
            </w:r>
            <w:r w:rsidR="006149BA">
              <w:t>29</w:t>
            </w:r>
            <w:r w:rsidRPr="00C93961">
              <w:t xml:space="preserve"> for detailed definitions, footnotes and caveats</w:t>
            </w:r>
            <w:r>
              <w:t>.</w:t>
            </w:r>
            <w:r>
              <w:rPr>
                <w:rStyle w:val="NoteLabel"/>
              </w:rPr>
              <w:t xml:space="preserve"> b</w:t>
            </w:r>
            <w:r>
              <w:t xml:space="preserve"> </w:t>
            </w:r>
            <w:r w:rsidRPr="00AC119F">
              <w:rPr>
                <w:rFonts w:asciiTheme="minorHAnsi" w:hAnsiTheme="minorHAnsi"/>
                <w:szCs w:val="18"/>
              </w:rPr>
              <w:t>Error bars represent the 95 per cent confidence interval associated with each point estimate</w:t>
            </w:r>
            <w:r w:rsidRPr="008A7681">
              <w:rPr>
                <w:rFonts w:asciiTheme="minorHAnsi" w:hAnsiTheme="minorHAnsi"/>
                <w:sz w:val="22"/>
                <w:szCs w:val="22"/>
              </w:rPr>
              <w:t>.</w:t>
            </w:r>
          </w:p>
        </w:tc>
      </w:tr>
      <w:tr w:rsidR="00642CFB" w:rsidRPr="00176D3F" w14:paraId="57CF79FE" w14:textId="77777777" w:rsidTr="00841AE7">
        <w:tc>
          <w:tcPr>
            <w:tcW w:w="8793" w:type="dxa"/>
            <w:tcBorders>
              <w:top w:val="nil"/>
              <w:left w:val="nil"/>
              <w:bottom w:val="nil"/>
              <w:right w:val="nil"/>
            </w:tcBorders>
            <w:shd w:val="clear" w:color="auto" w:fill="auto"/>
          </w:tcPr>
          <w:p w14:paraId="6326852A" w14:textId="34A9A033" w:rsidR="00642CFB" w:rsidRPr="00176D3F" w:rsidRDefault="00642CFB" w:rsidP="006149BA">
            <w:pPr>
              <w:pStyle w:val="Source"/>
            </w:pPr>
            <w:r w:rsidRPr="00C60B1C">
              <w:rPr>
                <w:i/>
              </w:rPr>
              <w:t>Source</w:t>
            </w:r>
            <w:r w:rsidRPr="00C60B1C">
              <w:t xml:space="preserve">: ABS (unpublished) </w:t>
            </w:r>
            <w:r w:rsidRPr="00CD3050">
              <w:t>Patient Experience Survey</w:t>
            </w:r>
            <w:r w:rsidRPr="00C60B1C">
              <w:t xml:space="preserve"> </w:t>
            </w:r>
            <w:r w:rsidRPr="0092342D">
              <w:t>(various years)</w:t>
            </w:r>
            <w:r w:rsidRPr="00211B55">
              <w:t>, Cat</w:t>
            </w:r>
            <w:r w:rsidRPr="00C60B1C">
              <w:t>. no. 4839.0;</w:t>
            </w:r>
            <w:r w:rsidRPr="00F3427A">
              <w:t xml:space="preserve"> </w:t>
            </w:r>
            <w:r>
              <w:t>table</w:t>
            </w:r>
            <w:r w:rsidR="00CD6871">
              <w:t>s</w:t>
            </w:r>
            <w:r>
              <w:t> 10A.</w:t>
            </w:r>
            <w:r w:rsidR="00984DC8">
              <w:t>26</w:t>
            </w:r>
            <w:r w:rsidR="00CD6871">
              <w:t xml:space="preserve"> and 10A.</w:t>
            </w:r>
            <w:r w:rsidR="006149BA">
              <w:t>29</w:t>
            </w:r>
            <w:r>
              <w:t>.</w:t>
            </w:r>
          </w:p>
        </w:tc>
      </w:tr>
      <w:tr w:rsidR="00642CFB" w14:paraId="71DD3DD1" w14:textId="77777777" w:rsidTr="00841AE7">
        <w:tc>
          <w:tcPr>
            <w:tcW w:w="8793" w:type="dxa"/>
            <w:tcBorders>
              <w:top w:val="nil"/>
              <w:left w:val="nil"/>
              <w:bottom w:val="single" w:sz="6" w:space="0" w:color="78A22F"/>
              <w:right w:val="nil"/>
            </w:tcBorders>
            <w:shd w:val="clear" w:color="auto" w:fill="auto"/>
          </w:tcPr>
          <w:p w14:paraId="4D87E807" w14:textId="77777777" w:rsidR="00642CFB" w:rsidRDefault="00642CFB" w:rsidP="00642CFB">
            <w:pPr>
              <w:pStyle w:val="Figurespace"/>
            </w:pPr>
          </w:p>
        </w:tc>
      </w:tr>
      <w:tr w:rsidR="00642CFB" w:rsidRPr="000863A5" w14:paraId="4983874C" w14:textId="77777777" w:rsidTr="00841AE7">
        <w:tc>
          <w:tcPr>
            <w:tcW w:w="8793" w:type="dxa"/>
            <w:tcBorders>
              <w:top w:val="single" w:sz="6" w:space="0" w:color="78A22F"/>
              <w:left w:val="nil"/>
              <w:bottom w:val="nil"/>
              <w:right w:val="nil"/>
            </w:tcBorders>
          </w:tcPr>
          <w:p w14:paraId="4F995CA2" w14:textId="21320BB5" w:rsidR="00642CFB" w:rsidRPr="00626D32" w:rsidRDefault="00642CFB" w:rsidP="00642CFB">
            <w:pPr>
              <w:pStyle w:val="BoxSpaceBelow"/>
            </w:pPr>
          </w:p>
        </w:tc>
      </w:tr>
    </w:tbl>
    <w:p w14:paraId="31F3B0DD" w14:textId="77777777" w:rsidR="00904CC7" w:rsidRDefault="00015016" w:rsidP="009111EF">
      <w:pPr>
        <w:pStyle w:val="Heading4"/>
      </w:pPr>
      <w:r>
        <w:t xml:space="preserve">Access – </w:t>
      </w:r>
      <w:r w:rsidR="00B379C3">
        <w:t>Timeliness of primary healthcare services</w:t>
      </w:r>
    </w:p>
    <w:p w14:paraId="6CD4D132" w14:textId="38DCCB26" w:rsidR="00B96D0A" w:rsidRDefault="00BD668B" w:rsidP="00F728FE">
      <w:pPr>
        <w:pStyle w:val="BodyText"/>
      </w:pPr>
      <w:r>
        <w:t>‘</w:t>
      </w:r>
      <w:r w:rsidR="00D7590E">
        <w:t>Timeliness of primary healthcare services</w:t>
      </w:r>
      <w:r>
        <w:t xml:space="preserve">’ is an indicator of governments’ objective to ensure </w:t>
      </w:r>
      <w:r w:rsidR="00D7590E">
        <w:t>primary healthcare</w:t>
      </w:r>
      <w:r>
        <w:t xml:space="preserve"> services </w:t>
      </w:r>
      <w:r w:rsidR="00533FBA">
        <w:t>are provided in a timely manner</w:t>
      </w:r>
      <w:r w:rsidR="001A3585">
        <w:t xml:space="preserve"> (</w:t>
      </w:r>
      <w:r w:rsidR="00897589">
        <w:t xml:space="preserve">box </w:t>
      </w:r>
      <w:r w:rsidR="00D86B65">
        <w:t>10.5</w:t>
      </w:r>
      <w:r w:rsidR="00B96D0A">
        <w:t>)</w:t>
      </w:r>
      <w:r w:rsidR="008D6683">
        <w:t>.</w:t>
      </w:r>
    </w:p>
    <w:p w14:paraId="710B7CB6" w14:textId="1937B3E2" w:rsidR="00AC6A7D" w:rsidRDefault="00AC6A7D">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8"/>
      </w:tblGrid>
      <w:tr w:rsidR="00AC6A7D" w14:paraId="318F9E0E" w14:textId="77777777" w:rsidTr="00AC6A7D">
        <w:trPr>
          <w:tblHeader/>
        </w:trPr>
        <w:tc>
          <w:tcPr>
            <w:tcW w:w="5000" w:type="pct"/>
            <w:tcBorders>
              <w:top w:val="single" w:sz="6" w:space="0" w:color="78A22F"/>
              <w:left w:val="nil"/>
              <w:bottom w:val="nil"/>
              <w:right w:val="nil"/>
            </w:tcBorders>
            <w:shd w:val="clear" w:color="auto" w:fill="F2F2F2"/>
          </w:tcPr>
          <w:p w14:paraId="60BC4428" w14:textId="4272D986" w:rsidR="00AC6A7D" w:rsidRDefault="00AC6A7D" w:rsidP="00E825E0">
            <w:pPr>
              <w:pStyle w:val="BoxTitle"/>
            </w:pPr>
            <w:r>
              <w:rPr>
                <w:b w:val="0"/>
              </w:rPr>
              <w:t xml:space="preserve">Box </w:t>
            </w:r>
            <w:r w:rsidR="009525ED">
              <w:rPr>
                <w:b w:val="0"/>
              </w:rPr>
              <w:t>10.</w:t>
            </w:r>
            <w:r w:rsidR="0008386D">
              <w:rPr>
                <w:b w:val="0"/>
                <w:noProof/>
              </w:rPr>
              <w:t>5</w:t>
            </w:r>
            <w:r>
              <w:tab/>
              <w:t>Timeliness of primary healthcare services</w:t>
            </w:r>
          </w:p>
        </w:tc>
      </w:tr>
      <w:tr w:rsidR="00AC6A7D" w14:paraId="78F684A8" w14:textId="77777777" w:rsidTr="00AC6A7D">
        <w:tc>
          <w:tcPr>
            <w:tcW w:w="5000" w:type="pct"/>
            <w:tcBorders>
              <w:top w:val="nil"/>
              <w:left w:val="nil"/>
              <w:bottom w:val="nil"/>
              <w:right w:val="nil"/>
            </w:tcBorders>
            <w:shd w:val="clear" w:color="auto" w:fill="F2F2F2"/>
          </w:tcPr>
          <w:p w14:paraId="2F055483" w14:textId="77777777" w:rsidR="00AC6A7D" w:rsidRPr="009F68F0" w:rsidRDefault="00AC6A7D" w:rsidP="00AC6A7D">
            <w:pPr>
              <w:pStyle w:val="Box"/>
            </w:pPr>
            <w:r w:rsidRPr="009F68F0">
              <w:t>‘Timeliness of primary healthcare services’ is defined by two measures:</w:t>
            </w:r>
          </w:p>
          <w:p w14:paraId="7A88044C" w14:textId="77777777" w:rsidR="00AC6A7D" w:rsidRPr="009F68F0" w:rsidRDefault="00AC6A7D" w:rsidP="00AC6A7D">
            <w:pPr>
              <w:pStyle w:val="BoxListBullet"/>
            </w:pPr>
            <w:r w:rsidRPr="009F68F0">
              <w:t>Public dentistry waiting times, defined as the number of days waited at the 50</w:t>
            </w:r>
            <w:r w:rsidRPr="009F68F0">
              <w:rPr>
                <w:vertAlign w:val="superscript"/>
              </w:rPr>
              <w:t>th</w:t>
            </w:r>
            <w:r w:rsidRPr="009F68F0">
              <w:t xml:space="preserve"> (median) and 90th percentiles between being placed on a selected public dentistry waiting list and either being offered dental care or receiving dental care </w:t>
            </w:r>
          </w:p>
          <w:p w14:paraId="5B711B4F" w14:textId="77777777" w:rsidR="00AC6A7D" w:rsidRDefault="00AC6A7D" w:rsidP="00AC6A7D">
            <w:pPr>
              <w:pStyle w:val="BoxListBullet"/>
            </w:pPr>
            <w:r w:rsidRPr="009F68F0">
              <w:t>GP waiting times for urgent medical care, defined as the proportion of people who, in the previous 12 months, saw a GP for urgent medical care within specified times from making the appointment. Specified waiting times are: less than 4 hours; 4 to less than 24 hours; 24 hours or more.</w:t>
            </w:r>
          </w:p>
          <w:p w14:paraId="7FEC2321" w14:textId="77777777" w:rsidR="00AC6A7D" w:rsidRDefault="00AC6A7D" w:rsidP="00AC6A7D">
            <w:pPr>
              <w:pStyle w:val="Box"/>
            </w:pPr>
            <w:r w:rsidRPr="009F68F0">
              <w:t>A shorter time waited to see a dental professional indicates more timely access to public dental services. A high or increasing proportion of people who saw a GP within 4 hours for urgent medical care indicates mor</w:t>
            </w:r>
            <w:r>
              <w:t>e timely access to GPs.</w:t>
            </w:r>
          </w:p>
          <w:p w14:paraId="655D3112" w14:textId="71FAEAE4" w:rsidR="00E67B78" w:rsidRPr="009F68F0" w:rsidRDefault="00E67B78" w:rsidP="00E67B78">
            <w:pPr>
              <w:pStyle w:val="Box"/>
            </w:pPr>
            <w:r w:rsidRPr="009F68F0">
              <w:t xml:space="preserve">Public dental waiting times only include records on persons eligible for public dental services who were aged 18 years or over. It excludes those on jurisdictional priority client schemes and those </w:t>
            </w:r>
            <w:r w:rsidR="00201388">
              <w:t>who</w:t>
            </w:r>
            <w:r w:rsidRPr="009F68F0">
              <w:t xml:space="preserve"> access the service but pay full price.</w:t>
            </w:r>
          </w:p>
          <w:p w14:paraId="433071BB" w14:textId="77777777" w:rsidR="00E67B78" w:rsidRPr="009F68F0" w:rsidRDefault="00E67B78" w:rsidP="00E67B78">
            <w:pPr>
              <w:pStyle w:val="Box"/>
            </w:pPr>
            <w:r w:rsidRPr="009F68F0">
              <w:t>Data reported for the public dentistry waiting times measure are:</w:t>
            </w:r>
          </w:p>
          <w:p w14:paraId="23300630" w14:textId="51D4F26A" w:rsidR="00E4679D" w:rsidRDefault="00E4679D" w:rsidP="00CD6871">
            <w:pPr>
              <w:pStyle w:val="Box"/>
              <w:ind w:left="284"/>
            </w:pPr>
            <w:r w:rsidRPr="00B664EA">
              <w:rPr>
                <w:shd w:val="clear" w:color="auto" w:fill="FCDED3"/>
              </w:rPr>
              <w:t xml:space="preserve">    </w:t>
            </w:r>
            <w:r>
              <w:t xml:space="preserve"> </w:t>
            </w:r>
            <w:r w:rsidR="009448CE">
              <w:t>not comparable across jurisdictions, but are comparable (subject to caveats) within jurisdictions over time</w:t>
            </w:r>
          </w:p>
          <w:p w14:paraId="285FBAB0" w14:textId="0E0099B2" w:rsidR="00E4679D" w:rsidRDefault="00E4679D" w:rsidP="00B349CB">
            <w:pPr>
              <w:pStyle w:val="BoxListBullet"/>
              <w:numPr>
                <w:ilvl w:val="0"/>
                <w:numId w:val="0"/>
              </w:numPr>
              <w:ind w:left="284"/>
            </w:pPr>
            <w:r w:rsidRPr="00344676">
              <w:rPr>
                <w:shd w:val="clear" w:color="auto" w:fill="FCDED3"/>
              </w:rPr>
              <w:t xml:space="preserve">    </w:t>
            </w:r>
            <w:r>
              <w:t xml:space="preserve"> </w:t>
            </w:r>
            <w:r w:rsidRPr="00AC2399">
              <w:t>incomplete for the c</w:t>
            </w:r>
            <w:r>
              <w:t xml:space="preserve">urrent reporting period. All required </w:t>
            </w:r>
            <w:r w:rsidR="00C276B4">
              <w:t xml:space="preserve">2017-18 </w:t>
            </w:r>
            <w:r>
              <w:t xml:space="preserve">data are not </w:t>
            </w:r>
            <w:r w:rsidRPr="00AC2399">
              <w:t xml:space="preserve">available for </w:t>
            </w:r>
            <w:r>
              <w:t>NSW</w:t>
            </w:r>
            <w:r w:rsidRPr="00AC2399">
              <w:t>.</w:t>
            </w:r>
          </w:p>
          <w:p w14:paraId="52C79465" w14:textId="77777777" w:rsidR="00E67B78" w:rsidRDefault="00E67B78" w:rsidP="00E67B78">
            <w:pPr>
              <w:pStyle w:val="Box"/>
            </w:pPr>
            <w:r w:rsidRPr="009F68F0">
              <w:t>Data reported for the GP waiting times measure are:</w:t>
            </w:r>
          </w:p>
          <w:p w14:paraId="3C8001E0" w14:textId="77777777" w:rsidR="00110229" w:rsidRDefault="00110229" w:rsidP="00CD6871">
            <w:pPr>
              <w:pStyle w:val="BoxListBullet"/>
              <w:numPr>
                <w:ilvl w:val="0"/>
                <w:numId w:val="0"/>
              </w:numPr>
              <w:ind w:left="568" w:hanging="284"/>
            </w:pPr>
            <w:r w:rsidRPr="001B3B2F">
              <w:rPr>
                <w:shd w:val="clear" w:color="auto" w:fill="F15A25"/>
              </w:rPr>
              <w:t xml:space="preserve">    </w:t>
            </w:r>
            <w:r>
              <w:t xml:space="preserve"> comparable (subject to caveats) across jurisdictions and over time </w:t>
            </w:r>
          </w:p>
          <w:p w14:paraId="5D82E066" w14:textId="15D4B735" w:rsidR="00E67B78" w:rsidRDefault="00110229" w:rsidP="00CD6871">
            <w:pPr>
              <w:pStyle w:val="Box"/>
              <w:ind w:left="284"/>
            </w:pPr>
            <w:r w:rsidRPr="001B3B2F">
              <w:rPr>
                <w:shd w:val="clear" w:color="auto" w:fill="F15A25"/>
              </w:rPr>
              <w:t xml:space="preserve">    </w:t>
            </w:r>
            <w:r>
              <w:t xml:space="preserve"> complete for the current reporting period (subject to caveats). All required 2017-18 data are available for all jurisdictions.</w:t>
            </w:r>
          </w:p>
          <w:p w14:paraId="6DAF4BA9" w14:textId="735411FF" w:rsidR="00E67B78" w:rsidRDefault="00E67B78" w:rsidP="005122C9">
            <w:pPr>
              <w:pStyle w:val="Box"/>
            </w:pPr>
            <w:r w:rsidRPr="009F68F0">
              <w:t xml:space="preserve">The </w:t>
            </w:r>
            <w:r w:rsidR="005122C9">
              <w:t>ABS Patient Experience Survey</w:t>
            </w:r>
            <w:r w:rsidRPr="009F68F0">
              <w:t xml:space="preserve"> does not include people living in discrete Indigenous communities, which affects the </w:t>
            </w:r>
            <w:r w:rsidR="005E44B0">
              <w:t>representativeness</w:t>
            </w:r>
            <w:r w:rsidRPr="009F68F0">
              <w:t xml:space="preserve"> of the NT results for the GP waiting times measure.</w:t>
            </w:r>
          </w:p>
        </w:tc>
      </w:tr>
      <w:tr w:rsidR="00AC6A7D" w14:paraId="2EF3CC12" w14:textId="77777777" w:rsidTr="00AC6A7D">
        <w:tc>
          <w:tcPr>
            <w:tcW w:w="5000" w:type="pct"/>
            <w:tcBorders>
              <w:top w:val="nil"/>
              <w:left w:val="nil"/>
              <w:bottom w:val="single" w:sz="6" w:space="0" w:color="78A22F"/>
              <w:right w:val="nil"/>
            </w:tcBorders>
            <w:shd w:val="clear" w:color="auto" w:fill="F2F2F2"/>
          </w:tcPr>
          <w:p w14:paraId="5E77A4A2" w14:textId="77777777" w:rsidR="00AC6A7D" w:rsidRDefault="00AC6A7D">
            <w:pPr>
              <w:pStyle w:val="Box"/>
              <w:spacing w:before="0" w:line="120" w:lineRule="exact"/>
            </w:pPr>
          </w:p>
        </w:tc>
      </w:tr>
      <w:tr w:rsidR="00AC6A7D" w:rsidRPr="000863A5" w14:paraId="4A7426BC" w14:textId="77777777" w:rsidTr="00AC6A7D">
        <w:tc>
          <w:tcPr>
            <w:tcW w:w="5000" w:type="pct"/>
            <w:tcBorders>
              <w:top w:val="single" w:sz="6" w:space="0" w:color="78A22F"/>
              <w:left w:val="nil"/>
              <w:bottom w:val="nil"/>
              <w:right w:val="nil"/>
            </w:tcBorders>
          </w:tcPr>
          <w:p w14:paraId="59E8939F" w14:textId="08FCB0DC" w:rsidR="00AC6A7D" w:rsidRPr="00626D32" w:rsidRDefault="00AC6A7D" w:rsidP="0025258B">
            <w:pPr>
              <w:pStyle w:val="BoxSpaceBelow"/>
            </w:pPr>
          </w:p>
        </w:tc>
      </w:tr>
    </w:tbl>
    <w:p w14:paraId="1FFEE678" w14:textId="77777777" w:rsidR="00107939" w:rsidRDefault="00107939" w:rsidP="00107939">
      <w:pPr>
        <w:pStyle w:val="Heading5"/>
      </w:pPr>
      <w:r>
        <w:t>Public dentistry waiting times</w:t>
      </w:r>
    </w:p>
    <w:p w14:paraId="23743798" w14:textId="26D7FF7A" w:rsidR="00655DB5" w:rsidRDefault="00C13A46" w:rsidP="0083437D">
      <w:pPr>
        <w:pStyle w:val="BodyText"/>
        <w:rPr>
          <w:rFonts w:ascii="Arial" w:hAnsi="Arial"/>
          <w:i/>
          <w:sz w:val="22"/>
        </w:rPr>
      </w:pPr>
      <w:r w:rsidRPr="00C13A46">
        <w:t xml:space="preserve">Data for </w:t>
      </w:r>
      <w:r w:rsidR="00933BBC" w:rsidRPr="00933BBC">
        <w:t xml:space="preserve">the </w:t>
      </w:r>
      <w:r w:rsidR="00933BBC">
        <w:t>time</w:t>
      </w:r>
      <w:r w:rsidR="00933BBC" w:rsidRPr="00933BBC">
        <w:t xml:space="preserve"> waited at the 50th and 90th percentiles</w:t>
      </w:r>
      <w:r w:rsidR="00933BBC">
        <w:t xml:space="preserve"> </w:t>
      </w:r>
      <w:r w:rsidRPr="00C13A46">
        <w:t xml:space="preserve">by people on selected public dental waiting lists are presented for states and territories in </w:t>
      </w:r>
      <w:r w:rsidR="005A4549">
        <w:t>t</w:t>
      </w:r>
      <w:r w:rsidRPr="00C13A46">
        <w:t>ables 10A.3</w:t>
      </w:r>
      <w:r w:rsidR="00C276B4">
        <w:t>1</w:t>
      </w:r>
      <w:r w:rsidR="00933BBC">
        <w:t>–</w:t>
      </w:r>
      <w:r w:rsidR="00032A3A">
        <w:t>38.</w:t>
      </w:r>
    </w:p>
    <w:p w14:paraId="1E1E947A" w14:textId="2FAD3919" w:rsidR="00107939" w:rsidRDefault="00107939" w:rsidP="00E7583C">
      <w:pPr>
        <w:pStyle w:val="Heading5"/>
      </w:pPr>
      <w:r>
        <w:t>GP waiting times</w:t>
      </w:r>
      <w:r w:rsidR="001808A3">
        <w:t xml:space="preserve"> for urgent medical care</w:t>
      </w:r>
    </w:p>
    <w:p w14:paraId="38C30F6E" w14:textId="79E72C8E" w:rsidR="00107939" w:rsidRPr="00032A3A" w:rsidRDefault="00107939" w:rsidP="00E7583C">
      <w:pPr>
        <w:pStyle w:val="BodyText"/>
      </w:pPr>
      <w:r w:rsidRPr="00032A3A">
        <w:t>Nationally in 201</w:t>
      </w:r>
      <w:r w:rsidR="00655DB5" w:rsidRPr="00032A3A">
        <w:t>7</w:t>
      </w:r>
      <w:r w:rsidR="002F2C08" w:rsidRPr="00032A3A">
        <w:noBreakHyphen/>
      </w:r>
      <w:r w:rsidRPr="00032A3A">
        <w:t>1</w:t>
      </w:r>
      <w:r w:rsidR="00655DB5" w:rsidRPr="00032A3A">
        <w:t>8</w:t>
      </w:r>
      <w:r w:rsidRPr="00032A3A">
        <w:t>, for people who saw a GP for urgent care:</w:t>
      </w:r>
    </w:p>
    <w:p w14:paraId="2E33C940" w14:textId="6961AECE" w:rsidR="00107939" w:rsidRPr="00032A3A" w:rsidRDefault="00BF7520" w:rsidP="00B349CB">
      <w:pPr>
        <w:pStyle w:val="ListBullet"/>
      </w:pPr>
      <w:r>
        <w:t>63.3</w:t>
      </w:r>
      <w:r w:rsidR="00107939" w:rsidRPr="00032A3A">
        <w:t> per cent waited less than 4 hours</w:t>
      </w:r>
    </w:p>
    <w:p w14:paraId="13BC715F" w14:textId="547D6392" w:rsidR="00107939" w:rsidRPr="00032A3A" w:rsidRDefault="00BF7520" w:rsidP="00B349CB">
      <w:pPr>
        <w:pStyle w:val="ListBullet"/>
      </w:pPr>
      <w:r>
        <w:t>9.9</w:t>
      </w:r>
      <w:r w:rsidR="00107939" w:rsidRPr="00032A3A">
        <w:t xml:space="preserve"> per cent waited from 4 to less than 24 hours</w:t>
      </w:r>
    </w:p>
    <w:p w14:paraId="3F560A2D" w14:textId="637BFBB6" w:rsidR="00107939" w:rsidRPr="00032A3A" w:rsidRDefault="00BF7520" w:rsidP="00B349CB">
      <w:pPr>
        <w:pStyle w:val="ListBullet"/>
      </w:pPr>
      <w:r>
        <w:t>26.7</w:t>
      </w:r>
      <w:r w:rsidR="00107939" w:rsidRPr="00032A3A">
        <w:t> per cent waited for 24 hours or more (table 10A.</w:t>
      </w:r>
      <w:r w:rsidR="007E3B2C" w:rsidRPr="00032A3A">
        <w:t>39</w:t>
      </w:r>
      <w:r w:rsidR="00107939" w:rsidRPr="00032A3A">
        <w:t>).</w:t>
      </w:r>
    </w:p>
    <w:p w14:paraId="62D130D2" w14:textId="7EEC91DE" w:rsidR="00107939" w:rsidRPr="00097C57" w:rsidRDefault="00107939" w:rsidP="00B349CB">
      <w:pPr>
        <w:pStyle w:val="BodyText"/>
      </w:pPr>
      <w:r w:rsidRPr="00032A3A">
        <w:lastRenderedPageBreak/>
        <w:t xml:space="preserve">Overall, </w:t>
      </w:r>
      <w:r w:rsidR="006F0E28">
        <w:t>19.2</w:t>
      </w:r>
      <w:r w:rsidRPr="00032A3A">
        <w:t xml:space="preserve"> per cent of people who saw a GP for any reason waited longer than they felt was acceptable to</w:t>
      </w:r>
      <w:r w:rsidRPr="000067C3">
        <w:t xml:space="preserve"> get an appointment (table 10A.</w:t>
      </w:r>
      <w:r w:rsidR="007E3B2C">
        <w:t>40</w:t>
      </w:r>
      <w:r w:rsidRPr="000067C3">
        <w:t>).</w:t>
      </w:r>
    </w:p>
    <w:p w14:paraId="4FE16B44" w14:textId="1200ABF0" w:rsidR="00B12B4D" w:rsidRDefault="00B12B4D" w:rsidP="00B12B4D">
      <w:pPr>
        <w:pStyle w:val="Heading4"/>
      </w:pPr>
      <w:r>
        <w:t>Access</w:t>
      </w:r>
      <w:r w:rsidRPr="00D77D61">
        <w:t xml:space="preserve"> — </w:t>
      </w:r>
      <w:r w:rsidR="0086078B">
        <w:t>Potentially avoidable</w:t>
      </w:r>
      <w:r w:rsidRPr="00D77D61">
        <w:t xml:space="preserve"> presentations to emergency departments</w:t>
      </w:r>
    </w:p>
    <w:p w14:paraId="7404EA24" w14:textId="5B074D4C" w:rsidR="00032A3A" w:rsidRDefault="0086078B" w:rsidP="00B12B4D">
      <w:pPr>
        <w:pStyle w:val="BodyText"/>
      </w:pPr>
      <w:r>
        <w:t>Potentially avoidable</w:t>
      </w:r>
      <w:r w:rsidR="00B12B4D">
        <w:t xml:space="preserve"> presentations</w:t>
      </w:r>
      <w:r>
        <w:t xml:space="preserve"> (also known as ‘GP-type presentations’)</w:t>
      </w:r>
      <w:r w:rsidR="00B12B4D">
        <w:t xml:space="preserve"> to emergency departments is an indicator of </w:t>
      </w:r>
      <w:r>
        <w:t xml:space="preserve">governments’ objective for </w:t>
      </w:r>
      <w:r w:rsidR="00B12B4D">
        <w:t xml:space="preserve">primary and community healthcare </w:t>
      </w:r>
      <w:r>
        <w:t xml:space="preserve">to be accessible </w:t>
      </w:r>
      <w:r w:rsidR="00B12B4D">
        <w:t xml:space="preserve">(box </w:t>
      </w:r>
      <w:r w:rsidR="00D86B65">
        <w:t>10.6</w:t>
      </w:r>
      <w:r w:rsidR="00B12B4D">
        <w:t>)</w:t>
      </w:r>
      <w:r w:rsidR="005A4549">
        <w:t>.</w:t>
      </w:r>
    </w:p>
    <w:p w14:paraId="29AA4F52" w14:textId="61198D89" w:rsidR="009467AB" w:rsidRDefault="009467AB">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8"/>
      </w:tblGrid>
      <w:tr w:rsidR="009467AB" w14:paraId="0E92BD8F" w14:textId="77777777" w:rsidTr="00AC6A7D">
        <w:trPr>
          <w:tblHeader/>
        </w:trPr>
        <w:tc>
          <w:tcPr>
            <w:tcW w:w="5000" w:type="pct"/>
            <w:tcBorders>
              <w:top w:val="single" w:sz="6" w:space="0" w:color="78A22F"/>
              <w:left w:val="nil"/>
              <w:bottom w:val="nil"/>
              <w:right w:val="nil"/>
            </w:tcBorders>
            <w:shd w:val="clear" w:color="auto" w:fill="F2F2F2"/>
          </w:tcPr>
          <w:p w14:paraId="05B1BC55" w14:textId="2F252614" w:rsidR="009467AB" w:rsidRDefault="009467AB" w:rsidP="00E825E0">
            <w:pPr>
              <w:pStyle w:val="BoxTitle"/>
            </w:pPr>
            <w:r>
              <w:rPr>
                <w:b w:val="0"/>
              </w:rPr>
              <w:t xml:space="preserve">Box </w:t>
            </w:r>
            <w:r w:rsidR="009525ED">
              <w:rPr>
                <w:b w:val="0"/>
              </w:rPr>
              <w:t>10.</w:t>
            </w:r>
            <w:r w:rsidR="0008386D">
              <w:rPr>
                <w:b w:val="0"/>
                <w:noProof/>
              </w:rPr>
              <w:t>6</w:t>
            </w:r>
            <w:r>
              <w:tab/>
            </w:r>
            <w:r w:rsidR="00D61DBE">
              <w:t>Potentially avoidable</w:t>
            </w:r>
            <w:r>
              <w:t xml:space="preserve"> presentations to emergency departments</w:t>
            </w:r>
          </w:p>
        </w:tc>
      </w:tr>
      <w:tr w:rsidR="009467AB" w14:paraId="4F653D93" w14:textId="77777777" w:rsidTr="00AC6A7D">
        <w:tc>
          <w:tcPr>
            <w:tcW w:w="5000" w:type="pct"/>
            <w:tcBorders>
              <w:top w:val="nil"/>
              <w:left w:val="nil"/>
              <w:bottom w:val="nil"/>
              <w:right w:val="nil"/>
            </w:tcBorders>
            <w:shd w:val="clear" w:color="auto" w:fill="F2F2F2"/>
          </w:tcPr>
          <w:p w14:paraId="3BA6DD61" w14:textId="452F2868" w:rsidR="009467AB" w:rsidRDefault="009467AB" w:rsidP="009467AB">
            <w:pPr>
              <w:pStyle w:val="Box"/>
            </w:pPr>
            <w:r>
              <w:t>P</w:t>
            </w:r>
            <w:r w:rsidRPr="004C1535">
              <w:t>otentially avoidable present</w:t>
            </w:r>
            <w:r>
              <w:t xml:space="preserve">ations to emergency departments </w:t>
            </w:r>
            <w:r w:rsidRPr="00CC4FB1">
              <w:t>(interim measure)</w:t>
            </w:r>
            <w:r w:rsidRPr="004C1535">
              <w:t xml:space="preserve"> </w:t>
            </w:r>
            <w:r>
              <w:t xml:space="preserve">are </w:t>
            </w:r>
            <w:r w:rsidRPr="004C1535">
              <w:t>defined as</w:t>
            </w:r>
            <w:r>
              <w:t xml:space="preserve"> the </w:t>
            </w:r>
            <w:r w:rsidRPr="004C1535">
              <w:t>number of selected ‘GP</w:t>
            </w:r>
            <w:r>
              <w:noBreakHyphen/>
            </w:r>
            <w:r w:rsidRPr="004C1535">
              <w:t>type presentations’ to emergency departments, where selected GP</w:t>
            </w:r>
            <w:r>
              <w:noBreakHyphen/>
            </w:r>
            <w:r w:rsidRPr="004C1535">
              <w:t xml:space="preserve">type presentations are </w:t>
            </w:r>
            <w:r w:rsidRPr="005744E5">
              <w:t>emergency presentation</w:t>
            </w:r>
            <w:r>
              <w:t>s:</w:t>
            </w:r>
          </w:p>
          <w:p w14:paraId="0B87A0B1" w14:textId="77777777" w:rsidR="009467AB" w:rsidRDefault="009467AB" w:rsidP="00C17A71">
            <w:pPr>
              <w:pStyle w:val="BoxListBullet"/>
            </w:pPr>
            <w:r w:rsidRPr="004C1535">
              <w:t xml:space="preserve">allocated to triage category 4 </w:t>
            </w:r>
            <w:r>
              <w:t>(</w:t>
            </w:r>
            <w:r w:rsidRPr="005744E5">
              <w:t>semi</w:t>
            </w:r>
            <w:r>
              <w:noBreakHyphen/>
            </w:r>
            <w:r w:rsidRPr="005744E5">
              <w:t>urgent</w:t>
            </w:r>
            <w:r>
              <w:t>)</w:t>
            </w:r>
            <w:r w:rsidRPr="005744E5">
              <w:t xml:space="preserve"> </w:t>
            </w:r>
            <w:r w:rsidRPr="004C1535">
              <w:t>or 5</w:t>
            </w:r>
            <w:r>
              <w:t xml:space="preserve"> (</w:t>
            </w:r>
            <w:r w:rsidRPr="005744E5">
              <w:t>non</w:t>
            </w:r>
            <w:r>
              <w:noBreakHyphen/>
            </w:r>
            <w:r w:rsidRPr="005744E5">
              <w:t>urgent</w:t>
            </w:r>
            <w:r>
              <w:t>)</w:t>
            </w:r>
          </w:p>
          <w:p w14:paraId="6D2C6098" w14:textId="77777777" w:rsidR="009467AB" w:rsidRDefault="009467AB" w:rsidP="00C17A71">
            <w:pPr>
              <w:pStyle w:val="BoxListBullet"/>
            </w:pPr>
            <w:r w:rsidRPr="004C1535">
              <w:t>not arriving by ambulance, with police or corrections</w:t>
            </w:r>
          </w:p>
          <w:p w14:paraId="5A828D32" w14:textId="77777777" w:rsidR="009467AB" w:rsidRDefault="009467AB" w:rsidP="00C17A71">
            <w:pPr>
              <w:pStyle w:val="BoxListBullet"/>
            </w:pPr>
            <w:r w:rsidRPr="004C1535">
              <w:t>not admitted or referred to another hospital</w:t>
            </w:r>
          </w:p>
          <w:p w14:paraId="5D6F993E" w14:textId="77777777" w:rsidR="009467AB" w:rsidRDefault="009467AB" w:rsidP="00C17A71">
            <w:pPr>
              <w:pStyle w:val="BoxListBullet"/>
            </w:pPr>
            <w:r>
              <w:t>who did not die.</w:t>
            </w:r>
          </w:p>
          <w:p w14:paraId="4839DF6A" w14:textId="77777777" w:rsidR="00D61DBE" w:rsidRDefault="009467AB" w:rsidP="009467AB">
            <w:pPr>
              <w:pStyle w:val="Box"/>
            </w:pPr>
            <w:r w:rsidRPr="00CC4FB1">
              <w:t>Potentially avoidable presentations to emergency departments</w:t>
            </w:r>
            <w:r>
              <w:t xml:space="preserve"> </w:t>
            </w:r>
            <w:r w:rsidRPr="00CC4FB1">
              <w:t>are presentations for conditions that could be appropriately managed in the primary and community health sector. In some cases, this can be determined only retrospectively and presentation to an emergency department is appropriate.</w:t>
            </w:r>
            <w:r w:rsidRPr="00211B55">
              <w:t xml:space="preserve"> </w:t>
            </w:r>
            <w:r w:rsidR="00D61DBE" w:rsidRPr="00C93961">
              <w:t>Factors contributing to GP</w:t>
            </w:r>
            <w:r w:rsidR="00D61DBE" w:rsidRPr="00C93961">
              <w:noBreakHyphen/>
              <w:t>type presentations at emergency departments include perceived or actual lack of access to GP services, the proximity of emergency departments and trust in emergency department staff.</w:t>
            </w:r>
            <w:r w:rsidR="00D61DBE">
              <w:t xml:space="preserve"> </w:t>
            </w:r>
          </w:p>
          <w:p w14:paraId="1D56D6D0" w14:textId="4BF661E6" w:rsidR="009467AB" w:rsidRPr="0083437D" w:rsidRDefault="005A4549" w:rsidP="009467AB">
            <w:pPr>
              <w:pStyle w:val="Box"/>
              <w:rPr>
                <w:b/>
              </w:rPr>
            </w:pPr>
            <w:r>
              <w:t>Once a suitable denominator for this measure is agreed, a</w:t>
            </w:r>
            <w:r w:rsidR="009467AB" w:rsidRPr="004C1535">
              <w:t xml:space="preserve"> low or decreasing </w:t>
            </w:r>
            <w:r>
              <w:t>rate/</w:t>
            </w:r>
            <w:r w:rsidR="009467AB" w:rsidRPr="004C1535">
              <w:t xml:space="preserve">proportion of potentially avoidable presentations to emergency departments can indicate better access to primary and community health </w:t>
            </w:r>
            <w:r w:rsidR="009467AB" w:rsidRPr="0083437D">
              <w:t xml:space="preserve">care. </w:t>
            </w:r>
            <w:r w:rsidR="00511F47" w:rsidRPr="0083437D">
              <w:t xml:space="preserve">Currently, the </w:t>
            </w:r>
            <w:r w:rsidR="00511F47" w:rsidRPr="0083437D">
              <w:rPr>
                <w:i/>
              </w:rPr>
              <w:t>number</w:t>
            </w:r>
            <w:r w:rsidR="00511F47" w:rsidRPr="0083437D">
              <w:t xml:space="preserve"> of potentially avoidable presentations to emergency departments are reported for this indicator. In future, this indicator will be reported as a </w:t>
            </w:r>
            <w:r w:rsidR="00511F47" w:rsidRPr="0083437D">
              <w:rPr>
                <w:i/>
              </w:rPr>
              <w:t>proportion</w:t>
            </w:r>
            <w:r w:rsidR="00511F47" w:rsidRPr="0083437D">
              <w:t xml:space="preserve"> (</w:t>
            </w:r>
            <w:r w:rsidR="00BC34C3" w:rsidRPr="0083437D">
              <w:t>for example</w:t>
            </w:r>
            <w:r w:rsidR="00511F47" w:rsidRPr="0083437D">
              <w:t xml:space="preserve">, the number of potentially avoidable </w:t>
            </w:r>
            <w:r w:rsidR="00A43098" w:rsidRPr="0083437D">
              <w:t xml:space="preserve">GP-type </w:t>
            </w:r>
            <w:r w:rsidR="00511F47" w:rsidRPr="0083437D">
              <w:t>presentations to emergency departments</w:t>
            </w:r>
            <w:r w:rsidR="00D35578" w:rsidRPr="0083437D">
              <w:t>,</w:t>
            </w:r>
            <w:r w:rsidR="00511F47" w:rsidRPr="0083437D">
              <w:t xml:space="preserve"> as a proportion of all presentations to emergency departments), subject to the identification of a suitable denominator.</w:t>
            </w:r>
          </w:p>
          <w:p w14:paraId="277BA3A2" w14:textId="77777777" w:rsidR="009467AB" w:rsidRDefault="009467AB" w:rsidP="009467AB">
            <w:pPr>
              <w:pStyle w:val="Box"/>
            </w:pPr>
            <w:r>
              <w:t>Data reported for this measure are:</w:t>
            </w:r>
          </w:p>
          <w:p w14:paraId="5C164B19" w14:textId="6B8F28BE" w:rsidR="006D0353" w:rsidRDefault="006D0353" w:rsidP="00032A3A">
            <w:pPr>
              <w:pStyle w:val="Box"/>
              <w:ind w:left="284"/>
            </w:pPr>
            <w:r w:rsidRPr="00B664EA">
              <w:rPr>
                <w:shd w:val="clear" w:color="auto" w:fill="FCDED3"/>
              </w:rPr>
              <w:t xml:space="preserve">    </w:t>
            </w:r>
            <w:r>
              <w:t xml:space="preserve"> </w:t>
            </w:r>
            <w:r w:rsidR="003F59DA">
              <w:t xml:space="preserve">not comparable across jurisdictions or within some jurisdictions over time, but are </w:t>
            </w:r>
            <w:r w:rsidRPr="00682795">
              <w:t>comparable within</w:t>
            </w:r>
            <w:r>
              <w:t xml:space="preserve"> </w:t>
            </w:r>
            <w:r w:rsidR="00392023">
              <w:t>other</w:t>
            </w:r>
            <w:r w:rsidRPr="00682795">
              <w:t xml:space="preserve"> jurisdictions over time </w:t>
            </w:r>
            <w:r>
              <w:t>(see caveats in attachment tables)</w:t>
            </w:r>
          </w:p>
          <w:p w14:paraId="2E7EBEAA" w14:textId="5170A551" w:rsidR="009467AB" w:rsidRDefault="006D0353" w:rsidP="00032A3A">
            <w:pPr>
              <w:pStyle w:val="Box"/>
              <w:ind w:left="284"/>
            </w:pPr>
            <w:r w:rsidRPr="001B3B2F">
              <w:rPr>
                <w:shd w:val="clear" w:color="auto" w:fill="F15A25"/>
              </w:rPr>
              <w:t xml:space="preserve">    </w:t>
            </w:r>
            <w:r>
              <w:t xml:space="preserve"> complete (subject to caveats) for the current reporting period. All required data for 2017</w:t>
            </w:r>
            <w:r>
              <w:noBreakHyphen/>
              <w:t>18 are available for all jurisdictions.</w:t>
            </w:r>
          </w:p>
        </w:tc>
      </w:tr>
      <w:tr w:rsidR="009467AB" w14:paraId="61C73F79" w14:textId="77777777" w:rsidTr="00AC6A7D">
        <w:tc>
          <w:tcPr>
            <w:tcW w:w="5000" w:type="pct"/>
            <w:tcBorders>
              <w:top w:val="nil"/>
              <w:left w:val="nil"/>
              <w:bottom w:val="single" w:sz="6" w:space="0" w:color="78A22F"/>
              <w:right w:val="nil"/>
            </w:tcBorders>
            <w:shd w:val="clear" w:color="auto" w:fill="F2F2F2"/>
          </w:tcPr>
          <w:p w14:paraId="44C557D4" w14:textId="77777777" w:rsidR="009467AB" w:rsidRDefault="009467AB">
            <w:pPr>
              <w:pStyle w:val="Box"/>
              <w:spacing w:before="0" w:line="120" w:lineRule="exact"/>
            </w:pPr>
          </w:p>
        </w:tc>
      </w:tr>
      <w:tr w:rsidR="009467AB" w:rsidRPr="000863A5" w14:paraId="70FDAE9F" w14:textId="77777777" w:rsidTr="00AC6A7D">
        <w:tc>
          <w:tcPr>
            <w:tcW w:w="5000" w:type="pct"/>
            <w:tcBorders>
              <w:top w:val="single" w:sz="6" w:space="0" w:color="78A22F"/>
              <w:left w:val="nil"/>
              <w:bottom w:val="nil"/>
              <w:right w:val="nil"/>
            </w:tcBorders>
          </w:tcPr>
          <w:p w14:paraId="33DAEE88" w14:textId="2C57A1A7" w:rsidR="009467AB" w:rsidRPr="00626D32" w:rsidRDefault="009467AB" w:rsidP="00A016D2">
            <w:pPr>
              <w:pStyle w:val="BoxSpaceBelow"/>
            </w:pPr>
          </w:p>
        </w:tc>
      </w:tr>
    </w:tbl>
    <w:p w14:paraId="4E04CCC5" w14:textId="47CC265F" w:rsidR="00B12B4D" w:rsidRPr="00097C57" w:rsidRDefault="00B12B4D" w:rsidP="00B349CB">
      <w:pPr>
        <w:pStyle w:val="BodyText"/>
      </w:pPr>
      <w:r w:rsidRPr="000067C3">
        <w:t xml:space="preserve">Nationally, there were around </w:t>
      </w:r>
      <w:r w:rsidR="00026A6F">
        <w:t>2.9</w:t>
      </w:r>
      <w:r w:rsidRPr="000067C3">
        <w:t xml:space="preserve"> million GP</w:t>
      </w:r>
      <w:r w:rsidRPr="000067C3">
        <w:noBreakHyphen/>
        <w:t xml:space="preserve">type presentations to public hospital emergency departments in </w:t>
      </w:r>
      <w:r w:rsidR="00280888">
        <w:t>201</w:t>
      </w:r>
      <w:r w:rsidR="00655DB5">
        <w:t>7</w:t>
      </w:r>
      <w:r w:rsidR="008D3534">
        <w:noBreakHyphen/>
      </w:r>
      <w:r w:rsidR="00280888">
        <w:t>1</w:t>
      </w:r>
      <w:r w:rsidR="00655DB5">
        <w:t>8</w:t>
      </w:r>
      <w:r w:rsidR="00BC34C3">
        <w:t xml:space="preserve"> </w:t>
      </w:r>
      <w:r w:rsidRPr="000067C3">
        <w:t>(table 10</w:t>
      </w:r>
      <w:r>
        <w:t>A</w:t>
      </w:r>
      <w:r w:rsidRPr="000067C3">
        <w:t>.</w:t>
      </w:r>
      <w:r>
        <w:t>3</w:t>
      </w:r>
      <w:r w:rsidR="006D0353">
        <w:t>0</w:t>
      </w:r>
      <w:r w:rsidRPr="000067C3">
        <w:t>).</w:t>
      </w:r>
      <w:r w:rsidR="00452B81">
        <w:t xml:space="preserve"> </w:t>
      </w:r>
    </w:p>
    <w:p w14:paraId="6670F170" w14:textId="77777777" w:rsidR="00794C51" w:rsidRDefault="00794C51" w:rsidP="00794C51">
      <w:pPr>
        <w:pStyle w:val="Heading4"/>
      </w:pPr>
      <w:r>
        <w:lastRenderedPageBreak/>
        <w:t>Appropriateness – Developmental health checks</w:t>
      </w:r>
    </w:p>
    <w:p w14:paraId="15EB4D80" w14:textId="2921D271" w:rsidR="00794C51" w:rsidRDefault="00EF03CC" w:rsidP="00F83907">
      <w:pPr>
        <w:pStyle w:val="BodyText"/>
        <w:tabs>
          <w:tab w:val="left" w:pos="8222"/>
        </w:tabs>
      </w:pPr>
      <w:r>
        <w:t>‘</w:t>
      </w:r>
      <w:r w:rsidR="00570AB7">
        <w:t>Developmental health checks</w:t>
      </w:r>
      <w:r>
        <w:t>’</w:t>
      </w:r>
      <w:r w:rsidR="00570AB7">
        <w:t xml:space="preserve"> </w:t>
      </w:r>
      <w:r>
        <w:t xml:space="preserve">is an indicator of governments’ objective to ensure that services are appropriate and </w:t>
      </w:r>
      <w:r w:rsidR="00877BC5">
        <w:t>responsive</w:t>
      </w:r>
      <w:r>
        <w:t xml:space="preserve"> to the needs of children </w:t>
      </w:r>
      <w:r w:rsidR="00570AB7">
        <w:t>(box 10.7)</w:t>
      </w:r>
      <w:r w:rsidR="00794C51" w:rsidRPr="0001197C">
        <w:t>.</w:t>
      </w:r>
      <w:r w:rsidR="00DC767A">
        <w:t xml:space="preserve"> </w:t>
      </w:r>
    </w:p>
    <w:p w14:paraId="2C47A4C9" w14:textId="38E15830" w:rsidR="00570AB7" w:rsidRDefault="00570AB7" w:rsidP="00570AB7">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93"/>
      </w:tblGrid>
      <w:tr w:rsidR="00570AB7" w14:paraId="5F38623B" w14:textId="77777777" w:rsidTr="00AC6A7D">
        <w:tc>
          <w:tcPr>
            <w:tcW w:w="8793" w:type="dxa"/>
            <w:tcBorders>
              <w:top w:val="single" w:sz="6" w:space="0" w:color="78A22F"/>
              <w:left w:val="nil"/>
              <w:bottom w:val="nil"/>
              <w:right w:val="nil"/>
            </w:tcBorders>
            <w:shd w:val="clear" w:color="auto" w:fill="F2F2F2"/>
          </w:tcPr>
          <w:p w14:paraId="53898ECE" w14:textId="7A1E3BEB" w:rsidR="00570AB7" w:rsidRDefault="00570AB7" w:rsidP="00570AB7">
            <w:pPr>
              <w:pStyle w:val="BoxTitle"/>
            </w:pPr>
            <w:r>
              <w:rPr>
                <w:b w:val="0"/>
              </w:rPr>
              <w:t xml:space="preserve">Box </w:t>
            </w:r>
            <w:r w:rsidR="009525ED">
              <w:rPr>
                <w:b w:val="0"/>
              </w:rPr>
              <w:t>10.</w:t>
            </w:r>
            <w:r w:rsidR="0008386D">
              <w:rPr>
                <w:b w:val="0"/>
                <w:noProof/>
              </w:rPr>
              <w:t>7</w:t>
            </w:r>
            <w:r>
              <w:tab/>
              <w:t>Developmental health checks</w:t>
            </w:r>
          </w:p>
        </w:tc>
      </w:tr>
      <w:tr w:rsidR="00570AB7" w14:paraId="15E9FECA" w14:textId="77777777" w:rsidTr="00AC6A7D">
        <w:tc>
          <w:tcPr>
            <w:tcW w:w="8793" w:type="dxa"/>
            <w:tcBorders>
              <w:top w:val="nil"/>
              <w:left w:val="nil"/>
              <w:bottom w:val="nil"/>
              <w:right w:val="nil"/>
            </w:tcBorders>
            <w:shd w:val="clear" w:color="auto" w:fill="F2F2F2"/>
          </w:tcPr>
          <w:p w14:paraId="111D52C5" w14:textId="44ECF0B7" w:rsidR="00570AB7" w:rsidRDefault="00570AB7" w:rsidP="00A57527">
            <w:pPr>
              <w:pStyle w:val="Box"/>
            </w:pPr>
            <w:r>
              <w:t>‘Developmental health checks’</w:t>
            </w:r>
            <w:r w:rsidRPr="00F34472">
              <w:t xml:space="preserve"> </w:t>
            </w:r>
            <w:r w:rsidR="00A316EB">
              <w:t>are defined as</w:t>
            </w:r>
            <w:r w:rsidR="00302973" w:rsidRPr="00C9583D">
              <w:t xml:space="preserve"> the</w:t>
            </w:r>
            <w:r w:rsidR="00DD5515">
              <w:t xml:space="preserve"> </w:t>
            </w:r>
            <w:r w:rsidR="00DD5515" w:rsidRPr="008B285E">
              <w:t xml:space="preserve">proportion of </w:t>
            </w:r>
            <w:r w:rsidR="00622125">
              <w:t>preschool-</w:t>
            </w:r>
            <w:r w:rsidR="00DD5515">
              <w:t xml:space="preserve">aged </w:t>
            </w:r>
            <w:r w:rsidR="00DD5515" w:rsidRPr="008B285E">
              <w:t>children who received a developmental health assessment</w:t>
            </w:r>
            <w:r w:rsidR="00302973" w:rsidRPr="00C9583D">
              <w:t>.</w:t>
            </w:r>
          </w:p>
          <w:p w14:paraId="2B0FB83F" w14:textId="36E120FC" w:rsidR="00570AB7" w:rsidRPr="008C5C2B" w:rsidRDefault="00570AB7" w:rsidP="00A57527">
            <w:pPr>
              <w:pStyle w:val="Box"/>
            </w:pPr>
            <w:r w:rsidRPr="00617D21">
              <w:t>A high</w:t>
            </w:r>
            <w:r w:rsidRPr="008C5C2B">
              <w:t xml:space="preserve"> or increasing proportion </w:t>
            </w:r>
            <w:r w:rsidR="00302973">
              <w:t xml:space="preserve">of </w:t>
            </w:r>
            <w:r w:rsidR="00DD5515">
              <w:t>preschool</w:t>
            </w:r>
            <w:r w:rsidR="00D915B9">
              <w:t>-</w:t>
            </w:r>
            <w:r w:rsidR="00DD5515">
              <w:t xml:space="preserve">aged </w:t>
            </w:r>
            <w:r w:rsidR="00302973">
              <w:t xml:space="preserve">children receiving developmental health checks </w:t>
            </w:r>
            <w:r w:rsidRPr="008C5C2B">
              <w:t>is desirable.</w:t>
            </w:r>
          </w:p>
          <w:p w14:paraId="1E0A8DAE" w14:textId="34C0EC95" w:rsidR="00570AB7" w:rsidRDefault="00877BC5" w:rsidP="00EF03CC">
            <w:pPr>
              <w:pStyle w:val="BoxListBullet"/>
              <w:numPr>
                <w:ilvl w:val="0"/>
                <w:numId w:val="0"/>
              </w:numPr>
              <w:ind w:left="284" w:hanging="284"/>
            </w:pPr>
            <w:r w:rsidRPr="005E3DE3">
              <w:t>Data are not yet available for r</w:t>
            </w:r>
            <w:r w:rsidR="00302973">
              <w:t>eporting against this indicator</w:t>
            </w:r>
            <w:r w:rsidR="00570AB7">
              <w:t xml:space="preserve">. </w:t>
            </w:r>
          </w:p>
        </w:tc>
      </w:tr>
      <w:tr w:rsidR="00570AB7" w14:paraId="5556475F" w14:textId="77777777" w:rsidTr="00AC6A7D">
        <w:tc>
          <w:tcPr>
            <w:tcW w:w="8793" w:type="dxa"/>
            <w:tcBorders>
              <w:top w:val="nil"/>
              <w:left w:val="nil"/>
              <w:bottom w:val="single" w:sz="6" w:space="0" w:color="78A22F"/>
              <w:right w:val="nil"/>
            </w:tcBorders>
            <w:shd w:val="clear" w:color="auto" w:fill="F2F2F2"/>
          </w:tcPr>
          <w:p w14:paraId="4CE05629" w14:textId="77777777" w:rsidR="00570AB7" w:rsidRDefault="00570AB7" w:rsidP="00A57527">
            <w:pPr>
              <w:pStyle w:val="Box"/>
              <w:spacing w:before="0" w:line="120" w:lineRule="exact"/>
            </w:pPr>
          </w:p>
        </w:tc>
      </w:tr>
      <w:tr w:rsidR="00570AB7" w:rsidRPr="000863A5" w14:paraId="28B3C4F6" w14:textId="77777777" w:rsidTr="00AC6A7D">
        <w:tc>
          <w:tcPr>
            <w:tcW w:w="8793" w:type="dxa"/>
            <w:tcBorders>
              <w:top w:val="single" w:sz="6" w:space="0" w:color="78A22F"/>
              <w:left w:val="nil"/>
              <w:bottom w:val="nil"/>
              <w:right w:val="nil"/>
            </w:tcBorders>
          </w:tcPr>
          <w:p w14:paraId="69FCF79A" w14:textId="3800FF15" w:rsidR="00570AB7" w:rsidRPr="00626D32" w:rsidRDefault="00570AB7" w:rsidP="00A57527">
            <w:pPr>
              <w:pStyle w:val="BoxSpaceBelow"/>
            </w:pPr>
          </w:p>
        </w:tc>
      </w:tr>
    </w:tbl>
    <w:p w14:paraId="72FB4309" w14:textId="5A6715A6" w:rsidR="00570AB7" w:rsidRPr="00097C57" w:rsidRDefault="00570AB7" w:rsidP="00F83907">
      <w:pPr>
        <w:pStyle w:val="BodyText"/>
        <w:tabs>
          <w:tab w:val="left" w:pos="8222"/>
        </w:tabs>
      </w:pPr>
      <w:r>
        <w:t>Previous reporting of data has been discontinued due to t</w:t>
      </w:r>
      <w:r w:rsidRPr="00693B62">
        <w:t xml:space="preserve">he </w:t>
      </w:r>
      <w:r>
        <w:t xml:space="preserve">removal of the </w:t>
      </w:r>
      <w:r w:rsidRPr="00693B62">
        <w:t xml:space="preserve">Healthy Kids Check service </w:t>
      </w:r>
      <w:r>
        <w:t xml:space="preserve">from the MBS in </w:t>
      </w:r>
      <w:r w:rsidRPr="00693B62">
        <w:t>2015</w:t>
      </w:r>
      <w:r>
        <w:t>.</w:t>
      </w:r>
    </w:p>
    <w:p w14:paraId="7F08EBFB" w14:textId="77777777" w:rsidR="009F5AA4" w:rsidRDefault="00325FCB" w:rsidP="00B36A70">
      <w:pPr>
        <w:pStyle w:val="Heading4"/>
      </w:pPr>
      <w:r>
        <w:t xml:space="preserve">Appropriateness – </w:t>
      </w:r>
      <w:r w:rsidR="004815B8">
        <w:t>Chronic disease management</w:t>
      </w:r>
    </w:p>
    <w:p w14:paraId="1451FD23" w14:textId="3CF2C04A" w:rsidR="006B1262" w:rsidRDefault="006B1262" w:rsidP="006B1262">
      <w:pPr>
        <w:pStyle w:val="BodyText"/>
      </w:pPr>
      <w:r>
        <w:t>‘</w:t>
      </w:r>
      <w:r w:rsidRPr="004815B8">
        <w:t>Chronic disease management</w:t>
      </w:r>
      <w:r>
        <w:t>’</w:t>
      </w:r>
      <w:r w:rsidRPr="00D00A5A">
        <w:t xml:space="preserve"> </w:t>
      </w:r>
      <w:r>
        <w:t xml:space="preserve">is an indicator of governments’ objective to ensure that </w:t>
      </w:r>
      <w:r w:rsidR="00D915B9">
        <w:t xml:space="preserve">primary and community health services are </w:t>
      </w:r>
      <w:r>
        <w:t xml:space="preserve">appropriate and responsive to </w:t>
      </w:r>
      <w:r w:rsidR="00F04379">
        <w:t xml:space="preserve">meet </w:t>
      </w:r>
      <w:r w:rsidR="00D915B9">
        <w:t xml:space="preserve">the needs of </w:t>
      </w:r>
      <w:r w:rsidR="005B295C">
        <w:t xml:space="preserve">individuals </w:t>
      </w:r>
      <w:r w:rsidR="00D915B9">
        <w:t>throughout their lifespan</w:t>
      </w:r>
      <w:r>
        <w:t xml:space="preserve"> (</w:t>
      </w:r>
      <w:r w:rsidRPr="00350258">
        <w:t>box</w:t>
      </w:r>
      <w:r w:rsidR="00F5404E">
        <w:t> </w:t>
      </w:r>
      <w:r w:rsidRPr="00350258">
        <w:t>10.</w:t>
      </w:r>
      <w:r w:rsidR="00570AB7">
        <w:t>8</w:t>
      </w:r>
      <w:r w:rsidR="00F04379">
        <w:t>).</w:t>
      </w:r>
    </w:p>
    <w:p w14:paraId="2868F26C" w14:textId="194693B6" w:rsidR="006B1262" w:rsidRDefault="006B1262">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93"/>
      </w:tblGrid>
      <w:tr w:rsidR="006B1262" w14:paraId="01CF0D75" w14:textId="77777777" w:rsidTr="00AC6A7D">
        <w:tc>
          <w:tcPr>
            <w:tcW w:w="8793" w:type="dxa"/>
            <w:tcBorders>
              <w:top w:val="single" w:sz="6" w:space="0" w:color="78A22F"/>
              <w:left w:val="nil"/>
              <w:bottom w:val="nil"/>
              <w:right w:val="nil"/>
            </w:tcBorders>
            <w:shd w:val="clear" w:color="auto" w:fill="F2F2F2"/>
          </w:tcPr>
          <w:p w14:paraId="5D28D061" w14:textId="44911022" w:rsidR="006B1262" w:rsidRDefault="006B1262">
            <w:pPr>
              <w:pStyle w:val="BoxTitle"/>
            </w:pPr>
            <w:r>
              <w:rPr>
                <w:b w:val="0"/>
              </w:rPr>
              <w:t xml:space="preserve">Box </w:t>
            </w:r>
            <w:r w:rsidR="009525ED">
              <w:rPr>
                <w:b w:val="0"/>
              </w:rPr>
              <w:t>10.</w:t>
            </w:r>
            <w:r w:rsidR="0008386D">
              <w:rPr>
                <w:b w:val="0"/>
                <w:noProof/>
              </w:rPr>
              <w:t>8</w:t>
            </w:r>
            <w:r>
              <w:tab/>
            </w:r>
            <w:r w:rsidR="00DB3602" w:rsidRPr="004815B8">
              <w:t>Chronic disease management</w:t>
            </w:r>
          </w:p>
        </w:tc>
      </w:tr>
      <w:tr w:rsidR="006B1262" w14:paraId="753D907B" w14:textId="77777777" w:rsidTr="00AC6A7D">
        <w:tc>
          <w:tcPr>
            <w:tcW w:w="8793" w:type="dxa"/>
            <w:tcBorders>
              <w:top w:val="nil"/>
              <w:left w:val="nil"/>
              <w:bottom w:val="nil"/>
              <w:right w:val="nil"/>
            </w:tcBorders>
            <w:shd w:val="clear" w:color="auto" w:fill="F2F2F2"/>
          </w:tcPr>
          <w:p w14:paraId="7F43EA69" w14:textId="77777777" w:rsidR="00DB3602" w:rsidRDefault="00DB3602" w:rsidP="00DB3602">
            <w:pPr>
              <w:pStyle w:val="Box"/>
            </w:pPr>
            <w:r>
              <w:t>‘</w:t>
            </w:r>
            <w:r w:rsidRPr="004815B8">
              <w:t>Chronic disease management</w:t>
            </w:r>
            <w:r>
              <w:t>’</w:t>
            </w:r>
            <w:r w:rsidRPr="00F34472">
              <w:t xml:space="preserve"> </w:t>
            </w:r>
            <w:r>
              <w:t>is defined by t</w:t>
            </w:r>
            <w:r w:rsidR="002117A6">
              <w:t>wo</w:t>
            </w:r>
            <w:r>
              <w:t xml:space="preserve"> measures:</w:t>
            </w:r>
          </w:p>
          <w:p w14:paraId="6B84C517" w14:textId="6F2D53F3" w:rsidR="00DB3602" w:rsidRDefault="00043F49" w:rsidP="00DB3602">
            <w:pPr>
              <w:pStyle w:val="BoxListBullet"/>
            </w:pPr>
            <w:r>
              <w:t>M</w:t>
            </w:r>
            <w:r w:rsidR="00DB3602">
              <w:t>anagement of diabetes, defined as t</w:t>
            </w:r>
            <w:r w:rsidR="00DB3602" w:rsidRPr="004C6697">
              <w:t>he proportion of people with diabetes with HbA1c (glyc</w:t>
            </w:r>
            <w:r w:rsidR="00AE1C83">
              <w:t>o</w:t>
            </w:r>
            <w:r w:rsidR="00DB3602" w:rsidRPr="004C6697">
              <w:t>s</w:t>
            </w:r>
            <w:r w:rsidR="00AE1C83">
              <w:t>y</w:t>
            </w:r>
            <w:r w:rsidR="00DB3602" w:rsidRPr="004C6697">
              <w:t>late</w:t>
            </w:r>
            <w:r w:rsidR="00DB3602">
              <w:t>d haemoglobin) below 7 per cent</w:t>
            </w:r>
            <w:r w:rsidR="001918F4">
              <w:t xml:space="preserve"> </w:t>
            </w:r>
          </w:p>
          <w:p w14:paraId="5F89F95E" w14:textId="77777777" w:rsidR="00DB3602" w:rsidRDefault="00043F49" w:rsidP="00DB3602">
            <w:pPr>
              <w:pStyle w:val="BoxListBullet"/>
            </w:pPr>
            <w:r>
              <w:t>M</w:t>
            </w:r>
            <w:r w:rsidR="00DB3602">
              <w:t>anagement of asthma, defined as the proportion of people with asthma who have a written asthma action plan</w:t>
            </w:r>
            <w:r w:rsidR="009F6F78">
              <w:t>.</w:t>
            </w:r>
          </w:p>
          <w:p w14:paraId="4B306849" w14:textId="77777777" w:rsidR="00DB3602" w:rsidRPr="008C5C2B" w:rsidRDefault="00DB3602" w:rsidP="00DB3602">
            <w:pPr>
              <w:pStyle w:val="Box"/>
            </w:pPr>
            <w:r w:rsidRPr="00617D21">
              <w:t>A high</w:t>
            </w:r>
            <w:r w:rsidRPr="008C5C2B">
              <w:t xml:space="preserve"> or increasing proportion </w:t>
            </w:r>
            <w:r>
              <w:t xml:space="preserve">for each measure </w:t>
            </w:r>
            <w:r w:rsidRPr="008C5C2B">
              <w:t>is desirable.</w:t>
            </w:r>
          </w:p>
          <w:p w14:paraId="1B1D89E5" w14:textId="77777777" w:rsidR="00DB3602" w:rsidRDefault="00DB3602" w:rsidP="00DB3602">
            <w:pPr>
              <w:keepNext/>
              <w:spacing w:before="120" w:line="260" w:lineRule="atLeast"/>
              <w:jc w:val="both"/>
              <w:rPr>
                <w:rFonts w:ascii="Arial" w:hAnsi="Arial"/>
                <w:sz w:val="20"/>
                <w:szCs w:val="20"/>
              </w:rPr>
            </w:pPr>
            <w:r w:rsidRPr="002F2D31">
              <w:rPr>
                <w:rFonts w:ascii="Arial" w:hAnsi="Arial"/>
                <w:sz w:val="20"/>
                <w:szCs w:val="20"/>
              </w:rPr>
              <w:t>Data reported against this indicator are:</w:t>
            </w:r>
          </w:p>
          <w:p w14:paraId="57EE34E9" w14:textId="77777777" w:rsidR="00A43098" w:rsidRDefault="00A43098" w:rsidP="00BC34C3">
            <w:pPr>
              <w:pStyle w:val="Box"/>
              <w:ind w:left="284"/>
            </w:pPr>
            <w:r w:rsidRPr="001B3B2F">
              <w:rPr>
                <w:shd w:val="clear" w:color="auto" w:fill="F15A25"/>
              </w:rPr>
              <w:t xml:space="preserve">    </w:t>
            </w:r>
            <w:r>
              <w:t xml:space="preserve"> comparable (subject to caveats) across jurisdictions and over time</w:t>
            </w:r>
          </w:p>
          <w:p w14:paraId="46A9A577" w14:textId="5E5AD4CC" w:rsidR="006B1262" w:rsidRDefault="00A43098" w:rsidP="00BC34C3">
            <w:pPr>
              <w:pStyle w:val="Box"/>
              <w:ind w:left="284"/>
            </w:pPr>
            <w:r w:rsidRPr="001B3B2F">
              <w:rPr>
                <w:shd w:val="clear" w:color="auto" w:fill="F15A25"/>
              </w:rPr>
              <w:t xml:space="preserve">    </w:t>
            </w:r>
            <w:r>
              <w:t xml:space="preserve"> complete (subject to caveats) for the current reporting period. All required data are </w:t>
            </w:r>
            <w:r w:rsidRPr="002F2D31">
              <w:t>available for all jurisdictions for management of diabetes</w:t>
            </w:r>
            <w:r>
              <w:t xml:space="preserve"> </w:t>
            </w:r>
            <w:r w:rsidRPr="002F2D31">
              <w:t>(</w:t>
            </w:r>
            <w:r w:rsidRPr="00C91425">
              <w:t>2011</w:t>
            </w:r>
            <w:r w:rsidRPr="00C91425">
              <w:noBreakHyphen/>
              <w:t>12</w:t>
            </w:r>
            <w:r w:rsidRPr="002F2D31">
              <w:t>) and</w:t>
            </w:r>
            <w:r w:rsidR="00BC34C3">
              <w:t xml:space="preserve"> management of asthma (2014</w:t>
            </w:r>
            <w:r w:rsidR="00BC34C3">
              <w:noBreakHyphen/>
            </w:r>
            <w:r>
              <w:t>15).</w:t>
            </w:r>
          </w:p>
        </w:tc>
      </w:tr>
      <w:tr w:rsidR="006B1262" w14:paraId="109C7BE7" w14:textId="77777777" w:rsidTr="00AC6A7D">
        <w:tc>
          <w:tcPr>
            <w:tcW w:w="8793" w:type="dxa"/>
            <w:tcBorders>
              <w:top w:val="nil"/>
              <w:left w:val="nil"/>
              <w:bottom w:val="single" w:sz="6" w:space="0" w:color="78A22F"/>
              <w:right w:val="nil"/>
            </w:tcBorders>
            <w:shd w:val="clear" w:color="auto" w:fill="F2F2F2"/>
          </w:tcPr>
          <w:p w14:paraId="55DCBF1C" w14:textId="77777777" w:rsidR="006B1262" w:rsidRDefault="006B1262">
            <w:pPr>
              <w:pStyle w:val="Box"/>
              <w:spacing w:before="0" w:line="120" w:lineRule="exact"/>
            </w:pPr>
          </w:p>
        </w:tc>
      </w:tr>
      <w:tr w:rsidR="006B1262" w:rsidRPr="000863A5" w14:paraId="5829126C" w14:textId="77777777" w:rsidTr="00AC6A7D">
        <w:tc>
          <w:tcPr>
            <w:tcW w:w="8793" w:type="dxa"/>
            <w:tcBorders>
              <w:top w:val="single" w:sz="6" w:space="0" w:color="78A22F"/>
              <w:left w:val="nil"/>
              <w:bottom w:val="nil"/>
              <w:right w:val="nil"/>
            </w:tcBorders>
          </w:tcPr>
          <w:p w14:paraId="5E4A0184" w14:textId="439D60BE" w:rsidR="006B1262" w:rsidRPr="00626D32" w:rsidRDefault="006B1262" w:rsidP="00CB64A6">
            <w:pPr>
              <w:pStyle w:val="BoxSpaceBelow"/>
            </w:pPr>
          </w:p>
        </w:tc>
      </w:tr>
    </w:tbl>
    <w:p w14:paraId="3EA5D89D" w14:textId="6FF9154D" w:rsidR="00043F49" w:rsidRPr="00097C57" w:rsidRDefault="00043F49" w:rsidP="00E927CE">
      <w:pPr>
        <w:pStyle w:val="BodyText"/>
      </w:pPr>
      <w:r w:rsidRPr="00AB2464">
        <w:t>Nationally, 50.5 per cent of people with known diabetes had a HbA1c level at or below 7 per cent</w:t>
      </w:r>
      <w:r w:rsidR="001918F4" w:rsidRPr="00AB2464">
        <w:t xml:space="preserve"> (table 10A.4</w:t>
      </w:r>
      <w:r w:rsidR="00E43AD4">
        <w:t>2</w:t>
      </w:r>
      <w:r w:rsidR="001918F4" w:rsidRPr="00AB2464">
        <w:t>)</w:t>
      </w:r>
      <w:r w:rsidRPr="00AB2464">
        <w:t>.</w:t>
      </w:r>
      <w:r w:rsidR="001918F4" w:rsidRPr="00AB2464">
        <w:t xml:space="preserve"> However, only 77.5 per cent of people with known diabetes in 2011</w:t>
      </w:r>
      <w:r w:rsidR="008D3534" w:rsidRPr="00AB2464">
        <w:noBreakHyphen/>
      </w:r>
      <w:r w:rsidR="001918F4" w:rsidRPr="00AB2464">
        <w:t>12 had a HbA1c test in the previous 12 months (table 10A.4</w:t>
      </w:r>
      <w:r w:rsidR="00E43AD4">
        <w:t>1</w:t>
      </w:r>
      <w:r w:rsidR="001918F4" w:rsidRPr="00AB2464">
        <w:t>). HbA1c provides a measure of the average blood glucose level for the preceding three months, and a HbA1c level at or below 7 per cent indicates appropriate management</w:t>
      </w:r>
      <w:r w:rsidR="009A0CE8">
        <w:t>.</w:t>
      </w:r>
      <w:r w:rsidR="001D178B">
        <w:t xml:space="preserve"> </w:t>
      </w:r>
    </w:p>
    <w:p w14:paraId="7DE19A09" w14:textId="3A8A306C" w:rsidR="00AD369E" w:rsidRDefault="00043F49" w:rsidP="005B2B1B">
      <w:pPr>
        <w:pStyle w:val="BodyText"/>
        <w:rPr>
          <w:color w:val="FF0000"/>
        </w:rPr>
      </w:pPr>
      <w:r w:rsidRPr="00617D21">
        <w:lastRenderedPageBreak/>
        <w:t>Written asthma action plans enable people with asthma to recognise and respond quickly and appropriately to deteriorating asthma symptoms, thereby preventing or reducing the severity of acute asthma episodes (ACAM 2008)</w:t>
      </w:r>
      <w:r>
        <w:t>.</w:t>
      </w:r>
      <w:r w:rsidR="001918F4">
        <w:t xml:space="preserve"> </w:t>
      </w:r>
      <w:r w:rsidR="00733DFE" w:rsidRPr="00DA07AF">
        <w:t xml:space="preserve">Nationally, the </w:t>
      </w:r>
      <w:r w:rsidR="004C4072">
        <w:t>age</w:t>
      </w:r>
      <w:r w:rsidR="00774911">
        <w:t>-</w:t>
      </w:r>
      <w:r w:rsidR="004C4072">
        <w:t xml:space="preserve">standardised </w:t>
      </w:r>
      <w:r w:rsidR="00733DFE" w:rsidRPr="00DA07AF">
        <w:t>proportion of people with asthma reporting that they have a written asthma action plan was 2</w:t>
      </w:r>
      <w:r w:rsidR="0072349B">
        <w:t>8.4</w:t>
      </w:r>
      <w:r w:rsidR="00733DFE" w:rsidRPr="00DA07AF">
        <w:t xml:space="preserve"> per cent </w:t>
      </w:r>
      <w:r w:rsidR="00E96459">
        <w:t xml:space="preserve">in </w:t>
      </w:r>
      <w:r w:rsidR="00280888">
        <w:t>201</w:t>
      </w:r>
      <w:r w:rsidR="00552313">
        <w:t>4</w:t>
      </w:r>
      <w:r w:rsidR="008D3534">
        <w:noBreakHyphen/>
      </w:r>
      <w:r w:rsidR="00280888">
        <w:t>1</w:t>
      </w:r>
      <w:r w:rsidR="00552313">
        <w:t>5</w:t>
      </w:r>
      <w:r w:rsidR="00E96459">
        <w:t xml:space="preserve">, </w:t>
      </w:r>
      <w:r w:rsidR="00073BD0">
        <w:t xml:space="preserve">compared to </w:t>
      </w:r>
      <w:r w:rsidR="00776056" w:rsidRPr="00CC4FB1">
        <w:t>22.9 </w:t>
      </w:r>
      <w:r w:rsidR="00B4659C">
        <w:t>per cent in 2004</w:t>
      </w:r>
      <w:r w:rsidR="008D3534">
        <w:noBreakHyphen/>
      </w:r>
      <w:r w:rsidR="00B4659C">
        <w:t>05</w:t>
      </w:r>
      <w:r w:rsidR="004C4072">
        <w:t>.</w:t>
      </w:r>
      <w:r w:rsidR="0033492C">
        <w:t xml:space="preserve"> </w:t>
      </w:r>
      <w:r>
        <w:t>In all jurisdictions,</w:t>
      </w:r>
      <w:r w:rsidRPr="00CC4FB1">
        <w:t xml:space="preserve"> </w:t>
      </w:r>
      <w:r>
        <w:t>t</w:t>
      </w:r>
      <w:r w:rsidR="00776056" w:rsidRPr="00CC4FB1">
        <w:t>he</w:t>
      </w:r>
      <w:r w:rsidR="0033492C">
        <w:t xml:space="preserve"> </w:t>
      </w:r>
      <w:r w:rsidR="00776056" w:rsidRPr="00CC4FB1">
        <w:t xml:space="preserve">proportion was higher for children aged 0–14 years than for other age groups </w:t>
      </w:r>
      <w:r w:rsidR="00B44A32" w:rsidRPr="007428E7">
        <w:t>(table 10A.</w:t>
      </w:r>
      <w:r w:rsidR="005B2B1B">
        <w:t>43</w:t>
      </w:r>
      <w:r w:rsidR="00776056" w:rsidRPr="007428E7">
        <w:t>)</w:t>
      </w:r>
      <w:r w:rsidR="00641FB5">
        <w:t>.</w:t>
      </w:r>
    </w:p>
    <w:p w14:paraId="6E1E51A5" w14:textId="77777777" w:rsidR="004B6FE2" w:rsidRPr="00944E91" w:rsidRDefault="00F502DE" w:rsidP="004B6FE2">
      <w:pPr>
        <w:pStyle w:val="Heading4"/>
      </w:pPr>
      <w:r>
        <w:t xml:space="preserve">Appropriateness – </w:t>
      </w:r>
      <w:r w:rsidR="004B6FE2">
        <w:t>I</w:t>
      </w:r>
      <w:r w:rsidR="004B6FE2" w:rsidRPr="00CD66BC">
        <w:t>mmunisation coverage</w:t>
      </w:r>
    </w:p>
    <w:p w14:paraId="1C2F10AB" w14:textId="2138F1B0" w:rsidR="004B6FE2" w:rsidRDefault="004B6FE2" w:rsidP="004B6FE2">
      <w:pPr>
        <w:pStyle w:val="BodyText"/>
      </w:pPr>
      <w:r w:rsidRPr="004D6520">
        <w:t>‘</w:t>
      </w:r>
      <w:r>
        <w:t>I</w:t>
      </w:r>
      <w:r w:rsidRPr="004D6520">
        <w:t xml:space="preserve">mmunisation coverage’ is an indicator of </w:t>
      </w:r>
      <w:r>
        <w:t xml:space="preserve">governments’ objective to </w:t>
      </w:r>
      <w:r w:rsidR="0090371C">
        <w:t xml:space="preserve">ensure </w:t>
      </w:r>
      <w:r w:rsidR="001918F4">
        <w:t xml:space="preserve">primary and community health services are </w:t>
      </w:r>
      <w:r w:rsidR="0090371C">
        <w:t>appropriate and responsive</w:t>
      </w:r>
      <w:r w:rsidRPr="004D6520">
        <w:t xml:space="preserve"> </w:t>
      </w:r>
      <w:r w:rsidR="001918F4">
        <w:t xml:space="preserve">to meet the needs of individuals throughout their lifespan and communities </w:t>
      </w:r>
      <w:r>
        <w:t>(</w:t>
      </w:r>
      <w:r w:rsidRPr="00AA3CFC">
        <w:t>box 10.</w:t>
      </w:r>
      <w:r w:rsidR="00570AB7">
        <w:t>9</w:t>
      </w:r>
      <w:r>
        <w:t>).</w:t>
      </w:r>
    </w:p>
    <w:p w14:paraId="2E038250" w14:textId="079538A3" w:rsidR="006314ED" w:rsidRDefault="006314ED">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8"/>
      </w:tblGrid>
      <w:tr w:rsidR="006314ED" w14:paraId="55337371" w14:textId="77777777" w:rsidTr="006314ED">
        <w:trPr>
          <w:tblHeader/>
        </w:trPr>
        <w:tc>
          <w:tcPr>
            <w:tcW w:w="5000" w:type="pct"/>
            <w:tcBorders>
              <w:top w:val="single" w:sz="6" w:space="0" w:color="78A22F"/>
              <w:left w:val="nil"/>
              <w:bottom w:val="nil"/>
              <w:right w:val="nil"/>
            </w:tcBorders>
            <w:shd w:val="clear" w:color="auto" w:fill="F2F2F2"/>
          </w:tcPr>
          <w:p w14:paraId="57AAF986" w14:textId="03169DBC" w:rsidR="006314ED" w:rsidRDefault="006314ED" w:rsidP="00E825E0">
            <w:pPr>
              <w:pStyle w:val="BoxTitle"/>
            </w:pPr>
            <w:r>
              <w:rPr>
                <w:b w:val="0"/>
              </w:rPr>
              <w:t xml:space="preserve">Box </w:t>
            </w:r>
            <w:r w:rsidR="009525ED">
              <w:rPr>
                <w:b w:val="0"/>
              </w:rPr>
              <w:t>10.</w:t>
            </w:r>
            <w:r w:rsidR="0008386D">
              <w:rPr>
                <w:b w:val="0"/>
                <w:noProof/>
              </w:rPr>
              <w:t>9</w:t>
            </w:r>
            <w:r>
              <w:tab/>
              <w:t>I</w:t>
            </w:r>
            <w:r w:rsidRPr="00CD66BC">
              <w:t>mmunisation coverage</w:t>
            </w:r>
          </w:p>
        </w:tc>
      </w:tr>
      <w:tr w:rsidR="006314ED" w14:paraId="0E535722" w14:textId="77777777" w:rsidTr="006314ED">
        <w:tc>
          <w:tcPr>
            <w:tcW w:w="5000" w:type="pct"/>
            <w:tcBorders>
              <w:top w:val="nil"/>
              <w:left w:val="nil"/>
              <w:bottom w:val="nil"/>
              <w:right w:val="nil"/>
            </w:tcBorders>
            <w:shd w:val="clear" w:color="auto" w:fill="F2F2F2"/>
          </w:tcPr>
          <w:p w14:paraId="12662594" w14:textId="77777777" w:rsidR="006314ED" w:rsidRDefault="006314ED" w:rsidP="006314ED">
            <w:pPr>
              <w:pStyle w:val="Box"/>
            </w:pPr>
            <w:r>
              <w:t>‘Immunisation coverage’ is defined by four measures:</w:t>
            </w:r>
          </w:p>
          <w:p w14:paraId="623238B6" w14:textId="77777777" w:rsidR="006314ED" w:rsidRDefault="006314ED" w:rsidP="006314ED">
            <w:pPr>
              <w:pStyle w:val="BoxListBullet"/>
            </w:pPr>
            <w:r>
              <w:t>the proportion of children aged 12&lt;15 months who are fully immunised (at this age, a</w:t>
            </w:r>
            <w:r w:rsidRPr="007937C1">
              <w:t xml:space="preserve">gainst diphtheria, tetanus, pertussis (whooping cough), polio, hepatitis b, </w:t>
            </w:r>
            <w:r w:rsidRPr="002804C0">
              <w:rPr>
                <w:i/>
              </w:rPr>
              <w:t>Haemophilus influenzae</w:t>
            </w:r>
            <w:r w:rsidRPr="007937C1">
              <w:t xml:space="preserve"> type b and</w:t>
            </w:r>
            <w:r>
              <w:t xml:space="preserve"> pneumococcal)</w:t>
            </w:r>
          </w:p>
          <w:p w14:paraId="64EF25F8" w14:textId="22597687" w:rsidR="006314ED" w:rsidRDefault="006314ED" w:rsidP="006314ED">
            <w:pPr>
              <w:pStyle w:val="BoxListBullet"/>
            </w:pPr>
            <w:r>
              <w:t xml:space="preserve">the proportion of children aged 24&lt;27 months who are fully immunised (at this age, against diphtheria, tetanus, whooping cough, polio, </w:t>
            </w:r>
            <w:r w:rsidRPr="00270B6F">
              <w:rPr>
                <w:i/>
              </w:rPr>
              <w:t>Haemophilus influenzae</w:t>
            </w:r>
            <w:r>
              <w:t xml:space="preserve"> type b, hepatitis B, measles, mumps and rubella</w:t>
            </w:r>
            <w:r w:rsidR="009E165E">
              <w:t xml:space="preserve"> (MMR)</w:t>
            </w:r>
            <w:r>
              <w:t xml:space="preserve">, </w:t>
            </w:r>
            <w:r w:rsidRPr="00F72052">
              <w:t>meningococcal C</w:t>
            </w:r>
            <w:r w:rsidR="00660F92">
              <w:t xml:space="preserve"> </w:t>
            </w:r>
            <w:r w:rsidRPr="00F72052">
              <w:t>and varicella</w:t>
            </w:r>
            <w:r w:rsidR="00151A13">
              <w:t>)</w:t>
            </w:r>
          </w:p>
          <w:p w14:paraId="14CB575E" w14:textId="01799CE4" w:rsidR="006314ED" w:rsidRDefault="006314ED" w:rsidP="006314ED">
            <w:pPr>
              <w:pStyle w:val="BoxListBullet"/>
            </w:pPr>
            <w:r>
              <w:t xml:space="preserve">the proportion of children aged 60&lt;63 months who are fully immunised (at this age, against diphtheria, tetanus, whooping cough, </w:t>
            </w:r>
            <w:r w:rsidRPr="002856CE">
              <w:t>polio</w:t>
            </w:r>
            <w:r>
              <w:t xml:space="preserve">, </w:t>
            </w:r>
            <w:r w:rsidR="009E165E">
              <w:t>and</w:t>
            </w:r>
            <w:r w:rsidR="00151A13">
              <w:t xml:space="preserve"> </w:t>
            </w:r>
            <w:r w:rsidR="009E165E">
              <w:t>to</w:t>
            </w:r>
            <w:r w:rsidR="00151A13">
              <w:t xml:space="preserve"> the quarter ending 31 December 2017</w:t>
            </w:r>
            <w:r w:rsidR="009E165E">
              <w:t>,</w:t>
            </w:r>
            <w:r w:rsidR="00151A13">
              <w:t xml:space="preserve"> </w:t>
            </w:r>
            <w:r w:rsidR="00660F92">
              <w:t>measles</w:t>
            </w:r>
            <w:r w:rsidR="00A66E5D">
              <w:t>,</w:t>
            </w:r>
            <w:r w:rsidR="00660F92">
              <w:t xml:space="preserve"> </w:t>
            </w:r>
            <w:r w:rsidR="00151A13">
              <w:t>mumps</w:t>
            </w:r>
            <w:r w:rsidR="009E165E">
              <w:t xml:space="preserve"> and</w:t>
            </w:r>
            <w:r w:rsidR="00151A13">
              <w:t xml:space="preserve"> rubella</w:t>
            </w:r>
            <w:r w:rsidR="00660F92">
              <w:t xml:space="preserve"> (MMR)</w:t>
            </w:r>
            <w:r>
              <w:t>)</w:t>
            </w:r>
          </w:p>
          <w:p w14:paraId="6DACA6E1" w14:textId="0344B8DB" w:rsidR="00D21BEC" w:rsidRDefault="00D21BEC" w:rsidP="00D21BEC">
            <w:pPr>
              <w:pStyle w:val="BoxListBullet"/>
            </w:pPr>
            <w:r>
              <w:t>i</w:t>
            </w:r>
            <w:r w:rsidRPr="00A43770">
              <w:t>nfluenza vaccin</w:t>
            </w:r>
            <w:r>
              <w:t>ation coverage for older people,</w:t>
            </w:r>
            <w:r w:rsidRPr="00A43770">
              <w:t xml:space="preserve"> defined as the proportion of people aged 65</w:t>
            </w:r>
            <w:r>
              <w:t> </w:t>
            </w:r>
            <w:r w:rsidRPr="00A43770">
              <w:t>years or over who have been vaccinated against seasonal influenza.</w:t>
            </w:r>
            <w:r>
              <w:t xml:space="preserve"> </w:t>
            </w:r>
          </w:p>
          <w:p w14:paraId="138B021F" w14:textId="4CC813B7" w:rsidR="00D21BEC" w:rsidRDefault="00D21BEC" w:rsidP="00D21BEC">
            <w:pPr>
              <w:pStyle w:val="Box"/>
            </w:pPr>
            <w:r w:rsidRPr="00CD66BC">
              <w:t>A</w:t>
            </w:r>
            <w:r>
              <w:t xml:space="preserve"> high or</w:t>
            </w:r>
            <w:r w:rsidRPr="00CD66BC">
              <w:t xml:space="preserve"> increas</w:t>
            </w:r>
            <w:r>
              <w:t>ing</w:t>
            </w:r>
            <w:r w:rsidRPr="00CD66BC">
              <w:t xml:space="preserve"> proportion of </w:t>
            </w:r>
            <w:r>
              <w:t>people immunised is desirable.</w:t>
            </w:r>
          </w:p>
          <w:p w14:paraId="56DD26D1" w14:textId="20456407" w:rsidR="00D21BEC" w:rsidRDefault="00D21BEC" w:rsidP="00D21BEC">
            <w:pPr>
              <w:pStyle w:val="Box"/>
            </w:pPr>
            <w:r>
              <w:t xml:space="preserve">Data reported </w:t>
            </w:r>
            <w:r w:rsidR="00CC2667">
              <w:t xml:space="preserve">for the </w:t>
            </w:r>
            <w:r w:rsidR="009A0CE8">
              <w:t xml:space="preserve">three </w:t>
            </w:r>
            <w:r w:rsidR="00CC2667">
              <w:t xml:space="preserve">measures concerning childhood immunisations are: </w:t>
            </w:r>
          </w:p>
          <w:p w14:paraId="33282A2C" w14:textId="77777777" w:rsidR="00677C8C" w:rsidRDefault="00677C8C" w:rsidP="00677C8C">
            <w:pPr>
              <w:pStyle w:val="Box"/>
              <w:ind w:left="284"/>
            </w:pPr>
            <w:r w:rsidRPr="001B3B2F">
              <w:rPr>
                <w:shd w:val="clear" w:color="auto" w:fill="F15A25"/>
              </w:rPr>
              <w:t xml:space="preserve">    </w:t>
            </w:r>
            <w:r>
              <w:t xml:space="preserve"> comparable (subject to caveats) across jurisdictions and over time</w:t>
            </w:r>
          </w:p>
          <w:p w14:paraId="3A6ED7FC" w14:textId="4AF546D8" w:rsidR="00CC2667" w:rsidRDefault="00CC2667" w:rsidP="00995CAC">
            <w:pPr>
              <w:pStyle w:val="BoxListBullet"/>
              <w:numPr>
                <w:ilvl w:val="0"/>
                <w:numId w:val="0"/>
              </w:numPr>
              <w:ind w:left="284"/>
            </w:pPr>
            <w:r w:rsidRPr="001B3B2F">
              <w:rPr>
                <w:shd w:val="clear" w:color="auto" w:fill="F15A25"/>
              </w:rPr>
              <w:t xml:space="preserve">    </w:t>
            </w:r>
            <w:r>
              <w:t xml:space="preserve"> complete (subject to caveats) for the current reporting period. All required 2017-18 data are available for all jurisdictions.</w:t>
            </w:r>
          </w:p>
          <w:p w14:paraId="31E08B78" w14:textId="26937D1B" w:rsidR="00D21BEC" w:rsidRPr="00D21BEC" w:rsidRDefault="00CC2667" w:rsidP="00B17709">
            <w:pPr>
              <w:pStyle w:val="BoxListBullet"/>
              <w:numPr>
                <w:ilvl w:val="0"/>
                <w:numId w:val="0"/>
              </w:numPr>
            </w:pPr>
            <w:r>
              <w:t xml:space="preserve">Data </w:t>
            </w:r>
            <w:r w:rsidR="009A0CE8">
              <w:t xml:space="preserve">are not available </w:t>
            </w:r>
            <w:r>
              <w:t>for the measure</w:t>
            </w:r>
            <w:r w:rsidR="009A0CE8">
              <w:t xml:space="preserve"> of</w:t>
            </w:r>
            <w:r>
              <w:t xml:space="preserve"> influenza vaccination coverage for older people. </w:t>
            </w:r>
          </w:p>
        </w:tc>
      </w:tr>
      <w:tr w:rsidR="006314ED" w14:paraId="75532F9A" w14:textId="77777777" w:rsidTr="006314ED">
        <w:tc>
          <w:tcPr>
            <w:tcW w:w="5000" w:type="pct"/>
            <w:tcBorders>
              <w:top w:val="nil"/>
              <w:left w:val="nil"/>
              <w:bottom w:val="single" w:sz="6" w:space="0" w:color="78A22F"/>
              <w:right w:val="nil"/>
            </w:tcBorders>
            <w:shd w:val="clear" w:color="auto" w:fill="F2F2F2"/>
          </w:tcPr>
          <w:p w14:paraId="79FCE111" w14:textId="77777777" w:rsidR="006314ED" w:rsidRDefault="006314ED">
            <w:pPr>
              <w:pStyle w:val="Box"/>
              <w:spacing w:before="0" w:line="120" w:lineRule="exact"/>
            </w:pPr>
          </w:p>
        </w:tc>
      </w:tr>
      <w:tr w:rsidR="006314ED" w:rsidRPr="000863A5" w14:paraId="67295C97" w14:textId="77777777" w:rsidTr="006314ED">
        <w:tc>
          <w:tcPr>
            <w:tcW w:w="5000" w:type="pct"/>
            <w:tcBorders>
              <w:top w:val="single" w:sz="6" w:space="0" w:color="78A22F"/>
              <w:left w:val="nil"/>
              <w:bottom w:val="nil"/>
              <w:right w:val="nil"/>
            </w:tcBorders>
          </w:tcPr>
          <w:p w14:paraId="13560C7A" w14:textId="02AA7001" w:rsidR="006314ED" w:rsidRPr="00626D32" w:rsidRDefault="006314ED" w:rsidP="0025258B">
            <w:pPr>
              <w:pStyle w:val="BoxSpaceBelow"/>
            </w:pPr>
          </w:p>
        </w:tc>
      </w:tr>
    </w:tbl>
    <w:p w14:paraId="01F4A9BE" w14:textId="336877CC" w:rsidR="005D7070" w:rsidRDefault="004B6FE2" w:rsidP="001E7AF2">
      <w:pPr>
        <w:pStyle w:val="BodyText"/>
      </w:pPr>
      <w:r>
        <w:t xml:space="preserve">The proportion of children fully immunised in </w:t>
      </w:r>
      <w:r w:rsidR="00280888">
        <w:t>201</w:t>
      </w:r>
      <w:r w:rsidR="00D21BEC">
        <w:t>7</w:t>
      </w:r>
      <w:r w:rsidR="008D3534">
        <w:noBreakHyphen/>
      </w:r>
      <w:r w:rsidR="00280888">
        <w:t>1</w:t>
      </w:r>
      <w:r w:rsidR="00D21BEC">
        <w:t>8</w:t>
      </w:r>
      <w:r>
        <w:t xml:space="preserve"> was:</w:t>
      </w:r>
      <w:r w:rsidR="00D963E4">
        <w:t xml:space="preserve"> </w:t>
      </w:r>
      <w:r w:rsidR="00D21BEC">
        <w:t>94.0</w:t>
      </w:r>
      <w:r>
        <w:t xml:space="preserve"> per cent</w:t>
      </w:r>
      <w:r w:rsidR="009D24E2" w:rsidRPr="009D24E2">
        <w:t xml:space="preserve"> </w:t>
      </w:r>
      <w:r w:rsidR="009D24E2">
        <w:t>for children aged 12 to less than 15 months</w:t>
      </w:r>
      <w:r w:rsidR="00D963E4">
        <w:t xml:space="preserve">; </w:t>
      </w:r>
      <w:r w:rsidR="00687C44">
        <w:t>90</w:t>
      </w:r>
      <w:r w:rsidRPr="00D43019">
        <w:t>.</w:t>
      </w:r>
      <w:r w:rsidR="00D21BEC">
        <w:t>6</w:t>
      </w:r>
      <w:r w:rsidRPr="00D43019">
        <w:t xml:space="preserve"> per cent</w:t>
      </w:r>
      <w:r w:rsidR="009D24E2" w:rsidRPr="009D24E2">
        <w:t xml:space="preserve"> </w:t>
      </w:r>
      <w:r w:rsidR="009D24E2">
        <w:t>f</w:t>
      </w:r>
      <w:r w:rsidR="009D24E2" w:rsidRPr="00A318FB">
        <w:t>or children aged 24 to less than 27 months</w:t>
      </w:r>
      <w:r w:rsidR="00D963E4">
        <w:t xml:space="preserve">; and </w:t>
      </w:r>
      <w:r w:rsidR="00D21BEC">
        <w:t>94.4</w:t>
      </w:r>
      <w:r w:rsidRPr="00CD3E7E">
        <w:t xml:space="preserve"> per cent </w:t>
      </w:r>
      <w:r w:rsidR="009D24E2">
        <w:t>f</w:t>
      </w:r>
      <w:r w:rsidR="009D24E2" w:rsidRPr="00CD3E7E">
        <w:t xml:space="preserve">or children </w:t>
      </w:r>
      <w:r w:rsidR="009D24E2">
        <w:t xml:space="preserve">aged 60 to less than 63 months </w:t>
      </w:r>
      <w:r w:rsidRPr="00CD3E7E">
        <w:t>(figure 10.</w:t>
      </w:r>
      <w:r w:rsidR="00995CAC">
        <w:t>6</w:t>
      </w:r>
      <w:r w:rsidR="00AA4ED7">
        <w:t>)</w:t>
      </w:r>
      <w:r w:rsidR="00674CD3">
        <w:t>.</w:t>
      </w:r>
    </w:p>
    <w:p w14:paraId="49C897AA" w14:textId="77777777" w:rsidR="005D7070" w:rsidRDefault="005D7070">
      <w:pPr>
        <w:rPr>
          <w:szCs w:val="20"/>
        </w:rPr>
      </w:pPr>
      <w:r>
        <w:br w:type="page"/>
      </w:r>
    </w:p>
    <w:p w14:paraId="53B88EB7" w14:textId="5F977EF9" w:rsidR="004B6FE2" w:rsidRDefault="004B6FE2" w:rsidP="005F6339">
      <w:pPr>
        <w:pStyle w:val="BodyText"/>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4B6FE2" w14:paraId="64EFA406" w14:textId="77777777" w:rsidTr="005F6339">
        <w:tc>
          <w:tcPr>
            <w:tcW w:w="8793" w:type="dxa"/>
            <w:tcBorders>
              <w:top w:val="single" w:sz="6" w:space="0" w:color="78A22F"/>
              <w:left w:val="nil"/>
              <w:bottom w:val="nil"/>
              <w:right w:val="nil"/>
            </w:tcBorders>
            <w:shd w:val="clear" w:color="auto" w:fill="auto"/>
          </w:tcPr>
          <w:p w14:paraId="6A47F0D9" w14:textId="7BDD37B0" w:rsidR="004B6FE2" w:rsidRPr="00176D3F" w:rsidRDefault="004B6FE2" w:rsidP="005B768E">
            <w:pPr>
              <w:pStyle w:val="FigureTitle"/>
            </w:pPr>
            <w:r w:rsidRPr="00784A05">
              <w:rPr>
                <w:b w:val="0"/>
              </w:rPr>
              <w:t xml:space="preserve">Figure </w:t>
            </w:r>
            <w:r w:rsidR="00995CAC">
              <w:rPr>
                <w:b w:val="0"/>
              </w:rPr>
              <w:t>10.</w:t>
            </w:r>
            <w:r w:rsidR="0008386D">
              <w:rPr>
                <w:b w:val="0"/>
                <w:noProof/>
              </w:rPr>
              <w:t>6</w:t>
            </w:r>
            <w:r>
              <w:tab/>
            </w:r>
            <w:r w:rsidRPr="00834AD4">
              <w:t>Children who were fully immunised</w:t>
            </w:r>
            <w:r>
              <w:t xml:space="preserve">, by age (months) </w:t>
            </w:r>
            <w:r>
              <w:br/>
            </w:r>
            <w:r w:rsidR="00280888">
              <w:t>201</w:t>
            </w:r>
            <w:r w:rsidR="005B768E">
              <w:t>7</w:t>
            </w:r>
            <w:r w:rsidR="00280888">
              <w:t>-1</w:t>
            </w:r>
            <w:r w:rsidR="005B768E">
              <w:t>8</w:t>
            </w:r>
            <w:r>
              <w:rPr>
                <w:rStyle w:val="NoteLabel"/>
                <w:b/>
              </w:rPr>
              <w:t>a</w:t>
            </w:r>
          </w:p>
        </w:tc>
      </w:tr>
      <w:tr w:rsidR="00427E1D" w14:paraId="0CAFFD21" w14:textId="77777777" w:rsidTr="005F6339">
        <w:tc>
          <w:tcPr>
            <w:tcW w:w="8793" w:type="dxa"/>
            <w:tcBorders>
              <w:top w:val="nil"/>
              <w:left w:val="nil"/>
              <w:bottom w:val="nil"/>
              <w:right w:val="nil"/>
            </w:tcBorders>
            <w:shd w:val="clear" w:color="auto" w:fill="auto"/>
          </w:tcPr>
          <w:tbl>
            <w:tblPr>
              <w:tblW w:w="5000" w:type="pct"/>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567"/>
              <w:gridCol w:w="7942"/>
            </w:tblGrid>
            <w:tr w:rsidR="00677C8C" w:rsidRPr="0021152C" w14:paraId="481DADC9" w14:textId="77777777" w:rsidTr="00426E46">
              <w:trPr>
                <w:trHeight w:hRule="exact" w:val="259"/>
              </w:trPr>
              <w:tc>
                <w:tcPr>
                  <w:tcW w:w="333" w:type="pct"/>
                  <w:tcBorders>
                    <w:top w:val="nil"/>
                    <w:left w:val="nil"/>
                    <w:bottom w:val="nil"/>
                    <w:right w:val="nil"/>
                  </w:tcBorders>
                  <w:shd w:val="clear" w:color="auto" w:fill="F15A25"/>
                </w:tcPr>
                <w:p w14:paraId="062CFF5F" w14:textId="77777777" w:rsidR="00677C8C" w:rsidRPr="000D77DB" w:rsidRDefault="00677C8C" w:rsidP="0075654A">
                  <w:pPr>
                    <w:pStyle w:val="Note"/>
                  </w:pPr>
                </w:p>
              </w:tc>
              <w:tc>
                <w:tcPr>
                  <w:tcW w:w="4667" w:type="pct"/>
                  <w:tcBorders>
                    <w:top w:val="nil"/>
                    <w:left w:val="nil"/>
                    <w:bottom w:val="nil"/>
                    <w:right w:val="nil"/>
                  </w:tcBorders>
                  <w:shd w:val="clear" w:color="auto" w:fill="auto"/>
                </w:tcPr>
                <w:p w14:paraId="074DA0C7" w14:textId="47669F35" w:rsidR="00677C8C" w:rsidRPr="00677C8C" w:rsidRDefault="00677C8C" w:rsidP="00203A3C">
                  <w:pPr>
                    <w:pStyle w:val="TableBodyText"/>
                    <w:jc w:val="left"/>
                  </w:pPr>
                  <w:r w:rsidRPr="00677C8C">
                    <w:t>Comparable (subject to caveats) across jurisdictions.</w:t>
                  </w:r>
                </w:p>
              </w:tc>
            </w:tr>
            <w:tr w:rsidR="003753AE" w:rsidRPr="0021152C" w14:paraId="2C0D1F6D" w14:textId="77777777" w:rsidTr="00426E46">
              <w:trPr>
                <w:trHeight w:hRule="exact" w:val="291"/>
              </w:trPr>
              <w:tc>
                <w:tcPr>
                  <w:tcW w:w="333" w:type="pct"/>
                  <w:tcBorders>
                    <w:top w:val="nil"/>
                    <w:left w:val="nil"/>
                    <w:bottom w:val="nil"/>
                    <w:right w:val="nil"/>
                  </w:tcBorders>
                  <w:shd w:val="clear" w:color="auto" w:fill="F15A25"/>
                </w:tcPr>
                <w:p w14:paraId="6AE38840" w14:textId="33DF55B3" w:rsidR="003753AE" w:rsidRPr="000D77DB" w:rsidRDefault="003753AE" w:rsidP="003753AE">
                  <w:pPr>
                    <w:pStyle w:val="Note"/>
                    <w:rPr>
                      <w:rFonts w:cs="Arial"/>
                      <w:szCs w:val="18"/>
                    </w:rPr>
                  </w:pPr>
                </w:p>
              </w:tc>
              <w:tc>
                <w:tcPr>
                  <w:tcW w:w="4667" w:type="pct"/>
                  <w:tcBorders>
                    <w:top w:val="nil"/>
                    <w:left w:val="nil"/>
                    <w:bottom w:val="nil"/>
                    <w:right w:val="nil"/>
                  </w:tcBorders>
                  <w:shd w:val="clear" w:color="auto" w:fill="auto"/>
                </w:tcPr>
                <w:p w14:paraId="35EEFA82" w14:textId="77777777" w:rsidR="003753AE" w:rsidRPr="0021152C" w:rsidRDefault="003753AE" w:rsidP="003753AE">
                  <w:pPr>
                    <w:pStyle w:val="TableBodyText"/>
                    <w:jc w:val="left"/>
                  </w:pPr>
                  <w:r w:rsidRPr="000D77DB">
                    <w:t xml:space="preserve">Complete (subject to caveats) for the current reporting period. </w:t>
                  </w:r>
                </w:p>
              </w:tc>
            </w:tr>
          </w:tbl>
          <w:p w14:paraId="1BCC6E4B" w14:textId="77777777" w:rsidR="00427E1D" w:rsidRPr="00784A05" w:rsidRDefault="00427E1D" w:rsidP="00D71577">
            <w:pPr>
              <w:pStyle w:val="FigureTitle"/>
              <w:rPr>
                <w:b w:val="0"/>
              </w:rPr>
            </w:pPr>
          </w:p>
        </w:tc>
      </w:tr>
      <w:tr w:rsidR="004B6FE2" w14:paraId="16DEC149" w14:textId="77777777" w:rsidTr="006314ED">
        <w:tc>
          <w:tcPr>
            <w:tcW w:w="8793" w:type="dxa"/>
            <w:tcBorders>
              <w:top w:val="nil"/>
              <w:left w:val="nil"/>
              <w:bottom w:val="nil"/>
              <w:right w:val="nil"/>
            </w:tcBorders>
            <w:shd w:val="clear" w:color="auto" w:fill="auto"/>
            <w:tcMar>
              <w:top w:w="28" w:type="dxa"/>
              <w:bottom w:w="28" w:type="dxa"/>
            </w:tcMar>
          </w:tcPr>
          <w:tbl>
            <w:tblPr>
              <w:tblW w:w="8776"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776"/>
            </w:tblGrid>
            <w:tr w:rsidR="004B6FE2" w14:paraId="04F870C3" w14:textId="77777777" w:rsidTr="00F12E9C">
              <w:trPr>
                <w:jc w:val="center"/>
              </w:trPr>
              <w:tc>
                <w:tcPr>
                  <w:tcW w:w="8776" w:type="dxa"/>
                  <w:tcBorders>
                    <w:top w:val="nil"/>
                    <w:bottom w:val="nil"/>
                  </w:tcBorders>
                </w:tcPr>
                <w:p w14:paraId="5874694C" w14:textId="376A250A" w:rsidR="004B6FE2" w:rsidRDefault="00F12E9C" w:rsidP="00D71577">
                  <w:pPr>
                    <w:pStyle w:val="Figure"/>
                    <w:spacing w:before="60" w:after="60"/>
                  </w:pPr>
                  <w:r>
                    <w:rPr>
                      <w:noProof/>
                    </w:rPr>
                    <w:drawing>
                      <wp:inline distT="0" distB="0" distL="0" distR="0" wp14:anchorId="7E1BB51D" wp14:editId="72D51BD4">
                        <wp:extent cx="5400000" cy="2520000"/>
                        <wp:effectExtent l="0" t="0" r="0" b="0"/>
                        <wp:docPr id="5" name="Chart 5" descr="Figure 10.6 Children who were fully immunised, by age (months) &#10;2017-18&#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14:paraId="4A0AAEBF" w14:textId="77777777" w:rsidR="004B6FE2" w:rsidRDefault="004B6FE2" w:rsidP="00D71577">
            <w:pPr>
              <w:pStyle w:val="Figure"/>
            </w:pPr>
          </w:p>
        </w:tc>
      </w:tr>
      <w:tr w:rsidR="004B6FE2" w:rsidRPr="00176D3F" w14:paraId="6099A310" w14:textId="77777777" w:rsidTr="006314ED">
        <w:tc>
          <w:tcPr>
            <w:tcW w:w="8793" w:type="dxa"/>
            <w:tcBorders>
              <w:top w:val="nil"/>
              <w:left w:val="nil"/>
              <w:bottom w:val="nil"/>
              <w:right w:val="nil"/>
            </w:tcBorders>
            <w:shd w:val="clear" w:color="auto" w:fill="auto"/>
          </w:tcPr>
          <w:p w14:paraId="7AA9D692" w14:textId="76B078E2" w:rsidR="004B6FE2" w:rsidRPr="00176D3F" w:rsidRDefault="004B6FE2" w:rsidP="00A15649">
            <w:pPr>
              <w:pStyle w:val="Note"/>
            </w:pPr>
            <w:r>
              <w:rPr>
                <w:rStyle w:val="NoteLabel"/>
              </w:rPr>
              <w:t>a</w:t>
            </w:r>
            <w:r>
              <w:t xml:space="preserve"> See </w:t>
            </w:r>
            <w:r w:rsidRPr="00F4390A">
              <w:t>box 10.</w:t>
            </w:r>
            <w:r w:rsidR="00A15649">
              <w:t>9</w:t>
            </w:r>
            <w:r>
              <w:t xml:space="preserve"> and </w:t>
            </w:r>
            <w:r w:rsidRPr="00D43019">
              <w:t>table 10A.</w:t>
            </w:r>
            <w:r w:rsidR="00FD0D02">
              <w:t>45</w:t>
            </w:r>
            <w:r>
              <w:t xml:space="preserve"> for detailed definitions, footnotes and caveats.</w:t>
            </w:r>
          </w:p>
        </w:tc>
      </w:tr>
      <w:tr w:rsidR="004B6FE2" w:rsidRPr="00176D3F" w14:paraId="165232B9" w14:textId="77777777" w:rsidTr="006314ED">
        <w:tc>
          <w:tcPr>
            <w:tcW w:w="8793" w:type="dxa"/>
            <w:tcBorders>
              <w:top w:val="nil"/>
              <w:left w:val="nil"/>
              <w:bottom w:val="nil"/>
              <w:right w:val="nil"/>
            </w:tcBorders>
            <w:shd w:val="clear" w:color="auto" w:fill="auto"/>
          </w:tcPr>
          <w:p w14:paraId="011178C1" w14:textId="6B1A6930" w:rsidR="004B6FE2" w:rsidRPr="00176D3F" w:rsidRDefault="004B6FE2" w:rsidP="00977DE4">
            <w:pPr>
              <w:pStyle w:val="Source"/>
            </w:pPr>
            <w:r w:rsidRPr="00834AD4">
              <w:rPr>
                <w:i/>
              </w:rPr>
              <w:t>Source</w:t>
            </w:r>
            <w:r w:rsidRPr="00834AD4">
              <w:t xml:space="preserve">: </w:t>
            </w:r>
            <w:r>
              <w:t>Department of Health</w:t>
            </w:r>
            <w:r w:rsidRPr="00834AD4">
              <w:t xml:space="preserve"> (unpublished)</w:t>
            </w:r>
            <w:r>
              <w:t xml:space="preserve"> </w:t>
            </w:r>
            <w:r w:rsidR="00E2524E" w:rsidRPr="00B449FF">
              <w:t>Australian Immunisation Register (</w:t>
            </w:r>
            <w:r w:rsidRPr="00B449FF">
              <w:t>AIR</w:t>
            </w:r>
            <w:r w:rsidR="00E2524E" w:rsidRPr="00B449FF">
              <w:t>)</w:t>
            </w:r>
            <w:r w:rsidRPr="00295C56">
              <w:t xml:space="preserve"> </w:t>
            </w:r>
            <w:r>
              <w:t xml:space="preserve">data collection; </w:t>
            </w:r>
            <w:r w:rsidRPr="00D43019">
              <w:t>table 10A.</w:t>
            </w:r>
            <w:r w:rsidR="00977DE4">
              <w:t>45</w:t>
            </w:r>
            <w:r w:rsidRPr="006C74C6">
              <w:t>.</w:t>
            </w:r>
          </w:p>
        </w:tc>
      </w:tr>
      <w:tr w:rsidR="004B6FE2" w14:paraId="7C34D60A" w14:textId="77777777" w:rsidTr="006314ED">
        <w:tc>
          <w:tcPr>
            <w:tcW w:w="8793" w:type="dxa"/>
            <w:tcBorders>
              <w:top w:val="nil"/>
              <w:left w:val="nil"/>
              <w:bottom w:val="single" w:sz="6" w:space="0" w:color="78A22F"/>
              <w:right w:val="nil"/>
            </w:tcBorders>
            <w:shd w:val="clear" w:color="auto" w:fill="auto"/>
          </w:tcPr>
          <w:p w14:paraId="6A7095EF" w14:textId="77777777" w:rsidR="004B6FE2" w:rsidRDefault="004B6FE2" w:rsidP="00D71577">
            <w:pPr>
              <w:pStyle w:val="Figurespace"/>
            </w:pPr>
          </w:p>
        </w:tc>
      </w:tr>
      <w:tr w:rsidR="004B6FE2" w:rsidRPr="000863A5" w14:paraId="4491D16C" w14:textId="77777777" w:rsidTr="006314ED">
        <w:tc>
          <w:tcPr>
            <w:tcW w:w="8793" w:type="dxa"/>
            <w:tcBorders>
              <w:top w:val="single" w:sz="6" w:space="0" w:color="78A22F"/>
              <w:left w:val="nil"/>
              <w:bottom w:val="nil"/>
              <w:right w:val="nil"/>
            </w:tcBorders>
          </w:tcPr>
          <w:p w14:paraId="1204287C" w14:textId="51EF0188" w:rsidR="004B6FE2" w:rsidRPr="00626D32" w:rsidRDefault="004B6FE2" w:rsidP="00D71577">
            <w:pPr>
              <w:pStyle w:val="BoxSpaceBelow"/>
            </w:pPr>
          </w:p>
        </w:tc>
      </w:tr>
    </w:tbl>
    <w:p w14:paraId="291BF4CD" w14:textId="77777777" w:rsidR="00C07A23" w:rsidRDefault="00F502DE" w:rsidP="00C07A23">
      <w:pPr>
        <w:pStyle w:val="Heading4"/>
      </w:pPr>
      <w:r w:rsidRPr="00597C24">
        <w:t>Appropriateness –</w:t>
      </w:r>
      <w:r w:rsidR="006D780F" w:rsidRPr="00597C24">
        <w:t xml:space="preserve"> </w:t>
      </w:r>
      <w:r w:rsidR="00EB6170" w:rsidRPr="00597C24">
        <w:t>C</w:t>
      </w:r>
      <w:r w:rsidR="00C07A23" w:rsidRPr="00597C24">
        <w:t>ancer screening</w:t>
      </w:r>
      <w:r w:rsidR="00C07A23">
        <w:t xml:space="preserve"> </w:t>
      </w:r>
    </w:p>
    <w:p w14:paraId="308B2AC6" w14:textId="00BD5F6D" w:rsidR="00C07A23" w:rsidRDefault="00C07A23" w:rsidP="00C07A23">
      <w:pPr>
        <w:pStyle w:val="BodyText"/>
      </w:pPr>
      <w:r>
        <w:t>‘</w:t>
      </w:r>
      <w:r w:rsidR="00EB6170">
        <w:t>C</w:t>
      </w:r>
      <w:r>
        <w:t xml:space="preserve">ancer </w:t>
      </w:r>
      <w:r w:rsidRPr="00701FDC">
        <w:t xml:space="preserve">screening’ is an indicator of </w:t>
      </w:r>
      <w:r>
        <w:t xml:space="preserve">governments’ objective to </w:t>
      </w:r>
      <w:r w:rsidR="0090371C">
        <w:t xml:space="preserve">ensure </w:t>
      </w:r>
      <w:r w:rsidR="00D963E4">
        <w:t xml:space="preserve">primary and community health services are </w:t>
      </w:r>
      <w:r w:rsidR="0090371C">
        <w:t>appropriate and responsive</w:t>
      </w:r>
      <w:r w:rsidR="00D963E4">
        <w:t xml:space="preserve"> to meet the needs of individuals throughout their lifespan and communities</w:t>
      </w:r>
      <w:r>
        <w:t xml:space="preserve"> (</w:t>
      </w:r>
      <w:r w:rsidRPr="007C7EA6">
        <w:t>box 10.</w:t>
      </w:r>
      <w:r w:rsidR="00A15649">
        <w:t>10</w:t>
      </w:r>
      <w:r>
        <w:t>).</w:t>
      </w:r>
    </w:p>
    <w:p w14:paraId="65F4C0A6" w14:textId="591A9E8A" w:rsidR="00C07A23" w:rsidRDefault="00C07A23" w:rsidP="00C07A23">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C07A23" w14:paraId="135B8BF1" w14:textId="77777777" w:rsidTr="006314ED">
        <w:tc>
          <w:tcPr>
            <w:tcW w:w="8793" w:type="dxa"/>
            <w:tcBorders>
              <w:top w:val="single" w:sz="6" w:space="0" w:color="78A22F"/>
              <w:left w:val="nil"/>
              <w:bottom w:val="nil"/>
              <w:right w:val="nil"/>
            </w:tcBorders>
            <w:shd w:val="clear" w:color="auto" w:fill="F2F2F2"/>
          </w:tcPr>
          <w:p w14:paraId="798F8E85" w14:textId="033B869D" w:rsidR="00C07A23" w:rsidRDefault="00C07A23" w:rsidP="00EB6170">
            <w:pPr>
              <w:pStyle w:val="BoxTitle"/>
            </w:pPr>
            <w:r>
              <w:rPr>
                <w:b w:val="0"/>
              </w:rPr>
              <w:t xml:space="preserve">Box </w:t>
            </w:r>
            <w:r w:rsidR="009525ED">
              <w:rPr>
                <w:b w:val="0"/>
              </w:rPr>
              <w:t>10.</w:t>
            </w:r>
            <w:r w:rsidR="0008386D">
              <w:rPr>
                <w:b w:val="0"/>
                <w:noProof/>
              </w:rPr>
              <w:t>10</w:t>
            </w:r>
            <w:r>
              <w:tab/>
            </w:r>
            <w:r w:rsidR="00EB6170">
              <w:t>C</w:t>
            </w:r>
            <w:r w:rsidRPr="00E52050">
              <w:t>ancer screening</w:t>
            </w:r>
          </w:p>
        </w:tc>
      </w:tr>
      <w:tr w:rsidR="00C07A23" w14:paraId="39ADE047" w14:textId="77777777" w:rsidTr="006314ED">
        <w:trPr>
          <w:cantSplit/>
        </w:trPr>
        <w:tc>
          <w:tcPr>
            <w:tcW w:w="8793" w:type="dxa"/>
            <w:tcBorders>
              <w:top w:val="nil"/>
              <w:left w:val="nil"/>
              <w:bottom w:val="nil"/>
              <w:right w:val="nil"/>
            </w:tcBorders>
            <w:shd w:val="clear" w:color="auto" w:fill="F2F2F2"/>
          </w:tcPr>
          <w:p w14:paraId="3A144756" w14:textId="77777777" w:rsidR="008B132E" w:rsidRDefault="008B132E" w:rsidP="00D71577">
            <w:pPr>
              <w:pStyle w:val="Box"/>
            </w:pPr>
            <w:r>
              <w:t>‘Cancer screening’ is defined by t</w:t>
            </w:r>
            <w:r w:rsidR="00A51DE8">
              <w:t>hree</w:t>
            </w:r>
            <w:r>
              <w:t xml:space="preserve"> measures:</w:t>
            </w:r>
          </w:p>
          <w:p w14:paraId="37017D38" w14:textId="38B29388" w:rsidR="00543B48" w:rsidRPr="00543B48" w:rsidRDefault="00C07A23" w:rsidP="008B132E">
            <w:pPr>
              <w:pStyle w:val="BoxListBullet"/>
              <w:rPr>
                <w:sz w:val="24"/>
              </w:rPr>
            </w:pPr>
            <w:r>
              <w:t>Participation for women in breast cancer screening</w:t>
            </w:r>
            <w:r w:rsidR="00D963E4">
              <w:t>,</w:t>
            </w:r>
            <w:r>
              <w:t xml:space="preserve"> defined as the </w:t>
            </w:r>
            <w:r w:rsidR="00D963E4">
              <w:t xml:space="preserve">proportion </w:t>
            </w:r>
            <w:r>
              <w:t xml:space="preserve">of women aged </w:t>
            </w:r>
            <w:r w:rsidRPr="000135E5">
              <w:t>50–74 years who are screened in the BreastScreen Aust</w:t>
            </w:r>
            <w:r w:rsidR="00B417BF">
              <w:t>ralia Program over a 24</w:t>
            </w:r>
            <w:r w:rsidR="00B417BF">
              <w:noBreakHyphen/>
            </w:r>
            <w:r w:rsidRPr="000135E5">
              <w:t xml:space="preserve">month period, </w:t>
            </w:r>
            <w:r w:rsidR="00543B48">
              <w:t>reported as a rate</w:t>
            </w:r>
          </w:p>
          <w:p w14:paraId="4F2D920D" w14:textId="5C96B25F" w:rsidR="00C07A23" w:rsidRPr="0051705A" w:rsidRDefault="00543B48" w:rsidP="008B132E">
            <w:pPr>
              <w:pStyle w:val="BoxListBullet"/>
              <w:rPr>
                <w:sz w:val="24"/>
              </w:rPr>
            </w:pPr>
            <w:r w:rsidRPr="0051705A">
              <w:t>Participation for women in cervical screening</w:t>
            </w:r>
            <w:r w:rsidR="00D963E4" w:rsidRPr="0051705A">
              <w:t>,</w:t>
            </w:r>
            <w:r w:rsidRPr="0051705A">
              <w:t xml:space="preserve"> defined as the proportion of the estimated eligible population of women</w:t>
            </w:r>
            <w:r w:rsidR="00D963E4" w:rsidRPr="0051705A">
              <w:t xml:space="preserve"> (not had a hysterectomy)</w:t>
            </w:r>
            <w:r w:rsidRPr="0051705A">
              <w:t xml:space="preserve"> aged 20–69 y</w:t>
            </w:r>
            <w:r w:rsidR="00B417BF">
              <w:t>ears who are screened over a 24-</w:t>
            </w:r>
            <w:r w:rsidRPr="0051705A">
              <w:t xml:space="preserve">month period, reported as a rate </w:t>
            </w:r>
          </w:p>
          <w:p w14:paraId="2248EC38" w14:textId="6DBB1024" w:rsidR="00A51DE8" w:rsidRPr="00097C57" w:rsidRDefault="00A51DE8" w:rsidP="005C6526">
            <w:pPr>
              <w:pStyle w:val="BoxListBullet"/>
              <w:rPr>
                <w:sz w:val="24"/>
              </w:rPr>
            </w:pPr>
            <w:r>
              <w:t>Participation of persons in bowel cancer scree</w:t>
            </w:r>
            <w:r w:rsidR="0090371C">
              <w:t>ning</w:t>
            </w:r>
            <w:r w:rsidR="00D963E4">
              <w:t>,</w:t>
            </w:r>
            <w:r w:rsidR="0090371C">
              <w:t xml:space="preserve"> defined as persons aged 50–</w:t>
            </w:r>
            <w:r>
              <w:t>74</w:t>
            </w:r>
            <w:r w:rsidR="009F6F78">
              <w:t xml:space="preserve"> years</w:t>
            </w:r>
            <w:r>
              <w:t xml:space="preserve"> who were invited to participate in the National Bowel Can</w:t>
            </w:r>
            <w:r w:rsidR="00B417BF">
              <w:t>cer Screening Program over a 24</w:t>
            </w:r>
            <w:r w:rsidR="00B417BF">
              <w:noBreakHyphen/>
            </w:r>
            <w:r>
              <w:t>month period and returned a completed test kit</w:t>
            </w:r>
            <w:r w:rsidR="005C6526">
              <w:t xml:space="preserve"> </w:t>
            </w:r>
            <w:r w:rsidR="005C6526" w:rsidRPr="0089774C">
              <w:t>within 6 months of the end of that period</w:t>
            </w:r>
            <w:r w:rsidR="0095018E">
              <w:t>,</w:t>
            </w:r>
            <w:r>
              <w:t xml:space="preserve"> divided by the number of invitations issued minus </w:t>
            </w:r>
            <w:r w:rsidR="007202FE">
              <w:t xml:space="preserve">those people who </w:t>
            </w:r>
            <w:r>
              <w:t xml:space="preserve">opted </w:t>
            </w:r>
            <w:r w:rsidR="0095018E">
              <w:t xml:space="preserve">out </w:t>
            </w:r>
            <w:r w:rsidR="007202FE">
              <w:t>or</w:t>
            </w:r>
            <w:r>
              <w:t xml:space="preserve"> suspended</w:t>
            </w:r>
            <w:r w:rsidR="007202FE">
              <w:t xml:space="preserve"> without completing their screening test</w:t>
            </w:r>
            <w:r>
              <w:t>.</w:t>
            </w:r>
          </w:p>
          <w:p w14:paraId="629ADE9B" w14:textId="79A21DA3" w:rsidR="00C07A23" w:rsidRDefault="00D963E4" w:rsidP="003675CB">
            <w:pPr>
              <w:pStyle w:val="Box"/>
            </w:pPr>
            <w:r>
              <w:t>H</w:t>
            </w:r>
            <w:r w:rsidR="00C07A23">
              <w:t>igh or increasing participation rate</w:t>
            </w:r>
            <w:r>
              <w:t>s are</w:t>
            </w:r>
            <w:r w:rsidR="00C07A23">
              <w:t xml:space="preserve"> desirable.</w:t>
            </w:r>
          </w:p>
          <w:p w14:paraId="63F6B699" w14:textId="3EE57561" w:rsidR="00F41101" w:rsidRDefault="00C07A23" w:rsidP="003675CB">
            <w:pPr>
              <w:pStyle w:val="Box"/>
            </w:pPr>
            <w:r>
              <w:t xml:space="preserve">Data reported </w:t>
            </w:r>
            <w:r w:rsidR="00701A3E">
              <w:t xml:space="preserve">for the breast and bowel cancer screening measures </w:t>
            </w:r>
            <w:r>
              <w:t>are:</w:t>
            </w:r>
          </w:p>
          <w:p w14:paraId="01DFB91C" w14:textId="5B6D5005" w:rsidR="00A52BE1" w:rsidRDefault="00A52BE1" w:rsidP="003675CB">
            <w:pPr>
              <w:pStyle w:val="Box"/>
              <w:ind w:left="284"/>
            </w:pPr>
            <w:r w:rsidRPr="001B3B2F">
              <w:rPr>
                <w:shd w:val="clear" w:color="auto" w:fill="F15A25"/>
              </w:rPr>
              <w:t xml:space="preserve">    </w:t>
            </w:r>
            <w:r>
              <w:t xml:space="preserve"> comparable (subject to caveats) across jurisdictions and over time</w:t>
            </w:r>
            <w:r w:rsidR="00234290">
              <w:t xml:space="preserve">. </w:t>
            </w:r>
            <w:r w:rsidR="00234290" w:rsidRPr="00234290">
              <w:t>A break in series with the change of target age group for breast cancer screening from 50–69 years to 50–74 years means that data from 2014–2015 onwards are not comparable to earlier time periods</w:t>
            </w:r>
          </w:p>
          <w:p w14:paraId="4391DC20" w14:textId="77777777" w:rsidR="00EB6170" w:rsidRDefault="00A52BE1" w:rsidP="003675CB">
            <w:pPr>
              <w:pStyle w:val="Box"/>
              <w:ind w:left="284"/>
            </w:pPr>
            <w:r w:rsidRPr="001B3B2F">
              <w:rPr>
                <w:shd w:val="clear" w:color="auto" w:fill="F15A25"/>
              </w:rPr>
              <w:t xml:space="preserve">    </w:t>
            </w:r>
            <w:r>
              <w:t xml:space="preserve"> complete (subject to caveats) for the current reporting period. All required data for the 24</w:t>
            </w:r>
            <w:r>
              <w:noBreakHyphen/>
              <w:t>month period 2016</w:t>
            </w:r>
            <w:r w:rsidR="009A0CE8">
              <w:t>–</w:t>
            </w:r>
            <w:r>
              <w:t xml:space="preserve">2017 are available for all jurisdictions and cancer screening programs. </w:t>
            </w:r>
          </w:p>
          <w:p w14:paraId="4B88A522" w14:textId="2CBF2BDE" w:rsidR="00701A3E" w:rsidRDefault="00701A3E" w:rsidP="003675CB">
            <w:pPr>
              <w:pStyle w:val="Box"/>
            </w:pPr>
            <w:r>
              <w:t>Data reported for the cervical cancer screening measure are:</w:t>
            </w:r>
          </w:p>
          <w:p w14:paraId="5433F493" w14:textId="29973F57" w:rsidR="00701A3E" w:rsidRDefault="00701A3E" w:rsidP="003675CB">
            <w:pPr>
              <w:pStyle w:val="Box"/>
              <w:ind w:left="284"/>
            </w:pPr>
            <w:r w:rsidRPr="001B3B2F">
              <w:rPr>
                <w:shd w:val="clear" w:color="auto" w:fill="F15A25"/>
              </w:rPr>
              <w:t xml:space="preserve">    </w:t>
            </w:r>
            <w:r>
              <w:t xml:space="preserve"> comparable (subject to caveats) across jurisdictions and over time</w:t>
            </w:r>
          </w:p>
          <w:p w14:paraId="01B28BE7" w14:textId="4A6458C0" w:rsidR="00950A22" w:rsidRDefault="00950A22" w:rsidP="003675CB">
            <w:pPr>
              <w:pStyle w:val="BoxListBullet"/>
              <w:numPr>
                <w:ilvl w:val="0"/>
                <w:numId w:val="0"/>
              </w:numPr>
              <w:ind w:left="284"/>
            </w:pPr>
            <w:r w:rsidRPr="00344676">
              <w:rPr>
                <w:shd w:val="clear" w:color="auto" w:fill="FCDED3"/>
              </w:rPr>
              <w:t xml:space="preserve">    </w:t>
            </w:r>
            <w:r>
              <w:t xml:space="preserve"> </w:t>
            </w:r>
            <w:r w:rsidRPr="00AC2399">
              <w:t>incomplete for the c</w:t>
            </w:r>
            <w:r>
              <w:t>urrent reporting period. All required 2016</w:t>
            </w:r>
            <w:r w:rsidR="003675CB" w:rsidRPr="00234290">
              <w:t>–</w:t>
            </w:r>
            <w:r>
              <w:t xml:space="preserve">2017 data are not </w:t>
            </w:r>
            <w:r w:rsidRPr="00AC2399">
              <w:t>available</w:t>
            </w:r>
            <w:r>
              <w:t xml:space="preserve"> for all jurisdictions</w:t>
            </w:r>
            <w:r w:rsidR="0051705A">
              <w:t xml:space="preserve"> due to a change in the national cervical cancer screening program from December 2017</w:t>
            </w:r>
            <w:r w:rsidRPr="00AC2399">
              <w:t>.</w:t>
            </w:r>
          </w:p>
        </w:tc>
      </w:tr>
      <w:tr w:rsidR="00C07A23" w14:paraId="38D28500" w14:textId="77777777" w:rsidTr="006314ED">
        <w:trPr>
          <w:cantSplit/>
        </w:trPr>
        <w:tc>
          <w:tcPr>
            <w:tcW w:w="8793" w:type="dxa"/>
            <w:tcBorders>
              <w:top w:val="nil"/>
              <w:left w:val="nil"/>
              <w:bottom w:val="single" w:sz="6" w:space="0" w:color="78A22F"/>
              <w:right w:val="nil"/>
            </w:tcBorders>
            <w:shd w:val="clear" w:color="auto" w:fill="F2F2F2"/>
          </w:tcPr>
          <w:p w14:paraId="5E81E8F2" w14:textId="77777777" w:rsidR="00C07A23" w:rsidRDefault="00C07A23" w:rsidP="00D71577">
            <w:pPr>
              <w:pStyle w:val="Box"/>
              <w:spacing w:before="0" w:line="120" w:lineRule="exact"/>
            </w:pPr>
          </w:p>
        </w:tc>
      </w:tr>
      <w:tr w:rsidR="00C07A23" w:rsidRPr="000863A5" w14:paraId="18D76AD1" w14:textId="77777777" w:rsidTr="006314ED">
        <w:tc>
          <w:tcPr>
            <w:tcW w:w="8793" w:type="dxa"/>
            <w:tcBorders>
              <w:top w:val="single" w:sz="6" w:space="0" w:color="78A22F"/>
              <w:left w:val="nil"/>
              <w:bottom w:val="nil"/>
              <w:right w:val="nil"/>
            </w:tcBorders>
          </w:tcPr>
          <w:p w14:paraId="7F4518DA" w14:textId="6D40EFB1" w:rsidR="00C07A23" w:rsidRPr="00626D32" w:rsidRDefault="00C07A23" w:rsidP="00D71577">
            <w:pPr>
              <w:pStyle w:val="BoxSpaceBelow"/>
            </w:pPr>
          </w:p>
        </w:tc>
      </w:tr>
    </w:tbl>
    <w:p w14:paraId="5986C680" w14:textId="3CC2B144" w:rsidR="00995CAC" w:rsidRDefault="00C07A23" w:rsidP="003675CB">
      <w:pPr>
        <w:pStyle w:val="BodyText"/>
        <w:rPr>
          <w:color w:val="FF0000"/>
        </w:rPr>
      </w:pPr>
      <w:r w:rsidRPr="000135E5">
        <w:t>The national age</w:t>
      </w:r>
      <w:r w:rsidR="00D963E4">
        <w:t>-</w:t>
      </w:r>
      <w:r w:rsidRPr="000135E5">
        <w:t xml:space="preserve">standardised </w:t>
      </w:r>
      <w:r w:rsidR="00A52BE1">
        <w:t xml:space="preserve">BreastScreen </w:t>
      </w:r>
      <w:r w:rsidRPr="000135E5">
        <w:t>participation rate</w:t>
      </w:r>
      <w:r w:rsidR="006314ED">
        <w:t xml:space="preserve"> for women aged 50–74 years for </w:t>
      </w:r>
      <w:r w:rsidRPr="000135E5">
        <w:t>201</w:t>
      </w:r>
      <w:r w:rsidR="005B768E">
        <w:t>6</w:t>
      </w:r>
      <w:r w:rsidR="00CC0CC5">
        <w:t>–</w:t>
      </w:r>
      <w:r w:rsidRPr="000135E5">
        <w:t>201</w:t>
      </w:r>
      <w:r w:rsidR="005B768E">
        <w:t>7</w:t>
      </w:r>
      <w:r w:rsidRPr="000135E5">
        <w:t xml:space="preserve"> was </w:t>
      </w:r>
      <w:r w:rsidR="00D65F4E">
        <w:t>54.5</w:t>
      </w:r>
      <w:r w:rsidRPr="000135E5">
        <w:t xml:space="preserve"> per cent</w:t>
      </w:r>
      <w:r w:rsidR="00E474D4">
        <w:t xml:space="preserve"> </w:t>
      </w:r>
      <w:r w:rsidR="00951F4E" w:rsidRPr="000135E5">
        <w:t>(figure 10.</w:t>
      </w:r>
      <w:r w:rsidR="00003672">
        <w:t>7</w:t>
      </w:r>
      <w:r w:rsidR="00951F4E" w:rsidRPr="000135E5">
        <w:t>)</w:t>
      </w:r>
      <w:r w:rsidR="00951F4E">
        <w:t xml:space="preserve">, </w:t>
      </w:r>
      <w:r w:rsidR="00D65F4E">
        <w:t>similar to the age-standardised rate for 2015</w:t>
      </w:r>
      <w:r w:rsidR="0006274A">
        <w:t>–</w:t>
      </w:r>
      <w:r w:rsidR="00D65F4E">
        <w:t>2016 (54.3</w:t>
      </w:r>
      <w:r w:rsidR="0019334E">
        <w:t xml:space="preserve"> per cent</w:t>
      </w:r>
      <w:r w:rsidR="00D65F4E">
        <w:t xml:space="preserve">) </w:t>
      </w:r>
      <w:r w:rsidRPr="000135E5">
        <w:t>(</w:t>
      </w:r>
      <w:r w:rsidR="00927895">
        <w:t>table </w:t>
      </w:r>
      <w:r w:rsidR="00951F4E">
        <w:t>10A.4</w:t>
      </w:r>
      <w:r w:rsidR="00736D41">
        <w:t>6</w:t>
      </w:r>
      <w:r w:rsidRPr="000135E5">
        <w:t>).</w:t>
      </w:r>
      <w:r w:rsidR="005B768E">
        <w:t xml:space="preserve"> </w:t>
      </w:r>
    </w:p>
    <w:p w14:paraId="57B668E8" w14:textId="4A2CED82" w:rsidR="00A52BE1" w:rsidRDefault="00EB6170" w:rsidP="00EB6170">
      <w:pPr>
        <w:pStyle w:val="BodyText"/>
      </w:pPr>
      <w:r>
        <w:t>Aboriginal and Torres Strait Islander</w:t>
      </w:r>
      <w:r w:rsidRPr="008424C4">
        <w:t xml:space="preserve"> wo</w:t>
      </w:r>
      <w:r>
        <w:t xml:space="preserve">men </w:t>
      </w:r>
      <w:r w:rsidRPr="008424C4">
        <w:t>and women living in outer regional, remote and very remote areas can experience particular language, cultural and geographic barriers to accessing breast cancer screening.</w:t>
      </w:r>
      <w:r>
        <w:t xml:space="preserve"> </w:t>
      </w:r>
      <w:r w:rsidRPr="00B927EB">
        <w:t>Participation rates for community groups at</w:t>
      </w:r>
      <w:r>
        <w:t xml:space="preserve"> or close to</w:t>
      </w:r>
      <w:r w:rsidRPr="00B927EB">
        <w:t xml:space="preserve"> those for the total population indicate equitable access to early detection services</w:t>
      </w:r>
      <w:r w:rsidR="00D963E4">
        <w:t>, bearing in mind that d</w:t>
      </w:r>
      <w:r>
        <w:t xml:space="preserve">ata are not directly comparable within or across community groups </w:t>
      </w:r>
      <w:r w:rsidRPr="00D72BFA">
        <w:t xml:space="preserve">as </w:t>
      </w:r>
      <w:r>
        <w:t>Indigenous status</w:t>
      </w:r>
      <w:r w:rsidRPr="00D72BFA">
        <w:t xml:space="preserve"> </w:t>
      </w:r>
      <w:r>
        <w:t>identification in administrative records varies.</w:t>
      </w:r>
      <w:r w:rsidR="00D963E4">
        <w:t xml:space="preserve"> </w:t>
      </w:r>
      <w:r w:rsidRPr="005E67F8">
        <w:t>For 201</w:t>
      </w:r>
      <w:r w:rsidR="005B768E">
        <w:t>6</w:t>
      </w:r>
      <w:r w:rsidR="00CC0CC5">
        <w:t>–</w:t>
      </w:r>
      <w:r w:rsidRPr="005E67F8">
        <w:t>201</w:t>
      </w:r>
      <w:r w:rsidR="005B768E">
        <w:t>7</w:t>
      </w:r>
      <w:r w:rsidRPr="005E67F8">
        <w:t xml:space="preserve">, the </w:t>
      </w:r>
      <w:r w:rsidRPr="00D21BEC">
        <w:t xml:space="preserve">participation rate for </w:t>
      </w:r>
      <w:r w:rsidR="00951F4E" w:rsidRPr="00D21BEC">
        <w:t xml:space="preserve">Aboriginal and Torres Strait Islander </w:t>
      </w:r>
      <w:r w:rsidRPr="00D21BEC">
        <w:t xml:space="preserve">women aged 50–74 years was </w:t>
      </w:r>
      <w:r w:rsidR="005B768E" w:rsidRPr="00D21BEC">
        <w:t>40.4 per</w:t>
      </w:r>
      <w:r w:rsidR="005B768E">
        <w:t xml:space="preserve"> cent (table </w:t>
      </w:r>
      <w:r w:rsidRPr="005E67F8">
        <w:t>10A.</w:t>
      </w:r>
      <w:r w:rsidR="00255BD4">
        <w:t>47</w:t>
      </w:r>
      <w:r w:rsidRPr="005E67F8">
        <w:t>).</w:t>
      </w:r>
    </w:p>
    <w:p w14:paraId="07CBFDB0" w14:textId="77777777" w:rsidR="00A52BE1" w:rsidRDefault="00A52BE1">
      <w:pPr>
        <w:rPr>
          <w:szCs w:val="20"/>
        </w:rPr>
      </w:pPr>
      <w:r>
        <w:br w:type="page"/>
      </w:r>
    </w:p>
    <w:p w14:paraId="0BE370EA" w14:textId="5F9ABDF0" w:rsidR="00C07A23" w:rsidRDefault="00C07A23" w:rsidP="00C07A23">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C07A23" w14:paraId="61812E78" w14:textId="77777777" w:rsidTr="00292C66">
        <w:tc>
          <w:tcPr>
            <w:tcW w:w="8793" w:type="dxa"/>
            <w:tcBorders>
              <w:top w:val="single" w:sz="6" w:space="0" w:color="78A22F"/>
              <w:left w:val="nil"/>
              <w:bottom w:val="nil"/>
              <w:right w:val="nil"/>
            </w:tcBorders>
            <w:shd w:val="clear" w:color="auto" w:fill="auto"/>
          </w:tcPr>
          <w:p w14:paraId="2F6F7250" w14:textId="53E4851A" w:rsidR="00C07A23" w:rsidRPr="00176D3F" w:rsidRDefault="00C07A23" w:rsidP="00C1075D">
            <w:pPr>
              <w:pStyle w:val="FigureTitle"/>
            </w:pPr>
            <w:r w:rsidRPr="00784A05">
              <w:rPr>
                <w:b w:val="0"/>
              </w:rPr>
              <w:t xml:space="preserve">Figure </w:t>
            </w:r>
            <w:r w:rsidR="009525ED">
              <w:rPr>
                <w:b w:val="0"/>
              </w:rPr>
              <w:t>10.</w:t>
            </w:r>
            <w:r w:rsidR="0008386D">
              <w:rPr>
                <w:b w:val="0"/>
                <w:noProof/>
              </w:rPr>
              <w:t>7</w:t>
            </w:r>
            <w:r>
              <w:tab/>
            </w:r>
            <w:r w:rsidRPr="00643080">
              <w:t xml:space="preserve">Participation in BreastScreen Australia screening programs — women aged </w:t>
            </w:r>
            <w:r w:rsidRPr="00001EC4">
              <w:t>50–74 years</w:t>
            </w:r>
            <w:r w:rsidRPr="00643080">
              <w:t xml:space="preserve"> </w:t>
            </w:r>
            <w:r>
              <w:t>201</w:t>
            </w:r>
            <w:r w:rsidR="00A52BE1">
              <w:t>6</w:t>
            </w:r>
            <w:r w:rsidR="0037385E">
              <w:t>–</w:t>
            </w:r>
            <w:r>
              <w:t>201</w:t>
            </w:r>
            <w:r w:rsidR="00A52BE1">
              <w:t>7</w:t>
            </w:r>
            <w:r>
              <w:t xml:space="preserve"> </w:t>
            </w:r>
            <w:r w:rsidR="0006274A">
              <w:t xml:space="preserve">(24 </w:t>
            </w:r>
            <w:r w:rsidRPr="00643080">
              <w:t>month period)</w:t>
            </w:r>
            <w:r>
              <w:rPr>
                <w:rStyle w:val="NoteLabel"/>
                <w:b/>
              </w:rPr>
              <w:t>a</w:t>
            </w:r>
          </w:p>
        </w:tc>
      </w:tr>
      <w:tr w:rsidR="0052050A" w14:paraId="2355710F" w14:textId="77777777" w:rsidTr="00292C66">
        <w:tc>
          <w:tcPr>
            <w:tcW w:w="8793" w:type="dxa"/>
            <w:tcBorders>
              <w:top w:val="nil"/>
              <w:left w:val="nil"/>
              <w:bottom w:val="nil"/>
              <w:right w:val="nil"/>
            </w:tcBorders>
            <w:shd w:val="clear" w:color="auto" w:fill="auto"/>
          </w:tcPr>
          <w:tbl>
            <w:tblPr>
              <w:tblW w:w="5000" w:type="pct"/>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742"/>
              <w:gridCol w:w="7767"/>
            </w:tblGrid>
            <w:tr w:rsidR="00A52BE1" w:rsidRPr="0021152C" w14:paraId="490CC3B3" w14:textId="77777777" w:rsidTr="00026A6F">
              <w:trPr>
                <w:trHeight w:hRule="exact" w:val="327"/>
              </w:trPr>
              <w:tc>
                <w:tcPr>
                  <w:tcW w:w="411" w:type="pct"/>
                  <w:tcBorders>
                    <w:top w:val="nil"/>
                    <w:left w:val="nil"/>
                    <w:bottom w:val="nil"/>
                    <w:right w:val="nil"/>
                  </w:tcBorders>
                  <w:shd w:val="clear" w:color="auto" w:fill="F15A25"/>
                </w:tcPr>
                <w:p w14:paraId="21A6D96D" w14:textId="77777777" w:rsidR="00A52BE1" w:rsidRPr="000D77DB" w:rsidRDefault="00A52BE1" w:rsidP="00A52BE1">
                  <w:pPr>
                    <w:pStyle w:val="Note"/>
                  </w:pPr>
                </w:p>
              </w:tc>
              <w:tc>
                <w:tcPr>
                  <w:tcW w:w="4302" w:type="pct"/>
                  <w:tcBorders>
                    <w:top w:val="nil"/>
                    <w:left w:val="nil"/>
                    <w:bottom w:val="nil"/>
                    <w:right w:val="nil"/>
                  </w:tcBorders>
                  <w:shd w:val="clear" w:color="auto" w:fill="auto"/>
                </w:tcPr>
                <w:p w14:paraId="18EFF814" w14:textId="7AAC03FD" w:rsidR="00A52BE1" w:rsidRPr="0021152C" w:rsidRDefault="00A52BE1" w:rsidP="0019334E">
                  <w:pPr>
                    <w:pStyle w:val="TableBodyText"/>
                    <w:jc w:val="left"/>
                  </w:pPr>
                  <w:r w:rsidRPr="0021152C">
                    <w:t>Comparable (subject to caveats) across jurisdictions</w:t>
                  </w:r>
                  <w:r>
                    <w:t>.</w:t>
                  </w:r>
                  <w:r w:rsidRPr="0021152C">
                    <w:t xml:space="preserve"> </w:t>
                  </w:r>
                </w:p>
              </w:tc>
            </w:tr>
            <w:tr w:rsidR="00A52BE1" w:rsidRPr="0021152C" w14:paraId="0E662E41" w14:textId="77777777" w:rsidTr="00026A6F">
              <w:trPr>
                <w:trHeight w:hRule="exact" w:val="275"/>
              </w:trPr>
              <w:tc>
                <w:tcPr>
                  <w:tcW w:w="411" w:type="pct"/>
                  <w:tcBorders>
                    <w:top w:val="nil"/>
                    <w:left w:val="nil"/>
                    <w:bottom w:val="nil"/>
                    <w:right w:val="nil"/>
                  </w:tcBorders>
                  <w:shd w:val="clear" w:color="auto" w:fill="F15A25"/>
                </w:tcPr>
                <w:p w14:paraId="09BC78DB" w14:textId="77777777" w:rsidR="00A52BE1" w:rsidRPr="000D77DB" w:rsidRDefault="00A52BE1" w:rsidP="00A52BE1">
                  <w:pPr>
                    <w:pStyle w:val="Note"/>
                    <w:rPr>
                      <w:rFonts w:cs="Arial"/>
                      <w:szCs w:val="18"/>
                    </w:rPr>
                  </w:pPr>
                </w:p>
              </w:tc>
              <w:tc>
                <w:tcPr>
                  <w:tcW w:w="4302" w:type="pct"/>
                  <w:tcBorders>
                    <w:top w:val="nil"/>
                    <w:left w:val="nil"/>
                    <w:bottom w:val="nil"/>
                    <w:right w:val="nil"/>
                  </w:tcBorders>
                  <w:shd w:val="clear" w:color="auto" w:fill="auto"/>
                </w:tcPr>
                <w:p w14:paraId="1E752055" w14:textId="77777777" w:rsidR="00A52BE1" w:rsidRPr="0021152C" w:rsidRDefault="00A52BE1" w:rsidP="00A52BE1">
                  <w:pPr>
                    <w:pStyle w:val="TableBodyText"/>
                    <w:jc w:val="left"/>
                  </w:pPr>
                  <w:r w:rsidRPr="000D77DB">
                    <w:t xml:space="preserve">Complete (subject to caveats) for the current reporting period. </w:t>
                  </w:r>
                </w:p>
              </w:tc>
            </w:tr>
          </w:tbl>
          <w:p w14:paraId="34E3D454" w14:textId="77777777" w:rsidR="0052050A" w:rsidRPr="00784A05" w:rsidRDefault="0052050A" w:rsidP="0037385E">
            <w:pPr>
              <w:pStyle w:val="FigureTitle"/>
              <w:rPr>
                <w:b w:val="0"/>
              </w:rPr>
            </w:pPr>
          </w:p>
        </w:tc>
      </w:tr>
      <w:tr w:rsidR="00C07A23" w14:paraId="15C84785" w14:textId="77777777" w:rsidTr="00292C66">
        <w:tc>
          <w:tcPr>
            <w:tcW w:w="8793"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C07A23" w14:paraId="48EA4C24" w14:textId="77777777" w:rsidTr="00864D9F">
              <w:trPr>
                <w:jc w:val="center"/>
              </w:trPr>
              <w:tc>
                <w:tcPr>
                  <w:tcW w:w="8504" w:type="dxa"/>
                  <w:tcBorders>
                    <w:top w:val="nil"/>
                    <w:bottom w:val="nil"/>
                  </w:tcBorders>
                </w:tcPr>
                <w:p w14:paraId="33E08F68" w14:textId="7888B63D" w:rsidR="00C07A23" w:rsidRDefault="00864D9F" w:rsidP="00D71577">
                  <w:pPr>
                    <w:pStyle w:val="Figure"/>
                    <w:spacing w:before="60" w:after="60"/>
                  </w:pPr>
                  <w:r>
                    <w:rPr>
                      <w:noProof/>
                    </w:rPr>
                    <w:drawing>
                      <wp:inline distT="0" distB="0" distL="0" distR="0" wp14:anchorId="58C54636" wp14:editId="46BC00E2">
                        <wp:extent cx="5246370" cy="2520000"/>
                        <wp:effectExtent l="0" t="0" r="0" b="0"/>
                        <wp:docPr id="7" name="Chart 7" descr="Figure 10.7 Participation in BreastScreen Australia screening programs — women aged 50–74 years 2016–2017 (24 month period)&#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14:paraId="5F77E63B" w14:textId="77777777" w:rsidR="00C07A23" w:rsidRDefault="00C07A23" w:rsidP="00D71577">
            <w:pPr>
              <w:pStyle w:val="Figure"/>
            </w:pPr>
          </w:p>
        </w:tc>
      </w:tr>
      <w:tr w:rsidR="00C07A23" w:rsidRPr="00176D3F" w14:paraId="3C4068CF" w14:textId="77777777" w:rsidTr="00292C66">
        <w:tc>
          <w:tcPr>
            <w:tcW w:w="8793" w:type="dxa"/>
            <w:tcBorders>
              <w:top w:val="nil"/>
              <w:left w:val="nil"/>
              <w:bottom w:val="nil"/>
              <w:right w:val="nil"/>
            </w:tcBorders>
            <w:shd w:val="clear" w:color="auto" w:fill="auto"/>
          </w:tcPr>
          <w:p w14:paraId="3F6C63E0" w14:textId="4C6A3C44" w:rsidR="00C07A23" w:rsidRPr="00176D3F" w:rsidRDefault="00C07A23" w:rsidP="00A52BE1">
            <w:pPr>
              <w:pStyle w:val="Note"/>
            </w:pPr>
            <w:r>
              <w:rPr>
                <w:rStyle w:val="NoteLabel"/>
              </w:rPr>
              <w:t>a</w:t>
            </w:r>
            <w:r>
              <w:t xml:space="preserve"> See </w:t>
            </w:r>
            <w:r w:rsidRPr="00F4390A">
              <w:t>box 10.</w:t>
            </w:r>
            <w:r w:rsidR="00A15649">
              <w:t>10</w:t>
            </w:r>
            <w:r>
              <w:t xml:space="preserve"> and </w:t>
            </w:r>
            <w:r w:rsidRPr="000135E5">
              <w:t>table 10A.</w:t>
            </w:r>
            <w:r w:rsidR="00EE25D8">
              <w:t>4</w:t>
            </w:r>
            <w:r w:rsidR="00A52BE1">
              <w:t>6</w:t>
            </w:r>
            <w:r>
              <w:t xml:space="preserve"> for detailed definitions, footnotes and caveats.</w:t>
            </w:r>
          </w:p>
        </w:tc>
      </w:tr>
      <w:tr w:rsidR="00C07A23" w:rsidRPr="00176D3F" w14:paraId="6F21AB6F" w14:textId="77777777" w:rsidTr="00D707FD">
        <w:tc>
          <w:tcPr>
            <w:tcW w:w="8793" w:type="dxa"/>
            <w:tcBorders>
              <w:top w:val="nil"/>
              <w:left w:val="nil"/>
              <w:bottom w:val="nil"/>
              <w:right w:val="nil"/>
            </w:tcBorders>
            <w:shd w:val="clear" w:color="auto" w:fill="auto"/>
          </w:tcPr>
          <w:p w14:paraId="0E019E46" w14:textId="3B07F97E" w:rsidR="00C07A23" w:rsidRPr="00176D3F" w:rsidRDefault="00C07A23" w:rsidP="00292C66">
            <w:pPr>
              <w:pStyle w:val="Source"/>
            </w:pPr>
            <w:r>
              <w:rPr>
                <w:i/>
              </w:rPr>
              <w:t>Source</w:t>
            </w:r>
            <w:r w:rsidRPr="00167F06">
              <w:t xml:space="preserve">: </w:t>
            </w:r>
            <w:r w:rsidR="004F622A" w:rsidRPr="004F622A">
              <w:t xml:space="preserve">AIHW </w:t>
            </w:r>
            <w:r w:rsidR="00292C66">
              <w:t xml:space="preserve">analysis of state and territory BreastScreen data </w:t>
            </w:r>
            <w:r w:rsidR="004F622A" w:rsidRPr="004F622A">
              <w:t>(</w:t>
            </w:r>
            <w:r w:rsidR="007B189A">
              <w:t>unpublished)</w:t>
            </w:r>
            <w:r>
              <w:t xml:space="preserve">; </w:t>
            </w:r>
            <w:r w:rsidRPr="000135E5">
              <w:t>table 10A.</w:t>
            </w:r>
            <w:r w:rsidR="00A52BE1">
              <w:t>46</w:t>
            </w:r>
            <w:r>
              <w:t>.</w:t>
            </w:r>
            <w:r w:rsidRPr="00176D3F">
              <w:t xml:space="preserve"> </w:t>
            </w:r>
          </w:p>
        </w:tc>
      </w:tr>
      <w:tr w:rsidR="00C07A23" w14:paraId="0A12A713" w14:textId="77777777" w:rsidTr="00D707FD">
        <w:tc>
          <w:tcPr>
            <w:tcW w:w="8793" w:type="dxa"/>
            <w:tcBorders>
              <w:top w:val="nil"/>
              <w:left w:val="nil"/>
              <w:bottom w:val="single" w:sz="6" w:space="0" w:color="78A22F"/>
              <w:right w:val="nil"/>
            </w:tcBorders>
            <w:shd w:val="clear" w:color="auto" w:fill="auto"/>
          </w:tcPr>
          <w:p w14:paraId="79BAB084" w14:textId="77777777" w:rsidR="00C07A23" w:rsidRDefault="00C07A23" w:rsidP="00D71577">
            <w:pPr>
              <w:pStyle w:val="Figurespace"/>
            </w:pPr>
          </w:p>
        </w:tc>
      </w:tr>
      <w:tr w:rsidR="00C07A23" w:rsidRPr="000863A5" w14:paraId="07A13D15" w14:textId="77777777" w:rsidTr="006314ED">
        <w:tc>
          <w:tcPr>
            <w:tcW w:w="8793" w:type="dxa"/>
            <w:tcBorders>
              <w:top w:val="single" w:sz="6" w:space="0" w:color="78A22F"/>
              <w:left w:val="nil"/>
              <w:bottom w:val="nil"/>
              <w:right w:val="nil"/>
            </w:tcBorders>
          </w:tcPr>
          <w:p w14:paraId="08A045C5" w14:textId="4E757E12" w:rsidR="00C07A23" w:rsidRPr="00626D32" w:rsidRDefault="00C07A23" w:rsidP="00D71577">
            <w:pPr>
              <w:pStyle w:val="BoxSpaceBelow"/>
            </w:pPr>
          </w:p>
        </w:tc>
      </w:tr>
    </w:tbl>
    <w:p w14:paraId="4A4CD178" w14:textId="36186388" w:rsidR="004C5579" w:rsidRDefault="004C5579" w:rsidP="00292C66">
      <w:pPr>
        <w:pStyle w:val="BodyText"/>
      </w:pPr>
      <w:bookmarkStart w:id="14" w:name="TableTitle"/>
      <w:bookmarkEnd w:id="14"/>
      <w:r w:rsidRPr="00E06FAC">
        <w:t>For 201</w:t>
      </w:r>
      <w:r w:rsidR="005B768E">
        <w:t>6</w:t>
      </w:r>
      <w:r w:rsidRPr="00E06FAC">
        <w:t>–201</w:t>
      </w:r>
      <w:r w:rsidR="005B768E">
        <w:t>7</w:t>
      </w:r>
      <w:r w:rsidRPr="00E06FAC">
        <w:t xml:space="preserve">, the national participation </w:t>
      </w:r>
      <w:r w:rsidRPr="00977DE4">
        <w:t xml:space="preserve">rate for persons aged 50–74 years in bowel </w:t>
      </w:r>
      <w:r w:rsidR="00DE7984" w:rsidRPr="00977DE4">
        <w:t xml:space="preserve">cancer </w:t>
      </w:r>
      <w:r w:rsidRPr="00977DE4">
        <w:t xml:space="preserve">screening was </w:t>
      </w:r>
      <w:r w:rsidR="008C6EED">
        <w:t>41.3</w:t>
      </w:r>
      <w:r w:rsidRPr="00977DE4">
        <w:t xml:space="preserve"> per cent, </w:t>
      </w:r>
      <w:r w:rsidR="007202FE" w:rsidRPr="00977DE4">
        <w:t xml:space="preserve">an </w:t>
      </w:r>
      <w:r w:rsidRPr="00977DE4">
        <w:t xml:space="preserve">increase from </w:t>
      </w:r>
      <w:r w:rsidR="008C6EED">
        <w:t>40.9</w:t>
      </w:r>
      <w:r w:rsidRPr="00977DE4">
        <w:t xml:space="preserve"> per</w:t>
      </w:r>
      <w:r w:rsidRPr="000A3BE1">
        <w:t xml:space="preserve"> cent </w:t>
      </w:r>
      <w:r w:rsidR="00951F4E">
        <w:t>for</w:t>
      </w:r>
      <w:r w:rsidRPr="000A3BE1">
        <w:t xml:space="preserve"> </w:t>
      </w:r>
      <w:r w:rsidR="008C6EED">
        <w:t>2015</w:t>
      </w:r>
      <w:r w:rsidR="00292C66" w:rsidRPr="00234290">
        <w:t>–</w:t>
      </w:r>
      <w:r w:rsidR="008C6EED">
        <w:t>2016</w:t>
      </w:r>
      <w:r w:rsidRPr="000A3BE1">
        <w:t xml:space="preserve"> </w:t>
      </w:r>
      <w:r w:rsidRPr="007E0C49">
        <w:t>(</w:t>
      </w:r>
      <w:r>
        <w:t>tabl</w:t>
      </w:r>
      <w:r w:rsidR="003C550F">
        <w:t>e </w:t>
      </w:r>
      <w:r w:rsidRPr="007E0C49">
        <w:t>10</w:t>
      </w:r>
      <w:r w:rsidR="00A52BE1">
        <w:t>A</w:t>
      </w:r>
      <w:r w:rsidRPr="007E0C49">
        <w:t>.</w:t>
      </w:r>
      <w:r w:rsidR="00A52BE1">
        <w:t>49</w:t>
      </w:r>
      <w:r w:rsidRPr="007E0C49">
        <w:t>).</w:t>
      </w:r>
      <w:r w:rsidR="005B768E">
        <w:t xml:space="preserve"> </w:t>
      </w:r>
    </w:p>
    <w:p w14:paraId="7D5F60CE" w14:textId="00B6B40F" w:rsidR="0019334E" w:rsidRDefault="0019334E" w:rsidP="00292C66">
      <w:pPr>
        <w:pStyle w:val="BodyText"/>
      </w:pPr>
      <w:r>
        <w:t xml:space="preserve">The most recent available data for cervical screening are for the 2015–2016 period (reported in the previous edition of this Report) and show </w:t>
      </w:r>
      <w:r w:rsidRPr="00E06FAC">
        <w:t xml:space="preserve">the national </w:t>
      </w:r>
      <w:r w:rsidRPr="008C6EED">
        <w:t>age</w:t>
      </w:r>
      <w:r w:rsidRPr="008C6EED">
        <w:noBreakHyphen/>
        <w:t>standardised participation rate for women aged 20–69 years was 56.0 per cent (table 10A.48).</w:t>
      </w:r>
    </w:p>
    <w:p w14:paraId="000CC49C" w14:textId="77777777" w:rsidR="00A8410E" w:rsidRDefault="006B7534" w:rsidP="0025747C">
      <w:pPr>
        <w:pStyle w:val="Heading4"/>
      </w:pPr>
      <w:r>
        <w:t xml:space="preserve">Quality — </w:t>
      </w:r>
      <w:r w:rsidR="009205C8">
        <w:t>S</w:t>
      </w:r>
      <w:r>
        <w:t>afety</w:t>
      </w:r>
      <w:r w:rsidR="009205C8">
        <w:t xml:space="preserve"> —</w:t>
      </w:r>
      <w:bookmarkStart w:id="15" w:name="OLE_LINK12"/>
      <w:r w:rsidR="006D780F">
        <w:t xml:space="preserve"> </w:t>
      </w:r>
      <w:r w:rsidR="00A8410E" w:rsidRPr="00B245AB">
        <w:t>General practices with accreditation</w:t>
      </w:r>
    </w:p>
    <w:p w14:paraId="04DF4A40" w14:textId="22290B7A" w:rsidR="00184176" w:rsidRDefault="00184176" w:rsidP="00184176">
      <w:pPr>
        <w:pStyle w:val="BodyText"/>
      </w:pPr>
      <w:r>
        <w:t>‘</w:t>
      </w:r>
      <w:r w:rsidRPr="009D1F2C">
        <w:t>General practices with accreditation</w:t>
      </w:r>
      <w:r>
        <w:t xml:space="preserve">’ is an indicator of governments’ objective to ensure </w:t>
      </w:r>
      <w:r w:rsidR="00E520FA">
        <w:t xml:space="preserve">primary and community health </w:t>
      </w:r>
      <w:r w:rsidR="00E474D4">
        <w:t>services are</w:t>
      </w:r>
      <w:r w:rsidR="00E520FA">
        <w:t xml:space="preserve"> high quality and safe</w:t>
      </w:r>
      <w:r>
        <w:t xml:space="preserve"> (</w:t>
      </w:r>
      <w:r w:rsidRPr="00AA3CFC">
        <w:t>box 10.1</w:t>
      </w:r>
      <w:r w:rsidR="00A15649">
        <w:t>1</w:t>
      </w:r>
      <w:r>
        <w:t>).</w:t>
      </w:r>
    </w:p>
    <w:p w14:paraId="053027DC" w14:textId="0C72693C" w:rsidR="00EE15EF" w:rsidRDefault="00EE15EF">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93"/>
      </w:tblGrid>
      <w:tr w:rsidR="00EE15EF" w14:paraId="7C9DFA72" w14:textId="77777777" w:rsidTr="006314ED">
        <w:tc>
          <w:tcPr>
            <w:tcW w:w="8793" w:type="dxa"/>
            <w:tcBorders>
              <w:top w:val="single" w:sz="6" w:space="0" w:color="78A22F"/>
              <w:left w:val="nil"/>
              <w:bottom w:val="nil"/>
              <w:right w:val="nil"/>
            </w:tcBorders>
            <w:shd w:val="clear" w:color="auto" w:fill="F2F2F2"/>
          </w:tcPr>
          <w:p w14:paraId="2375E34E" w14:textId="34C269B5" w:rsidR="00EE15EF" w:rsidRDefault="00EE15EF" w:rsidP="00EE15EF">
            <w:pPr>
              <w:pStyle w:val="BoxTitle"/>
            </w:pPr>
            <w:r>
              <w:rPr>
                <w:b w:val="0"/>
              </w:rPr>
              <w:t xml:space="preserve">Box </w:t>
            </w:r>
            <w:r w:rsidR="009525ED">
              <w:rPr>
                <w:b w:val="0"/>
              </w:rPr>
              <w:t>10.</w:t>
            </w:r>
            <w:r w:rsidR="0008386D">
              <w:rPr>
                <w:b w:val="0"/>
                <w:noProof/>
              </w:rPr>
              <w:t>11</w:t>
            </w:r>
            <w:r>
              <w:tab/>
            </w:r>
            <w:r w:rsidRPr="00B245AB">
              <w:t>General practices with accreditation</w:t>
            </w:r>
          </w:p>
        </w:tc>
      </w:tr>
      <w:tr w:rsidR="00EE15EF" w14:paraId="1B247234" w14:textId="77777777" w:rsidTr="006314ED">
        <w:tc>
          <w:tcPr>
            <w:tcW w:w="8793" w:type="dxa"/>
            <w:tcBorders>
              <w:top w:val="nil"/>
              <w:left w:val="nil"/>
              <w:bottom w:val="nil"/>
              <w:right w:val="nil"/>
            </w:tcBorders>
            <w:shd w:val="clear" w:color="auto" w:fill="F2F2F2"/>
          </w:tcPr>
          <w:p w14:paraId="539DF09B" w14:textId="3C095F54" w:rsidR="00EE15EF" w:rsidRDefault="00EE15EF" w:rsidP="00EE15EF">
            <w:pPr>
              <w:pStyle w:val="Box"/>
            </w:pPr>
            <w:r>
              <w:t>‘</w:t>
            </w:r>
            <w:r w:rsidRPr="009D1F2C">
              <w:t>General practices with accreditation</w:t>
            </w:r>
            <w:r>
              <w:t>’ is defined as the proportion of general practices in Australia that are accredited</w:t>
            </w:r>
            <w:r w:rsidRPr="00CD48F3">
              <w:t>.</w:t>
            </w:r>
            <w:r>
              <w:t xml:space="preserve"> </w:t>
            </w:r>
            <w:r w:rsidRPr="00FC52FD">
              <w:t xml:space="preserve">Accreditation is a voluntary </w:t>
            </w:r>
            <w:r w:rsidRPr="0052184D">
              <w:t>process of independent third</w:t>
            </w:r>
            <w:r>
              <w:noBreakHyphen/>
            </w:r>
            <w:r w:rsidRPr="0052184D">
              <w:t>party peer review tha</w:t>
            </w:r>
            <w:r w:rsidRPr="00FC52FD">
              <w:t>t assess</w:t>
            </w:r>
            <w:r>
              <w:t>es</w:t>
            </w:r>
            <w:r w:rsidRPr="00FC52FD">
              <w:t xml:space="preserve"> general practices against a set of st</w:t>
            </w:r>
            <w:r>
              <w:t xml:space="preserve">andards developed by the </w:t>
            </w:r>
            <w:r w:rsidR="00E520FA">
              <w:t>Royal Australasian College of General Practitioners</w:t>
            </w:r>
            <w:r>
              <w:t>.</w:t>
            </w:r>
          </w:p>
          <w:p w14:paraId="6D245AA0" w14:textId="77777777" w:rsidR="00EE15EF" w:rsidRDefault="00EE15EF" w:rsidP="00EE15EF">
            <w:pPr>
              <w:pStyle w:val="Box"/>
            </w:pPr>
            <w:r>
              <w:t>A high or increasing proportion of practices with accreditation can indicate an improvement in the capability of general practice to deliver high quality services. However, general practices without accreditation may deliver services of equally high quality. For a particular general practice, the decision to seek accreditation might be influenced by perceived costs and benefits unrelated to its quality standards.</w:t>
            </w:r>
          </w:p>
          <w:p w14:paraId="26B590AE" w14:textId="77777777" w:rsidR="00EE15EF" w:rsidRDefault="00EE15EF" w:rsidP="00EE15EF">
            <w:pPr>
              <w:pStyle w:val="Box"/>
            </w:pPr>
            <w:r>
              <w:t>Data reported for this indicator are:</w:t>
            </w:r>
          </w:p>
          <w:p w14:paraId="4FBC17D6" w14:textId="77777777" w:rsidR="0018579A" w:rsidRDefault="0018579A" w:rsidP="00977DE4">
            <w:pPr>
              <w:pStyle w:val="Box"/>
              <w:ind w:left="284"/>
            </w:pPr>
            <w:r w:rsidRPr="001B3B2F">
              <w:rPr>
                <w:shd w:val="clear" w:color="auto" w:fill="F15A25"/>
              </w:rPr>
              <w:t xml:space="preserve">    </w:t>
            </w:r>
            <w:r>
              <w:t xml:space="preserve"> comparable (subject to caveats) across jurisdictions and over time</w:t>
            </w:r>
          </w:p>
          <w:p w14:paraId="1DE5FCEA" w14:textId="419DE7FB" w:rsidR="0018579A" w:rsidRPr="006B1409" w:rsidRDefault="0018579A" w:rsidP="00977DE4">
            <w:pPr>
              <w:pStyle w:val="BoxListBullet"/>
              <w:numPr>
                <w:ilvl w:val="0"/>
                <w:numId w:val="0"/>
              </w:numPr>
              <w:ind w:left="284"/>
            </w:pPr>
            <w:r w:rsidRPr="00344676">
              <w:rPr>
                <w:shd w:val="clear" w:color="auto" w:fill="FCDED3"/>
              </w:rPr>
              <w:t xml:space="preserve">    </w:t>
            </w:r>
            <w:r>
              <w:t xml:space="preserve"> </w:t>
            </w:r>
            <w:r w:rsidRPr="00AC2399">
              <w:t>incomplete for the c</w:t>
            </w:r>
            <w:r>
              <w:t xml:space="preserve">urrent reporting period </w:t>
            </w:r>
            <w:r w:rsidR="0006274A">
              <w:t xml:space="preserve">(2018) </w:t>
            </w:r>
            <w:r>
              <w:t>as data for the number of general practices are not available</w:t>
            </w:r>
            <w:r w:rsidRPr="00AC2399">
              <w:t>.</w:t>
            </w:r>
          </w:p>
        </w:tc>
      </w:tr>
      <w:tr w:rsidR="00EE15EF" w14:paraId="450D6D08" w14:textId="77777777" w:rsidTr="006314ED">
        <w:tc>
          <w:tcPr>
            <w:tcW w:w="8793" w:type="dxa"/>
            <w:tcBorders>
              <w:top w:val="nil"/>
              <w:left w:val="nil"/>
              <w:bottom w:val="single" w:sz="6" w:space="0" w:color="78A22F"/>
              <w:right w:val="nil"/>
            </w:tcBorders>
            <w:shd w:val="clear" w:color="auto" w:fill="F2F2F2"/>
          </w:tcPr>
          <w:p w14:paraId="603DFC85" w14:textId="77777777" w:rsidR="00EE15EF" w:rsidRDefault="00EE15EF">
            <w:pPr>
              <w:pStyle w:val="Box"/>
              <w:spacing w:before="0" w:line="120" w:lineRule="exact"/>
            </w:pPr>
          </w:p>
        </w:tc>
      </w:tr>
      <w:tr w:rsidR="00EE15EF" w:rsidRPr="000863A5" w14:paraId="79967BFA" w14:textId="77777777" w:rsidTr="006314ED">
        <w:tc>
          <w:tcPr>
            <w:tcW w:w="8793" w:type="dxa"/>
            <w:tcBorders>
              <w:top w:val="single" w:sz="6" w:space="0" w:color="78A22F"/>
              <w:left w:val="nil"/>
              <w:bottom w:val="nil"/>
              <w:right w:val="nil"/>
            </w:tcBorders>
          </w:tcPr>
          <w:p w14:paraId="2F1CA945" w14:textId="1C3BDD78" w:rsidR="00EE15EF" w:rsidRPr="00626D32" w:rsidRDefault="00EE15EF" w:rsidP="009726AA">
            <w:pPr>
              <w:pStyle w:val="BoxSpaceBelow"/>
            </w:pPr>
          </w:p>
        </w:tc>
      </w:tr>
    </w:tbl>
    <w:p w14:paraId="1D1F23B4" w14:textId="2C798311" w:rsidR="00A8410E" w:rsidRPr="006D358C" w:rsidRDefault="00A8410E" w:rsidP="00A8410E">
      <w:pPr>
        <w:pStyle w:val="BodyText"/>
      </w:pPr>
      <w:r>
        <w:t xml:space="preserve">Data for the number of accredited practices </w:t>
      </w:r>
      <w:r w:rsidR="0006274A">
        <w:t xml:space="preserve">(2011 to 2018 inclusive) </w:t>
      </w:r>
      <w:r>
        <w:t>and the available h</w:t>
      </w:r>
      <w:r w:rsidRPr="006D358C">
        <w:t xml:space="preserve">istorical data for the proportion of </w:t>
      </w:r>
      <w:r w:rsidR="00E520FA">
        <w:t xml:space="preserve">general </w:t>
      </w:r>
      <w:r w:rsidRPr="006D358C">
        <w:t>practices with accreditation</w:t>
      </w:r>
      <w:r w:rsidR="0006274A">
        <w:t xml:space="preserve"> (2011)</w:t>
      </w:r>
      <w:r w:rsidRPr="006D358C">
        <w:t xml:space="preserve"> are reported in </w:t>
      </w:r>
      <w:r w:rsidRPr="00CB64A6">
        <w:t>table 10A.5</w:t>
      </w:r>
      <w:r w:rsidR="0027316F">
        <w:t>0</w:t>
      </w:r>
      <w:r w:rsidRPr="006D358C">
        <w:t>.</w:t>
      </w:r>
    </w:p>
    <w:bookmarkEnd w:id="15"/>
    <w:p w14:paraId="4EA969DC" w14:textId="77777777" w:rsidR="004E2756" w:rsidRDefault="00B934AF" w:rsidP="00CF6CF3">
      <w:pPr>
        <w:pStyle w:val="Heading4"/>
      </w:pPr>
      <w:r>
        <w:t xml:space="preserve">Quality — </w:t>
      </w:r>
      <w:r w:rsidR="00A65566">
        <w:t>R</w:t>
      </w:r>
      <w:r>
        <w:t>esponsiveness</w:t>
      </w:r>
      <w:r w:rsidR="00A65566">
        <w:t xml:space="preserve"> — </w:t>
      </w:r>
      <w:r w:rsidR="004E2756">
        <w:t>Patient satisfaction</w:t>
      </w:r>
    </w:p>
    <w:p w14:paraId="544F02F9" w14:textId="4D1CF6A0" w:rsidR="00AA4349" w:rsidRDefault="004E2756" w:rsidP="00CF6CF3">
      <w:pPr>
        <w:pStyle w:val="BodyText"/>
      </w:pPr>
      <w:r>
        <w:t xml:space="preserve">‘Patient satisfaction’ </w:t>
      </w:r>
      <w:r w:rsidR="00676048">
        <w:t xml:space="preserve">is </w:t>
      </w:r>
      <w:r>
        <w:t xml:space="preserve">an indicator of governments’ objective </w:t>
      </w:r>
      <w:r w:rsidR="00A65566">
        <w:t>that</w:t>
      </w:r>
      <w:r>
        <w:t xml:space="preserve"> </w:t>
      </w:r>
      <w:r w:rsidR="00AE5D3F">
        <w:t>primary and community health</w:t>
      </w:r>
      <w:r>
        <w:t xml:space="preserve"> services </w:t>
      </w:r>
      <w:r w:rsidRPr="00AE5D3F">
        <w:t xml:space="preserve">are </w:t>
      </w:r>
      <w:r w:rsidR="00F11DA5" w:rsidRPr="00AE5D3F">
        <w:t>high quality</w:t>
      </w:r>
      <w:r w:rsidR="00F11DA5">
        <w:t xml:space="preserve"> </w:t>
      </w:r>
      <w:r w:rsidR="00A65566">
        <w:t>(</w:t>
      </w:r>
      <w:r w:rsidR="00A65566" w:rsidRPr="00AA3CFC">
        <w:t>box 10.1</w:t>
      </w:r>
      <w:r w:rsidR="00A15649">
        <w:t>2</w:t>
      </w:r>
      <w:r w:rsidR="00A65566">
        <w:t>).</w:t>
      </w:r>
    </w:p>
    <w:p w14:paraId="7631F36E" w14:textId="430F2E6F" w:rsidR="00E60C70" w:rsidRDefault="00E60C70">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E60C70" w14:paraId="4CD07676" w14:textId="77777777" w:rsidTr="006314ED">
        <w:tc>
          <w:tcPr>
            <w:tcW w:w="8793" w:type="dxa"/>
            <w:tcBorders>
              <w:top w:val="single" w:sz="6" w:space="0" w:color="78A22F"/>
              <w:left w:val="nil"/>
              <w:bottom w:val="nil"/>
              <w:right w:val="nil"/>
            </w:tcBorders>
            <w:shd w:val="clear" w:color="auto" w:fill="F2F2F2"/>
          </w:tcPr>
          <w:p w14:paraId="7554AF28" w14:textId="5475D833" w:rsidR="00E60C70" w:rsidRDefault="00E60C70" w:rsidP="007A5677">
            <w:pPr>
              <w:pStyle w:val="BoxTitle"/>
            </w:pPr>
            <w:r>
              <w:rPr>
                <w:b w:val="0"/>
              </w:rPr>
              <w:t xml:space="preserve">Box </w:t>
            </w:r>
            <w:r w:rsidR="009525ED">
              <w:rPr>
                <w:b w:val="0"/>
              </w:rPr>
              <w:t>10.</w:t>
            </w:r>
            <w:r w:rsidR="0008386D">
              <w:rPr>
                <w:b w:val="0"/>
                <w:noProof/>
              </w:rPr>
              <w:t>12</w:t>
            </w:r>
            <w:r>
              <w:tab/>
            </w:r>
            <w:r w:rsidRPr="00B934AF">
              <w:t>Patient satisfaction</w:t>
            </w:r>
          </w:p>
        </w:tc>
      </w:tr>
      <w:tr w:rsidR="00E60C70" w14:paraId="64E72077" w14:textId="77777777" w:rsidTr="006314ED">
        <w:trPr>
          <w:cantSplit/>
        </w:trPr>
        <w:tc>
          <w:tcPr>
            <w:tcW w:w="8793" w:type="dxa"/>
            <w:tcBorders>
              <w:top w:val="nil"/>
              <w:left w:val="nil"/>
              <w:bottom w:val="nil"/>
              <w:right w:val="nil"/>
            </w:tcBorders>
            <w:shd w:val="clear" w:color="auto" w:fill="F2F2F2"/>
          </w:tcPr>
          <w:p w14:paraId="745D5A1E" w14:textId="77777777" w:rsidR="00E60C70" w:rsidRPr="00DD2794" w:rsidRDefault="00E60C70" w:rsidP="00F520F2">
            <w:pPr>
              <w:pStyle w:val="Box"/>
            </w:pPr>
            <w:r w:rsidRPr="00DD2794">
              <w:t>‘Patient satisfaction’ is defined as the quality of care as perceived by the patient. It is mea</w:t>
            </w:r>
            <w:r w:rsidR="006868FA">
              <w:t xml:space="preserve">sured as patient experience of </w:t>
            </w:r>
            <w:r w:rsidRPr="00DD2794">
              <w:t>aspects of care that are key factors in patient outcomes and can be readily modified. Two measures of patient experience of communication with health professionals — a key aspect of care — are reported</w:t>
            </w:r>
            <w:r>
              <w:t>:</w:t>
            </w:r>
          </w:p>
          <w:p w14:paraId="3C571527" w14:textId="1203EADC" w:rsidR="00E60C70" w:rsidRPr="00DD2794" w:rsidRDefault="00E60C70" w:rsidP="00F520F2">
            <w:pPr>
              <w:pStyle w:val="BoxListBullet"/>
            </w:pPr>
            <w:r w:rsidRPr="00DD2794">
              <w:t xml:space="preserve">the </w:t>
            </w:r>
            <w:r>
              <w:t>proportion</w:t>
            </w:r>
            <w:r w:rsidRPr="00DD2794">
              <w:t xml:space="preserve"> of people who saw a GP in the previous 12 months </w:t>
            </w:r>
            <w:r w:rsidR="00311DCD">
              <w:t>who reported</w:t>
            </w:r>
            <w:r w:rsidRPr="00DD2794">
              <w:t xml:space="preserve"> the GP always or often: listened carefully to them; showed respect; </w:t>
            </w:r>
            <w:r>
              <w:t>and spent enough time with them</w:t>
            </w:r>
          </w:p>
          <w:p w14:paraId="73D35481" w14:textId="5E6E94D8" w:rsidR="00E60C70" w:rsidRPr="00DD2794" w:rsidRDefault="00E60C70" w:rsidP="00F520F2">
            <w:pPr>
              <w:pStyle w:val="BoxListBullet"/>
            </w:pPr>
            <w:r w:rsidRPr="00DD2794">
              <w:t xml:space="preserve">the </w:t>
            </w:r>
            <w:r>
              <w:t xml:space="preserve">proportion </w:t>
            </w:r>
            <w:r w:rsidRPr="00DD2794">
              <w:t xml:space="preserve">of people who saw a dental professional in the previous 12 months </w:t>
            </w:r>
            <w:r w:rsidR="00311DCD">
              <w:t>who reported</w:t>
            </w:r>
            <w:r w:rsidRPr="00DD2794">
              <w:t xml:space="preserve"> the dental pr</w:t>
            </w:r>
            <w:r w:rsidR="006868FA">
              <w:t>ofessional</w:t>
            </w:r>
            <w:r w:rsidRPr="00DD2794">
              <w:t xml:space="preserve"> always or often: listened carefully to them; showed respect; and spent enough time with them.</w:t>
            </w:r>
          </w:p>
          <w:p w14:paraId="35927663" w14:textId="5BF0CAA0" w:rsidR="00DD0D88" w:rsidRDefault="00E60C70" w:rsidP="00F520F2">
            <w:pPr>
              <w:pStyle w:val="Box"/>
            </w:pPr>
            <w:r w:rsidRPr="00DD2794">
              <w:t xml:space="preserve">High or increasing proportions can indicate </w:t>
            </w:r>
            <w:r w:rsidR="006868FA">
              <w:t>improved satisfaction</w:t>
            </w:r>
            <w:r w:rsidR="00AA6D04">
              <w:t xml:space="preserve"> from the patient’s perspective</w:t>
            </w:r>
            <w:r w:rsidR="006868FA">
              <w:t xml:space="preserve"> with</w:t>
            </w:r>
            <w:r w:rsidR="006868FA" w:rsidRPr="00DD2794">
              <w:t xml:space="preserve"> </w:t>
            </w:r>
            <w:r w:rsidR="00AA6D04">
              <w:t>the quality of care</w:t>
            </w:r>
            <w:r w:rsidRPr="00DD2794">
              <w:t>.</w:t>
            </w:r>
          </w:p>
          <w:p w14:paraId="0D5DC2D1" w14:textId="4ED48D34" w:rsidR="00E60C70" w:rsidRDefault="00E60C70" w:rsidP="00F520F2">
            <w:pPr>
              <w:pStyle w:val="Box"/>
            </w:pPr>
            <w:r>
              <w:t>Data reported against this indicator are:</w:t>
            </w:r>
          </w:p>
          <w:p w14:paraId="65E6C6BF" w14:textId="77777777" w:rsidR="0027316F" w:rsidRDefault="0027316F" w:rsidP="00977DE4">
            <w:pPr>
              <w:pStyle w:val="Box"/>
              <w:ind w:left="284"/>
            </w:pPr>
            <w:r w:rsidRPr="001B3B2F">
              <w:rPr>
                <w:shd w:val="clear" w:color="auto" w:fill="F15A25"/>
              </w:rPr>
              <w:t xml:space="preserve">    </w:t>
            </w:r>
            <w:r>
              <w:t xml:space="preserve"> comparable (subject to caveats) across jurisdictions and over time</w:t>
            </w:r>
          </w:p>
          <w:p w14:paraId="76C96E6F" w14:textId="0059B1C2" w:rsidR="00E60C70" w:rsidRDefault="0027316F" w:rsidP="00977DE4">
            <w:pPr>
              <w:pStyle w:val="Box"/>
              <w:ind w:left="284"/>
            </w:pPr>
            <w:r w:rsidRPr="001B3B2F">
              <w:rPr>
                <w:shd w:val="clear" w:color="auto" w:fill="F15A25"/>
              </w:rPr>
              <w:t xml:space="preserve">    </w:t>
            </w:r>
            <w:r>
              <w:t xml:space="preserve"> complete (subject to caveats) for the current reporting period. All required 2017-18 data are available for all jurisdictions. </w:t>
            </w:r>
          </w:p>
          <w:p w14:paraId="289E887E" w14:textId="3272396D" w:rsidR="00E60C70" w:rsidRPr="00944E91" w:rsidRDefault="001B7BE5" w:rsidP="005E44B0">
            <w:pPr>
              <w:pStyle w:val="Box"/>
            </w:pPr>
            <w:r>
              <w:t>Data are sourced from t</w:t>
            </w:r>
            <w:r w:rsidR="00E60C70" w:rsidRPr="005372AA">
              <w:t xml:space="preserve">he </w:t>
            </w:r>
            <w:r>
              <w:t>ABS P</w:t>
            </w:r>
            <w:r w:rsidR="00BA134D">
              <w:t>atient Experience S</w:t>
            </w:r>
            <w:r w:rsidR="00762544">
              <w:t>urvey, which</w:t>
            </w:r>
            <w:r w:rsidR="00E60C70" w:rsidRPr="005372AA">
              <w:t xml:space="preserve"> does not include people living in discrete Aboriginal and Torres Strait Islander communities</w:t>
            </w:r>
            <w:r>
              <w:t>. This</w:t>
            </w:r>
            <w:r w:rsidR="00E60C70" w:rsidRPr="005372AA">
              <w:t xml:space="preserve"> affects the </w:t>
            </w:r>
            <w:r w:rsidR="005E44B0">
              <w:t>representativeness</w:t>
            </w:r>
            <w:r w:rsidR="00E60C70" w:rsidRPr="005372AA">
              <w:t xml:space="preserve"> of the NT results.</w:t>
            </w:r>
          </w:p>
        </w:tc>
      </w:tr>
      <w:tr w:rsidR="00E60C70" w14:paraId="40300CBC" w14:textId="77777777" w:rsidTr="006314ED">
        <w:trPr>
          <w:cantSplit/>
        </w:trPr>
        <w:tc>
          <w:tcPr>
            <w:tcW w:w="8793" w:type="dxa"/>
            <w:tcBorders>
              <w:top w:val="nil"/>
              <w:left w:val="nil"/>
              <w:bottom w:val="single" w:sz="6" w:space="0" w:color="78A22F"/>
              <w:right w:val="nil"/>
            </w:tcBorders>
            <w:shd w:val="clear" w:color="auto" w:fill="F2F2F2"/>
          </w:tcPr>
          <w:p w14:paraId="11D55524" w14:textId="77777777" w:rsidR="00E60C70" w:rsidRDefault="00E60C70">
            <w:pPr>
              <w:pStyle w:val="Box"/>
              <w:spacing w:before="0" w:line="120" w:lineRule="exact"/>
            </w:pPr>
          </w:p>
        </w:tc>
      </w:tr>
      <w:tr w:rsidR="00E60C70" w:rsidRPr="000863A5" w14:paraId="64193760" w14:textId="77777777" w:rsidTr="006314ED">
        <w:tc>
          <w:tcPr>
            <w:tcW w:w="8793" w:type="dxa"/>
            <w:tcBorders>
              <w:top w:val="single" w:sz="6" w:space="0" w:color="78A22F"/>
              <w:left w:val="nil"/>
              <w:bottom w:val="nil"/>
              <w:right w:val="nil"/>
            </w:tcBorders>
          </w:tcPr>
          <w:p w14:paraId="0E656D27" w14:textId="38752B45" w:rsidR="00E60C70" w:rsidRPr="00626D32" w:rsidRDefault="00E60C70" w:rsidP="00F520F2">
            <w:pPr>
              <w:pStyle w:val="BoxSpaceBelow"/>
            </w:pPr>
          </w:p>
        </w:tc>
      </w:tr>
    </w:tbl>
    <w:p w14:paraId="366E3F48" w14:textId="142C460F" w:rsidR="0016425B" w:rsidRPr="007A5677" w:rsidRDefault="00A17AC6" w:rsidP="007F75C3">
      <w:pPr>
        <w:pStyle w:val="BodyText"/>
      </w:pPr>
      <w:r w:rsidRPr="007A5677">
        <w:t>Nationally</w:t>
      </w:r>
      <w:r w:rsidR="00C13335" w:rsidRPr="007A5677">
        <w:t xml:space="preserve"> in </w:t>
      </w:r>
      <w:r w:rsidR="00280888">
        <w:t>201</w:t>
      </w:r>
      <w:r w:rsidR="005B768E">
        <w:t>7</w:t>
      </w:r>
      <w:r w:rsidR="008D3534">
        <w:noBreakHyphen/>
      </w:r>
      <w:r w:rsidR="00280888">
        <w:t>1</w:t>
      </w:r>
      <w:r w:rsidR="005B768E">
        <w:t>8</w:t>
      </w:r>
      <w:r w:rsidRPr="007A5677">
        <w:t>,</w:t>
      </w:r>
      <w:r w:rsidR="00A05A03" w:rsidRPr="007A5677">
        <w:t xml:space="preserve"> </w:t>
      </w:r>
      <w:r w:rsidR="0016425B" w:rsidRPr="007A5677">
        <w:t>the majority of respondents reported that</w:t>
      </w:r>
      <w:r w:rsidR="00C13335" w:rsidRPr="007A5677">
        <w:t xml:space="preserve"> </w:t>
      </w:r>
      <w:r w:rsidR="0016425B" w:rsidRPr="007A5677">
        <w:t xml:space="preserve">the </w:t>
      </w:r>
      <w:r w:rsidR="00C3690E" w:rsidRPr="007A5677">
        <w:t>GP always or often</w:t>
      </w:r>
      <w:r w:rsidR="00446FA7" w:rsidRPr="007A5677">
        <w:t>:</w:t>
      </w:r>
    </w:p>
    <w:p w14:paraId="3E7E8C17" w14:textId="6F4256A3" w:rsidR="0016425B" w:rsidRPr="007A5677" w:rsidRDefault="0016425B" w:rsidP="007F75C3">
      <w:pPr>
        <w:pStyle w:val="ListBullet"/>
        <w:tabs>
          <w:tab w:val="left" w:pos="6946"/>
        </w:tabs>
      </w:pPr>
      <w:r w:rsidRPr="007A5677">
        <w:t>listened carefully to them (</w:t>
      </w:r>
      <w:r w:rsidR="00DC5956">
        <w:t>91.8</w:t>
      </w:r>
      <w:r w:rsidR="00A2124E" w:rsidRPr="00977DE4">
        <w:t xml:space="preserve"> </w:t>
      </w:r>
      <w:r w:rsidRPr="007A5677">
        <w:t>per cent)</w:t>
      </w:r>
    </w:p>
    <w:p w14:paraId="17D12D84" w14:textId="5F02A353" w:rsidR="0016425B" w:rsidRPr="007A5677" w:rsidRDefault="0016425B" w:rsidP="007F75C3">
      <w:pPr>
        <w:pStyle w:val="ListBullet"/>
        <w:tabs>
          <w:tab w:val="left" w:pos="6946"/>
        </w:tabs>
      </w:pPr>
      <w:r w:rsidRPr="007A5677">
        <w:t>showed respect (</w:t>
      </w:r>
      <w:r w:rsidR="00DC5956">
        <w:t>94.1</w:t>
      </w:r>
      <w:r w:rsidR="00977DE4" w:rsidRPr="007A5677">
        <w:t xml:space="preserve"> </w:t>
      </w:r>
      <w:r w:rsidRPr="007A5677">
        <w:t>per</w:t>
      </w:r>
      <w:r w:rsidR="00414CF6">
        <w:t> </w:t>
      </w:r>
      <w:r w:rsidRPr="007A5677">
        <w:t>cent)</w:t>
      </w:r>
    </w:p>
    <w:p w14:paraId="4ECBEEA7" w14:textId="2B576B95" w:rsidR="0016425B" w:rsidRPr="007A5677" w:rsidRDefault="0016425B" w:rsidP="007F75C3">
      <w:pPr>
        <w:pStyle w:val="ListBullet"/>
        <w:tabs>
          <w:tab w:val="left" w:pos="6946"/>
        </w:tabs>
      </w:pPr>
      <w:r w:rsidRPr="007A5677">
        <w:t>spent enough time with them (</w:t>
      </w:r>
      <w:r w:rsidR="00DC5956">
        <w:t>90.7</w:t>
      </w:r>
      <w:r w:rsidR="00977DE4" w:rsidRPr="007A5677">
        <w:t xml:space="preserve"> </w:t>
      </w:r>
      <w:r w:rsidRPr="007A5677">
        <w:t>per</w:t>
      </w:r>
      <w:r w:rsidR="00414CF6">
        <w:t> </w:t>
      </w:r>
      <w:r w:rsidRPr="007A5677">
        <w:t>cent)</w:t>
      </w:r>
      <w:r w:rsidR="00C13335" w:rsidRPr="007A5677">
        <w:t xml:space="preserve"> (figure 10.</w:t>
      </w:r>
      <w:r w:rsidR="008C6EED">
        <w:t>8</w:t>
      </w:r>
      <w:r w:rsidR="00990395">
        <w:t>(a)</w:t>
      </w:r>
      <w:r w:rsidR="00C13335" w:rsidRPr="007A5677">
        <w:t>)</w:t>
      </w:r>
      <w:r w:rsidR="0001182F" w:rsidRPr="007A5677">
        <w:t>.</w:t>
      </w:r>
    </w:p>
    <w:p w14:paraId="008F645F" w14:textId="1B69353C" w:rsidR="00765202" w:rsidRPr="007A5677" w:rsidRDefault="00765202" w:rsidP="007F75C3">
      <w:pPr>
        <w:pStyle w:val="BodyText"/>
      </w:pPr>
      <w:r w:rsidRPr="007A5677">
        <w:t xml:space="preserve">Nationally in </w:t>
      </w:r>
      <w:r w:rsidR="00280888">
        <w:t>201</w:t>
      </w:r>
      <w:r w:rsidR="005B768E">
        <w:t>7</w:t>
      </w:r>
      <w:r w:rsidR="008D3534">
        <w:noBreakHyphen/>
      </w:r>
      <w:r w:rsidR="00280888">
        <w:t>1</w:t>
      </w:r>
      <w:r w:rsidR="005B768E">
        <w:t>8</w:t>
      </w:r>
      <w:r w:rsidRPr="007A5677">
        <w:t xml:space="preserve">, the majority of respondents reported that </w:t>
      </w:r>
      <w:r w:rsidR="00311DCD">
        <w:t>dental professionals</w:t>
      </w:r>
      <w:r w:rsidRPr="007A5677">
        <w:t xml:space="preserve"> always or often:</w:t>
      </w:r>
    </w:p>
    <w:p w14:paraId="180A52FA" w14:textId="5D9E5690" w:rsidR="00765202" w:rsidRPr="007A5677" w:rsidRDefault="00765202" w:rsidP="007F75C3">
      <w:pPr>
        <w:pStyle w:val="ListBullet"/>
        <w:tabs>
          <w:tab w:val="left" w:pos="6946"/>
        </w:tabs>
      </w:pPr>
      <w:r w:rsidRPr="007A5677">
        <w:t>listened carefully to them (</w:t>
      </w:r>
      <w:r w:rsidR="00DC5956">
        <w:t>96.0</w:t>
      </w:r>
      <w:r w:rsidR="00977DE4" w:rsidRPr="007A5677">
        <w:t xml:space="preserve"> </w:t>
      </w:r>
      <w:r w:rsidRPr="007A5677">
        <w:t>per cent)</w:t>
      </w:r>
    </w:p>
    <w:p w14:paraId="5F1DF8B7" w14:textId="1E6BC0B0" w:rsidR="00765202" w:rsidRPr="007A5677" w:rsidRDefault="00765202" w:rsidP="007F75C3">
      <w:pPr>
        <w:pStyle w:val="ListBullet"/>
        <w:tabs>
          <w:tab w:val="left" w:pos="6946"/>
        </w:tabs>
      </w:pPr>
      <w:r w:rsidRPr="007A5677">
        <w:t>showed respect (</w:t>
      </w:r>
      <w:r w:rsidR="00DC5956">
        <w:t>97.0</w:t>
      </w:r>
      <w:r w:rsidR="00977DE4" w:rsidRPr="007A5677">
        <w:t xml:space="preserve"> </w:t>
      </w:r>
      <w:r w:rsidRPr="007A5677">
        <w:t>per cent)</w:t>
      </w:r>
    </w:p>
    <w:p w14:paraId="1BDB7D28" w14:textId="53C6F776" w:rsidR="00765202" w:rsidRPr="007A5677" w:rsidRDefault="00765202" w:rsidP="007F75C3">
      <w:pPr>
        <w:pStyle w:val="ListBullet"/>
        <w:tabs>
          <w:tab w:val="left" w:pos="6946"/>
        </w:tabs>
      </w:pPr>
      <w:r w:rsidRPr="007A5677">
        <w:t xml:space="preserve">spent enough time with them </w:t>
      </w:r>
      <w:r w:rsidRPr="005B768E">
        <w:t>(</w:t>
      </w:r>
      <w:r w:rsidR="00DC5956">
        <w:t>97.0</w:t>
      </w:r>
      <w:r w:rsidR="00977DE4" w:rsidRPr="007A5677">
        <w:t xml:space="preserve"> </w:t>
      </w:r>
      <w:r w:rsidRPr="007A5677">
        <w:t>per cent) (figure 10.</w:t>
      </w:r>
      <w:r w:rsidR="008C6EED">
        <w:t>8</w:t>
      </w:r>
      <w:r w:rsidR="00990395">
        <w:t>(b)</w:t>
      </w:r>
      <w:r w:rsidRPr="007A5677">
        <w:t>).</w:t>
      </w:r>
    </w:p>
    <w:p w14:paraId="4E5D1C48" w14:textId="595B2A3B" w:rsidR="00C648AD" w:rsidRDefault="00765202" w:rsidP="007F75C3">
      <w:pPr>
        <w:pStyle w:val="BodyText"/>
        <w:rPr>
          <w:color w:val="FF0000"/>
        </w:rPr>
      </w:pPr>
      <w:r w:rsidRPr="00283926">
        <w:t xml:space="preserve">Data for both measures are presented </w:t>
      </w:r>
      <w:r w:rsidR="00F51280" w:rsidRPr="00283926">
        <w:t xml:space="preserve">by remoteness </w:t>
      </w:r>
      <w:r w:rsidRPr="00283926">
        <w:t>in tables 10A.</w:t>
      </w:r>
      <w:r w:rsidR="00D04E1D" w:rsidRPr="00283926">
        <w:t>5</w:t>
      </w:r>
      <w:r w:rsidR="0027316F">
        <w:t>1</w:t>
      </w:r>
      <w:r w:rsidR="00535F9E">
        <w:t>–</w:t>
      </w:r>
      <w:r w:rsidR="00D04E1D" w:rsidRPr="00283926">
        <w:t>5</w:t>
      </w:r>
      <w:r w:rsidR="0027316F">
        <w:t>4</w:t>
      </w:r>
      <w:r w:rsidRPr="00283926">
        <w:t>.</w:t>
      </w:r>
    </w:p>
    <w:p w14:paraId="5F81B2AB" w14:textId="77777777" w:rsidR="00C648AD" w:rsidRDefault="00C648AD">
      <w:pPr>
        <w:rPr>
          <w:color w:val="FF0000"/>
          <w:szCs w:val="20"/>
        </w:rPr>
      </w:pPr>
      <w:r>
        <w:rPr>
          <w:color w:val="FF0000"/>
        </w:rPr>
        <w:br w:type="page"/>
      </w:r>
    </w:p>
    <w:p w14:paraId="6512CB33" w14:textId="0209D2D5" w:rsidR="00E43844" w:rsidRPr="007A4F17" w:rsidRDefault="00E43844" w:rsidP="00842A29">
      <w:pPr>
        <w:pStyle w:val="BodyText"/>
        <w:keepNext/>
      </w:pPr>
    </w:p>
    <w:tbl>
      <w:tblPr>
        <w:tblW w:w="8793"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334BF9" w14:paraId="2DCFA616" w14:textId="77777777" w:rsidTr="00B349CB">
        <w:tc>
          <w:tcPr>
            <w:tcW w:w="8793" w:type="dxa"/>
            <w:tcBorders>
              <w:top w:val="single" w:sz="6" w:space="0" w:color="78A22F"/>
              <w:left w:val="nil"/>
              <w:bottom w:val="nil"/>
              <w:right w:val="nil"/>
            </w:tcBorders>
            <w:shd w:val="clear" w:color="auto" w:fill="auto"/>
          </w:tcPr>
          <w:p w14:paraId="1D0A4396" w14:textId="5CFF55E4" w:rsidR="00334BF9" w:rsidRPr="00176D3F" w:rsidRDefault="00334BF9" w:rsidP="00DC5956">
            <w:pPr>
              <w:pStyle w:val="FigureTitle"/>
            </w:pPr>
            <w:r w:rsidRPr="00784A05">
              <w:rPr>
                <w:b w:val="0"/>
              </w:rPr>
              <w:t xml:space="preserve">Figure </w:t>
            </w:r>
            <w:r w:rsidR="008C6EED">
              <w:rPr>
                <w:b w:val="0"/>
              </w:rPr>
              <w:t>10.</w:t>
            </w:r>
            <w:r w:rsidR="0008386D">
              <w:rPr>
                <w:b w:val="0"/>
                <w:noProof/>
              </w:rPr>
              <w:t>8</w:t>
            </w:r>
            <w:r>
              <w:tab/>
            </w:r>
            <w:r w:rsidR="00990395">
              <w:t>Patient satisfaction</w:t>
            </w:r>
            <w:r w:rsidRPr="003109EE">
              <w:t xml:space="preserve">, </w:t>
            </w:r>
            <w:r w:rsidR="00280888">
              <w:t>201</w:t>
            </w:r>
            <w:r w:rsidR="005B768E">
              <w:t>7</w:t>
            </w:r>
            <w:r w:rsidR="00280888">
              <w:t>-1</w:t>
            </w:r>
            <w:r w:rsidR="005B768E">
              <w:t>8</w:t>
            </w:r>
            <w:r w:rsidRPr="003109EE">
              <w:rPr>
                <w:rStyle w:val="NoteLabel"/>
                <w:b/>
              </w:rPr>
              <w:t>a</w:t>
            </w:r>
            <w:r>
              <w:rPr>
                <w:rStyle w:val="NoteLabel"/>
                <w:b/>
              </w:rPr>
              <w:t>, b</w:t>
            </w:r>
          </w:p>
        </w:tc>
      </w:tr>
      <w:tr w:rsidR="00A00626" w14:paraId="7AFE2BE0" w14:textId="77777777" w:rsidTr="00B349CB">
        <w:tc>
          <w:tcPr>
            <w:tcW w:w="8793" w:type="dxa"/>
            <w:tcBorders>
              <w:top w:val="nil"/>
              <w:left w:val="nil"/>
              <w:bottom w:val="nil"/>
              <w:right w:val="nil"/>
            </w:tcBorders>
            <w:shd w:val="clear" w:color="auto" w:fill="auto"/>
          </w:tcPr>
          <w:tbl>
            <w:tblPr>
              <w:tblW w:w="5000" w:type="pct"/>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742"/>
              <w:gridCol w:w="7767"/>
            </w:tblGrid>
            <w:tr w:rsidR="00C648AD" w:rsidRPr="0021152C" w14:paraId="4E908BCE" w14:textId="77777777" w:rsidTr="00426E46">
              <w:trPr>
                <w:trHeight w:hRule="exact" w:val="263"/>
              </w:trPr>
              <w:tc>
                <w:tcPr>
                  <w:tcW w:w="411" w:type="pct"/>
                  <w:tcBorders>
                    <w:top w:val="nil"/>
                    <w:left w:val="nil"/>
                    <w:bottom w:val="nil"/>
                    <w:right w:val="nil"/>
                  </w:tcBorders>
                  <w:shd w:val="clear" w:color="auto" w:fill="F15A25"/>
                </w:tcPr>
                <w:p w14:paraId="4C43BDE1" w14:textId="77777777" w:rsidR="00C648AD" w:rsidRPr="000D77DB" w:rsidRDefault="00C648AD" w:rsidP="00C648AD">
                  <w:pPr>
                    <w:pStyle w:val="Note"/>
                  </w:pPr>
                </w:p>
              </w:tc>
              <w:tc>
                <w:tcPr>
                  <w:tcW w:w="4302" w:type="pct"/>
                  <w:tcBorders>
                    <w:top w:val="nil"/>
                    <w:left w:val="nil"/>
                    <w:bottom w:val="nil"/>
                    <w:right w:val="nil"/>
                  </w:tcBorders>
                  <w:shd w:val="clear" w:color="auto" w:fill="auto"/>
                </w:tcPr>
                <w:p w14:paraId="5DD85061" w14:textId="77777777" w:rsidR="00C648AD" w:rsidRPr="0021152C" w:rsidRDefault="00C648AD" w:rsidP="00C648AD">
                  <w:pPr>
                    <w:pStyle w:val="TableBodyText"/>
                    <w:jc w:val="left"/>
                  </w:pPr>
                  <w:r w:rsidRPr="0021152C">
                    <w:t>Comparable (subject to caveats) across jurisdictions and over time</w:t>
                  </w:r>
                  <w:r>
                    <w:t>.</w:t>
                  </w:r>
                </w:p>
              </w:tc>
            </w:tr>
            <w:tr w:rsidR="00C648AD" w:rsidRPr="0021152C" w14:paraId="42C27DE7" w14:textId="77777777" w:rsidTr="00426E46">
              <w:trPr>
                <w:trHeight w:hRule="exact" w:val="281"/>
              </w:trPr>
              <w:tc>
                <w:tcPr>
                  <w:tcW w:w="411" w:type="pct"/>
                  <w:tcBorders>
                    <w:top w:val="nil"/>
                    <w:left w:val="nil"/>
                    <w:bottom w:val="nil"/>
                    <w:right w:val="nil"/>
                  </w:tcBorders>
                  <w:shd w:val="clear" w:color="auto" w:fill="F15A25"/>
                </w:tcPr>
                <w:p w14:paraId="1A502D43" w14:textId="77777777" w:rsidR="00C648AD" w:rsidRPr="000D77DB" w:rsidRDefault="00C648AD" w:rsidP="00C648AD">
                  <w:pPr>
                    <w:pStyle w:val="Note"/>
                    <w:rPr>
                      <w:rFonts w:cs="Arial"/>
                      <w:szCs w:val="18"/>
                    </w:rPr>
                  </w:pPr>
                </w:p>
              </w:tc>
              <w:tc>
                <w:tcPr>
                  <w:tcW w:w="4302" w:type="pct"/>
                  <w:tcBorders>
                    <w:top w:val="nil"/>
                    <w:left w:val="nil"/>
                    <w:bottom w:val="nil"/>
                    <w:right w:val="nil"/>
                  </w:tcBorders>
                  <w:shd w:val="clear" w:color="auto" w:fill="auto"/>
                </w:tcPr>
                <w:p w14:paraId="10E52B80" w14:textId="77777777" w:rsidR="00C648AD" w:rsidRPr="0021152C" w:rsidRDefault="00C648AD" w:rsidP="00C648AD">
                  <w:pPr>
                    <w:pStyle w:val="TableBodyText"/>
                    <w:jc w:val="left"/>
                  </w:pPr>
                  <w:r w:rsidRPr="000D77DB">
                    <w:t xml:space="preserve">Complete (subject to caveats) for the current reporting period. </w:t>
                  </w:r>
                </w:p>
              </w:tc>
            </w:tr>
          </w:tbl>
          <w:p w14:paraId="4342F6AD" w14:textId="397B1E00" w:rsidR="00A00626" w:rsidRPr="00977DE4" w:rsidRDefault="00977DE4" w:rsidP="00C45C10">
            <w:pPr>
              <w:pStyle w:val="Figure"/>
              <w:rPr>
                <w:sz w:val="18"/>
                <w:szCs w:val="18"/>
              </w:rPr>
            </w:pPr>
            <w:r w:rsidRPr="00DC5956">
              <w:rPr>
                <w:rFonts w:ascii="Arial" w:hAnsi="Arial"/>
                <w:b/>
                <w:sz w:val="18"/>
                <w:szCs w:val="18"/>
              </w:rPr>
              <w:t xml:space="preserve">(a) People whose GP always or often listened carefully, showed respect, </w:t>
            </w:r>
            <w:r w:rsidR="00990395" w:rsidRPr="00DC5956">
              <w:rPr>
                <w:rFonts w:ascii="Arial" w:hAnsi="Arial"/>
                <w:b/>
                <w:sz w:val="18"/>
                <w:szCs w:val="18"/>
              </w:rPr>
              <w:br/>
            </w:r>
            <w:r w:rsidRPr="00DC5956">
              <w:rPr>
                <w:rFonts w:ascii="Arial" w:hAnsi="Arial"/>
                <w:b/>
                <w:sz w:val="18"/>
                <w:szCs w:val="18"/>
              </w:rPr>
              <w:t>spent enough time</w:t>
            </w:r>
          </w:p>
        </w:tc>
      </w:tr>
      <w:tr w:rsidR="00334BF9" w14:paraId="51F37E69" w14:textId="77777777" w:rsidTr="00D707FD">
        <w:tblPrEx>
          <w:tblCellMar>
            <w:left w:w="108" w:type="dxa"/>
            <w:right w:w="108" w:type="dxa"/>
          </w:tblCellMar>
        </w:tblPrEx>
        <w:tc>
          <w:tcPr>
            <w:tcW w:w="8793" w:type="dxa"/>
            <w:tcBorders>
              <w:top w:val="nil"/>
              <w:left w:val="nil"/>
              <w:bottom w:val="nil"/>
              <w:right w:val="nil"/>
            </w:tcBorders>
            <w:shd w:val="clear" w:color="auto" w:fill="auto"/>
          </w:tcPr>
          <w:p w14:paraId="7BA2D13C" w14:textId="0D0FEAA8" w:rsidR="00334BF9" w:rsidRDefault="00DC5956" w:rsidP="00C059E1">
            <w:pPr>
              <w:pStyle w:val="Figure"/>
            </w:pPr>
            <w:r>
              <w:rPr>
                <w:noProof/>
              </w:rPr>
              <w:drawing>
                <wp:inline distT="0" distB="0" distL="0" distR="0" wp14:anchorId="36A9E2BC" wp14:editId="68D4AB2A">
                  <wp:extent cx="5343525" cy="2520000"/>
                  <wp:effectExtent l="0" t="0" r="0" b="0"/>
                  <wp:docPr id="15" name="Chart 15" descr="Figure 10.8 Patient satisfaction, 2017-18&#10;&#10;(a) People whose GP always or often listened carefully, showed respect, spent enough time&#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D2C10BA" w14:textId="433AA577" w:rsidR="00977DE4" w:rsidRDefault="00977DE4" w:rsidP="00C059E1">
            <w:pPr>
              <w:pStyle w:val="Figure"/>
              <w:rPr>
                <w:rFonts w:ascii="Arial" w:hAnsi="Arial"/>
                <w:b/>
                <w:sz w:val="18"/>
                <w:szCs w:val="18"/>
              </w:rPr>
            </w:pPr>
            <w:r w:rsidRPr="00977DE4">
              <w:rPr>
                <w:rFonts w:ascii="Arial" w:hAnsi="Arial"/>
                <w:b/>
                <w:sz w:val="18"/>
                <w:szCs w:val="18"/>
              </w:rPr>
              <w:t xml:space="preserve">(b) People whose dental professional always or often listened carefully, showed respect, </w:t>
            </w:r>
            <w:r w:rsidR="00990395">
              <w:rPr>
                <w:rFonts w:ascii="Arial" w:hAnsi="Arial"/>
                <w:b/>
                <w:sz w:val="18"/>
                <w:szCs w:val="18"/>
              </w:rPr>
              <w:br/>
            </w:r>
            <w:r w:rsidRPr="00977DE4">
              <w:rPr>
                <w:rFonts w:ascii="Arial" w:hAnsi="Arial"/>
                <w:b/>
                <w:sz w:val="18"/>
                <w:szCs w:val="18"/>
              </w:rPr>
              <w:t>spent enough time</w:t>
            </w:r>
          </w:p>
          <w:p w14:paraId="45470E11" w14:textId="36B87A49" w:rsidR="00977DE4" w:rsidRDefault="00DC5956" w:rsidP="00C059E1">
            <w:pPr>
              <w:pStyle w:val="Figure"/>
            </w:pPr>
            <w:r>
              <w:rPr>
                <w:noProof/>
              </w:rPr>
              <w:drawing>
                <wp:inline distT="0" distB="0" distL="0" distR="0" wp14:anchorId="5E381324" wp14:editId="75A6F074">
                  <wp:extent cx="5341620" cy="2520000"/>
                  <wp:effectExtent l="0" t="0" r="0" b="0"/>
                  <wp:docPr id="17" name="Chart 17" descr="Figure 10.8 Patient satisfaction, 2017-18&#10;&#10;(b) People whose dental professional always or often listened carefully, showed respect, spent enough time&#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334BF9" w:rsidRPr="00176D3F" w14:paraId="54591C84" w14:textId="77777777" w:rsidTr="00D707FD">
        <w:tc>
          <w:tcPr>
            <w:tcW w:w="8793" w:type="dxa"/>
            <w:tcBorders>
              <w:top w:val="nil"/>
              <w:left w:val="nil"/>
              <w:bottom w:val="nil"/>
              <w:right w:val="nil"/>
            </w:tcBorders>
            <w:shd w:val="clear" w:color="auto" w:fill="auto"/>
          </w:tcPr>
          <w:p w14:paraId="054572FE" w14:textId="1664F713" w:rsidR="00334BF9" w:rsidRPr="00176D3F" w:rsidRDefault="00334BF9" w:rsidP="00F51280">
            <w:pPr>
              <w:pStyle w:val="Note"/>
            </w:pPr>
            <w:r>
              <w:rPr>
                <w:rStyle w:val="NoteLabel"/>
              </w:rPr>
              <w:t>a</w:t>
            </w:r>
            <w:r w:rsidRPr="00531CF3">
              <w:t xml:space="preserve"> </w:t>
            </w:r>
            <w:r w:rsidR="00325418">
              <w:t xml:space="preserve">See </w:t>
            </w:r>
            <w:r w:rsidR="00325418" w:rsidRPr="0038602A">
              <w:t>box 10.1</w:t>
            </w:r>
            <w:r w:rsidR="00A15649">
              <w:t>2</w:t>
            </w:r>
            <w:r w:rsidR="00325418">
              <w:t xml:space="preserve"> and </w:t>
            </w:r>
            <w:r w:rsidR="00325418" w:rsidRPr="00283926">
              <w:t>table</w:t>
            </w:r>
            <w:r w:rsidR="00C45C10">
              <w:t>s</w:t>
            </w:r>
            <w:r w:rsidR="00325418" w:rsidRPr="00283926">
              <w:t xml:space="preserve"> 10A.</w:t>
            </w:r>
            <w:r w:rsidR="004537C6" w:rsidRPr="00283926">
              <w:t>5</w:t>
            </w:r>
            <w:r w:rsidR="00C648AD">
              <w:t>1</w:t>
            </w:r>
            <w:r w:rsidR="00990395">
              <w:t xml:space="preserve"> and 10A.53</w:t>
            </w:r>
            <w:r w:rsidR="00F51280">
              <w:t xml:space="preserve"> </w:t>
            </w:r>
            <w:r w:rsidR="00325418">
              <w:t>for detailed definitions, footnotes and caveats</w:t>
            </w:r>
            <w:r w:rsidR="00325418" w:rsidRPr="00636133">
              <w:t>.</w:t>
            </w:r>
            <w:r w:rsidR="00325418">
              <w:rPr>
                <w:rStyle w:val="NoteLabel"/>
              </w:rPr>
              <w:t xml:space="preserve"> b</w:t>
            </w:r>
            <w:r w:rsidR="00325418">
              <w:t xml:space="preserve"> </w:t>
            </w:r>
            <w:r w:rsidR="00325418" w:rsidRPr="00AC119F">
              <w:rPr>
                <w:rFonts w:asciiTheme="minorHAnsi" w:hAnsiTheme="minorHAnsi"/>
                <w:szCs w:val="18"/>
              </w:rPr>
              <w:t>Error bars represent the 95 per cent confidence interval associated with each point estimate</w:t>
            </w:r>
            <w:r w:rsidR="00325418" w:rsidRPr="008A7681">
              <w:rPr>
                <w:rFonts w:asciiTheme="minorHAnsi" w:hAnsiTheme="minorHAnsi"/>
                <w:sz w:val="22"/>
                <w:szCs w:val="22"/>
              </w:rPr>
              <w:t>.</w:t>
            </w:r>
          </w:p>
        </w:tc>
      </w:tr>
      <w:tr w:rsidR="00334BF9" w:rsidRPr="00176D3F" w14:paraId="359D15C6" w14:textId="77777777" w:rsidTr="00FA0CDF">
        <w:tc>
          <w:tcPr>
            <w:tcW w:w="8793" w:type="dxa"/>
            <w:tcBorders>
              <w:top w:val="nil"/>
              <w:left w:val="nil"/>
              <w:bottom w:val="nil"/>
              <w:right w:val="nil"/>
            </w:tcBorders>
            <w:shd w:val="clear" w:color="auto" w:fill="auto"/>
          </w:tcPr>
          <w:p w14:paraId="79A7CE2A" w14:textId="06933150" w:rsidR="00334BF9" w:rsidRPr="00176D3F" w:rsidRDefault="00325418" w:rsidP="00F51280">
            <w:pPr>
              <w:pStyle w:val="Source"/>
            </w:pPr>
            <w:r>
              <w:rPr>
                <w:i/>
              </w:rPr>
              <w:t>Source</w:t>
            </w:r>
            <w:r w:rsidRPr="00167F06">
              <w:t xml:space="preserve">: </w:t>
            </w:r>
            <w:r>
              <w:t xml:space="preserve">ABS (unpublished) </w:t>
            </w:r>
            <w:r w:rsidRPr="0011698B">
              <w:t xml:space="preserve">Patient Experience Survey </w:t>
            </w:r>
            <w:r w:rsidR="00280888">
              <w:t>201</w:t>
            </w:r>
            <w:r w:rsidR="007B189A">
              <w:t>7</w:t>
            </w:r>
            <w:r w:rsidR="00280888">
              <w:t>-1</w:t>
            </w:r>
            <w:r w:rsidR="007B189A">
              <w:t>8</w:t>
            </w:r>
            <w:r w:rsidRPr="0011698B">
              <w:t>,</w:t>
            </w:r>
            <w:r>
              <w:t xml:space="preserve"> Cat. no. 4839.0; </w:t>
            </w:r>
            <w:r w:rsidRPr="00283926">
              <w:t>table 10A.</w:t>
            </w:r>
            <w:r w:rsidR="004537C6" w:rsidRPr="00283926">
              <w:t>5</w:t>
            </w:r>
            <w:r w:rsidR="00C648AD">
              <w:t>1</w:t>
            </w:r>
            <w:r w:rsidR="00990395">
              <w:t xml:space="preserve"> and 10A.53</w:t>
            </w:r>
            <w:r w:rsidRPr="006C74C6">
              <w:t>.</w:t>
            </w:r>
            <w:r w:rsidR="00334BF9" w:rsidRPr="00176D3F">
              <w:t xml:space="preserve"> </w:t>
            </w:r>
          </w:p>
        </w:tc>
      </w:tr>
      <w:tr w:rsidR="00334BF9" w14:paraId="020C4974" w14:textId="77777777" w:rsidTr="00FA0CDF">
        <w:tc>
          <w:tcPr>
            <w:tcW w:w="8793" w:type="dxa"/>
            <w:tcBorders>
              <w:top w:val="nil"/>
              <w:left w:val="nil"/>
              <w:bottom w:val="single" w:sz="6" w:space="0" w:color="78A22F"/>
              <w:right w:val="nil"/>
            </w:tcBorders>
            <w:shd w:val="clear" w:color="auto" w:fill="auto"/>
          </w:tcPr>
          <w:p w14:paraId="665911C9" w14:textId="77777777" w:rsidR="00334BF9" w:rsidRDefault="00334BF9" w:rsidP="00C059E1">
            <w:pPr>
              <w:pStyle w:val="Figurespace"/>
            </w:pPr>
          </w:p>
        </w:tc>
      </w:tr>
      <w:tr w:rsidR="00334BF9" w:rsidRPr="000863A5" w14:paraId="111C2CAE" w14:textId="77777777" w:rsidTr="00FA0CDF">
        <w:tc>
          <w:tcPr>
            <w:tcW w:w="8793" w:type="dxa"/>
            <w:tcBorders>
              <w:top w:val="single" w:sz="6" w:space="0" w:color="78A22F"/>
              <w:left w:val="nil"/>
              <w:bottom w:val="nil"/>
              <w:right w:val="nil"/>
            </w:tcBorders>
          </w:tcPr>
          <w:p w14:paraId="2C6A9D2A" w14:textId="4DE9E3E9" w:rsidR="00334BF9" w:rsidRPr="00626D32" w:rsidRDefault="00334BF9" w:rsidP="00C059E1">
            <w:pPr>
              <w:pStyle w:val="BoxSpaceBelow"/>
            </w:pPr>
          </w:p>
        </w:tc>
      </w:tr>
    </w:tbl>
    <w:p w14:paraId="14DAB262" w14:textId="77777777" w:rsidR="00C648AD" w:rsidRDefault="00C648AD">
      <w:pPr>
        <w:rPr>
          <w:b/>
          <w:color w:val="FF00FF"/>
          <w:sz w:val="14"/>
          <w:szCs w:val="14"/>
        </w:rPr>
      </w:pPr>
      <w:r>
        <w:rPr>
          <w:b/>
          <w:color w:val="FF00FF"/>
          <w:sz w:val="14"/>
          <w:szCs w:val="14"/>
        </w:rPr>
        <w:br w:type="page"/>
      </w:r>
    </w:p>
    <w:p w14:paraId="349F33FA" w14:textId="420D5C10" w:rsidR="00172785" w:rsidRDefault="00085B88" w:rsidP="0025747C">
      <w:pPr>
        <w:pStyle w:val="Heading4"/>
      </w:pPr>
      <w:r>
        <w:lastRenderedPageBreak/>
        <w:t xml:space="preserve">Quality — </w:t>
      </w:r>
      <w:r w:rsidR="00DD0D88">
        <w:t>C</w:t>
      </w:r>
      <w:r>
        <w:t>ontinuity</w:t>
      </w:r>
      <w:r w:rsidR="00172785">
        <w:t xml:space="preserve"> </w:t>
      </w:r>
      <w:r w:rsidR="007449FB" w:rsidRPr="00DE2795">
        <w:t xml:space="preserve">— Continuity of </w:t>
      </w:r>
      <w:r w:rsidR="007449FB">
        <w:t>care</w:t>
      </w:r>
    </w:p>
    <w:p w14:paraId="5A99DBB4" w14:textId="6857E17F" w:rsidR="0025747C" w:rsidRDefault="00A91028" w:rsidP="0025747C">
      <w:pPr>
        <w:pStyle w:val="BodyText"/>
      </w:pPr>
      <w:r>
        <w:t>‘Continuity of</w:t>
      </w:r>
      <w:r w:rsidRPr="00C51085">
        <w:t xml:space="preserve"> </w:t>
      </w:r>
      <w:r>
        <w:t xml:space="preserve">care’ is an indicator of government’s objective to ensure that services are </w:t>
      </w:r>
      <w:r w:rsidRPr="00484BA3">
        <w:t xml:space="preserve">well co-ordinated to ensure continuity of care where more than one service type, and/or ongoing service provision is required </w:t>
      </w:r>
      <w:r>
        <w:t>(</w:t>
      </w:r>
      <w:r w:rsidR="00080687">
        <w:t>b</w:t>
      </w:r>
      <w:r>
        <w:t xml:space="preserve">ox </w:t>
      </w:r>
      <w:r w:rsidR="000D7FC3">
        <w:t>10.1</w:t>
      </w:r>
      <w:r w:rsidR="00A15649">
        <w:t>3</w:t>
      </w:r>
      <w:r>
        <w:t>).</w:t>
      </w:r>
    </w:p>
    <w:p w14:paraId="6412F21C" w14:textId="20D933C5" w:rsidR="00C4505A" w:rsidRDefault="00C4505A">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8"/>
      </w:tblGrid>
      <w:tr w:rsidR="00C4505A" w14:paraId="163D1B01" w14:textId="77777777" w:rsidTr="008925CD">
        <w:trPr>
          <w:tblHeader/>
        </w:trPr>
        <w:tc>
          <w:tcPr>
            <w:tcW w:w="5000" w:type="pct"/>
            <w:tcBorders>
              <w:top w:val="single" w:sz="6" w:space="0" w:color="78A22F"/>
              <w:left w:val="nil"/>
              <w:bottom w:val="nil"/>
              <w:right w:val="nil"/>
            </w:tcBorders>
            <w:shd w:val="clear" w:color="auto" w:fill="F2F2F2" w:themeFill="background1" w:themeFillShade="F2"/>
          </w:tcPr>
          <w:p w14:paraId="45DEFA82" w14:textId="4C27E2AB" w:rsidR="00C4505A" w:rsidRPr="004F33E6" w:rsidRDefault="00C4505A" w:rsidP="00DF0483">
            <w:pPr>
              <w:pStyle w:val="BoxTitle"/>
            </w:pPr>
            <w:r w:rsidRPr="004F33E6">
              <w:rPr>
                <w:b w:val="0"/>
              </w:rPr>
              <w:t xml:space="preserve">Box </w:t>
            </w:r>
            <w:r w:rsidR="009525ED" w:rsidRPr="004F33E6">
              <w:rPr>
                <w:b w:val="0"/>
              </w:rPr>
              <w:t>10.</w:t>
            </w:r>
            <w:r w:rsidR="0008386D">
              <w:rPr>
                <w:b w:val="0"/>
                <w:noProof/>
              </w:rPr>
              <w:t>13</w:t>
            </w:r>
            <w:r w:rsidRPr="004F33E6">
              <w:tab/>
              <w:t>Continuity of care</w:t>
            </w:r>
          </w:p>
        </w:tc>
      </w:tr>
      <w:tr w:rsidR="00C4505A" w14:paraId="12162DD4" w14:textId="77777777" w:rsidTr="008925CD">
        <w:tc>
          <w:tcPr>
            <w:tcW w:w="5000" w:type="pct"/>
            <w:tcBorders>
              <w:top w:val="nil"/>
              <w:left w:val="nil"/>
              <w:bottom w:val="nil"/>
              <w:right w:val="nil"/>
            </w:tcBorders>
            <w:shd w:val="clear" w:color="auto" w:fill="F2F2F2" w:themeFill="background1" w:themeFillShade="F2"/>
          </w:tcPr>
          <w:p w14:paraId="2DD186EE" w14:textId="1972DC0B" w:rsidR="00FB6EB3" w:rsidRPr="004F33E6" w:rsidRDefault="00C4505A" w:rsidP="00DD0D88">
            <w:pPr>
              <w:pStyle w:val="Box"/>
            </w:pPr>
            <w:r w:rsidRPr="004F33E6">
              <w:t>‘</w:t>
            </w:r>
            <w:r w:rsidR="00DD0D88" w:rsidRPr="004F33E6">
              <w:t>C</w:t>
            </w:r>
            <w:r w:rsidRPr="004F33E6">
              <w:t xml:space="preserve">ontinuity of care’ </w:t>
            </w:r>
            <w:r w:rsidR="00DD0D88" w:rsidRPr="004F33E6">
              <w:t xml:space="preserve">is defined </w:t>
            </w:r>
            <w:r w:rsidR="00DF4335" w:rsidRPr="004F33E6">
              <w:t xml:space="preserve">as </w:t>
            </w:r>
            <w:r w:rsidRPr="004F33E6">
              <w:t>the proportion of GP management plans and team care assessment plans that have been</w:t>
            </w:r>
            <w:r w:rsidR="00A517C5" w:rsidRPr="004F33E6">
              <w:t xml:space="preserve"> reviewed in the p</w:t>
            </w:r>
            <w:r w:rsidR="00DD0D88" w:rsidRPr="004F33E6">
              <w:t>ast 12 months</w:t>
            </w:r>
            <w:r w:rsidR="00DF4335" w:rsidRPr="004F33E6">
              <w:t>.</w:t>
            </w:r>
            <w:r w:rsidR="00204DF9" w:rsidRPr="004F33E6">
              <w:t xml:space="preserve"> </w:t>
            </w:r>
          </w:p>
          <w:p w14:paraId="6FCE13DC" w14:textId="4B34498E" w:rsidR="004F33E6" w:rsidRPr="004F33E6" w:rsidRDefault="004F33E6" w:rsidP="00DD0D88">
            <w:pPr>
              <w:pStyle w:val="Box"/>
            </w:pPr>
            <w:r w:rsidRPr="004F33E6">
              <w:t>Proportions are calculated by dividing the number of Medicare Benefit Schedule (MBS) subsidised GP management plans and team care assessment plans reviewed (Medicare item no. 732), by the total number of MBS subsidised GP management plans (Medicare item no. 721) and team care assessment plans (Medicare item no. 723), multiplied by 100.</w:t>
            </w:r>
          </w:p>
          <w:p w14:paraId="7B013292" w14:textId="6F6FFDD4" w:rsidR="004F33E6" w:rsidRDefault="00C648AD" w:rsidP="004F33E6">
            <w:pPr>
              <w:pStyle w:val="Box"/>
            </w:pPr>
            <w:r>
              <w:t>A high or increasing proportion</w:t>
            </w:r>
            <w:r w:rsidR="004F33E6" w:rsidRPr="004F33E6">
              <w:t xml:space="preserve"> of GP management and team care assessment plans reviewed is desirable.</w:t>
            </w:r>
          </w:p>
          <w:p w14:paraId="77690E22" w14:textId="4BB79268" w:rsidR="00990395" w:rsidRPr="004F33E6" w:rsidRDefault="00990395" w:rsidP="004F33E6">
            <w:pPr>
              <w:pStyle w:val="Box"/>
            </w:pPr>
            <w:r>
              <w:t xml:space="preserve">This </w:t>
            </w:r>
            <w:r w:rsidR="00C94124">
              <w:t>indicator</w:t>
            </w:r>
            <w:r>
              <w:t xml:space="preserve"> </w:t>
            </w:r>
            <w:r w:rsidR="00C94124">
              <w:t>measures</w:t>
            </w:r>
            <w:r>
              <w:t xml:space="preserve"> only one aspect of continuity of care</w:t>
            </w:r>
            <w:r w:rsidR="00C94124">
              <w:t xml:space="preserve"> (reviewing GP management plans and team care assessment plans)</w:t>
            </w:r>
            <w:r>
              <w:t xml:space="preserve">. </w:t>
            </w:r>
            <w:r w:rsidR="00C94124">
              <w:t xml:space="preserve">This indicator does not measure additional activities undertaken </w:t>
            </w:r>
            <w:r w:rsidR="00692F91">
              <w:t xml:space="preserve">by GPs </w:t>
            </w:r>
            <w:r w:rsidR="00C94124">
              <w:t xml:space="preserve">and other </w:t>
            </w:r>
            <w:r w:rsidR="00692F91">
              <w:t xml:space="preserve">health providers to </w:t>
            </w:r>
            <w:r w:rsidR="00C94124">
              <w:t>coordinate patient care. Nor does this indicator measure a patient’s experience of care (that is, whether a patient believes he or she received well-coordinated health care).</w:t>
            </w:r>
          </w:p>
          <w:p w14:paraId="480317F7" w14:textId="77777777" w:rsidR="00DF4335" w:rsidRDefault="00DF4335" w:rsidP="00DF4335">
            <w:pPr>
              <w:keepNext/>
              <w:spacing w:before="120" w:line="260" w:lineRule="atLeast"/>
              <w:jc w:val="both"/>
              <w:rPr>
                <w:rFonts w:ascii="Arial" w:hAnsi="Arial"/>
                <w:sz w:val="20"/>
              </w:rPr>
            </w:pPr>
            <w:r w:rsidRPr="004F33E6">
              <w:rPr>
                <w:rFonts w:ascii="Arial" w:hAnsi="Arial"/>
                <w:sz w:val="20"/>
              </w:rPr>
              <w:t>Data reported for this indicator are:</w:t>
            </w:r>
          </w:p>
          <w:p w14:paraId="7F9DB3A0" w14:textId="77777777" w:rsidR="00C648AD" w:rsidRDefault="00C648AD" w:rsidP="00C94124">
            <w:pPr>
              <w:pStyle w:val="Box"/>
              <w:ind w:left="284"/>
            </w:pPr>
            <w:r w:rsidRPr="001B3B2F">
              <w:rPr>
                <w:shd w:val="clear" w:color="auto" w:fill="F15A25"/>
              </w:rPr>
              <w:t xml:space="preserve">    </w:t>
            </w:r>
            <w:r>
              <w:t xml:space="preserve"> comparable (subject to caveats) across jurisdictions and over time</w:t>
            </w:r>
          </w:p>
          <w:p w14:paraId="4141BDAB" w14:textId="33436A58" w:rsidR="00C4505A" w:rsidRPr="004F33E6" w:rsidRDefault="00C648AD" w:rsidP="00C94124">
            <w:pPr>
              <w:keepNext/>
              <w:spacing w:before="120" w:line="260" w:lineRule="atLeast"/>
              <w:ind w:left="284"/>
              <w:jc w:val="both"/>
            </w:pPr>
            <w:r w:rsidRPr="001B3B2F">
              <w:rPr>
                <w:shd w:val="clear" w:color="auto" w:fill="F15A25"/>
              </w:rPr>
              <w:t xml:space="preserve">    </w:t>
            </w:r>
            <w:r>
              <w:t xml:space="preserve"> </w:t>
            </w:r>
            <w:r w:rsidRPr="00C648AD">
              <w:rPr>
                <w:rFonts w:ascii="Arial" w:hAnsi="Arial"/>
                <w:sz w:val="20"/>
                <w:szCs w:val="20"/>
              </w:rPr>
              <w:t>complete (subject to caveats) for the current reporting period. All required 201</w:t>
            </w:r>
            <w:r w:rsidR="00CA7999">
              <w:rPr>
                <w:rFonts w:ascii="Arial" w:hAnsi="Arial"/>
                <w:sz w:val="20"/>
                <w:szCs w:val="20"/>
              </w:rPr>
              <w:t>7</w:t>
            </w:r>
            <w:r w:rsidRPr="00C648AD">
              <w:rPr>
                <w:rFonts w:ascii="Arial" w:hAnsi="Arial"/>
                <w:sz w:val="20"/>
                <w:szCs w:val="20"/>
              </w:rPr>
              <w:t>-1</w:t>
            </w:r>
            <w:r w:rsidR="00CA7999">
              <w:rPr>
                <w:rFonts w:ascii="Arial" w:hAnsi="Arial"/>
                <w:sz w:val="20"/>
                <w:szCs w:val="20"/>
              </w:rPr>
              <w:t>8</w:t>
            </w:r>
            <w:r w:rsidRPr="00C648AD">
              <w:rPr>
                <w:rFonts w:ascii="Arial" w:hAnsi="Arial"/>
                <w:sz w:val="20"/>
                <w:szCs w:val="20"/>
              </w:rPr>
              <w:t xml:space="preserve"> data are available for all jurisdictions.</w:t>
            </w:r>
            <w:r w:rsidR="00D3006E" w:rsidRPr="004F33E6">
              <w:t xml:space="preserve"> </w:t>
            </w:r>
          </w:p>
        </w:tc>
      </w:tr>
      <w:tr w:rsidR="00C4505A" w14:paraId="77578FC7" w14:textId="77777777" w:rsidTr="006314ED">
        <w:tc>
          <w:tcPr>
            <w:tcW w:w="5000" w:type="pct"/>
            <w:tcBorders>
              <w:top w:val="nil"/>
              <w:left w:val="nil"/>
              <w:bottom w:val="single" w:sz="6" w:space="0" w:color="78A22F"/>
              <w:right w:val="nil"/>
            </w:tcBorders>
            <w:shd w:val="clear" w:color="auto" w:fill="F2F2F2"/>
          </w:tcPr>
          <w:p w14:paraId="32E787F5" w14:textId="77777777" w:rsidR="00C4505A" w:rsidRDefault="00C4505A">
            <w:pPr>
              <w:pStyle w:val="Box"/>
              <w:spacing w:before="0" w:line="120" w:lineRule="exact"/>
            </w:pPr>
          </w:p>
        </w:tc>
      </w:tr>
      <w:tr w:rsidR="00C4505A" w:rsidRPr="000863A5" w14:paraId="5B8BC925" w14:textId="77777777" w:rsidTr="006314ED">
        <w:tc>
          <w:tcPr>
            <w:tcW w:w="5000" w:type="pct"/>
            <w:tcBorders>
              <w:top w:val="single" w:sz="6" w:space="0" w:color="78A22F"/>
              <w:left w:val="nil"/>
              <w:bottom w:val="nil"/>
              <w:right w:val="nil"/>
            </w:tcBorders>
          </w:tcPr>
          <w:p w14:paraId="7533B3F6" w14:textId="47A3DA0B" w:rsidR="00C4505A" w:rsidRPr="00626D32" w:rsidRDefault="00C4505A" w:rsidP="00A016D2">
            <w:pPr>
              <w:pStyle w:val="BoxSpaceBelow"/>
            </w:pPr>
          </w:p>
        </w:tc>
      </w:tr>
    </w:tbl>
    <w:p w14:paraId="02118B93" w14:textId="75C81CF8" w:rsidR="00DE61DF" w:rsidRDefault="00DE61DF" w:rsidP="00DE61DF">
      <w:pPr>
        <w:pStyle w:val="BodyText"/>
      </w:pPr>
      <w:r w:rsidRPr="00151476">
        <w:t xml:space="preserve">Nationally in </w:t>
      </w:r>
      <w:r w:rsidR="000D42D5" w:rsidRPr="00151476">
        <w:t>2017-18</w:t>
      </w:r>
      <w:r w:rsidRPr="00151476">
        <w:t xml:space="preserve">, </w:t>
      </w:r>
      <w:r w:rsidR="000D42D5" w:rsidRPr="00151476">
        <w:t>72.3</w:t>
      </w:r>
      <w:r w:rsidRPr="00151476">
        <w:t xml:space="preserve"> per</w:t>
      </w:r>
      <w:r w:rsidRPr="00DE61DF">
        <w:t xml:space="preserve"> cent of MBS subsidised GP management plans and </w:t>
      </w:r>
      <w:r w:rsidRPr="005B768E">
        <w:t>team care assessment plans were reviewed</w:t>
      </w:r>
      <w:r w:rsidR="007B189A">
        <w:t xml:space="preserve"> — an increase from 70.8 per cent in 2016-17 (table 10A.55)</w:t>
      </w:r>
      <w:r w:rsidRPr="005B768E">
        <w:t>. Proportions varied across jurisdictions (figure 10.</w:t>
      </w:r>
      <w:r w:rsidR="008C6EED">
        <w:t>9</w:t>
      </w:r>
      <w:r w:rsidRPr="005B768E">
        <w:t>).</w:t>
      </w:r>
    </w:p>
    <w:p w14:paraId="3F438736" w14:textId="72D4FC91" w:rsidR="00CC6A1C" w:rsidRPr="00325418" w:rsidRDefault="00CC6A1C" w:rsidP="00C94124">
      <w:pPr>
        <w:pStyle w:val="BodyText"/>
        <w:keepNext/>
        <w:widowControl w:val="0"/>
        <w:rPr>
          <w:sz w:val="14"/>
          <w:szCs w:val="14"/>
        </w:rPr>
      </w:pPr>
    </w:p>
    <w:tbl>
      <w:tblPr>
        <w:tblW w:w="8793"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CC6A1C" w14:paraId="49E5AC11" w14:textId="77777777" w:rsidTr="0003707A">
        <w:tc>
          <w:tcPr>
            <w:tcW w:w="8793" w:type="dxa"/>
            <w:tcBorders>
              <w:top w:val="single" w:sz="6" w:space="0" w:color="78A22F"/>
              <w:left w:val="nil"/>
              <w:bottom w:val="nil"/>
              <w:right w:val="nil"/>
            </w:tcBorders>
            <w:shd w:val="clear" w:color="auto" w:fill="auto"/>
          </w:tcPr>
          <w:p w14:paraId="1CA6E681" w14:textId="69C324EA" w:rsidR="00CC6A1C" w:rsidRPr="00176D3F" w:rsidRDefault="00CC6A1C" w:rsidP="00C45C10">
            <w:pPr>
              <w:pStyle w:val="FigureTitle"/>
              <w:keepLines w:val="0"/>
              <w:widowControl w:val="0"/>
            </w:pPr>
            <w:r w:rsidRPr="00784A05">
              <w:rPr>
                <w:b w:val="0"/>
              </w:rPr>
              <w:t xml:space="preserve">Figure </w:t>
            </w:r>
            <w:r w:rsidR="008C6EED">
              <w:rPr>
                <w:b w:val="0"/>
              </w:rPr>
              <w:t>10.</w:t>
            </w:r>
            <w:r w:rsidR="0008386D">
              <w:rPr>
                <w:b w:val="0"/>
                <w:noProof/>
              </w:rPr>
              <w:t>9</w:t>
            </w:r>
            <w:r>
              <w:tab/>
              <w:t>Proportion of GP management plans and team care assessment plans reviewed</w:t>
            </w:r>
            <w:r>
              <w:rPr>
                <w:rStyle w:val="NoteLabel"/>
                <w:b/>
              </w:rPr>
              <w:t>a</w:t>
            </w:r>
            <w:r w:rsidR="00FD67B9">
              <w:rPr>
                <w:rStyle w:val="NoteLabel"/>
                <w:b/>
              </w:rPr>
              <w:t xml:space="preserve"> </w:t>
            </w:r>
          </w:p>
        </w:tc>
      </w:tr>
      <w:tr w:rsidR="008925CD" w14:paraId="63889947" w14:textId="77777777" w:rsidTr="0003707A">
        <w:tc>
          <w:tcPr>
            <w:tcW w:w="8793" w:type="dxa"/>
            <w:tcBorders>
              <w:top w:val="nil"/>
              <w:left w:val="nil"/>
              <w:bottom w:val="nil"/>
              <w:right w:val="nil"/>
            </w:tcBorders>
            <w:shd w:val="clear" w:color="auto" w:fill="auto"/>
          </w:tcPr>
          <w:tbl>
            <w:tblPr>
              <w:tblW w:w="5000" w:type="pct"/>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742"/>
              <w:gridCol w:w="7767"/>
            </w:tblGrid>
            <w:tr w:rsidR="0039582A" w:rsidRPr="0021152C" w14:paraId="05655537" w14:textId="77777777" w:rsidTr="00426E46">
              <w:trPr>
                <w:trHeight w:hRule="exact" w:val="259"/>
              </w:trPr>
              <w:tc>
                <w:tcPr>
                  <w:tcW w:w="411" w:type="pct"/>
                  <w:tcBorders>
                    <w:top w:val="nil"/>
                    <w:left w:val="nil"/>
                    <w:bottom w:val="nil"/>
                    <w:right w:val="nil"/>
                  </w:tcBorders>
                  <w:shd w:val="clear" w:color="auto" w:fill="F15A25"/>
                </w:tcPr>
                <w:p w14:paraId="272F2E0C" w14:textId="77777777" w:rsidR="0039582A" w:rsidRPr="000D77DB" w:rsidRDefault="0039582A" w:rsidP="00C94124">
                  <w:pPr>
                    <w:pStyle w:val="Note"/>
                    <w:keepNext/>
                    <w:keepLines w:val="0"/>
                    <w:widowControl w:val="0"/>
                  </w:pPr>
                </w:p>
              </w:tc>
              <w:tc>
                <w:tcPr>
                  <w:tcW w:w="4302" w:type="pct"/>
                  <w:tcBorders>
                    <w:top w:val="nil"/>
                    <w:left w:val="nil"/>
                    <w:bottom w:val="nil"/>
                    <w:right w:val="nil"/>
                  </w:tcBorders>
                  <w:shd w:val="clear" w:color="auto" w:fill="auto"/>
                </w:tcPr>
                <w:p w14:paraId="5806512F" w14:textId="77777777" w:rsidR="0039582A" w:rsidRPr="0021152C" w:rsidRDefault="0039582A" w:rsidP="00C94124">
                  <w:pPr>
                    <w:pStyle w:val="TableBodyText"/>
                    <w:keepLines w:val="0"/>
                    <w:widowControl w:val="0"/>
                    <w:jc w:val="left"/>
                  </w:pPr>
                  <w:r w:rsidRPr="0021152C">
                    <w:t>Comparable (subject to caveats) across jurisdictions and over time</w:t>
                  </w:r>
                  <w:r>
                    <w:t>.</w:t>
                  </w:r>
                </w:p>
              </w:tc>
            </w:tr>
            <w:tr w:rsidR="0039582A" w:rsidRPr="0021152C" w14:paraId="26226E18" w14:textId="77777777" w:rsidTr="00426E46">
              <w:trPr>
                <w:trHeight w:hRule="exact" w:val="291"/>
              </w:trPr>
              <w:tc>
                <w:tcPr>
                  <w:tcW w:w="411" w:type="pct"/>
                  <w:tcBorders>
                    <w:top w:val="nil"/>
                    <w:left w:val="nil"/>
                    <w:bottom w:val="nil"/>
                    <w:right w:val="nil"/>
                  </w:tcBorders>
                  <w:shd w:val="clear" w:color="auto" w:fill="F15A25"/>
                </w:tcPr>
                <w:p w14:paraId="1B82C9FE" w14:textId="77777777" w:rsidR="0039582A" w:rsidRPr="000D77DB" w:rsidRDefault="0039582A" w:rsidP="00C94124">
                  <w:pPr>
                    <w:pStyle w:val="Note"/>
                    <w:keepNext/>
                    <w:keepLines w:val="0"/>
                    <w:widowControl w:val="0"/>
                    <w:rPr>
                      <w:rFonts w:cs="Arial"/>
                      <w:szCs w:val="18"/>
                    </w:rPr>
                  </w:pPr>
                </w:p>
              </w:tc>
              <w:tc>
                <w:tcPr>
                  <w:tcW w:w="4302" w:type="pct"/>
                  <w:tcBorders>
                    <w:top w:val="nil"/>
                    <w:left w:val="nil"/>
                    <w:bottom w:val="nil"/>
                    <w:right w:val="nil"/>
                  </w:tcBorders>
                  <w:shd w:val="clear" w:color="auto" w:fill="auto"/>
                </w:tcPr>
                <w:p w14:paraId="038BD2CB" w14:textId="658E620F" w:rsidR="0039582A" w:rsidRPr="0021152C" w:rsidRDefault="0039582A" w:rsidP="00C94124">
                  <w:pPr>
                    <w:pStyle w:val="TableBodyText"/>
                    <w:keepLines w:val="0"/>
                    <w:widowControl w:val="0"/>
                    <w:jc w:val="left"/>
                  </w:pPr>
                  <w:r w:rsidRPr="000D77DB">
                    <w:t>Complete (subject to caveats) for the current reporting period.</w:t>
                  </w:r>
                </w:p>
              </w:tc>
            </w:tr>
          </w:tbl>
          <w:p w14:paraId="62975AF0" w14:textId="77777777" w:rsidR="008925CD" w:rsidRPr="00784A05" w:rsidRDefault="008925CD" w:rsidP="00C94124">
            <w:pPr>
              <w:pStyle w:val="FigureTitle"/>
              <w:keepLines w:val="0"/>
              <w:widowControl w:val="0"/>
              <w:rPr>
                <w:b w:val="0"/>
              </w:rPr>
            </w:pPr>
          </w:p>
        </w:tc>
      </w:tr>
      <w:tr w:rsidR="00CC6A1C" w14:paraId="24C2C67A" w14:textId="77777777" w:rsidTr="00912BDD">
        <w:tblPrEx>
          <w:tblCellMar>
            <w:left w:w="108" w:type="dxa"/>
            <w:right w:w="108" w:type="dxa"/>
          </w:tblCellMar>
        </w:tblPrEx>
        <w:tc>
          <w:tcPr>
            <w:tcW w:w="8793" w:type="dxa"/>
            <w:tcBorders>
              <w:top w:val="nil"/>
              <w:left w:val="nil"/>
              <w:bottom w:val="nil"/>
              <w:right w:val="nil"/>
            </w:tcBorders>
            <w:shd w:val="clear" w:color="auto" w:fill="auto"/>
          </w:tcPr>
          <w:p w14:paraId="0B06F3C7" w14:textId="71670E8D" w:rsidR="00CC6A1C" w:rsidRDefault="00912BDD" w:rsidP="009253F5">
            <w:pPr>
              <w:pStyle w:val="Figure"/>
              <w:rPr>
                <w:noProof/>
              </w:rPr>
            </w:pPr>
            <w:r>
              <w:rPr>
                <w:noProof/>
              </w:rPr>
              <w:drawing>
                <wp:inline distT="0" distB="0" distL="0" distR="0" wp14:anchorId="19A621A0" wp14:editId="4B25838C">
                  <wp:extent cx="5400000" cy="2700000"/>
                  <wp:effectExtent l="0" t="0" r="0" b="5715"/>
                  <wp:docPr id="9" name="Chart 9" descr="Figure 10.9 Proportion of GP management plans and team care assessment plans reviewed&#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CC6A1C" w:rsidRPr="00176D3F" w14:paraId="74D505BB" w14:textId="77777777" w:rsidTr="00FA0CDF">
        <w:tc>
          <w:tcPr>
            <w:tcW w:w="8793" w:type="dxa"/>
            <w:tcBorders>
              <w:top w:val="nil"/>
              <w:left w:val="nil"/>
              <w:bottom w:val="nil"/>
              <w:right w:val="nil"/>
            </w:tcBorders>
            <w:shd w:val="clear" w:color="auto" w:fill="auto"/>
          </w:tcPr>
          <w:p w14:paraId="5F44FE1A" w14:textId="503237B1" w:rsidR="00CC6A1C" w:rsidRPr="00176D3F" w:rsidRDefault="00CC6A1C" w:rsidP="0039582A">
            <w:pPr>
              <w:pStyle w:val="Note"/>
            </w:pPr>
            <w:r>
              <w:rPr>
                <w:rStyle w:val="NoteLabel"/>
              </w:rPr>
              <w:t>a</w:t>
            </w:r>
            <w:r w:rsidRPr="00C54E42">
              <w:t xml:space="preserve"> </w:t>
            </w:r>
            <w:r>
              <w:t xml:space="preserve">See </w:t>
            </w:r>
            <w:r w:rsidRPr="0038602A">
              <w:t>box 10.</w:t>
            </w:r>
            <w:r w:rsidR="0039582A">
              <w:t>13</w:t>
            </w:r>
            <w:r>
              <w:t xml:space="preserve"> and </w:t>
            </w:r>
            <w:r w:rsidRPr="00FE38EC">
              <w:t>table 10A.</w:t>
            </w:r>
            <w:r w:rsidR="0039582A">
              <w:t>55</w:t>
            </w:r>
            <w:r>
              <w:t xml:space="preserve"> for detailed definitions, footnotes and caveats</w:t>
            </w:r>
            <w:r w:rsidRPr="00636133">
              <w:t>.</w:t>
            </w:r>
          </w:p>
        </w:tc>
      </w:tr>
      <w:tr w:rsidR="00CC6A1C" w:rsidRPr="00176D3F" w14:paraId="4A1A1389" w14:textId="77777777" w:rsidTr="00FA0CDF">
        <w:tc>
          <w:tcPr>
            <w:tcW w:w="8793" w:type="dxa"/>
            <w:tcBorders>
              <w:top w:val="nil"/>
              <w:left w:val="nil"/>
              <w:bottom w:val="nil"/>
              <w:right w:val="nil"/>
            </w:tcBorders>
            <w:shd w:val="clear" w:color="auto" w:fill="auto"/>
          </w:tcPr>
          <w:p w14:paraId="2B49D26B" w14:textId="4D530086" w:rsidR="00CC6A1C" w:rsidRPr="00176D3F" w:rsidRDefault="00CC6A1C" w:rsidP="00B40359">
            <w:pPr>
              <w:pStyle w:val="Source"/>
            </w:pPr>
            <w:r w:rsidRPr="00425E96">
              <w:rPr>
                <w:i/>
              </w:rPr>
              <w:t>Source</w:t>
            </w:r>
            <w:r w:rsidRPr="00167F06">
              <w:t xml:space="preserve">: </w:t>
            </w:r>
            <w:r w:rsidR="00CA7FB0">
              <w:t>DHS</w:t>
            </w:r>
            <w:r w:rsidR="00B40359">
              <w:t xml:space="preserve"> (various years)</w:t>
            </w:r>
            <w:r w:rsidR="00166276">
              <w:t xml:space="preserve">, </w:t>
            </w:r>
            <w:r w:rsidR="000D42D5" w:rsidRPr="00B40359">
              <w:rPr>
                <w:i/>
              </w:rPr>
              <w:t xml:space="preserve">Medicare </w:t>
            </w:r>
            <w:r w:rsidR="00B40359" w:rsidRPr="00B40359">
              <w:rPr>
                <w:i/>
              </w:rPr>
              <w:t>Australia statistics</w:t>
            </w:r>
            <w:r w:rsidR="000D42D5" w:rsidRPr="00B40359">
              <w:rPr>
                <w:i/>
              </w:rPr>
              <w:t>:</w:t>
            </w:r>
            <w:r w:rsidR="00B40359" w:rsidRPr="00B40359">
              <w:rPr>
                <w:i/>
              </w:rPr>
              <w:t xml:space="preserve"> Medicare ite</w:t>
            </w:r>
            <w:r w:rsidR="00B40359" w:rsidRPr="00802936">
              <w:rPr>
                <w:i/>
              </w:rPr>
              <w:t xml:space="preserve">m reports, </w:t>
            </w:r>
            <w:r w:rsidR="000D42D5" w:rsidRPr="00802936">
              <w:rPr>
                <w:rStyle w:val="Hyperlink"/>
                <w:color w:val="auto"/>
                <w:u w:val="none"/>
              </w:rPr>
              <w:t>http://medicarestatistics.</w:t>
            </w:r>
            <w:r w:rsidR="00B40359" w:rsidRPr="00802936">
              <w:rPr>
                <w:rStyle w:val="Hyperlink"/>
                <w:color w:val="auto"/>
                <w:u w:val="none"/>
              </w:rPr>
              <w:br/>
            </w:r>
            <w:r w:rsidR="000D42D5" w:rsidRPr="00802936">
              <w:rPr>
                <w:rStyle w:val="Hyperlink"/>
                <w:color w:val="auto"/>
                <w:u w:val="none"/>
              </w:rPr>
              <w:t>humanservices.gov.au/statistics/mbs_item.jsp</w:t>
            </w:r>
            <w:r w:rsidR="00B40359" w:rsidRPr="00802936">
              <w:t>;</w:t>
            </w:r>
            <w:r w:rsidRPr="00802936">
              <w:t xml:space="preserve"> table 10A.</w:t>
            </w:r>
            <w:r w:rsidR="0039582A" w:rsidRPr="00802936">
              <w:t>55</w:t>
            </w:r>
            <w:r w:rsidRPr="006C74C6">
              <w:t>.</w:t>
            </w:r>
            <w:r w:rsidRPr="00176D3F">
              <w:t xml:space="preserve"> </w:t>
            </w:r>
          </w:p>
        </w:tc>
      </w:tr>
      <w:tr w:rsidR="00CC6A1C" w14:paraId="04C30A83" w14:textId="77777777" w:rsidTr="00FA0CDF">
        <w:tc>
          <w:tcPr>
            <w:tcW w:w="8793" w:type="dxa"/>
            <w:tcBorders>
              <w:top w:val="nil"/>
              <w:left w:val="nil"/>
              <w:bottom w:val="single" w:sz="6" w:space="0" w:color="78A22F"/>
              <w:right w:val="nil"/>
            </w:tcBorders>
            <w:shd w:val="clear" w:color="auto" w:fill="auto"/>
          </w:tcPr>
          <w:p w14:paraId="656C3F3E" w14:textId="77777777" w:rsidR="00CC6A1C" w:rsidRDefault="00CC6A1C" w:rsidP="009253F5">
            <w:pPr>
              <w:pStyle w:val="Figurespace"/>
            </w:pPr>
          </w:p>
        </w:tc>
      </w:tr>
      <w:tr w:rsidR="00CC6A1C" w:rsidRPr="000863A5" w14:paraId="76555D4C" w14:textId="77777777" w:rsidTr="00FA0CDF">
        <w:tc>
          <w:tcPr>
            <w:tcW w:w="8793" w:type="dxa"/>
            <w:tcBorders>
              <w:top w:val="single" w:sz="6" w:space="0" w:color="78A22F"/>
              <w:left w:val="nil"/>
              <w:bottom w:val="nil"/>
              <w:right w:val="nil"/>
            </w:tcBorders>
          </w:tcPr>
          <w:p w14:paraId="49770706" w14:textId="6FEA4A2C" w:rsidR="00CC6A1C" w:rsidRPr="00626D32" w:rsidRDefault="00CC6A1C" w:rsidP="009253F5">
            <w:pPr>
              <w:pStyle w:val="BoxSpaceBelow"/>
            </w:pPr>
          </w:p>
        </w:tc>
      </w:tr>
    </w:tbl>
    <w:p w14:paraId="0A1B7E0C" w14:textId="77777777" w:rsidR="00C13335" w:rsidRDefault="00C13335" w:rsidP="00C13335">
      <w:pPr>
        <w:pStyle w:val="Heading4"/>
      </w:pPr>
      <w:r w:rsidRPr="0001197C">
        <w:t>Sustainability</w:t>
      </w:r>
      <w:r w:rsidR="00911E43">
        <w:t xml:space="preserve"> — Workforce sustainability </w:t>
      </w:r>
    </w:p>
    <w:p w14:paraId="75463635" w14:textId="60C2120A" w:rsidR="005D704D" w:rsidRDefault="00EB4479" w:rsidP="005D704D">
      <w:pPr>
        <w:pStyle w:val="BodyText"/>
      </w:pPr>
      <w:r w:rsidRPr="00EB4479">
        <w:t>‘Workforce sustainability’ is an indicator of government’s objective to provide sustainable primary and community healthcare services</w:t>
      </w:r>
      <w:r>
        <w:t xml:space="preserve"> </w:t>
      </w:r>
      <w:r w:rsidR="005D704D">
        <w:t>(box 10.</w:t>
      </w:r>
      <w:r w:rsidR="000D7FC3">
        <w:t>1</w:t>
      </w:r>
      <w:r w:rsidR="00A15649">
        <w:t>4</w:t>
      </w:r>
      <w:r w:rsidR="00DD0D88">
        <w:t>).</w:t>
      </w:r>
    </w:p>
    <w:p w14:paraId="49239634" w14:textId="0A2C71CC" w:rsidR="005D704D" w:rsidRDefault="005D704D" w:rsidP="002E5E3E">
      <w:pPr>
        <w:pStyle w:val="BodyText"/>
        <w:keepNext/>
        <w:widowControl w:val="0"/>
      </w:pPr>
    </w:p>
    <w:tbl>
      <w:tblPr>
        <w:tblW w:w="8789"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EB4479" w14:paraId="3477F5F4" w14:textId="77777777" w:rsidTr="009253F5">
        <w:tc>
          <w:tcPr>
            <w:tcW w:w="8789" w:type="dxa"/>
            <w:tcBorders>
              <w:top w:val="single" w:sz="6" w:space="0" w:color="78A22F"/>
              <w:left w:val="nil"/>
              <w:bottom w:val="nil"/>
              <w:right w:val="nil"/>
            </w:tcBorders>
            <w:shd w:val="clear" w:color="auto" w:fill="F2F2F2"/>
          </w:tcPr>
          <w:p w14:paraId="565C7817" w14:textId="58D5514E" w:rsidR="00EB4479" w:rsidRPr="008925CD" w:rsidRDefault="00EB4479" w:rsidP="00DF0483">
            <w:pPr>
              <w:pStyle w:val="BoxTitle"/>
            </w:pPr>
            <w:r w:rsidRPr="008925CD">
              <w:rPr>
                <w:b w:val="0"/>
              </w:rPr>
              <w:t xml:space="preserve">Box </w:t>
            </w:r>
            <w:r w:rsidR="009525ED" w:rsidRPr="008925CD">
              <w:rPr>
                <w:b w:val="0"/>
              </w:rPr>
              <w:t>10.</w:t>
            </w:r>
            <w:r w:rsidR="0008386D">
              <w:rPr>
                <w:b w:val="0"/>
                <w:noProof/>
              </w:rPr>
              <w:t>14</w:t>
            </w:r>
            <w:r w:rsidRPr="008925CD">
              <w:tab/>
            </w:r>
            <w:r w:rsidRPr="008925CD">
              <w:rPr>
                <w:sz w:val="26"/>
                <w:szCs w:val="26"/>
              </w:rPr>
              <w:t>Workforce sustainability</w:t>
            </w:r>
          </w:p>
        </w:tc>
      </w:tr>
      <w:tr w:rsidR="00EB4479" w14:paraId="4EAF552B" w14:textId="77777777" w:rsidTr="009253F5">
        <w:trPr>
          <w:cantSplit/>
        </w:trPr>
        <w:tc>
          <w:tcPr>
            <w:tcW w:w="8789" w:type="dxa"/>
            <w:tcBorders>
              <w:top w:val="nil"/>
              <w:left w:val="nil"/>
              <w:bottom w:val="nil"/>
              <w:right w:val="nil"/>
            </w:tcBorders>
            <w:shd w:val="clear" w:color="auto" w:fill="F2F2F2"/>
          </w:tcPr>
          <w:p w14:paraId="5CC5FA95" w14:textId="40C43E05" w:rsidR="00912BDD" w:rsidRDefault="00FB6EB3" w:rsidP="00FB6EB3">
            <w:pPr>
              <w:pStyle w:val="Box"/>
            </w:pPr>
            <w:r w:rsidRPr="008925CD">
              <w:t xml:space="preserve">‘Workforce sustainability’ is defined </w:t>
            </w:r>
            <w:r w:rsidR="00912BDD">
              <w:t>by two measures:</w:t>
            </w:r>
          </w:p>
          <w:p w14:paraId="438C2700" w14:textId="77777777" w:rsidR="00912BDD" w:rsidRDefault="00FB6EB3" w:rsidP="00912BDD">
            <w:pPr>
              <w:pStyle w:val="BoxListBullet"/>
            </w:pPr>
            <w:r w:rsidRPr="008925CD">
              <w:t xml:space="preserve">the proportion of </w:t>
            </w:r>
            <w:r w:rsidR="007B189A">
              <w:t xml:space="preserve">full service equivalent (FSE) </w:t>
            </w:r>
            <w:r w:rsidRPr="008925CD">
              <w:t>general practitioners in ten year age brackets</w:t>
            </w:r>
          </w:p>
          <w:p w14:paraId="7888D201" w14:textId="03E1778C" w:rsidR="00FB6EB3" w:rsidRPr="008925CD" w:rsidRDefault="00912BDD" w:rsidP="00912BDD">
            <w:pPr>
              <w:pStyle w:val="BoxListBullet"/>
            </w:pPr>
            <w:r w:rsidRPr="00912BDD">
              <w:t xml:space="preserve">the attrition rate of </w:t>
            </w:r>
            <w:r>
              <w:t>FSE</w:t>
            </w:r>
            <w:r w:rsidRPr="00912BDD">
              <w:t xml:space="preserve"> general practitioners who exit the workforce as a proportion of the number of FSE employees by age bracket.</w:t>
            </w:r>
          </w:p>
          <w:p w14:paraId="5037CB62" w14:textId="5BE839ED" w:rsidR="008925CD" w:rsidRPr="008925CD" w:rsidRDefault="00FB6EB3" w:rsidP="008925CD">
            <w:pPr>
              <w:pStyle w:val="Box"/>
            </w:pPr>
            <w:r w:rsidRPr="008925CD">
              <w:t>A high or increasing percentage of the workforce that are new entrants and/or low or decreasing proportions of the workforce that are close to retirement is desirable.</w:t>
            </w:r>
            <w:r w:rsidR="008925CD" w:rsidRPr="008925CD">
              <w:t xml:space="preserve"> </w:t>
            </w:r>
            <w:r w:rsidR="00912BDD">
              <w:t>A low or decreasing rate of workforce attrition is desirable.</w:t>
            </w:r>
          </w:p>
          <w:p w14:paraId="32FC4AC7" w14:textId="77777777" w:rsidR="00FB6EB3" w:rsidRDefault="00FB6EB3" w:rsidP="00FB6EB3">
            <w:pPr>
              <w:pStyle w:val="Box"/>
            </w:pPr>
            <w:r w:rsidRPr="008925CD">
              <w:t>This measure is not a substitute for a full workforce analysis that allows for migration, trends in full-time work and expected demand increases. They can, however, indicate that further attention should be given to workforce sustainability for general practitioners.</w:t>
            </w:r>
          </w:p>
          <w:p w14:paraId="7ADFE803" w14:textId="7B18BA16" w:rsidR="008925CD" w:rsidRPr="004F33E6" w:rsidRDefault="008925CD" w:rsidP="008925CD">
            <w:pPr>
              <w:keepNext/>
              <w:spacing w:before="120" w:line="260" w:lineRule="atLeast"/>
              <w:jc w:val="both"/>
              <w:rPr>
                <w:rFonts w:ascii="Arial" w:hAnsi="Arial"/>
                <w:sz w:val="20"/>
              </w:rPr>
            </w:pPr>
            <w:r w:rsidRPr="004F33E6">
              <w:rPr>
                <w:rFonts w:ascii="Arial" w:hAnsi="Arial"/>
                <w:sz w:val="20"/>
              </w:rPr>
              <w:t xml:space="preserve">Data reported for </w:t>
            </w:r>
            <w:r w:rsidR="00912BDD">
              <w:rPr>
                <w:rFonts w:ascii="Arial" w:hAnsi="Arial"/>
                <w:sz w:val="20"/>
              </w:rPr>
              <w:t xml:space="preserve">the proportion of FSE general practitioners in ten year age brackets </w:t>
            </w:r>
            <w:r w:rsidRPr="004F33E6">
              <w:rPr>
                <w:rFonts w:ascii="Arial" w:hAnsi="Arial"/>
                <w:sz w:val="20"/>
              </w:rPr>
              <w:t>are:</w:t>
            </w:r>
          </w:p>
          <w:p w14:paraId="6A4730BD" w14:textId="77777777" w:rsidR="0039582A" w:rsidRDefault="0039582A" w:rsidP="002E5E3E">
            <w:pPr>
              <w:pStyle w:val="Box"/>
              <w:ind w:left="284"/>
            </w:pPr>
            <w:r w:rsidRPr="001B3B2F">
              <w:rPr>
                <w:shd w:val="clear" w:color="auto" w:fill="F15A25"/>
              </w:rPr>
              <w:t xml:space="preserve">    </w:t>
            </w:r>
            <w:r>
              <w:t xml:space="preserve"> comparable (subject to caveats) across jurisdictions and over time</w:t>
            </w:r>
          </w:p>
          <w:p w14:paraId="7EA7DA72" w14:textId="22E43B5A" w:rsidR="00FB6EB3" w:rsidRDefault="0039582A" w:rsidP="002E5E3E">
            <w:pPr>
              <w:pStyle w:val="Box"/>
              <w:ind w:left="284"/>
            </w:pPr>
            <w:r w:rsidRPr="001B3B2F">
              <w:rPr>
                <w:shd w:val="clear" w:color="auto" w:fill="F15A25"/>
              </w:rPr>
              <w:t xml:space="preserve">    </w:t>
            </w:r>
            <w:r>
              <w:t xml:space="preserve"> </w:t>
            </w:r>
            <w:r w:rsidRPr="00C648AD">
              <w:t>complete (subject to caveats) for the current reporting period. All required 201</w:t>
            </w:r>
            <w:r>
              <w:t>6</w:t>
            </w:r>
            <w:r w:rsidRPr="00C648AD">
              <w:t>-1</w:t>
            </w:r>
            <w:r>
              <w:t>7</w:t>
            </w:r>
            <w:r w:rsidRPr="00C648AD">
              <w:t xml:space="preserve"> data are available for all jurisdictions.</w:t>
            </w:r>
          </w:p>
          <w:p w14:paraId="13B981A5" w14:textId="440E59C0" w:rsidR="00912BDD" w:rsidRPr="00912BDD" w:rsidRDefault="00912BDD" w:rsidP="003D2293">
            <w:pPr>
              <w:pStyle w:val="Box"/>
            </w:pPr>
            <w:r>
              <w:t xml:space="preserve">Data are not yet available for the measure of attrition of FSE </w:t>
            </w:r>
            <w:r w:rsidR="00BF1034">
              <w:t>general practitioners who exit the workforce as a proportion of FSE employees by age bracket.</w:t>
            </w:r>
          </w:p>
        </w:tc>
      </w:tr>
      <w:tr w:rsidR="00EB4479" w14:paraId="74B45528" w14:textId="77777777" w:rsidTr="009253F5">
        <w:trPr>
          <w:cantSplit/>
        </w:trPr>
        <w:tc>
          <w:tcPr>
            <w:tcW w:w="8789" w:type="dxa"/>
            <w:tcBorders>
              <w:top w:val="nil"/>
              <w:left w:val="nil"/>
              <w:bottom w:val="single" w:sz="6" w:space="0" w:color="78A22F"/>
              <w:right w:val="nil"/>
            </w:tcBorders>
            <w:shd w:val="clear" w:color="auto" w:fill="F2F2F2"/>
          </w:tcPr>
          <w:p w14:paraId="376339FC" w14:textId="77777777" w:rsidR="00EB4479" w:rsidRDefault="00EB4479" w:rsidP="00D86B65">
            <w:pPr>
              <w:pStyle w:val="Box"/>
              <w:spacing w:before="0" w:line="120" w:lineRule="exact"/>
            </w:pPr>
          </w:p>
        </w:tc>
      </w:tr>
      <w:tr w:rsidR="00EB4479" w:rsidRPr="000863A5" w14:paraId="6F46A1A2" w14:textId="77777777" w:rsidTr="009253F5">
        <w:tc>
          <w:tcPr>
            <w:tcW w:w="8789" w:type="dxa"/>
            <w:tcBorders>
              <w:top w:val="single" w:sz="6" w:space="0" w:color="78A22F"/>
              <w:left w:val="nil"/>
              <w:bottom w:val="nil"/>
              <w:right w:val="nil"/>
            </w:tcBorders>
          </w:tcPr>
          <w:p w14:paraId="4533CCDA" w14:textId="661663AB" w:rsidR="00EB4479" w:rsidRPr="00626D32" w:rsidRDefault="00EB4479" w:rsidP="00D86B65">
            <w:pPr>
              <w:pStyle w:val="BoxSpaceBelow"/>
            </w:pPr>
          </w:p>
        </w:tc>
      </w:tr>
    </w:tbl>
    <w:p w14:paraId="444DD2D5" w14:textId="1C1742D5" w:rsidR="002E5E3E" w:rsidRDefault="009253F5" w:rsidP="002E5E3E">
      <w:pPr>
        <w:pStyle w:val="BodyText"/>
      </w:pPr>
      <w:r w:rsidRPr="00151476">
        <w:t>Nationally in 2016-17, 37.9 per cent</w:t>
      </w:r>
      <w:r w:rsidRPr="00CB5B0F">
        <w:t xml:space="preserve"> of full service equivalent (FSE) general practitioners were aged 55 years or older</w:t>
      </w:r>
      <w:r w:rsidR="002E5E3E">
        <w:t>, compared to 9.3 per cent who were less than 35 years of age</w:t>
      </w:r>
      <w:r w:rsidRPr="00CB5B0F">
        <w:t>. Proportions varied across jurisdictions (figure 10.</w:t>
      </w:r>
      <w:r w:rsidR="008C6EED">
        <w:t>10</w:t>
      </w:r>
      <w:r w:rsidRPr="00CB5B0F">
        <w:t xml:space="preserve">). </w:t>
      </w:r>
      <w:r w:rsidR="00166276">
        <w:t>Attachment table 10A.56</w:t>
      </w:r>
      <w:r w:rsidR="00FA0CDF" w:rsidRPr="00CB5B0F">
        <w:t xml:space="preserve"> presents </w:t>
      </w:r>
      <w:r w:rsidR="002E5E3E">
        <w:t xml:space="preserve">full service equivalent data and </w:t>
      </w:r>
      <w:r w:rsidR="00FA0CDF" w:rsidRPr="00CB5B0F">
        <w:t>total head count data for general practitioners by age</w:t>
      </w:r>
      <w:r w:rsidR="00F52E22" w:rsidRPr="00CB5B0F">
        <w:t>.</w:t>
      </w:r>
    </w:p>
    <w:p w14:paraId="1A3D0727" w14:textId="77777777" w:rsidR="002E5E3E" w:rsidRDefault="002E5E3E">
      <w:pPr>
        <w:rPr>
          <w:szCs w:val="20"/>
        </w:rPr>
      </w:pPr>
      <w:r>
        <w:br w:type="page"/>
      </w:r>
    </w:p>
    <w:p w14:paraId="4D03C7E8" w14:textId="3AF471B8" w:rsidR="00CC5CBF" w:rsidRPr="005B768E" w:rsidRDefault="00CC5CBF" w:rsidP="00CC5CBF">
      <w:pPr>
        <w:pStyle w:val="BodyText"/>
        <w:keepNext/>
        <w:keepLines/>
        <w:rPr>
          <w:sz w:val="14"/>
          <w:szCs w:val="14"/>
        </w:rPr>
      </w:pPr>
    </w:p>
    <w:tbl>
      <w:tblPr>
        <w:tblW w:w="8793" w:type="dxa"/>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CC5CBF" w14:paraId="485DB44E" w14:textId="77777777" w:rsidTr="002E5E3E">
        <w:tc>
          <w:tcPr>
            <w:tcW w:w="8793" w:type="dxa"/>
            <w:tcBorders>
              <w:top w:val="single" w:sz="6" w:space="0" w:color="78A22F"/>
              <w:left w:val="nil"/>
              <w:bottom w:val="nil"/>
              <w:right w:val="nil"/>
            </w:tcBorders>
            <w:shd w:val="clear" w:color="auto" w:fill="auto"/>
          </w:tcPr>
          <w:p w14:paraId="2518ED8B" w14:textId="1A4CB40E" w:rsidR="00CC5CBF" w:rsidRPr="005B768E" w:rsidRDefault="00CC5CBF" w:rsidP="004757A3">
            <w:pPr>
              <w:pStyle w:val="FigureTitle"/>
            </w:pPr>
            <w:r w:rsidRPr="005B768E">
              <w:rPr>
                <w:b w:val="0"/>
              </w:rPr>
              <w:t xml:space="preserve">Figure </w:t>
            </w:r>
            <w:r w:rsidR="008C6EED">
              <w:rPr>
                <w:b w:val="0"/>
              </w:rPr>
              <w:t>10.</w:t>
            </w:r>
            <w:r w:rsidR="0008386D">
              <w:rPr>
                <w:b w:val="0"/>
                <w:noProof/>
              </w:rPr>
              <w:t>10</w:t>
            </w:r>
            <w:r w:rsidRPr="005B768E">
              <w:tab/>
            </w:r>
            <w:r w:rsidRPr="00151476">
              <w:t xml:space="preserve">Proportion of </w:t>
            </w:r>
            <w:r w:rsidR="007B189A">
              <w:t xml:space="preserve">FSE </w:t>
            </w:r>
            <w:r w:rsidRPr="00151476">
              <w:t>general practitioners across age brackets, 201</w:t>
            </w:r>
            <w:r w:rsidR="008925CD" w:rsidRPr="00151476">
              <w:t>6-17</w:t>
            </w:r>
            <w:r w:rsidR="007B189A">
              <w:rPr>
                <w:rStyle w:val="NoteLabel"/>
                <w:b/>
              </w:rPr>
              <w:t>a</w:t>
            </w:r>
          </w:p>
        </w:tc>
      </w:tr>
      <w:tr w:rsidR="008925CD" w14:paraId="14834EF6" w14:textId="77777777" w:rsidTr="0003707A">
        <w:tc>
          <w:tcPr>
            <w:tcW w:w="8793" w:type="dxa"/>
            <w:tcBorders>
              <w:top w:val="nil"/>
              <w:left w:val="nil"/>
              <w:bottom w:val="nil"/>
              <w:right w:val="nil"/>
            </w:tcBorders>
            <w:shd w:val="clear" w:color="auto" w:fill="auto"/>
          </w:tcPr>
          <w:tbl>
            <w:tblPr>
              <w:tblW w:w="5000" w:type="pct"/>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742"/>
              <w:gridCol w:w="7767"/>
            </w:tblGrid>
            <w:tr w:rsidR="00166276" w:rsidRPr="0021152C" w14:paraId="3614F136" w14:textId="77777777" w:rsidTr="00426E46">
              <w:trPr>
                <w:trHeight w:hRule="exact" w:val="259"/>
              </w:trPr>
              <w:tc>
                <w:tcPr>
                  <w:tcW w:w="411" w:type="pct"/>
                  <w:tcBorders>
                    <w:top w:val="nil"/>
                    <w:left w:val="nil"/>
                    <w:bottom w:val="nil"/>
                    <w:right w:val="nil"/>
                  </w:tcBorders>
                  <w:shd w:val="clear" w:color="auto" w:fill="F15A25"/>
                </w:tcPr>
                <w:p w14:paraId="0900809A" w14:textId="77777777" w:rsidR="00166276" w:rsidRPr="000D77DB" w:rsidRDefault="00166276" w:rsidP="00166276">
                  <w:pPr>
                    <w:pStyle w:val="Note"/>
                  </w:pPr>
                </w:p>
              </w:tc>
              <w:tc>
                <w:tcPr>
                  <w:tcW w:w="4302" w:type="pct"/>
                  <w:tcBorders>
                    <w:top w:val="nil"/>
                    <w:left w:val="nil"/>
                    <w:bottom w:val="nil"/>
                    <w:right w:val="nil"/>
                  </w:tcBorders>
                  <w:shd w:val="clear" w:color="auto" w:fill="auto"/>
                </w:tcPr>
                <w:p w14:paraId="73524459" w14:textId="18D013A1" w:rsidR="00166276" w:rsidRPr="0021152C" w:rsidRDefault="00166276" w:rsidP="00166276">
                  <w:pPr>
                    <w:pStyle w:val="TableBodyText"/>
                    <w:jc w:val="left"/>
                  </w:pPr>
                  <w:r w:rsidRPr="0021152C">
                    <w:t>Comparable (subject to caveats) ac</w:t>
                  </w:r>
                  <w:r w:rsidR="00572752">
                    <w:t>ross jurisdictions</w:t>
                  </w:r>
                  <w:r>
                    <w:t>.</w:t>
                  </w:r>
                </w:p>
              </w:tc>
            </w:tr>
            <w:tr w:rsidR="00166276" w:rsidRPr="0021152C" w14:paraId="0340FDA3" w14:textId="77777777" w:rsidTr="00426E46">
              <w:trPr>
                <w:trHeight w:hRule="exact" w:val="291"/>
              </w:trPr>
              <w:tc>
                <w:tcPr>
                  <w:tcW w:w="411" w:type="pct"/>
                  <w:tcBorders>
                    <w:top w:val="nil"/>
                    <w:left w:val="nil"/>
                    <w:bottom w:val="nil"/>
                    <w:right w:val="nil"/>
                  </w:tcBorders>
                  <w:shd w:val="clear" w:color="auto" w:fill="F15A25"/>
                </w:tcPr>
                <w:p w14:paraId="5C76673A" w14:textId="77777777" w:rsidR="00166276" w:rsidRPr="000D77DB" w:rsidRDefault="00166276" w:rsidP="00166276">
                  <w:pPr>
                    <w:pStyle w:val="Note"/>
                    <w:rPr>
                      <w:rFonts w:cs="Arial"/>
                      <w:szCs w:val="18"/>
                    </w:rPr>
                  </w:pPr>
                </w:p>
              </w:tc>
              <w:tc>
                <w:tcPr>
                  <w:tcW w:w="4302" w:type="pct"/>
                  <w:tcBorders>
                    <w:top w:val="nil"/>
                    <w:left w:val="nil"/>
                    <w:bottom w:val="nil"/>
                    <w:right w:val="nil"/>
                  </w:tcBorders>
                  <w:shd w:val="clear" w:color="auto" w:fill="auto"/>
                </w:tcPr>
                <w:p w14:paraId="45630844" w14:textId="77777777" w:rsidR="00166276" w:rsidRPr="0021152C" w:rsidRDefault="00166276" w:rsidP="00166276">
                  <w:pPr>
                    <w:pStyle w:val="TableBodyText"/>
                    <w:jc w:val="left"/>
                  </w:pPr>
                  <w:r w:rsidRPr="000D77DB">
                    <w:t xml:space="preserve">Complete (subject to caveats) for the current reporting period. </w:t>
                  </w:r>
                </w:p>
              </w:tc>
            </w:tr>
          </w:tbl>
          <w:p w14:paraId="19A971E6" w14:textId="77777777" w:rsidR="008925CD" w:rsidRPr="00CC5CBF" w:rsidRDefault="008925CD" w:rsidP="00CC5CBF">
            <w:pPr>
              <w:pStyle w:val="FigureTitle"/>
              <w:rPr>
                <w:b w:val="0"/>
                <w:highlight w:val="yellow"/>
              </w:rPr>
            </w:pPr>
          </w:p>
        </w:tc>
      </w:tr>
      <w:tr w:rsidR="00CC5CBF" w14:paraId="11E7BCC8" w14:textId="77777777" w:rsidTr="000C29E7">
        <w:tblPrEx>
          <w:tblCellMar>
            <w:left w:w="108" w:type="dxa"/>
            <w:right w:w="108" w:type="dxa"/>
          </w:tblCellMar>
        </w:tblPrEx>
        <w:tc>
          <w:tcPr>
            <w:tcW w:w="8793" w:type="dxa"/>
            <w:tcBorders>
              <w:top w:val="nil"/>
              <w:left w:val="nil"/>
              <w:bottom w:val="nil"/>
              <w:right w:val="nil"/>
            </w:tcBorders>
            <w:shd w:val="clear" w:color="auto" w:fill="auto"/>
          </w:tcPr>
          <w:p w14:paraId="60ED7D2B" w14:textId="3D32CE48" w:rsidR="00CC5CBF" w:rsidRDefault="000C29E7" w:rsidP="00080871">
            <w:pPr>
              <w:pStyle w:val="Figure"/>
            </w:pPr>
            <w:r>
              <w:rPr>
                <w:noProof/>
              </w:rPr>
              <w:drawing>
                <wp:inline distT="0" distB="0" distL="0" distR="0" wp14:anchorId="61208036" wp14:editId="716507C5">
                  <wp:extent cx="5400000" cy="2520000"/>
                  <wp:effectExtent l="0" t="0" r="0" b="0"/>
                  <wp:docPr id="10" name="Chart 10" descr="Figure 10.10 Proportion of FSE general practitioners across age brackets, 2016-17&#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CC5CBF" w:rsidRPr="00176D3F" w14:paraId="378E4563" w14:textId="77777777" w:rsidTr="00080871">
        <w:tc>
          <w:tcPr>
            <w:tcW w:w="8793" w:type="dxa"/>
            <w:tcBorders>
              <w:top w:val="nil"/>
              <w:left w:val="nil"/>
              <w:bottom w:val="nil"/>
              <w:right w:val="nil"/>
            </w:tcBorders>
            <w:shd w:val="clear" w:color="auto" w:fill="auto"/>
          </w:tcPr>
          <w:p w14:paraId="0241F630" w14:textId="24125FDE" w:rsidR="00CC5CBF" w:rsidRPr="00176D3F" w:rsidRDefault="00CC5CBF" w:rsidP="00B17709">
            <w:pPr>
              <w:pStyle w:val="Note"/>
            </w:pPr>
            <w:r>
              <w:rPr>
                <w:rStyle w:val="NoteLabel"/>
              </w:rPr>
              <w:t>a</w:t>
            </w:r>
            <w:r w:rsidRPr="00C54E42">
              <w:t xml:space="preserve"> </w:t>
            </w:r>
            <w:r>
              <w:t xml:space="preserve">See </w:t>
            </w:r>
            <w:r w:rsidRPr="0038602A">
              <w:t>box 10.</w:t>
            </w:r>
            <w:r w:rsidR="00166276">
              <w:t>14</w:t>
            </w:r>
            <w:r>
              <w:t xml:space="preserve"> and </w:t>
            </w:r>
            <w:r w:rsidRPr="00FE38EC">
              <w:t>table 10A.</w:t>
            </w:r>
            <w:r w:rsidR="00166276">
              <w:t>56</w:t>
            </w:r>
            <w:r>
              <w:t xml:space="preserve"> for detailed definitions, footnotes and caveats</w:t>
            </w:r>
            <w:r w:rsidRPr="00636133">
              <w:t>.</w:t>
            </w:r>
            <w:r>
              <w:t xml:space="preserve"> </w:t>
            </w:r>
          </w:p>
        </w:tc>
      </w:tr>
      <w:tr w:rsidR="00CC5CBF" w:rsidRPr="00176D3F" w14:paraId="319795FF" w14:textId="77777777" w:rsidTr="00080871">
        <w:tc>
          <w:tcPr>
            <w:tcW w:w="8793" w:type="dxa"/>
            <w:tcBorders>
              <w:top w:val="nil"/>
              <w:left w:val="nil"/>
              <w:bottom w:val="nil"/>
              <w:right w:val="nil"/>
            </w:tcBorders>
            <w:shd w:val="clear" w:color="auto" w:fill="auto"/>
          </w:tcPr>
          <w:p w14:paraId="6808B86A" w14:textId="49E15F10" w:rsidR="00CC5CBF" w:rsidRPr="00176D3F" w:rsidRDefault="00CC5CBF" w:rsidP="004757A3">
            <w:pPr>
              <w:pStyle w:val="Source"/>
            </w:pPr>
            <w:r w:rsidRPr="00425E96">
              <w:rPr>
                <w:i/>
              </w:rPr>
              <w:t>Source</w:t>
            </w:r>
            <w:r w:rsidRPr="00167F06">
              <w:t xml:space="preserve">: </w:t>
            </w:r>
            <w:r w:rsidR="003D6893">
              <w:t xml:space="preserve">DoH (2018) </w:t>
            </w:r>
            <w:r w:rsidR="003D6893" w:rsidRPr="003D6893">
              <w:rPr>
                <w:i/>
              </w:rPr>
              <w:t>General practice statistics 2016-</w:t>
            </w:r>
            <w:r w:rsidR="003D6893" w:rsidRPr="004757A3">
              <w:rPr>
                <w:i/>
              </w:rPr>
              <w:t>1</w:t>
            </w:r>
            <w:r w:rsidR="003D6893" w:rsidRPr="00802936">
              <w:rPr>
                <w:i/>
              </w:rPr>
              <w:t>7</w:t>
            </w:r>
            <w:r w:rsidR="004757A3" w:rsidRPr="00802936">
              <w:rPr>
                <w:i/>
              </w:rPr>
              <w:t>,</w:t>
            </w:r>
            <w:r w:rsidR="003D6893" w:rsidRPr="00802936">
              <w:t xml:space="preserve"> </w:t>
            </w:r>
            <w:r w:rsidR="003D6893" w:rsidRPr="00802936">
              <w:rPr>
                <w:rStyle w:val="Hyperlink"/>
                <w:color w:val="auto"/>
                <w:u w:val="none"/>
              </w:rPr>
              <w:t>http://health.gov.au/internet/main/publishing.nsf/</w:t>
            </w:r>
            <w:r w:rsidR="003D6893" w:rsidRPr="00802936">
              <w:rPr>
                <w:rStyle w:val="Hyperlink"/>
                <w:color w:val="auto"/>
                <w:u w:val="none"/>
              </w:rPr>
              <w:br/>
              <w:t>Content/General+Practice+Statistics-1</w:t>
            </w:r>
            <w:r w:rsidRPr="00802936">
              <w:t xml:space="preserve">; </w:t>
            </w:r>
            <w:r w:rsidR="002E5E3E" w:rsidRPr="00802936">
              <w:t>table </w:t>
            </w:r>
            <w:r w:rsidRPr="00802936">
              <w:t>10A.</w:t>
            </w:r>
            <w:r w:rsidR="00166276" w:rsidRPr="00802936">
              <w:t>56</w:t>
            </w:r>
            <w:r w:rsidRPr="00802936">
              <w:t>.</w:t>
            </w:r>
            <w:r w:rsidRPr="004757A3">
              <w:t xml:space="preserve"> </w:t>
            </w:r>
          </w:p>
        </w:tc>
      </w:tr>
      <w:tr w:rsidR="00CC5CBF" w14:paraId="13D1D55A" w14:textId="77777777" w:rsidTr="00080871">
        <w:tc>
          <w:tcPr>
            <w:tcW w:w="8793" w:type="dxa"/>
            <w:tcBorders>
              <w:top w:val="nil"/>
              <w:left w:val="nil"/>
              <w:bottom w:val="single" w:sz="6" w:space="0" w:color="78A22F"/>
              <w:right w:val="nil"/>
            </w:tcBorders>
            <w:shd w:val="clear" w:color="auto" w:fill="auto"/>
          </w:tcPr>
          <w:p w14:paraId="1F622929" w14:textId="77777777" w:rsidR="00CC5CBF" w:rsidRDefault="00CC5CBF" w:rsidP="00F30540">
            <w:pPr>
              <w:pStyle w:val="Figurespace"/>
            </w:pPr>
          </w:p>
        </w:tc>
      </w:tr>
      <w:tr w:rsidR="00CC5CBF" w:rsidRPr="000863A5" w14:paraId="3B36BC7A" w14:textId="77777777" w:rsidTr="00080871">
        <w:tc>
          <w:tcPr>
            <w:tcW w:w="8793" w:type="dxa"/>
            <w:tcBorders>
              <w:top w:val="single" w:sz="6" w:space="0" w:color="78A22F"/>
              <w:left w:val="nil"/>
              <w:bottom w:val="nil"/>
              <w:right w:val="nil"/>
            </w:tcBorders>
          </w:tcPr>
          <w:p w14:paraId="73F28DCC" w14:textId="4EBB76C3" w:rsidR="00CC5CBF" w:rsidRPr="00626D32" w:rsidRDefault="00CC5CBF" w:rsidP="00F30540">
            <w:pPr>
              <w:pStyle w:val="BoxSpaceBelow"/>
            </w:pPr>
          </w:p>
        </w:tc>
      </w:tr>
    </w:tbl>
    <w:p w14:paraId="1323D3F3" w14:textId="2D848E4B" w:rsidR="007A594A" w:rsidRDefault="007A594A" w:rsidP="007A594A">
      <w:pPr>
        <w:pStyle w:val="Heading3"/>
      </w:pPr>
      <w:r w:rsidRPr="0001197C">
        <w:t>Efficiency</w:t>
      </w:r>
    </w:p>
    <w:p w14:paraId="1E16F138" w14:textId="77777777" w:rsidR="0001197C" w:rsidRDefault="0001197C" w:rsidP="0001197C">
      <w:pPr>
        <w:pStyle w:val="Heading4"/>
      </w:pPr>
      <w:r w:rsidRPr="0001197C">
        <w:t>Cost to government of general practice per person</w:t>
      </w:r>
    </w:p>
    <w:p w14:paraId="7130AA23" w14:textId="542ECEB4" w:rsidR="0001197C" w:rsidRDefault="005C42E8" w:rsidP="0001197C">
      <w:pPr>
        <w:pStyle w:val="BodyText"/>
      </w:pPr>
      <w:r>
        <w:t>‘C</w:t>
      </w:r>
      <w:r w:rsidR="0001197C" w:rsidRPr="0001197C">
        <w:t xml:space="preserve">ost to government of general practice per person’ is </w:t>
      </w:r>
      <w:r w:rsidR="004D6520">
        <w:t>an</w:t>
      </w:r>
      <w:r w:rsidR="0001197C" w:rsidRPr="0001197C">
        <w:t xml:space="preserve"> indicator of </w:t>
      </w:r>
      <w:r w:rsidR="004D6520">
        <w:t xml:space="preserve">governments’ objective to provide primary </w:t>
      </w:r>
      <w:r w:rsidR="00474AF5">
        <w:t xml:space="preserve">and community </w:t>
      </w:r>
      <w:r w:rsidR="004D6520">
        <w:t>health services in an</w:t>
      </w:r>
      <w:r w:rsidR="0001197C" w:rsidRPr="0001197C">
        <w:t xml:space="preserve"> efficien</w:t>
      </w:r>
      <w:r w:rsidR="004D6520">
        <w:t>t manner</w:t>
      </w:r>
      <w:r w:rsidR="0001197C" w:rsidRPr="0001197C">
        <w:t xml:space="preserve"> (</w:t>
      </w:r>
      <w:r w:rsidR="00897589" w:rsidRPr="00AA3CFC">
        <w:t>box</w:t>
      </w:r>
      <w:r w:rsidR="006314ED">
        <w:t> </w:t>
      </w:r>
      <w:r w:rsidR="00897589" w:rsidRPr="00AA3CFC">
        <w:t>10.</w:t>
      </w:r>
      <w:r w:rsidR="000D7FC3" w:rsidRPr="00AA3CFC">
        <w:t>1</w:t>
      </w:r>
      <w:r w:rsidR="00A15649">
        <w:t>5</w:t>
      </w:r>
      <w:r w:rsidR="004D6520">
        <w:t>).</w:t>
      </w:r>
    </w:p>
    <w:p w14:paraId="6D2754BA" w14:textId="77777777" w:rsidR="008154CE" w:rsidRDefault="008154CE" w:rsidP="0001197C">
      <w:pPr>
        <w:pStyle w:val="BodyText"/>
      </w:pPr>
    </w:p>
    <w:p w14:paraId="0339848B" w14:textId="77777777" w:rsidR="008154CE" w:rsidRDefault="008154CE" w:rsidP="0001197C">
      <w:pPr>
        <w:pStyle w:val="BodyText"/>
      </w:pPr>
    </w:p>
    <w:p w14:paraId="509E6C63" w14:textId="77777777" w:rsidR="008154CE" w:rsidRDefault="008154CE" w:rsidP="0001197C">
      <w:pPr>
        <w:pStyle w:val="BodyText"/>
      </w:pPr>
    </w:p>
    <w:p w14:paraId="68B0EC07" w14:textId="77777777" w:rsidR="008154CE" w:rsidRDefault="008154CE" w:rsidP="0001197C">
      <w:pPr>
        <w:pStyle w:val="BodyText"/>
      </w:pPr>
    </w:p>
    <w:p w14:paraId="665BC61F" w14:textId="77777777" w:rsidR="008154CE" w:rsidRDefault="008154CE" w:rsidP="0001197C">
      <w:pPr>
        <w:pStyle w:val="BodyText"/>
      </w:pPr>
    </w:p>
    <w:p w14:paraId="69CC7D95" w14:textId="77777777" w:rsidR="008154CE" w:rsidRDefault="008154CE" w:rsidP="0001197C">
      <w:pPr>
        <w:pStyle w:val="BodyText"/>
      </w:pPr>
    </w:p>
    <w:p w14:paraId="64FAB3AA" w14:textId="47F389B2" w:rsidR="008154CE" w:rsidRPr="002409DF" w:rsidRDefault="008154CE" w:rsidP="002409DF">
      <w:pPr>
        <w:pStyle w:val="BodyText"/>
        <w:spacing w:line="240" w:lineRule="auto"/>
        <w:rPr>
          <w:sz w:val="20"/>
        </w:rPr>
      </w:pPr>
      <w:r w:rsidRPr="002409DF">
        <w:rPr>
          <w:sz w:val="20"/>
        </w:rPr>
        <w:lastRenderedPageBreak/>
        <w:t>This page has been changed since an earlier version of the Report. See errata at: https://www.pc.gov.au/research/ongoing/report-on-government-services/2019/health/</w:t>
      </w:r>
      <w:r w:rsidRPr="002409DF">
        <w:rPr>
          <w:sz w:val="20"/>
        </w:rPr>
        <w:br/>
        <w:t>primary-and-community-health</w:t>
      </w:r>
    </w:p>
    <w:p w14:paraId="72FBF4C7" w14:textId="77B4288A" w:rsidR="00E60C70" w:rsidRDefault="00E60C70" w:rsidP="002409DF">
      <w:pPr>
        <w:pStyle w:val="BoxSpaceAbove"/>
        <w:spacing w:before="120"/>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E60C70" w14:paraId="2827A20C" w14:textId="77777777" w:rsidTr="006314ED">
        <w:tc>
          <w:tcPr>
            <w:tcW w:w="8793" w:type="dxa"/>
            <w:tcBorders>
              <w:top w:val="single" w:sz="6" w:space="0" w:color="78A22F"/>
              <w:left w:val="nil"/>
              <w:bottom w:val="nil"/>
              <w:right w:val="nil"/>
            </w:tcBorders>
            <w:shd w:val="clear" w:color="auto" w:fill="F2F2F2"/>
          </w:tcPr>
          <w:p w14:paraId="46EA5E12" w14:textId="49AB7199" w:rsidR="00E60C70" w:rsidRDefault="00E60C70">
            <w:pPr>
              <w:pStyle w:val="BoxTitle"/>
            </w:pPr>
            <w:r>
              <w:rPr>
                <w:b w:val="0"/>
              </w:rPr>
              <w:t xml:space="preserve">Box </w:t>
            </w:r>
            <w:r w:rsidR="009525ED">
              <w:rPr>
                <w:b w:val="0"/>
              </w:rPr>
              <w:t>10.</w:t>
            </w:r>
            <w:r w:rsidR="0008386D">
              <w:rPr>
                <w:b w:val="0"/>
                <w:noProof/>
              </w:rPr>
              <w:t>15</w:t>
            </w:r>
            <w:r>
              <w:tab/>
            </w:r>
            <w:r w:rsidRPr="0001197C">
              <w:t>Cost to government of general practice per person</w:t>
            </w:r>
          </w:p>
        </w:tc>
      </w:tr>
      <w:tr w:rsidR="00E60C70" w14:paraId="33647D21" w14:textId="77777777" w:rsidTr="006314ED">
        <w:trPr>
          <w:cantSplit/>
        </w:trPr>
        <w:tc>
          <w:tcPr>
            <w:tcW w:w="8793" w:type="dxa"/>
            <w:tcBorders>
              <w:top w:val="nil"/>
              <w:left w:val="nil"/>
              <w:bottom w:val="nil"/>
              <w:right w:val="nil"/>
            </w:tcBorders>
            <w:shd w:val="clear" w:color="auto" w:fill="F2F2F2"/>
          </w:tcPr>
          <w:p w14:paraId="1380611B" w14:textId="77777777" w:rsidR="00E60C70" w:rsidRDefault="00E60C70" w:rsidP="00E60C70">
            <w:pPr>
              <w:pStyle w:val="Box"/>
            </w:pPr>
            <w:r>
              <w:t>‘Cost to government of general practice per person’ is defined as the cost to government of general practice per person in the population.</w:t>
            </w:r>
          </w:p>
          <w:p w14:paraId="3F1A0BDF" w14:textId="6FF47F51" w:rsidR="00E60C70" w:rsidRDefault="00E60C70" w:rsidP="00E60C70">
            <w:pPr>
              <w:pStyle w:val="Box"/>
            </w:pPr>
            <w:r w:rsidRPr="00A73D31">
              <w:t xml:space="preserve">This indicator </w:t>
            </w:r>
            <w:r w:rsidR="005C311F">
              <w:t>should</w:t>
            </w:r>
            <w:r w:rsidRPr="00A73D31">
              <w:t xml:space="preserve"> be interpreted with care. A low or decreasing cost per person can indicate higher efficiency, provided services are equally or more effective.</w:t>
            </w:r>
            <w:r>
              <w:t xml:space="preserve"> It can also reflect service substitution between primary healthcare and hospital or specialist services — potentially at greater expense.</w:t>
            </w:r>
          </w:p>
          <w:p w14:paraId="6546334A" w14:textId="11C5450F" w:rsidR="00E60C70" w:rsidRDefault="00E60C70" w:rsidP="00E60C70">
            <w:pPr>
              <w:pStyle w:val="Box"/>
            </w:pPr>
            <w:r>
              <w:t xml:space="preserve">Cost to government of general practice </w:t>
            </w:r>
            <w:r w:rsidRPr="00222501">
              <w:t xml:space="preserve">does not </w:t>
            </w:r>
            <w:r>
              <w:t>capture</w:t>
            </w:r>
            <w:r w:rsidRPr="00222501">
              <w:t xml:space="preserve"> costs </w:t>
            </w:r>
            <w:r>
              <w:t xml:space="preserve">of salaried GP service delivery models, used </w:t>
            </w:r>
            <w:r w:rsidRPr="00222501">
              <w:t>particularly in rural</w:t>
            </w:r>
            <w:r w:rsidR="005C311F">
              <w:t>/</w:t>
            </w:r>
            <w:r w:rsidRPr="00222501">
              <w:t>remote areas</w:t>
            </w:r>
            <w:r>
              <w:t xml:space="preserve">, where </w:t>
            </w:r>
            <w:r w:rsidRPr="00222501">
              <w:t xml:space="preserve">primary healthcare </w:t>
            </w:r>
            <w:r>
              <w:t xml:space="preserve">services are provided </w:t>
            </w:r>
            <w:r w:rsidRPr="00222501">
              <w:t xml:space="preserve">by salaried GPs in community health settings, </w:t>
            </w:r>
            <w:r>
              <w:t xml:space="preserve">through </w:t>
            </w:r>
            <w:r w:rsidRPr="00222501">
              <w:t>emergency d</w:t>
            </w:r>
            <w:r>
              <w:t>epartments, and Aboriginal and Torres Strait Islander</w:t>
            </w:r>
            <w:r w:rsidRPr="00222501">
              <w:t xml:space="preserve"> primary healthcare services. </w:t>
            </w:r>
            <w:r w:rsidR="009F687F">
              <w:t>Therefore</w:t>
            </w:r>
            <w:r w:rsidRPr="00222501">
              <w:t xml:space="preserve">, costs </w:t>
            </w:r>
            <w:r>
              <w:t>are understated for</w:t>
            </w:r>
            <w:r w:rsidRPr="00222501">
              <w:t xml:space="preserve"> jurisdictions </w:t>
            </w:r>
            <w:r>
              <w:t>where a</w:t>
            </w:r>
            <w:r w:rsidRPr="00222501">
              <w:t xml:space="preserve"> large proportion of </w:t>
            </w:r>
            <w:r>
              <w:t xml:space="preserve">the </w:t>
            </w:r>
            <w:r w:rsidRPr="00222501">
              <w:t>population</w:t>
            </w:r>
            <w:r>
              <w:t xml:space="preserve"> live in</w:t>
            </w:r>
            <w:r w:rsidRPr="00222501">
              <w:t xml:space="preserve"> rural and remote</w:t>
            </w:r>
            <w:r>
              <w:t xml:space="preserve"> areas.</w:t>
            </w:r>
          </w:p>
          <w:p w14:paraId="3AF59CA2" w14:textId="77777777" w:rsidR="008925CD" w:rsidRDefault="008925CD" w:rsidP="008925CD">
            <w:pPr>
              <w:keepNext/>
              <w:spacing w:before="120" w:line="260" w:lineRule="atLeast"/>
              <w:jc w:val="both"/>
              <w:rPr>
                <w:rFonts w:ascii="Arial" w:hAnsi="Arial"/>
                <w:sz w:val="20"/>
              </w:rPr>
            </w:pPr>
            <w:r w:rsidRPr="004F33E6">
              <w:rPr>
                <w:rFonts w:ascii="Arial" w:hAnsi="Arial"/>
                <w:sz w:val="20"/>
              </w:rPr>
              <w:t>Data reported for this indicator are:</w:t>
            </w:r>
          </w:p>
          <w:p w14:paraId="661C0A7D" w14:textId="39D4B4CC" w:rsidR="00166276" w:rsidRDefault="00166276" w:rsidP="00FD65E1">
            <w:pPr>
              <w:pStyle w:val="Box"/>
              <w:ind w:left="284"/>
            </w:pPr>
            <w:r w:rsidRPr="001B3B2F">
              <w:rPr>
                <w:shd w:val="clear" w:color="auto" w:fill="F15A25"/>
              </w:rPr>
              <w:t xml:space="preserve">    </w:t>
            </w:r>
            <w:r>
              <w:t xml:space="preserve"> comparable (subject to caveats) across jurisdictions and over time</w:t>
            </w:r>
            <w:r w:rsidR="001B0082">
              <w:t xml:space="preserve"> from 2012-</w:t>
            </w:r>
            <w:r w:rsidR="001B0082" w:rsidRPr="001B0082">
              <w:t xml:space="preserve">13 </w:t>
            </w:r>
          </w:p>
          <w:p w14:paraId="015BA20D" w14:textId="0E8CADEE" w:rsidR="00E60C70" w:rsidRDefault="00166276" w:rsidP="00FD65E1">
            <w:pPr>
              <w:pStyle w:val="Box"/>
              <w:ind w:left="284"/>
            </w:pPr>
            <w:r w:rsidRPr="001B3B2F">
              <w:rPr>
                <w:shd w:val="clear" w:color="auto" w:fill="F15A25"/>
              </w:rPr>
              <w:t xml:space="preserve">    </w:t>
            </w:r>
            <w:r>
              <w:t xml:space="preserve"> </w:t>
            </w:r>
            <w:r w:rsidRPr="00C648AD">
              <w:t>complete (subject to caveats) for the current reporting period. All required 201</w:t>
            </w:r>
            <w:r>
              <w:t>7</w:t>
            </w:r>
            <w:r w:rsidRPr="00C648AD">
              <w:t>-1</w:t>
            </w:r>
            <w:r>
              <w:t>8</w:t>
            </w:r>
            <w:r w:rsidRPr="00C648AD">
              <w:t xml:space="preserve"> data are available for all jurisdictions.</w:t>
            </w:r>
          </w:p>
        </w:tc>
      </w:tr>
      <w:tr w:rsidR="00E60C70" w14:paraId="5E28F1E6" w14:textId="77777777" w:rsidTr="006314ED">
        <w:trPr>
          <w:cantSplit/>
        </w:trPr>
        <w:tc>
          <w:tcPr>
            <w:tcW w:w="8793" w:type="dxa"/>
            <w:tcBorders>
              <w:top w:val="nil"/>
              <w:left w:val="nil"/>
              <w:bottom w:val="single" w:sz="6" w:space="0" w:color="78A22F"/>
              <w:right w:val="nil"/>
            </w:tcBorders>
            <w:shd w:val="clear" w:color="auto" w:fill="F2F2F2"/>
          </w:tcPr>
          <w:p w14:paraId="31211B81" w14:textId="77777777" w:rsidR="00E60C70" w:rsidRDefault="00E60C70">
            <w:pPr>
              <w:pStyle w:val="Box"/>
              <w:spacing w:before="0" w:line="120" w:lineRule="exact"/>
            </w:pPr>
          </w:p>
        </w:tc>
      </w:tr>
      <w:tr w:rsidR="00E60C70" w:rsidRPr="002409DF" w14:paraId="7C4B7D75" w14:textId="77777777" w:rsidTr="006314ED">
        <w:tc>
          <w:tcPr>
            <w:tcW w:w="8793" w:type="dxa"/>
            <w:tcBorders>
              <w:top w:val="single" w:sz="6" w:space="0" w:color="78A22F"/>
              <w:left w:val="nil"/>
              <w:bottom w:val="nil"/>
              <w:right w:val="nil"/>
            </w:tcBorders>
          </w:tcPr>
          <w:p w14:paraId="63D4F86E" w14:textId="55841C1C" w:rsidR="00E60C70" w:rsidRPr="002409DF" w:rsidRDefault="00E60C70" w:rsidP="002409DF">
            <w:pPr>
              <w:pStyle w:val="BoxSpaceBelow"/>
              <w:spacing w:before="0" w:after="0"/>
              <w:rPr>
                <w:sz w:val="6"/>
                <w:szCs w:val="6"/>
              </w:rPr>
            </w:pPr>
          </w:p>
        </w:tc>
      </w:tr>
    </w:tbl>
    <w:p w14:paraId="2BC10E52" w14:textId="7A356261" w:rsidR="002E78AE" w:rsidRDefault="00FC0E9C" w:rsidP="002409DF">
      <w:pPr>
        <w:pStyle w:val="BodyText"/>
        <w:spacing w:before="120"/>
      </w:pPr>
      <w:r w:rsidRPr="00D43019">
        <w:t xml:space="preserve">Nationally in </w:t>
      </w:r>
      <w:r w:rsidR="00280888">
        <w:t>201</w:t>
      </w:r>
      <w:r w:rsidR="0053633A">
        <w:t>7</w:t>
      </w:r>
      <w:r w:rsidR="008D3534">
        <w:noBreakHyphen/>
      </w:r>
      <w:r w:rsidR="00280888">
        <w:t>1</w:t>
      </w:r>
      <w:r w:rsidR="0053633A">
        <w:t>8</w:t>
      </w:r>
      <w:r w:rsidRPr="00D43019">
        <w:t xml:space="preserve">, </w:t>
      </w:r>
      <w:r w:rsidR="002B68E7">
        <w:t>total</w:t>
      </w:r>
      <w:r w:rsidRPr="00D43019">
        <w:t xml:space="preserve"> expenditure </w:t>
      </w:r>
      <w:r w:rsidR="00474AF5">
        <w:t xml:space="preserve">per person </w:t>
      </w:r>
      <w:r w:rsidRPr="00D43019">
        <w:t>on general practice was $</w:t>
      </w:r>
      <w:r w:rsidR="00DC39F6">
        <w:t>382.1</w:t>
      </w:r>
      <w:r w:rsidRPr="00D43019">
        <w:t> per</w:t>
      </w:r>
      <w:r w:rsidR="00DC39F6">
        <w:t xml:space="preserve"> </w:t>
      </w:r>
      <w:r w:rsidRPr="00D43019">
        <w:t>person</w:t>
      </w:r>
      <w:r w:rsidR="00474AF5">
        <w:t>, increasing in real terms from $</w:t>
      </w:r>
      <w:r w:rsidR="00DC39F6">
        <w:t>352.5</w:t>
      </w:r>
      <w:r w:rsidR="00474AF5">
        <w:t xml:space="preserve"> per person in 201</w:t>
      </w:r>
      <w:r w:rsidR="0053633A">
        <w:t>3</w:t>
      </w:r>
      <w:r w:rsidR="008D3534">
        <w:noBreakHyphen/>
      </w:r>
      <w:r w:rsidR="00474AF5">
        <w:t>1</w:t>
      </w:r>
      <w:r w:rsidR="0053633A">
        <w:t>4</w:t>
      </w:r>
      <w:r w:rsidR="00D43019" w:rsidRPr="00D43019">
        <w:t xml:space="preserve"> (figure 10.</w:t>
      </w:r>
      <w:r w:rsidR="008C6EED">
        <w:t>11</w:t>
      </w:r>
      <w:r w:rsidR="00D43019" w:rsidRPr="00D43019">
        <w:t>).</w:t>
      </w:r>
      <w:r w:rsidR="002E78AE" w:rsidRPr="002E78AE">
        <w:t xml:space="preserve"> </w:t>
      </w:r>
      <w:r w:rsidR="00B61CA1">
        <w:br/>
      </w:r>
      <w:bookmarkStart w:id="16" w:name="_GoBack"/>
      <w:bookmarkEnd w:id="16"/>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5A5D70" w14:paraId="22CF8BF2" w14:textId="77777777" w:rsidTr="0003707A">
        <w:tc>
          <w:tcPr>
            <w:tcW w:w="8793" w:type="dxa"/>
            <w:tcBorders>
              <w:top w:val="single" w:sz="6" w:space="0" w:color="78A22F"/>
              <w:left w:val="nil"/>
              <w:bottom w:val="nil"/>
              <w:right w:val="nil"/>
            </w:tcBorders>
            <w:shd w:val="clear" w:color="auto" w:fill="auto"/>
          </w:tcPr>
          <w:p w14:paraId="7EB5E2ED" w14:textId="6F7A653B" w:rsidR="005A5D70" w:rsidRPr="00176D3F" w:rsidRDefault="008154CE" w:rsidP="002409DF">
            <w:pPr>
              <w:pStyle w:val="FigureTitle"/>
              <w:spacing w:before="60"/>
            </w:pPr>
            <w:r>
              <w:br w:type="page"/>
            </w:r>
            <w:r w:rsidR="005A5D70" w:rsidRPr="00784A05">
              <w:rPr>
                <w:b w:val="0"/>
              </w:rPr>
              <w:t xml:space="preserve">Figure </w:t>
            </w:r>
            <w:r w:rsidR="008C6EED">
              <w:rPr>
                <w:b w:val="0"/>
              </w:rPr>
              <w:t>10.</w:t>
            </w:r>
            <w:r w:rsidR="0008386D">
              <w:rPr>
                <w:b w:val="0"/>
                <w:noProof/>
              </w:rPr>
              <w:t>11</w:t>
            </w:r>
            <w:r w:rsidR="005A5D70">
              <w:tab/>
            </w:r>
            <w:r w:rsidR="00E067AF" w:rsidRPr="0001197C">
              <w:t xml:space="preserve">Australian Government </w:t>
            </w:r>
            <w:r w:rsidR="00E067AF">
              <w:t>fee</w:t>
            </w:r>
            <w:r w:rsidR="00E067AF">
              <w:noBreakHyphen/>
              <w:t>for</w:t>
            </w:r>
            <w:r w:rsidR="00E067AF">
              <w:noBreakHyphen/>
              <w:t>service expenditure per </w:t>
            </w:r>
            <w:r w:rsidR="00E067AF" w:rsidRPr="0001197C">
              <w:t xml:space="preserve">person on </w:t>
            </w:r>
            <w:r w:rsidR="00E067AF" w:rsidRPr="00D842D1">
              <w:t>GPs</w:t>
            </w:r>
            <w:r w:rsidR="00E067AF">
              <w:t xml:space="preserve"> </w:t>
            </w:r>
            <w:r w:rsidR="00E067AF" w:rsidRPr="009514DC">
              <w:t>(</w:t>
            </w:r>
            <w:r w:rsidR="00280888">
              <w:t>201</w:t>
            </w:r>
            <w:r w:rsidR="0053633A">
              <w:t>7</w:t>
            </w:r>
            <w:r w:rsidR="00280888">
              <w:t>-1</w:t>
            </w:r>
            <w:r w:rsidR="0053633A">
              <w:t>8</w:t>
            </w:r>
            <w:r w:rsidR="00E067AF" w:rsidRPr="009514DC">
              <w:t xml:space="preserve"> dollars)</w:t>
            </w:r>
            <w:r w:rsidR="00E067AF" w:rsidRPr="00711A02">
              <w:rPr>
                <w:rStyle w:val="NoteLabel"/>
                <w:b/>
              </w:rPr>
              <w:t>a</w:t>
            </w:r>
          </w:p>
        </w:tc>
      </w:tr>
      <w:tr w:rsidR="00A00626" w14:paraId="30ED5B00" w14:textId="77777777" w:rsidTr="0003707A">
        <w:tc>
          <w:tcPr>
            <w:tcW w:w="8793" w:type="dxa"/>
            <w:tcBorders>
              <w:top w:val="nil"/>
              <w:left w:val="nil"/>
              <w:bottom w:val="nil"/>
              <w:right w:val="nil"/>
            </w:tcBorders>
            <w:shd w:val="clear" w:color="auto" w:fill="auto"/>
          </w:tcPr>
          <w:tbl>
            <w:tblPr>
              <w:tblW w:w="5000" w:type="pct"/>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742"/>
              <w:gridCol w:w="7767"/>
            </w:tblGrid>
            <w:tr w:rsidR="00166276" w:rsidRPr="0021152C" w14:paraId="1FBAE954" w14:textId="77777777" w:rsidTr="00DF0483">
              <w:trPr>
                <w:trHeight w:hRule="exact" w:val="327"/>
              </w:trPr>
              <w:tc>
                <w:tcPr>
                  <w:tcW w:w="411" w:type="pct"/>
                  <w:tcBorders>
                    <w:top w:val="nil"/>
                    <w:left w:val="nil"/>
                    <w:bottom w:val="nil"/>
                    <w:right w:val="nil"/>
                  </w:tcBorders>
                  <w:shd w:val="clear" w:color="auto" w:fill="F15A25"/>
                </w:tcPr>
                <w:p w14:paraId="54ABCB70" w14:textId="77777777" w:rsidR="00166276" w:rsidRPr="000D77DB" w:rsidRDefault="00166276" w:rsidP="00166276">
                  <w:pPr>
                    <w:pStyle w:val="Note"/>
                  </w:pPr>
                </w:p>
              </w:tc>
              <w:tc>
                <w:tcPr>
                  <w:tcW w:w="4302" w:type="pct"/>
                  <w:tcBorders>
                    <w:top w:val="nil"/>
                    <w:left w:val="nil"/>
                    <w:bottom w:val="nil"/>
                    <w:right w:val="nil"/>
                  </w:tcBorders>
                  <w:shd w:val="clear" w:color="auto" w:fill="auto"/>
                </w:tcPr>
                <w:p w14:paraId="5DA861C0" w14:textId="77777777" w:rsidR="00166276" w:rsidRPr="0021152C" w:rsidRDefault="00166276" w:rsidP="00166276">
                  <w:pPr>
                    <w:pStyle w:val="TableBodyText"/>
                    <w:jc w:val="left"/>
                  </w:pPr>
                  <w:r w:rsidRPr="0021152C">
                    <w:t>Comparable (subject to caveats) across jurisdictions and over time</w:t>
                  </w:r>
                  <w:r>
                    <w:t>.</w:t>
                  </w:r>
                </w:p>
              </w:tc>
            </w:tr>
            <w:tr w:rsidR="00166276" w:rsidRPr="0021152C" w14:paraId="064BC506" w14:textId="77777777" w:rsidTr="00DF0483">
              <w:trPr>
                <w:trHeight w:hRule="exact" w:val="275"/>
              </w:trPr>
              <w:tc>
                <w:tcPr>
                  <w:tcW w:w="411" w:type="pct"/>
                  <w:tcBorders>
                    <w:top w:val="nil"/>
                    <w:left w:val="nil"/>
                    <w:bottom w:val="nil"/>
                    <w:right w:val="nil"/>
                  </w:tcBorders>
                  <w:shd w:val="clear" w:color="auto" w:fill="F15A25"/>
                </w:tcPr>
                <w:p w14:paraId="6096088A" w14:textId="77777777" w:rsidR="00166276" w:rsidRPr="000D77DB" w:rsidRDefault="00166276" w:rsidP="00166276">
                  <w:pPr>
                    <w:pStyle w:val="Note"/>
                    <w:rPr>
                      <w:rFonts w:cs="Arial"/>
                      <w:szCs w:val="18"/>
                    </w:rPr>
                  </w:pPr>
                </w:p>
              </w:tc>
              <w:tc>
                <w:tcPr>
                  <w:tcW w:w="4302" w:type="pct"/>
                  <w:tcBorders>
                    <w:top w:val="nil"/>
                    <w:left w:val="nil"/>
                    <w:bottom w:val="nil"/>
                    <w:right w:val="nil"/>
                  </w:tcBorders>
                  <w:shd w:val="clear" w:color="auto" w:fill="auto"/>
                </w:tcPr>
                <w:p w14:paraId="76D28BD8" w14:textId="77777777" w:rsidR="00166276" w:rsidRPr="0021152C" w:rsidRDefault="00166276" w:rsidP="00166276">
                  <w:pPr>
                    <w:pStyle w:val="TableBodyText"/>
                    <w:jc w:val="left"/>
                  </w:pPr>
                  <w:r w:rsidRPr="000D77DB">
                    <w:t xml:space="preserve">Complete (subject to caveats) for the current reporting period. </w:t>
                  </w:r>
                </w:p>
              </w:tc>
            </w:tr>
          </w:tbl>
          <w:p w14:paraId="2A26E35E" w14:textId="77777777" w:rsidR="00A00626" w:rsidRPr="00784A05" w:rsidRDefault="00A00626" w:rsidP="00D43019">
            <w:pPr>
              <w:pStyle w:val="FigureTitle"/>
              <w:rPr>
                <w:b w:val="0"/>
              </w:rPr>
            </w:pPr>
          </w:p>
        </w:tc>
      </w:tr>
      <w:tr w:rsidR="005A5D70" w14:paraId="6B50098F" w14:textId="77777777" w:rsidTr="006314ED">
        <w:tc>
          <w:tcPr>
            <w:tcW w:w="8793" w:type="dxa"/>
            <w:tcBorders>
              <w:top w:val="nil"/>
              <w:left w:val="nil"/>
              <w:bottom w:val="nil"/>
              <w:right w:val="nil"/>
            </w:tcBorders>
            <w:shd w:val="clear" w:color="auto" w:fill="auto"/>
            <w:tcMar>
              <w:top w:w="28" w:type="dxa"/>
              <w:bottom w:w="28" w:type="dxa"/>
            </w:tcMar>
          </w:tcPr>
          <w:tbl>
            <w:tblPr>
              <w:tblW w:w="847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474"/>
            </w:tblGrid>
            <w:tr w:rsidR="005A5D70" w14:paraId="05CC18DD" w14:textId="77777777" w:rsidTr="00DC39F6">
              <w:trPr>
                <w:trHeight w:val="3781"/>
                <w:jc w:val="center"/>
              </w:trPr>
              <w:tc>
                <w:tcPr>
                  <w:tcW w:w="8474" w:type="dxa"/>
                  <w:tcBorders>
                    <w:top w:val="nil"/>
                    <w:bottom w:val="nil"/>
                  </w:tcBorders>
                </w:tcPr>
                <w:p w14:paraId="0F38817C" w14:textId="7063B55D" w:rsidR="005A5D70" w:rsidRDefault="00DC39F6" w:rsidP="0038602A">
                  <w:pPr>
                    <w:pStyle w:val="Figure"/>
                    <w:spacing w:before="60" w:after="60"/>
                  </w:pPr>
                  <w:r>
                    <w:rPr>
                      <w:noProof/>
                    </w:rPr>
                    <w:drawing>
                      <wp:inline distT="0" distB="0" distL="0" distR="0" wp14:anchorId="3C31AAFE" wp14:editId="22AA0479">
                        <wp:extent cx="5029200" cy="2429626"/>
                        <wp:effectExtent l="0" t="0" r="0" b="8890"/>
                        <wp:docPr id="1" name="Chart 1" descr="Figure 10.11 Australian Government fee-for-service expenditure per person on GPs (2017-18 dollars)&#10;&#10;More details can be found within the text surrounding this image. "/>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bl>
          <w:p w14:paraId="01E28D36" w14:textId="77777777" w:rsidR="005A5D70" w:rsidRDefault="005A5D70" w:rsidP="0038602A">
            <w:pPr>
              <w:pStyle w:val="Figure"/>
            </w:pPr>
          </w:p>
        </w:tc>
      </w:tr>
      <w:tr w:rsidR="005A5D70" w:rsidRPr="00176D3F" w14:paraId="22A9C4BE" w14:textId="77777777" w:rsidTr="006314ED">
        <w:tc>
          <w:tcPr>
            <w:tcW w:w="8793" w:type="dxa"/>
            <w:tcBorders>
              <w:top w:val="nil"/>
              <w:left w:val="nil"/>
              <w:bottom w:val="nil"/>
              <w:right w:val="nil"/>
            </w:tcBorders>
            <w:shd w:val="clear" w:color="auto" w:fill="auto"/>
          </w:tcPr>
          <w:p w14:paraId="788BB4F3" w14:textId="2A0639DE" w:rsidR="005A5D70" w:rsidRPr="00176D3F" w:rsidRDefault="005A5D70" w:rsidP="00A15649">
            <w:pPr>
              <w:pStyle w:val="Note"/>
              <w:keepNext/>
            </w:pPr>
            <w:r>
              <w:rPr>
                <w:rStyle w:val="NoteLabel"/>
              </w:rPr>
              <w:t>a</w:t>
            </w:r>
            <w:r>
              <w:t xml:space="preserve"> </w:t>
            </w:r>
            <w:r w:rsidR="00E067AF">
              <w:t xml:space="preserve">See </w:t>
            </w:r>
            <w:r w:rsidR="00461A4A">
              <w:t>box 10</w:t>
            </w:r>
            <w:r w:rsidR="00E067AF" w:rsidRPr="00F4390A">
              <w:t>.1</w:t>
            </w:r>
            <w:r w:rsidR="00A15649">
              <w:t>5</w:t>
            </w:r>
            <w:r w:rsidR="00E067AF">
              <w:t xml:space="preserve"> and </w:t>
            </w:r>
            <w:r w:rsidR="00E067AF" w:rsidRPr="00D43019">
              <w:t>table 10A.</w:t>
            </w:r>
            <w:r w:rsidR="00B212AD">
              <w:t>2</w:t>
            </w:r>
            <w:r w:rsidR="00E067AF">
              <w:t xml:space="preserve"> for detailed definitions, footnotes and caveats</w:t>
            </w:r>
            <w:r w:rsidR="00E067AF" w:rsidRPr="00325A76">
              <w:t>.</w:t>
            </w:r>
          </w:p>
        </w:tc>
      </w:tr>
      <w:tr w:rsidR="005A5D70" w:rsidRPr="00176D3F" w14:paraId="5F9E9488" w14:textId="77777777" w:rsidTr="006314ED">
        <w:tc>
          <w:tcPr>
            <w:tcW w:w="8793" w:type="dxa"/>
            <w:tcBorders>
              <w:top w:val="nil"/>
              <w:left w:val="nil"/>
              <w:bottom w:val="nil"/>
              <w:right w:val="nil"/>
            </w:tcBorders>
            <w:shd w:val="clear" w:color="auto" w:fill="auto"/>
          </w:tcPr>
          <w:p w14:paraId="65ED673E" w14:textId="322D87C5" w:rsidR="005A5D70" w:rsidRPr="00176D3F" w:rsidRDefault="00E067AF" w:rsidP="00B17709">
            <w:pPr>
              <w:pStyle w:val="Source"/>
              <w:keepNext/>
            </w:pPr>
            <w:r w:rsidRPr="00D842D1">
              <w:rPr>
                <w:i/>
              </w:rPr>
              <w:t>Source</w:t>
            </w:r>
            <w:r w:rsidRPr="00D842D1">
              <w:t xml:space="preserve">: </w:t>
            </w:r>
            <w:r>
              <w:t>D</w:t>
            </w:r>
            <w:r w:rsidR="005C311F">
              <w:t>oH</w:t>
            </w:r>
            <w:r w:rsidRPr="00352597">
              <w:t xml:space="preserve"> (unpublished) MBS Statistics</w:t>
            </w:r>
            <w:r>
              <w:t xml:space="preserve">; </w:t>
            </w:r>
            <w:r w:rsidRPr="00D842D1">
              <w:t xml:space="preserve">DVA </w:t>
            </w:r>
            <w:r>
              <w:t>(</w:t>
            </w:r>
            <w:r w:rsidRPr="00325A76">
              <w:t>unpublished)</w:t>
            </w:r>
            <w:r w:rsidRPr="009010CA">
              <w:t>, DVA data collection</w:t>
            </w:r>
            <w:r w:rsidRPr="00325A76">
              <w:t>;</w:t>
            </w:r>
            <w:r w:rsidRPr="00D842D1">
              <w:t xml:space="preserve"> </w:t>
            </w:r>
            <w:r w:rsidRPr="00D43019">
              <w:t>table 10A.</w:t>
            </w:r>
            <w:r w:rsidR="00B212AD">
              <w:t>2</w:t>
            </w:r>
            <w:r w:rsidR="009227A5">
              <w:t>.</w:t>
            </w:r>
            <w:r w:rsidR="005A5D70" w:rsidRPr="00176D3F">
              <w:t xml:space="preserve"> </w:t>
            </w:r>
          </w:p>
        </w:tc>
      </w:tr>
      <w:tr w:rsidR="005A5D70" w14:paraId="79885059" w14:textId="77777777" w:rsidTr="006314ED">
        <w:tc>
          <w:tcPr>
            <w:tcW w:w="8793" w:type="dxa"/>
            <w:tcBorders>
              <w:top w:val="nil"/>
              <w:left w:val="nil"/>
              <w:bottom w:val="single" w:sz="6" w:space="0" w:color="78A22F"/>
              <w:right w:val="nil"/>
            </w:tcBorders>
            <w:shd w:val="clear" w:color="auto" w:fill="auto"/>
          </w:tcPr>
          <w:p w14:paraId="61B50B88" w14:textId="77777777" w:rsidR="005A5D70" w:rsidRDefault="005A5D70" w:rsidP="008B30E3">
            <w:pPr>
              <w:pStyle w:val="Figurespace"/>
              <w:keepLines/>
            </w:pPr>
          </w:p>
        </w:tc>
      </w:tr>
      <w:tr w:rsidR="005A5D70" w:rsidRPr="000863A5" w14:paraId="17EFD129" w14:textId="77777777" w:rsidTr="006314ED">
        <w:tc>
          <w:tcPr>
            <w:tcW w:w="8793" w:type="dxa"/>
            <w:tcBorders>
              <w:top w:val="single" w:sz="6" w:space="0" w:color="78A22F"/>
              <w:left w:val="nil"/>
              <w:bottom w:val="nil"/>
              <w:right w:val="nil"/>
            </w:tcBorders>
          </w:tcPr>
          <w:p w14:paraId="7D7F4E67" w14:textId="09083E35" w:rsidR="005A5D70" w:rsidRPr="00626D32" w:rsidRDefault="005A5D70" w:rsidP="00B61CA1">
            <w:pPr>
              <w:pStyle w:val="BoxSpaceBelow"/>
              <w:keepLines/>
              <w:spacing w:before="0" w:after="0"/>
            </w:pPr>
          </w:p>
        </w:tc>
      </w:tr>
    </w:tbl>
    <w:p w14:paraId="6637E297" w14:textId="77777777" w:rsidR="0001197C" w:rsidRPr="00944E91" w:rsidRDefault="00CD66BC" w:rsidP="00DF0483">
      <w:pPr>
        <w:pStyle w:val="Heading3"/>
        <w:keepNext w:val="0"/>
      </w:pPr>
      <w:r w:rsidRPr="00CD66BC">
        <w:t>Outcomes</w:t>
      </w:r>
    </w:p>
    <w:p w14:paraId="08FCACC0" w14:textId="77777777" w:rsidR="0053394C" w:rsidRPr="00097C57" w:rsidRDefault="00CD66BC" w:rsidP="0090362E">
      <w:pPr>
        <w:pStyle w:val="BodyText"/>
      </w:pPr>
      <w:r>
        <w:t xml:space="preserve">Outcomes are the impact of services on the status of an individual or group </w:t>
      </w:r>
      <w:r w:rsidR="00720D62">
        <w:t>(</w:t>
      </w:r>
      <w:r w:rsidR="00C85D1A">
        <w:t>see chapter 1</w:t>
      </w:r>
      <w:r w:rsidRPr="009F4F9C">
        <w:t>).</w:t>
      </w:r>
      <w:r w:rsidR="00EB5E62">
        <w:t xml:space="preserve"> </w:t>
      </w:r>
    </w:p>
    <w:p w14:paraId="607BF8D2" w14:textId="77777777" w:rsidR="002F579B" w:rsidRDefault="002F579B" w:rsidP="002804C0">
      <w:pPr>
        <w:pStyle w:val="Heading4"/>
      </w:pPr>
      <w:r w:rsidRPr="002F579B">
        <w:t>Notifications of selected childhood diseases</w:t>
      </w:r>
    </w:p>
    <w:p w14:paraId="0F057D8A" w14:textId="1D77DF14" w:rsidR="00095E5A" w:rsidRDefault="00F43A55" w:rsidP="00956A0C">
      <w:pPr>
        <w:pStyle w:val="BodyText"/>
      </w:pPr>
      <w:r>
        <w:t>‘</w:t>
      </w:r>
      <w:r w:rsidRPr="00F43A55">
        <w:t>Notifications of selected childhood diseases</w:t>
      </w:r>
      <w:r>
        <w:t xml:space="preserve">’ is an indicator of governments’ objective </w:t>
      </w:r>
      <w:r w:rsidR="00474AF5">
        <w:t xml:space="preserve">for primary and community health services </w:t>
      </w:r>
      <w:r>
        <w:t>to</w:t>
      </w:r>
      <w:r w:rsidR="00474AF5">
        <w:t xml:space="preserve"> </w:t>
      </w:r>
      <w:r w:rsidR="00DA610A">
        <w:t xml:space="preserve">promote health and </w:t>
      </w:r>
      <w:r w:rsidR="00474AF5">
        <w:t>prevent il</w:t>
      </w:r>
      <w:r w:rsidR="00CD3E7E">
        <w:t xml:space="preserve">lness </w:t>
      </w:r>
      <w:r w:rsidR="006304E0">
        <w:t>(</w:t>
      </w:r>
      <w:r w:rsidR="00897589" w:rsidRPr="007C7EA6">
        <w:t>box 10.</w:t>
      </w:r>
      <w:r w:rsidR="000D7FC3">
        <w:t>1</w:t>
      </w:r>
      <w:r w:rsidR="00A15649">
        <w:t>6</w:t>
      </w:r>
      <w:r w:rsidR="006304E0" w:rsidRPr="008E4541">
        <w:t>)</w:t>
      </w:r>
      <w:r w:rsidRPr="008E4541">
        <w:t>.</w:t>
      </w:r>
      <w:r w:rsidR="00956A0C">
        <w:t xml:space="preserve"> </w:t>
      </w:r>
    </w:p>
    <w:p w14:paraId="2A7D6281" w14:textId="6FEEC8BC" w:rsidR="00EB268D" w:rsidRDefault="00EB268D">
      <w:pPr>
        <w:pStyle w:val="BoxSpaceAbove"/>
      </w:pPr>
    </w:p>
    <w:tbl>
      <w:tblPr>
        <w:tblW w:w="4843" w:type="pct"/>
        <w:tblInd w:w="142" w:type="dxa"/>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8"/>
      </w:tblGrid>
      <w:tr w:rsidR="00EB268D" w14:paraId="48B7B038" w14:textId="77777777" w:rsidTr="00EB268D">
        <w:trPr>
          <w:tblHeader/>
        </w:trPr>
        <w:tc>
          <w:tcPr>
            <w:tcW w:w="5000" w:type="pct"/>
            <w:tcBorders>
              <w:top w:val="single" w:sz="6" w:space="0" w:color="78A22F"/>
              <w:left w:val="nil"/>
              <w:bottom w:val="nil"/>
              <w:right w:val="nil"/>
            </w:tcBorders>
            <w:shd w:val="clear" w:color="auto" w:fill="F2F2F2"/>
          </w:tcPr>
          <w:p w14:paraId="2738CA5A" w14:textId="3D82F8C8" w:rsidR="00EB268D" w:rsidRDefault="00EB268D" w:rsidP="00E825E0">
            <w:pPr>
              <w:pStyle w:val="BoxTitle"/>
            </w:pPr>
            <w:r>
              <w:rPr>
                <w:b w:val="0"/>
              </w:rPr>
              <w:t xml:space="preserve">Box </w:t>
            </w:r>
            <w:r w:rsidR="009525ED">
              <w:rPr>
                <w:b w:val="0"/>
              </w:rPr>
              <w:t>10.</w:t>
            </w:r>
            <w:r w:rsidR="0008386D">
              <w:rPr>
                <w:b w:val="0"/>
                <w:noProof/>
              </w:rPr>
              <w:t>16</w:t>
            </w:r>
            <w:r>
              <w:tab/>
            </w:r>
            <w:r w:rsidRPr="002F579B">
              <w:t>Notifications of selected childhood diseases</w:t>
            </w:r>
          </w:p>
        </w:tc>
      </w:tr>
      <w:tr w:rsidR="00EB268D" w14:paraId="1C00AB94" w14:textId="77777777" w:rsidTr="00EB268D">
        <w:tc>
          <w:tcPr>
            <w:tcW w:w="5000" w:type="pct"/>
            <w:tcBorders>
              <w:top w:val="nil"/>
              <w:left w:val="nil"/>
              <w:bottom w:val="nil"/>
              <w:right w:val="nil"/>
            </w:tcBorders>
            <w:shd w:val="clear" w:color="auto" w:fill="F2F2F2"/>
          </w:tcPr>
          <w:p w14:paraId="4F740331" w14:textId="77777777" w:rsidR="00EB268D" w:rsidRDefault="00EB268D" w:rsidP="0025258B">
            <w:pPr>
              <w:pStyle w:val="Box"/>
            </w:pPr>
            <w:r>
              <w:t>‘</w:t>
            </w:r>
            <w:r w:rsidRPr="00F2021D">
              <w:t xml:space="preserve">Notifications of selected childhood diseases’ </w:t>
            </w:r>
            <w:r>
              <w:t xml:space="preserve">is defined as the number of notifications </w:t>
            </w:r>
            <w:r w:rsidRPr="008A1890">
              <w:t>of measles, pertussis and</w:t>
            </w:r>
            <w:r>
              <w:t xml:space="preserve"> </w:t>
            </w:r>
            <w:r w:rsidRPr="006E5535">
              <w:t>invasive</w:t>
            </w:r>
            <w:r w:rsidRPr="008A1890">
              <w:t xml:space="preserve"> </w:t>
            </w:r>
            <w:r w:rsidRPr="008A1890">
              <w:rPr>
                <w:i/>
              </w:rPr>
              <w:t>Haemophilus influenzae</w:t>
            </w:r>
            <w:r w:rsidRPr="008A1890">
              <w:t xml:space="preserve"> type b reported to the National Notifiable Diseases Surveillance System by </w:t>
            </w:r>
            <w:r>
              <w:t>S</w:t>
            </w:r>
            <w:r w:rsidRPr="008A1890">
              <w:t xml:space="preserve">tate and </w:t>
            </w:r>
            <w:r>
              <w:t>T</w:t>
            </w:r>
            <w:r w:rsidRPr="008A1890">
              <w:t>erritory health authorities</w:t>
            </w:r>
            <w:r>
              <w:t xml:space="preserve"> for children aged 0–14 years, per 100 000 children in that age group.</w:t>
            </w:r>
          </w:p>
          <w:p w14:paraId="39A9C6B4" w14:textId="77777777" w:rsidR="00EB268D" w:rsidRDefault="00EB268D" w:rsidP="0025258B">
            <w:pPr>
              <w:pStyle w:val="Box"/>
            </w:pPr>
            <w:r>
              <w:t>A low or reducing notification rate for the selected diseases indicates that the immunisation program is more effective.</w:t>
            </w:r>
          </w:p>
          <w:p w14:paraId="38D55B0C" w14:textId="77777777" w:rsidR="00704DD3" w:rsidRDefault="00704DD3" w:rsidP="00704DD3">
            <w:pPr>
              <w:pStyle w:val="Box"/>
            </w:pPr>
            <w:r w:rsidRPr="0089594F">
              <w:t xml:space="preserve">Measles, pertussis (whooping cough) and </w:t>
            </w:r>
            <w:r w:rsidRPr="006E5535">
              <w:t>invasive</w:t>
            </w:r>
            <w:r w:rsidRPr="008A1890">
              <w:t xml:space="preserve"> </w:t>
            </w:r>
            <w:r w:rsidRPr="0089594F">
              <w:rPr>
                <w:i/>
              </w:rPr>
              <w:t>Haemophilus influenzae</w:t>
            </w:r>
            <w:r w:rsidRPr="0089594F">
              <w:t xml:space="preserve"> type b are nationally notifiable vaccine preventable diseases</w:t>
            </w:r>
            <w:r>
              <w:t>, and notification to</w:t>
            </w:r>
            <w:r w:rsidRPr="0089594F">
              <w:t xml:space="preserve"> the relevant State or Territory authority </w:t>
            </w:r>
            <w:r>
              <w:t>is required on diagnosis.</w:t>
            </w:r>
          </w:p>
          <w:p w14:paraId="599F710D" w14:textId="77777777" w:rsidR="00704DD3" w:rsidRDefault="00704DD3" w:rsidP="009E0FF5">
            <w:pPr>
              <w:pStyle w:val="Box"/>
            </w:pPr>
            <w:r>
              <w:t>Data repor</w:t>
            </w:r>
            <w:r w:rsidR="009E0FF5">
              <w:t>ted against this indicator are:</w:t>
            </w:r>
          </w:p>
          <w:p w14:paraId="54C0DB36" w14:textId="77777777" w:rsidR="009E0FF5" w:rsidRDefault="009E0FF5" w:rsidP="001B0082">
            <w:pPr>
              <w:pStyle w:val="Box"/>
              <w:ind w:left="284"/>
            </w:pPr>
            <w:r w:rsidRPr="001B3B2F">
              <w:rPr>
                <w:shd w:val="clear" w:color="auto" w:fill="F15A25"/>
              </w:rPr>
              <w:t xml:space="preserve">    </w:t>
            </w:r>
            <w:r>
              <w:t xml:space="preserve"> comparable (subject to caveats) across jurisdictions and over time</w:t>
            </w:r>
          </w:p>
          <w:p w14:paraId="49F01FCC" w14:textId="05A67825" w:rsidR="009E0FF5" w:rsidRDefault="009E0FF5" w:rsidP="001B0082">
            <w:pPr>
              <w:pStyle w:val="Box"/>
              <w:ind w:left="284"/>
            </w:pPr>
            <w:r w:rsidRPr="001B3B2F">
              <w:rPr>
                <w:shd w:val="clear" w:color="auto" w:fill="F15A25"/>
              </w:rPr>
              <w:t xml:space="preserve">    </w:t>
            </w:r>
            <w:r>
              <w:t xml:space="preserve"> </w:t>
            </w:r>
            <w:r w:rsidRPr="00C648AD">
              <w:t>complete (subject to caveats) for the current reporting period. All required 201</w:t>
            </w:r>
            <w:r>
              <w:t>7</w:t>
            </w:r>
            <w:r w:rsidRPr="00C648AD">
              <w:t>-1</w:t>
            </w:r>
            <w:r>
              <w:t>8</w:t>
            </w:r>
            <w:r w:rsidRPr="00C648AD">
              <w:t xml:space="preserve"> data are available for all jurisdictions.</w:t>
            </w:r>
          </w:p>
        </w:tc>
      </w:tr>
      <w:tr w:rsidR="00EB268D" w14:paraId="38E10C7B" w14:textId="77777777" w:rsidTr="00EB268D">
        <w:tc>
          <w:tcPr>
            <w:tcW w:w="5000" w:type="pct"/>
            <w:tcBorders>
              <w:top w:val="nil"/>
              <w:left w:val="nil"/>
              <w:bottom w:val="single" w:sz="6" w:space="0" w:color="78A22F"/>
              <w:right w:val="nil"/>
            </w:tcBorders>
            <w:shd w:val="clear" w:color="auto" w:fill="F2F2F2"/>
          </w:tcPr>
          <w:p w14:paraId="6CBD6538" w14:textId="77777777" w:rsidR="00EB268D" w:rsidRDefault="00EB268D">
            <w:pPr>
              <w:pStyle w:val="Box"/>
              <w:spacing w:before="0" w:line="120" w:lineRule="exact"/>
            </w:pPr>
          </w:p>
        </w:tc>
      </w:tr>
      <w:tr w:rsidR="00EB268D" w:rsidRPr="000863A5" w14:paraId="5BA886C4" w14:textId="77777777" w:rsidTr="00EB268D">
        <w:tc>
          <w:tcPr>
            <w:tcW w:w="5000" w:type="pct"/>
            <w:tcBorders>
              <w:top w:val="single" w:sz="6" w:space="0" w:color="78A22F"/>
              <w:left w:val="nil"/>
              <w:bottom w:val="nil"/>
              <w:right w:val="nil"/>
            </w:tcBorders>
          </w:tcPr>
          <w:p w14:paraId="2CA89D55" w14:textId="3697C37E" w:rsidR="00EB268D" w:rsidRPr="00626D32" w:rsidRDefault="00EB268D" w:rsidP="0025258B">
            <w:pPr>
              <w:pStyle w:val="BoxSpaceBelow"/>
            </w:pPr>
          </w:p>
        </w:tc>
      </w:tr>
    </w:tbl>
    <w:p w14:paraId="1C2919BC" w14:textId="70906EE8" w:rsidR="008E4B34" w:rsidRPr="00CD3E7E" w:rsidRDefault="00D123F1" w:rsidP="00E52E8A">
      <w:pPr>
        <w:pStyle w:val="BodyText"/>
      </w:pPr>
      <w:r w:rsidRPr="00CD3E7E">
        <w:t>Nationally</w:t>
      </w:r>
      <w:r w:rsidR="00BA6F60" w:rsidRPr="00CD3E7E">
        <w:t xml:space="preserve"> in </w:t>
      </w:r>
      <w:r w:rsidR="00704DD3">
        <w:t>2017</w:t>
      </w:r>
      <w:r w:rsidR="008D3534">
        <w:noBreakHyphen/>
      </w:r>
      <w:r w:rsidR="00280888">
        <w:t>1</w:t>
      </w:r>
      <w:r w:rsidR="00704DD3">
        <w:t>8</w:t>
      </w:r>
      <w:r w:rsidRPr="00CD3E7E">
        <w:t xml:space="preserve">, </w:t>
      </w:r>
      <w:r w:rsidR="00BA6F60" w:rsidRPr="00CD3E7E">
        <w:t>the rate of notifications for children aged 0</w:t>
      </w:r>
      <w:r w:rsidR="00F04D5C" w:rsidRPr="00CD3E7E">
        <w:t>–</w:t>
      </w:r>
      <w:r w:rsidR="00BA6F60" w:rsidRPr="00CD3E7E">
        <w:t>14 years was</w:t>
      </w:r>
      <w:r w:rsidR="008E4B34" w:rsidRPr="00CD3E7E">
        <w:t>:</w:t>
      </w:r>
      <w:r w:rsidR="009253F5">
        <w:t xml:space="preserve"> </w:t>
      </w:r>
    </w:p>
    <w:p w14:paraId="6FCCFC6A" w14:textId="7A0C8D01" w:rsidR="008E4B34" w:rsidRPr="00CD3E7E" w:rsidRDefault="003D507E" w:rsidP="008E4B34">
      <w:pPr>
        <w:pStyle w:val="ListBullet"/>
      </w:pPr>
      <w:r>
        <w:t>0</w:t>
      </w:r>
      <w:r w:rsidR="00BA6F60" w:rsidRPr="00CD3E7E">
        <w:t>.</w:t>
      </w:r>
      <w:r w:rsidR="00704DD3">
        <w:t>3</w:t>
      </w:r>
      <w:r w:rsidR="002C76E0" w:rsidRPr="00CD3E7E">
        <w:t xml:space="preserve"> </w:t>
      </w:r>
      <w:r w:rsidR="008E4B34" w:rsidRPr="00CD3E7E">
        <w:t>per</w:t>
      </w:r>
      <w:r w:rsidR="00015158" w:rsidRPr="00CD3E7E">
        <w:t> </w:t>
      </w:r>
      <w:r w:rsidR="00BA6F60" w:rsidRPr="00CD3E7E">
        <w:t xml:space="preserve">100 000 for </w:t>
      </w:r>
      <w:r w:rsidR="00B70C0E" w:rsidRPr="00CD3E7E">
        <w:rPr>
          <w:i/>
        </w:rPr>
        <w:t>Haemophilus influenzae</w:t>
      </w:r>
      <w:r w:rsidR="00B70C0E" w:rsidRPr="00CD3E7E">
        <w:t xml:space="preserve"> type b </w:t>
      </w:r>
      <w:r w:rsidR="001B0082">
        <w:t>(table 10A.57)</w:t>
      </w:r>
    </w:p>
    <w:p w14:paraId="25FC6B6A" w14:textId="788F5A52" w:rsidR="008E4B34" w:rsidRPr="00CD3E7E" w:rsidRDefault="003D507E" w:rsidP="008E4B34">
      <w:pPr>
        <w:pStyle w:val="ListBullet"/>
      </w:pPr>
      <w:r>
        <w:t>0</w:t>
      </w:r>
      <w:r w:rsidR="002C76E0">
        <w:t>.</w:t>
      </w:r>
      <w:r w:rsidR="00704DD3">
        <w:t>4</w:t>
      </w:r>
      <w:r w:rsidR="008E4B34" w:rsidRPr="00CD3E7E">
        <w:t xml:space="preserve"> per 100 000 for measles </w:t>
      </w:r>
      <w:r w:rsidR="001B0082">
        <w:t>(table 10A.57)</w:t>
      </w:r>
    </w:p>
    <w:p w14:paraId="5FB1938D" w14:textId="190C5241" w:rsidR="00BA6F60" w:rsidRPr="00CD3E7E" w:rsidRDefault="00704DD3" w:rsidP="008E4B34">
      <w:pPr>
        <w:pStyle w:val="ListBullet"/>
      </w:pPr>
      <w:r>
        <w:t>107.2</w:t>
      </w:r>
      <w:r w:rsidR="008E4B34" w:rsidRPr="00CD3E7E">
        <w:t xml:space="preserve"> per </w:t>
      </w:r>
      <w:r w:rsidR="00B70C0E" w:rsidRPr="00CD3E7E">
        <w:t>100 000 for pertussis (whooping cough)</w:t>
      </w:r>
      <w:r w:rsidR="001B0082">
        <w:t xml:space="preserve"> (figure 10.</w:t>
      </w:r>
      <w:r w:rsidR="008C6EED">
        <w:t>12</w:t>
      </w:r>
      <w:r w:rsidR="001B0082">
        <w:t>) (table 10A.57)</w:t>
      </w:r>
      <w:r w:rsidR="00B70C0E" w:rsidRPr="00CD3E7E">
        <w:t>.</w:t>
      </w:r>
    </w:p>
    <w:p w14:paraId="3A768474" w14:textId="3566BBEE" w:rsidR="008E4B34" w:rsidRDefault="001B0082" w:rsidP="002D68B6">
      <w:pPr>
        <w:pStyle w:val="BodyText"/>
      </w:pPr>
      <w:r>
        <w:t>H</w:t>
      </w:r>
      <w:r w:rsidR="00B70C0E" w:rsidRPr="00CD3E7E">
        <w:t xml:space="preserve">istorical data for </w:t>
      </w:r>
      <w:r w:rsidR="00CD3E7E" w:rsidRPr="00673F2C">
        <w:t>ten</w:t>
      </w:r>
      <w:r w:rsidR="00B70C0E" w:rsidRPr="00CD3E7E">
        <w:t xml:space="preserve"> </w:t>
      </w:r>
      <w:r w:rsidR="00166276">
        <w:t>year</w:t>
      </w:r>
      <w:r>
        <w:t xml:space="preserve">s of reporting </w:t>
      </w:r>
      <w:r w:rsidR="00166276">
        <w:t xml:space="preserve">are in table 10A.57. </w:t>
      </w:r>
    </w:p>
    <w:p w14:paraId="5259717E" w14:textId="77777777" w:rsidR="009E0FF5" w:rsidRDefault="009E0FF5">
      <w:pPr>
        <w:rPr>
          <w:b/>
          <w:color w:val="FF00FF"/>
          <w:sz w:val="14"/>
          <w:szCs w:val="20"/>
        </w:rPr>
      </w:pPr>
      <w:r>
        <w:rPr>
          <w:b/>
          <w:color w:val="FF00FF"/>
          <w:sz w:val="14"/>
        </w:rPr>
        <w:br w:type="page"/>
      </w:r>
    </w:p>
    <w:p w14:paraId="6FC4361F" w14:textId="0DFD0032" w:rsidR="00E55146" w:rsidRDefault="00E55146" w:rsidP="0038602A">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E55146" w14:paraId="741D72FB" w14:textId="77777777" w:rsidTr="0003707A">
        <w:tc>
          <w:tcPr>
            <w:tcW w:w="8793" w:type="dxa"/>
            <w:tcBorders>
              <w:top w:val="single" w:sz="6" w:space="0" w:color="78A22F"/>
              <w:left w:val="nil"/>
              <w:bottom w:val="nil"/>
              <w:right w:val="nil"/>
            </w:tcBorders>
            <w:shd w:val="clear" w:color="auto" w:fill="auto"/>
          </w:tcPr>
          <w:p w14:paraId="555D3740" w14:textId="6E4B6094" w:rsidR="00E55146" w:rsidRPr="00176D3F" w:rsidRDefault="00E55146" w:rsidP="00E55146">
            <w:pPr>
              <w:pStyle w:val="FigureTitle"/>
            </w:pPr>
            <w:r w:rsidRPr="00784A05">
              <w:rPr>
                <w:b w:val="0"/>
              </w:rPr>
              <w:t xml:space="preserve">Figure </w:t>
            </w:r>
            <w:r w:rsidR="008C6EED">
              <w:rPr>
                <w:b w:val="0"/>
              </w:rPr>
              <w:t>10.</w:t>
            </w:r>
            <w:r w:rsidR="0008386D">
              <w:rPr>
                <w:b w:val="0"/>
                <w:noProof/>
              </w:rPr>
              <w:t>12</w:t>
            </w:r>
            <w:r>
              <w:tab/>
              <w:t>Notifications of pertussis (whooping cough) per 100 000 children aged 0–14 years</w:t>
            </w:r>
            <w:r>
              <w:rPr>
                <w:rStyle w:val="NoteLabel"/>
                <w:b/>
              </w:rPr>
              <w:t>a</w:t>
            </w:r>
          </w:p>
        </w:tc>
      </w:tr>
      <w:tr w:rsidR="00A00626" w14:paraId="721AC619" w14:textId="77777777" w:rsidTr="0003707A">
        <w:tc>
          <w:tcPr>
            <w:tcW w:w="8793" w:type="dxa"/>
            <w:tcBorders>
              <w:top w:val="nil"/>
              <w:left w:val="nil"/>
              <w:bottom w:val="nil"/>
              <w:right w:val="nil"/>
            </w:tcBorders>
            <w:shd w:val="clear" w:color="auto" w:fill="auto"/>
          </w:tcPr>
          <w:tbl>
            <w:tblPr>
              <w:tblW w:w="5000" w:type="pct"/>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742"/>
              <w:gridCol w:w="7767"/>
            </w:tblGrid>
            <w:tr w:rsidR="009E0FF5" w:rsidRPr="0021152C" w14:paraId="2D8E6381" w14:textId="77777777" w:rsidTr="007511EB">
              <w:trPr>
                <w:trHeight w:hRule="exact" w:val="383"/>
              </w:trPr>
              <w:tc>
                <w:tcPr>
                  <w:tcW w:w="411" w:type="pct"/>
                  <w:tcBorders>
                    <w:top w:val="nil"/>
                    <w:left w:val="nil"/>
                    <w:bottom w:val="nil"/>
                    <w:right w:val="nil"/>
                  </w:tcBorders>
                  <w:shd w:val="clear" w:color="auto" w:fill="F15A25"/>
                </w:tcPr>
                <w:p w14:paraId="40C64532" w14:textId="77777777" w:rsidR="009E0FF5" w:rsidRPr="000D77DB" w:rsidRDefault="009E0FF5" w:rsidP="009E0FF5">
                  <w:pPr>
                    <w:pStyle w:val="Note"/>
                  </w:pPr>
                </w:p>
              </w:tc>
              <w:tc>
                <w:tcPr>
                  <w:tcW w:w="4302" w:type="pct"/>
                  <w:tcBorders>
                    <w:top w:val="nil"/>
                    <w:left w:val="nil"/>
                    <w:bottom w:val="nil"/>
                    <w:right w:val="nil"/>
                  </w:tcBorders>
                  <w:shd w:val="clear" w:color="auto" w:fill="auto"/>
                </w:tcPr>
                <w:p w14:paraId="11596543" w14:textId="77777777" w:rsidR="009E0FF5" w:rsidRPr="00C62DEE" w:rsidRDefault="009E0FF5" w:rsidP="00C62DEE">
                  <w:pPr>
                    <w:pStyle w:val="TableBodyText"/>
                    <w:jc w:val="left"/>
                  </w:pPr>
                  <w:r w:rsidRPr="00C62DEE">
                    <w:t>Comparable (subject to caveats) across jurisdictions and over time.</w:t>
                  </w:r>
                </w:p>
              </w:tc>
            </w:tr>
            <w:tr w:rsidR="009E0FF5" w:rsidRPr="0021152C" w14:paraId="30C85F11" w14:textId="77777777" w:rsidTr="007511EB">
              <w:trPr>
                <w:trHeight w:hRule="exact" w:val="397"/>
              </w:trPr>
              <w:tc>
                <w:tcPr>
                  <w:tcW w:w="411" w:type="pct"/>
                  <w:tcBorders>
                    <w:top w:val="nil"/>
                    <w:left w:val="nil"/>
                    <w:bottom w:val="nil"/>
                    <w:right w:val="nil"/>
                  </w:tcBorders>
                  <w:shd w:val="clear" w:color="auto" w:fill="F15A25"/>
                </w:tcPr>
                <w:p w14:paraId="4A8C0D20" w14:textId="77777777" w:rsidR="009E0FF5" w:rsidRPr="000D77DB" w:rsidRDefault="009E0FF5" w:rsidP="009E0FF5">
                  <w:pPr>
                    <w:pStyle w:val="Note"/>
                    <w:rPr>
                      <w:rFonts w:cs="Arial"/>
                      <w:szCs w:val="18"/>
                    </w:rPr>
                  </w:pPr>
                </w:p>
              </w:tc>
              <w:tc>
                <w:tcPr>
                  <w:tcW w:w="4302" w:type="pct"/>
                  <w:tcBorders>
                    <w:top w:val="nil"/>
                    <w:left w:val="nil"/>
                    <w:bottom w:val="nil"/>
                    <w:right w:val="nil"/>
                  </w:tcBorders>
                  <w:shd w:val="clear" w:color="auto" w:fill="auto"/>
                </w:tcPr>
                <w:p w14:paraId="79E0667A" w14:textId="77777777" w:rsidR="009E0FF5" w:rsidRPr="00C62DEE" w:rsidRDefault="009E0FF5" w:rsidP="00C62DEE">
                  <w:pPr>
                    <w:pStyle w:val="TableBodyText"/>
                    <w:jc w:val="left"/>
                  </w:pPr>
                  <w:r w:rsidRPr="00C62DEE">
                    <w:t xml:space="preserve">Complete (subject to caveats) for the current reporting period. </w:t>
                  </w:r>
                </w:p>
              </w:tc>
            </w:tr>
          </w:tbl>
          <w:p w14:paraId="61040403" w14:textId="77777777" w:rsidR="00A00626" w:rsidRPr="00784A05" w:rsidRDefault="00A00626" w:rsidP="00E55146">
            <w:pPr>
              <w:pStyle w:val="FigureTitle"/>
              <w:rPr>
                <w:b w:val="0"/>
              </w:rPr>
            </w:pPr>
          </w:p>
        </w:tc>
      </w:tr>
      <w:tr w:rsidR="00E55146" w14:paraId="3791085B" w14:textId="77777777" w:rsidTr="00EB268D">
        <w:tc>
          <w:tcPr>
            <w:tcW w:w="8793"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tblCellMar>
              <w:tblLook w:val="0000" w:firstRow="0" w:lastRow="0" w:firstColumn="0" w:lastColumn="0" w:noHBand="0" w:noVBand="0"/>
            </w:tblPr>
            <w:tblGrid>
              <w:gridCol w:w="8504"/>
            </w:tblGrid>
            <w:tr w:rsidR="00E55146" w14:paraId="73327405" w14:textId="77777777" w:rsidTr="00704DD3">
              <w:trPr>
                <w:jc w:val="center"/>
              </w:trPr>
              <w:tc>
                <w:tcPr>
                  <w:tcW w:w="8504" w:type="dxa"/>
                  <w:tcBorders>
                    <w:top w:val="nil"/>
                    <w:bottom w:val="nil"/>
                  </w:tcBorders>
                </w:tcPr>
                <w:p w14:paraId="28D0F422" w14:textId="5F744599" w:rsidR="00E55146" w:rsidRDefault="00704DD3" w:rsidP="0038602A">
                  <w:pPr>
                    <w:pStyle w:val="Figure"/>
                    <w:spacing w:before="60" w:after="60"/>
                  </w:pPr>
                  <w:r>
                    <w:rPr>
                      <w:noProof/>
                    </w:rPr>
                    <w:drawing>
                      <wp:inline distT="0" distB="0" distL="0" distR="0" wp14:anchorId="0A9EF592" wp14:editId="39BF8E5E">
                        <wp:extent cx="5193029" cy="2681288"/>
                        <wp:effectExtent l="0" t="0" r="8255" b="5080"/>
                        <wp:docPr id="35" name="Chart 35" descr="Figure 10.12 Notifications of pertussis (whooping cough) per 100 000 children aged 0–14 years&#10;&#10;More details can be found within the text surrounding this im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bl>
          <w:p w14:paraId="7199E271" w14:textId="77777777" w:rsidR="00E55146" w:rsidRDefault="00E55146" w:rsidP="0038602A">
            <w:pPr>
              <w:pStyle w:val="Figure"/>
            </w:pPr>
          </w:p>
        </w:tc>
      </w:tr>
      <w:tr w:rsidR="00E55146" w:rsidRPr="00176D3F" w14:paraId="0BBEB718" w14:textId="77777777" w:rsidTr="00EB268D">
        <w:tc>
          <w:tcPr>
            <w:tcW w:w="8793" w:type="dxa"/>
            <w:tcBorders>
              <w:top w:val="nil"/>
              <w:left w:val="nil"/>
              <w:bottom w:val="nil"/>
              <w:right w:val="nil"/>
            </w:tcBorders>
            <w:shd w:val="clear" w:color="auto" w:fill="auto"/>
          </w:tcPr>
          <w:p w14:paraId="51FA55E9" w14:textId="176D6E41" w:rsidR="00E55146" w:rsidRPr="00176D3F" w:rsidRDefault="00E55146" w:rsidP="00A15649">
            <w:pPr>
              <w:pStyle w:val="Note"/>
            </w:pPr>
            <w:r>
              <w:rPr>
                <w:rStyle w:val="NoteLabel"/>
              </w:rPr>
              <w:t>a</w:t>
            </w:r>
            <w:r>
              <w:t xml:space="preserve"> See </w:t>
            </w:r>
            <w:r w:rsidRPr="00F4390A">
              <w:t>box 10.</w:t>
            </w:r>
            <w:r w:rsidR="00F4390A">
              <w:t>1</w:t>
            </w:r>
            <w:r w:rsidR="00A15649">
              <w:t>6</w:t>
            </w:r>
            <w:r>
              <w:t xml:space="preserve"> and </w:t>
            </w:r>
            <w:r w:rsidRPr="00CD3E7E">
              <w:t>table 10A.</w:t>
            </w:r>
            <w:r w:rsidR="00F47088">
              <w:t>5</w:t>
            </w:r>
            <w:r w:rsidR="0017257E">
              <w:t>7</w:t>
            </w:r>
            <w:r>
              <w:t xml:space="preserve"> for detailed definitions, footnotes and caveats.</w:t>
            </w:r>
          </w:p>
        </w:tc>
      </w:tr>
      <w:tr w:rsidR="00E55146" w:rsidRPr="00176D3F" w14:paraId="6CD83B89" w14:textId="77777777" w:rsidTr="00EB268D">
        <w:tc>
          <w:tcPr>
            <w:tcW w:w="8793" w:type="dxa"/>
            <w:tcBorders>
              <w:top w:val="nil"/>
              <w:left w:val="nil"/>
              <w:bottom w:val="nil"/>
              <w:right w:val="nil"/>
            </w:tcBorders>
            <w:shd w:val="clear" w:color="auto" w:fill="auto"/>
          </w:tcPr>
          <w:p w14:paraId="2E82D954" w14:textId="47FE6C3A" w:rsidR="00E55146" w:rsidRPr="00176D3F" w:rsidRDefault="00E55146" w:rsidP="00BD61EF">
            <w:pPr>
              <w:pStyle w:val="Source"/>
            </w:pPr>
            <w:r w:rsidRPr="00480CFE">
              <w:rPr>
                <w:i/>
              </w:rPr>
              <w:t>Source</w:t>
            </w:r>
            <w:r w:rsidRPr="00480CFE">
              <w:t xml:space="preserve">: </w:t>
            </w:r>
            <w:r>
              <w:t>Department of Health</w:t>
            </w:r>
            <w:r w:rsidRPr="00480CFE">
              <w:t xml:space="preserve"> (unpublished)</w:t>
            </w:r>
            <w:r>
              <w:t xml:space="preserve"> </w:t>
            </w:r>
            <w:r w:rsidRPr="00E969C8">
              <w:t>NNDSS</w:t>
            </w:r>
            <w:r>
              <w:t xml:space="preserve">, </w:t>
            </w:r>
            <w:r w:rsidRPr="00A73D31">
              <w:t>ABS</w:t>
            </w:r>
            <w:r>
              <w:t xml:space="preserve"> </w:t>
            </w:r>
            <w:r w:rsidRPr="00A73D31">
              <w:t xml:space="preserve">(various years) </w:t>
            </w:r>
            <w:r w:rsidRPr="00F04D5C">
              <w:t>Population by Age and Sex, Australian States and Territories,</w:t>
            </w:r>
            <w:r w:rsidRPr="00A73D31">
              <w:t xml:space="preserve"> Cat. </w:t>
            </w:r>
            <w:r>
              <w:t>n</w:t>
            </w:r>
            <w:r w:rsidRPr="00A73D31">
              <w:t>o. 3201.0</w:t>
            </w:r>
            <w:r w:rsidRPr="00480CFE">
              <w:t>;</w:t>
            </w:r>
            <w:r>
              <w:t xml:space="preserve"> </w:t>
            </w:r>
            <w:r w:rsidRPr="00CD3E7E">
              <w:t>table 10A.</w:t>
            </w:r>
            <w:r w:rsidR="00F47088">
              <w:t>5</w:t>
            </w:r>
            <w:r w:rsidR="0017257E">
              <w:t>7</w:t>
            </w:r>
            <w:r w:rsidRPr="006C74C6">
              <w:t>.</w:t>
            </w:r>
            <w:r w:rsidRPr="00176D3F">
              <w:t xml:space="preserve"> </w:t>
            </w:r>
          </w:p>
        </w:tc>
      </w:tr>
      <w:tr w:rsidR="00E55146" w14:paraId="0EB400B9" w14:textId="77777777" w:rsidTr="00EB268D">
        <w:tc>
          <w:tcPr>
            <w:tcW w:w="8793" w:type="dxa"/>
            <w:tcBorders>
              <w:top w:val="nil"/>
              <w:left w:val="nil"/>
              <w:bottom w:val="single" w:sz="6" w:space="0" w:color="78A22F"/>
              <w:right w:val="nil"/>
            </w:tcBorders>
            <w:shd w:val="clear" w:color="auto" w:fill="auto"/>
          </w:tcPr>
          <w:p w14:paraId="3E70F6AC" w14:textId="77777777" w:rsidR="00E55146" w:rsidRDefault="00E55146" w:rsidP="0038602A">
            <w:pPr>
              <w:pStyle w:val="Figurespace"/>
            </w:pPr>
          </w:p>
        </w:tc>
      </w:tr>
      <w:tr w:rsidR="00E55146" w:rsidRPr="000863A5" w14:paraId="6BA4BF8A" w14:textId="77777777" w:rsidTr="00EB268D">
        <w:tc>
          <w:tcPr>
            <w:tcW w:w="8793" w:type="dxa"/>
            <w:tcBorders>
              <w:top w:val="single" w:sz="6" w:space="0" w:color="78A22F"/>
              <w:left w:val="nil"/>
              <w:bottom w:val="nil"/>
              <w:right w:val="nil"/>
            </w:tcBorders>
          </w:tcPr>
          <w:p w14:paraId="2A8C83B0" w14:textId="3DFD4439" w:rsidR="00E55146" w:rsidRPr="00626D32" w:rsidRDefault="00E55146" w:rsidP="0038602A">
            <w:pPr>
              <w:pStyle w:val="BoxSpaceBelow"/>
            </w:pPr>
          </w:p>
        </w:tc>
      </w:tr>
    </w:tbl>
    <w:p w14:paraId="2A5511B6" w14:textId="77777777" w:rsidR="00C047A1" w:rsidRPr="00944E91" w:rsidRDefault="00C047A1" w:rsidP="00C047A1">
      <w:pPr>
        <w:pStyle w:val="Heading4"/>
      </w:pPr>
      <w:r w:rsidRPr="006C74C6">
        <w:t>Selected potentially preventable hospitalisations</w:t>
      </w:r>
    </w:p>
    <w:p w14:paraId="1C954145" w14:textId="55CBC3D7" w:rsidR="00AC57FF" w:rsidRDefault="00B90CA0" w:rsidP="004333AA">
      <w:pPr>
        <w:pStyle w:val="BodyText"/>
      </w:pPr>
      <w:r>
        <w:t>‘</w:t>
      </w:r>
      <w:r w:rsidRPr="00B90CA0">
        <w:t xml:space="preserve">Selected </w:t>
      </w:r>
      <w:r>
        <w:t>p</w:t>
      </w:r>
      <w:r w:rsidR="0012559F">
        <w:t>otentially preventable hospitalisations</w:t>
      </w:r>
      <w:r>
        <w:t>’</w:t>
      </w:r>
      <w:r w:rsidR="0012559F">
        <w:t xml:space="preserve"> </w:t>
      </w:r>
      <w:r w:rsidRPr="00B90CA0">
        <w:t xml:space="preserve">is an indicator of governments’ objective </w:t>
      </w:r>
      <w:r w:rsidR="00DA610A">
        <w:t xml:space="preserve">for primary and community health services </w:t>
      </w:r>
      <w:r w:rsidRPr="00B90CA0">
        <w:t xml:space="preserve">to </w:t>
      </w:r>
      <w:r w:rsidR="00DA610A">
        <w:t xml:space="preserve">promote health, </w:t>
      </w:r>
      <w:r w:rsidRPr="00B90CA0">
        <w:t xml:space="preserve">prevent </w:t>
      </w:r>
      <w:r w:rsidR="00DA610A">
        <w:t>i</w:t>
      </w:r>
      <w:r w:rsidR="004602A4">
        <w:t xml:space="preserve">llness and </w:t>
      </w:r>
      <w:r w:rsidR="00DA610A">
        <w:t>to support people to manage their health issues in the co</w:t>
      </w:r>
      <w:r w:rsidR="004602A4">
        <w:t xml:space="preserve">mmunity </w:t>
      </w:r>
      <w:r w:rsidR="00CF7C41">
        <w:t>(</w:t>
      </w:r>
      <w:r w:rsidR="00897589">
        <w:t>box</w:t>
      </w:r>
      <w:r w:rsidR="00076082">
        <w:t> </w:t>
      </w:r>
      <w:r w:rsidR="00897589">
        <w:t>10.</w:t>
      </w:r>
      <w:r w:rsidR="000D7FC3">
        <w:t>1</w:t>
      </w:r>
      <w:r w:rsidR="00A15649">
        <w:t>7</w:t>
      </w:r>
      <w:r w:rsidR="00CF7C41">
        <w:t>)</w:t>
      </w:r>
      <w:r>
        <w:t>.</w:t>
      </w:r>
    </w:p>
    <w:p w14:paraId="24F5B8DA" w14:textId="00D92F87" w:rsidR="00F520F2" w:rsidRDefault="00F520F2">
      <w:pPr>
        <w:pStyle w:val="BoxSpaceAbove"/>
      </w:pPr>
    </w:p>
    <w:tbl>
      <w:tblPr>
        <w:tblW w:w="0" w:type="auto"/>
        <w:tblInd w:w="142"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93"/>
      </w:tblGrid>
      <w:tr w:rsidR="00F520F2" w14:paraId="70A544C0" w14:textId="77777777" w:rsidTr="00EB268D">
        <w:tc>
          <w:tcPr>
            <w:tcW w:w="8793" w:type="dxa"/>
            <w:tcBorders>
              <w:top w:val="single" w:sz="6" w:space="0" w:color="78A22F"/>
              <w:left w:val="nil"/>
              <w:bottom w:val="nil"/>
              <w:right w:val="nil"/>
            </w:tcBorders>
            <w:shd w:val="clear" w:color="auto" w:fill="F2F2F2"/>
          </w:tcPr>
          <w:p w14:paraId="01C1534C" w14:textId="5037AFCF" w:rsidR="00F520F2" w:rsidRDefault="00F520F2" w:rsidP="004602A4">
            <w:pPr>
              <w:pStyle w:val="BoxTitle"/>
            </w:pPr>
            <w:r>
              <w:rPr>
                <w:b w:val="0"/>
              </w:rPr>
              <w:t xml:space="preserve">Box </w:t>
            </w:r>
            <w:r w:rsidR="009525ED">
              <w:rPr>
                <w:b w:val="0"/>
              </w:rPr>
              <w:t>10.</w:t>
            </w:r>
            <w:r w:rsidR="0008386D">
              <w:rPr>
                <w:b w:val="0"/>
                <w:noProof/>
              </w:rPr>
              <w:t>17</w:t>
            </w:r>
            <w:r>
              <w:tab/>
            </w:r>
            <w:r w:rsidRPr="00B90CA0">
              <w:t xml:space="preserve">Selected </w:t>
            </w:r>
            <w:r>
              <w:t>p</w:t>
            </w:r>
            <w:r w:rsidRPr="000D0082">
              <w:t>otentially preventable hospitalisation</w:t>
            </w:r>
            <w:r>
              <w:t>s</w:t>
            </w:r>
          </w:p>
        </w:tc>
      </w:tr>
      <w:tr w:rsidR="00F520F2" w14:paraId="75C06DED" w14:textId="77777777" w:rsidTr="00EB268D">
        <w:trPr>
          <w:cantSplit/>
        </w:trPr>
        <w:tc>
          <w:tcPr>
            <w:tcW w:w="8793" w:type="dxa"/>
            <w:tcBorders>
              <w:top w:val="nil"/>
              <w:left w:val="nil"/>
              <w:bottom w:val="nil"/>
              <w:right w:val="nil"/>
            </w:tcBorders>
            <w:shd w:val="clear" w:color="auto" w:fill="F2F2F2"/>
          </w:tcPr>
          <w:p w14:paraId="0F4B7829" w14:textId="140BB668" w:rsidR="00F520F2" w:rsidRPr="00704DD3" w:rsidRDefault="00F520F2" w:rsidP="00F520F2">
            <w:pPr>
              <w:pStyle w:val="Box"/>
            </w:pPr>
            <w:r w:rsidRPr="00704DD3">
              <w:t>‘Selected potentially preventable hospitalisations’ is defined as hospital admissions that may be avoided by effective management of illness and injury in the primary and community healthcare sector or, in some cases, by preventing illness and injury altogether. T</w:t>
            </w:r>
            <w:r w:rsidR="00921E86" w:rsidRPr="00704DD3">
              <w:t>wo</w:t>
            </w:r>
            <w:r w:rsidRPr="00704DD3">
              <w:t xml:space="preserve"> measures of selected potentially preventable hospitalisations are reported by jurisdiction of residence:</w:t>
            </w:r>
          </w:p>
          <w:p w14:paraId="5D4D716B" w14:textId="77777777" w:rsidR="00F520F2" w:rsidRDefault="00AF268C" w:rsidP="00F520F2">
            <w:pPr>
              <w:pStyle w:val="BoxListBullet"/>
            </w:pPr>
            <w:r w:rsidRPr="00704DD3">
              <w:t>P</w:t>
            </w:r>
            <w:r w:rsidR="00F520F2" w:rsidRPr="00704DD3">
              <w:t>otentially preventable hospitalisations for selected vaccine preventable, acute and chronic conditions</w:t>
            </w:r>
          </w:p>
          <w:p w14:paraId="45CEFAC8" w14:textId="77777777" w:rsidR="00B17709" w:rsidRDefault="00B17709" w:rsidP="008D37C1">
            <w:pPr>
              <w:pStyle w:val="BoxListBullet"/>
              <w:numPr>
                <w:ilvl w:val="0"/>
                <w:numId w:val="0"/>
              </w:numPr>
              <w:ind w:left="284"/>
            </w:pPr>
            <w:r w:rsidRPr="00704DD3">
              <w:t>Data reported for th</w:t>
            </w:r>
            <w:r>
              <w:t>is measure a</w:t>
            </w:r>
            <w:r w:rsidRPr="00704DD3">
              <w:t>re:</w:t>
            </w:r>
          </w:p>
          <w:p w14:paraId="30779849" w14:textId="6F868FE0" w:rsidR="00B17709" w:rsidRDefault="00B17709" w:rsidP="008D37C1">
            <w:pPr>
              <w:pStyle w:val="BoxListBullet2"/>
              <w:numPr>
                <w:ilvl w:val="0"/>
                <w:numId w:val="0"/>
              </w:numPr>
              <w:ind w:left="568"/>
            </w:pPr>
            <w:r w:rsidRPr="001B3B2F">
              <w:rPr>
                <w:shd w:val="clear" w:color="auto" w:fill="F15A25"/>
              </w:rPr>
              <w:t xml:space="preserve">    </w:t>
            </w:r>
            <w:r>
              <w:t xml:space="preserve"> comparable (subject to caveats) across jurisdictions and over time</w:t>
            </w:r>
          </w:p>
          <w:p w14:paraId="2E31C13D" w14:textId="50EE21E4" w:rsidR="00B17709" w:rsidRPr="00704DD3" w:rsidRDefault="00B17709" w:rsidP="008D37C1">
            <w:pPr>
              <w:pStyle w:val="BoxListBullet2"/>
              <w:numPr>
                <w:ilvl w:val="0"/>
                <w:numId w:val="0"/>
              </w:numPr>
              <w:ind w:left="568"/>
            </w:pPr>
            <w:r w:rsidRPr="001B3B2F">
              <w:rPr>
                <w:shd w:val="clear" w:color="auto" w:fill="F15A25"/>
              </w:rPr>
              <w:t xml:space="preserve">    </w:t>
            </w:r>
            <w:r>
              <w:t xml:space="preserve"> </w:t>
            </w:r>
            <w:r w:rsidRPr="00C648AD">
              <w:t>complete (subject to caveats) for the current reporting period</w:t>
            </w:r>
            <w:r>
              <w:t xml:space="preserve">. </w:t>
            </w:r>
            <w:r w:rsidRPr="00C648AD">
              <w:t>All required 201</w:t>
            </w:r>
            <w:r>
              <w:t>6</w:t>
            </w:r>
            <w:r w:rsidRPr="00C648AD">
              <w:t>-1</w:t>
            </w:r>
            <w:r>
              <w:t>7</w:t>
            </w:r>
            <w:r w:rsidRPr="00C648AD">
              <w:t xml:space="preserve"> data are available for all jurisdictions.</w:t>
            </w:r>
          </w:p>
          <w:p w14:paraId="7F04FC5F" w14:textId="7F0AD295" w:rsidR="00F520F2" w:rsidRDefault="00AF268C" w:rsidP="00F520F2">
            <w:pPr>
              <w:pStyle w:val="BoxListBullet"/>
            </w:pPr>
            <w:r w:rsidRPr="00704DD3">
              <w:t>P</w:t>
            </w:r>
            <w:r w:rsidR="00F520F2" w:rsidRPr="00704DD3">
              <w:t>otentially preventable hospitalisations for diabetes</w:t>
            </w:r>
            <w:r w:rsidR="00DA610A" w:rsidRPr="00704DD3">
              <w:t xml:space="preserve"> (Type 2 diabetes mellitus as principal diagnosis)</w:t>
            </w:r>
            <w:r w:rsidR="00461A4A" w:rsidRPr="00704DD3">
              <w:t>.</w:t>
            </w:r>
          </w:p>
          <w:p w14:paraId="137B7358" w14:textId="27069EED" w:rsidR="00B17709" w:rsidRPr="00704DD3" w:rsidRDefault="00B17709" w:rsidP="008D37C1">
            <w:pPr>
              <w:pStyle w:val="BoxListBullet"/>
              <w:numPr>
                <w:ilvl w:val="0"/>
                <w:numId w:val="0"/>
              </w:numPr>
              <w:ind w:left="284"/>
            </w:pPr>
            <w:r w:rsidRPr="00704DD3">
              <w:t>Data reported for th</w:t>
            </w:r>
            <w:r>
              <w:t>is measure</w:t>
            </w:r>
            <w:r w:rsidRPr="00704DD3">
              <w:t>:</w:t>
            </w:r>
          </w:p>
          <w:p w14:paraId="79BC9C27" w14:textId="4B08D365" w:rsidR="00802936" w:rsidRDefault="00AE0A00" w:rsidP="00802936">
            <w:pPr>
              <w:pStyle w:val="Box"/>
              <w:ind w:left="567"/>
            </w:pPr>
            <w:r w:rsidRPr="00B664EA">
              <w:rPr>
                <w:shd w:val="clear" w:color="auto" w:fill="FCDED3"/>
              </w:rPr>
              <w:t xml:space="preserve">    </w:t>
            </w:r>
            <w:r>
              <w:t xml:space="preserve"> </w:t>
            </w:r>
            <w:r w:rsidR="00A54F80" w:rsidRPr="00A54F80">
              <w:t>may not be comparable within jurisdictions over time and may not be comparable across jurisdictions</w:t>
            </w:r>
            <w:r w:rsidR="00A54F80">
              <w:t xml:space="preserve"> (see caveats in attachment tables)</w:t>
            </w:r>
            <w:r w:rsidR="00A54F80" w:rsidRPr="00A54F80">
              <w:t>.</w:t>
            </w:r>
          </w:p>
          <w:p w14:paraId="3B3B160A" w14:textId="45417829" w:rsidR="00943225" w:rsidRDefault="00943225" w:rsidP="00943225">
            <w:pPr>
              <w:pStyle w:val="BoxListBullet2"/>
              <w:numPr>
                <w:ilvl w:val="0"/>
                <w:numId w:val="0"/>
              </w:numPr>
              <w:tabs>
                <w:tab w:val="left" w:pos="720"/>
              </w:tabs>
              <w:ind w:left="568"/>
              <w:rPr>
                <w:sz w:val="22"/>
                <w:szCs w:val="22"/>
              </w:rPr>
            </w:pPr>
            <w:r w:rsidRPr="00B664EA">
              <w:rPr>
                <w:shd w:val="clear" w:color="auto" w:fill="FCDED3"/>
              </w:rPr>
              <w:t xml:space="preserve">    </w:t>
            </w:r>
            <w:r>
              <w:t xml:space="preserve"> </w:t>
            </w:r>
            <w:r w:rsidR="00585BB6">
              <w:t xml:space="preserve">are </w:t>
            </w:r>
            <w:r>
              <w:t>incomplete for the current reporting period. Data are not published for Tasmania, the ACT and the NT. All other required 2016-17 data are available for all other jurisdictions.</w:t>
            </w:r>
          </w:p>
          <w:p w14:paraId="0005B369" w14:textId="084169D0" w:rsidR="009C08F2" w:rsidRPr="00704DD3" w:rsidRDefault="00F520F2" w:rsidP="008D37C1">
            <w:pPr>
              <w:pStyle w:val="Box"/>
            </w:pPr>
            <w:r w:rsidRPr="00704DD3">
              <w:t>Low or decreasing separation rates for selected potentially preventable hospitalisations can indicate more effective management of selected conditions in the primary and community healthcare sector and/or more effective preventative programs. Factors outside the control of the primary and community healthcare sector also influence hospitalisation rates for these conditions. For example, the underlying prevalence of conditions, patient compliance with management and older people’s access to aged care services and other support.</w:t>
            </w:r>
          </w:p>
        </w:tc>
      </w:tr>
      <w:tr w:rsidR="00F520F2" w14:paraId="053E2556" w14:textId="77777777" w:rsidTr="00EB268D">
        <w:trPr>
          <w:cantSplit/>
        </w:trPr>
        <w:tc>
          <w:tcPr>
            <w:tcW w:w="8793" w:type="dxa"/>
            <w:tcBorders>
              <w:top w:val="nil"/>
              <w:left w:val="nil"/>
              <w:bottom w:val="single" w:sz="6" w:space="0" w:color="78A22F"/>
              <w:right w:val="nil"/>
            </w:tcBorders>
            <w:shd w:val="clear" w:color="auto" w:fill="F2F2F2"/>
          </w:tcPr>
          <w:p w14:paraId="7246126F" w14:textId="77777777" w:rsidR="00F520F2" w:rsidRDefault="00F520F2">
            <w:pPr>
              <w:pStyle w:val="Box"/>
              <w:spacing w:before="0" w:line="120" w:lineRule="exact"/>
            </w:pPr>
          </w:p>
        </w:tc>
      </w:tr>
      <w:tr w:rsidR="00F520F2" w:rsidRPr="000863A5" w14:paraId="5BD9583C" w14:textId="77777777" w:rsidTr="00EB268D">
        <w:tc>
          <w:tcPr>
            <w:tcW w:w="8793" w:type="dxa"/>
            <w:tcBorders>
              <w:top w:val="single" w:sz="6" w:space="0" w:color="78A22F"/>
              <w:left w:val="nil"/>
              <w:bottom w:val="nil"/>
              <w:right w:val="nil"/>
            </w:tcBorders>
          </w:tcPr>
          <w:p w14:paraId="3C2B1535" w14:textId="27010617" w:rsidR="00F520F2" w:rsidRPr="00626D32" w:rsidRDefault="00F520F2" w:rsidP="00F520F2">
            <w:pPr>
              <w:pStyle w:val="BoxSpaceBelow"/>
            </w:pPr>
          </w:p>
        </w:tc>
      </w:tr>
    </w:tbl>
    <w:p w14:paraId="35D5C1DC" w14:textId="6B6F6173" w:rsidR="00112C96" w:rsidRDefault="00DF3F57" w:rsidP="00B349CB">
      <w:pPr>
        <w:pStyle w:val="BodyText"/>
        <w:rPr>
          <w:color w:val="FF0000"/>
        </w:rPr>
      </w:pPr>
      <w:bookmarkStart w:id="17" w:name="BoxTitle"/>
      <w:bookmarkEnd w:id="17"/>
      <w:r w:rsidRPr="005E67F8">
        <w:t>Nationally, the age</w:t>
      </w:r>
      <w:r w:rsidR="0053761F" w:rsidRPr="005E67F8">
        <w:noBreakHyphen/>
      </w:r>
      <w:r w:rsidRPr="005E67F8">
        <w:t>standardised hospital separation rate for selected vaccine preventable, a</w:t>
      </w:r>
      <w:r w:rsidR="00D07052">
        <w:t xml:space="preserve">cute and chronic conditions was </w:t>
      </w:r>
      <w:r w:rsidR="00784DE8">
        <w:t>27.3</w:t>
      </w:r>
      <w:r w:rsidRPr="005E67F8">
        <w:t xml:space="preserve"> per 1000 people in </w:t>
      </w:r>
      <w:r w:rsidR="00280888">
        <w:t>201</w:t>
      </w:r>
      <w:r w:rsidR="0053633A">
        <w:t>6</w:t>
      </w:r>
      <w:r w:rsidR="008D3534">
        <w:noBreakHyphen/>
      </w:r>
      <w:r w:rsidR="0053633A">
        <w:t>17</w:t>
      </w:r>
      <w:r w:rsidRPr="005E67F8">
        <w:t xml:space="preserve"> (</w:t>
      </w:r>
      <w:r w:rsidR="00F81441" w:rsidRPr="005E67F8">
        <w:t>table </w:t>
      </w:r>
      <w:r w:rsidR="00897589" w:rsidRPr="005E67F8">
        <w:t>10.</w:t>
      </w:r>
      <w:r w:rsidR="009A4810">
        <w:t>1</w:t>
      </w:r>
      <w:r w:rsidRPr="005E67F8">
        <w:t>).</w:t>
      </w:r>
    </w:p>
    <w:p w14:paraId="44BF5C79" w14:textId="77777777" w:rsidR="00112C96" w:rsidRDefault="00112C96">
      <w:pPr>
        <w:rPr>
          <w:color w:val="FF0000"/>
          <w:szCs w:val="20"/>
        </w:rPr>
      </w:pPr>
      <w:r>
        <w:rPr>
          <w:color w:val="FF0000"/>
        </w:rPr>
        <w:br w:type="page"/>
      </w:r>
    </w:p>
    <w:p w14:paraId="765605AC" w14:textId="6D537519" w:rsidR="00112C96" w:rsidRDefault="00112C96" w:rsidP="00112C96">
      <w:pPr>
        <w:pStyle w:val="BoxSpaceAbove"/>
      </w:pPr>
    </w:p>
    <w:tbl>
      <w:tblPr>
        <w:tblpPr w:leftFromText="180" w:rightFromText="180" w:vertAnchor="text" w:horzAnchor="margin" w:tblpXSpec="center" w:tblpY="12"/>
        <w:tblW w:w="4843"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88"/>
      </w:tblGrid>
      <w:tr w:rsidR="00A61E2E" w14:paraId="18C20836" w14:textId="77777777" w:rsidTr="00B349CB">
        <w:trPr>
          <w:tblHeader/>
        </w:trPr>
        <w:tc>
          <w:tcPr>
            <w:tcW w:w="5000" w:type="pct"/>
            <w:tcBorders>
              <w:top w:val="single" w:sz="6" w:space="0" w:color="78A22F"/>
              <w:left w:val="nil"/>
              <w:bottom w:val="nil"/>
              <w:right w:val="nil"/>
            </w:tcBorders>
            <w:shd w:val="clear" w:color="auto" w:fill="auto"/>
          </w:tcPr>
          <w:p w14:paraId="60AE460B" w14:textId="325C0328" w:rsidR="00A61E2E" w:rsidRPr="00784A05" w:rsidRDefault="00A61E2E" w:rsidP="00F822E9">
            <w:pPr>
              <w:pStyle w:val="TableTitle"/>
              <w:widowControl w:val="0"/>
            </w:pPr>
            <w:r>
              <w:rPr>
                <w:b w:val="0"/>
              </w:rPr>
              <w:t xml:space="preserve">Table </w:t>
            </w:r>
            <w:r w:rsidR="009525ED">
              <w:rPr>
                <w:b w:val="0"/>
              </w:rPr>
              <w:t>10.</w:t>
            </w:r>
            <w:r w:rsidR="0008386D">
              <w:rPr>
                <w:b w:val="0"/>
                <w:noProof/>
              </w:rPr>
              <w:t>1</w:t>
            </w:r>
            <w:r>
              <w:tab/>
            </w:r>
            <w:r w:rsidRPr="004602A4">
              <w:t>Separations for selected potentially preventable hospitalisations per 1000 people (</w:t>
            </w:r>
            <w:r w:rsidR="00BD77B0">
              <w:t>age standardised</w:t>
            </w:r>
            <w:r w:rsidRPr="004602A4">
              <w:t>)</w:t>
            </w:r>
            <w:r w:rsidR="00BD77B0">
              <w:t>, 2016</w:t>
            </w:r>
            <w:r w:rsidR="00BD77B0">
              <w:noBreakHyphen/>
              <w:t>17</w:t>
            </w:r>
            <w:r w:rsidRPr="004602A4">
              <w:rPr>
                <w:rStyle w:val="NoteLabel"/>
                <w:b/>
              </w:rPr>
              <w:t>a</w:t>
            </w:r>
          </w:p>
        </w:tc>
      </w:tr>
      <w:tr w:rsidR="00A00626" w14:paraId="072B6E1D" w14:textId="77777777" w:rsidTr="00B349CB">
        <w:trPr>
          <w:tblHeader/>
        </w:trPr>
        <w:tc>
          <w:tcPr>
            <w:tcW w:w="5000" w:type="pct"/>
            <w:tcBorders>
              <w:top w:val="nil"/>
              <w:left w:val="nil"/>
              <w:bottom w:val="nil"/>
              <w:right w:val="nil"/>
            </w:tcBorders>
            <w:shd w:val="clear" w:color="auto" w:fill="auto"/>
          </w:tcPr>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742"/>
              <w:gridCol w:w="7762"/>
            </w:tblGrid>
            <w:tr w:rsidR="00484120" w:rsidRPr="0021152C" w14:paraId="5F2B9A3F" w14:textId="77777777" w:rsidTr="00426E46">
              <w:trPr>
                <w:trHeight w:hRule="exact" w:val="222"/>
              </w:trPr>
              <w:tc>
                <w:tcPr>
                  <w:tcW w:w="411" w:type="pct"/>
                  <w:tcBorders>
                    <w:top w:val="nil"/>
                    <w:left w:val="nil"/>
                    <w:bottom w:val="nil"/>
                    <w:right w:val="nil"/>
                  </w:tcBorders>
                  <w:shd w:val="clear" w:color="auto" w:fill="F15A25"/>
                </w:tcPr>
                <w:p w14:paraId="04C927A4" w14:textId="77777777" w:rsidR="00484120" w:rsidRPr="000D77DB" w:rsidRDefault="00484120" w:rsidP="00112C96">
                  <w:pPr>
                    <w:pStyle w:val="Note"/>
                    <w:keepNext/>
                    <w:framePr w:hSpace="180" w:wrap="around" w:vAnchor="text" w:hAnchor="margin" w:xAlign="center" w:y="12"/>
                    <w:widowControl w:val="0"/>
                  </w:pPr>
                </w:p>
              </w:tc>
              <w:tc>
                <w:tcPr>
                  <w:tcW w:w="4302" w:type="pct"/>
                  <w:tcBorders>
                    <w:top w:val="nil"/>
                    <w:left w:val="nil"/>
                    <w:bottom w:val="nil"/>
                    <w:right w:val="nil"/>
                  </w:tcBorders>
                  <w:shd w:val="clear" w:color="auto" w:fill="auto"/>
                </w:tcPr>
                <w:p w14:paraId="3402816A" w14:textId="0FCEAB8F" w:rsidR="00484120" w:rsidRPr="00C62DEE" w:rsidRDefault="00484120" w:rsidP="00C62DEE">
                  <w:pPr>
                    <w:pStyle w:val="TableBodyText"/>
                    <w:jc w:val="left"/>
                  </w:pPr>
                  <w:r w:rsidRPr="00C62DEE">
                    <w:t>Comparable (subject to caveats) ac</w:t>
                  </w:r>
                  <w:r w:rsidR="001F73C1" w:rsidRPr="00C62DEE">
                    <w:t>ross jurisdictions</w:t>
                  </w:r>
                  <w:r w:rsidRPr="00C62DEE">
                    <w:t>.</w:t>
                  </w:r>
                </w:p>
              </w:tc>
            </w:tr>
            <w:tr w:rsidR="00484120" w:rsidRPr="0021152C" w14:paraId="79C384C5" w14:textId="77777777" w:rsidTr="00426E46">
              <w:trPr>
                <w:trHeight w:hRule="exact" w:val="282"/>
              </w:trPr>
              <w:tc>
                <w:tcPr>
                  <w:tcW w:w="411" w:type="pct"/>
                  <w:tcBorders>
                    <w:top w:val="nil"/>
                    <w:left w:val="nil"/>
                    <w:bottom w:val="nil"/>
                    <w:right w:val="nil"/>
                  </w:tcBorders>
                  <w:shd w:val="clear" w:color="auto" w:fill="F15A25"/>
                </w:tcPr>
                <w:p w14:paraId="26C93B74" w14:textId="77777777" w:rsidR="00484120" w:rsidRPr="000D77DB" w:rsidRDefault="00484120" w:rsidP="00112C96">
                  <w:pPr>
                    <w:pStyle w:val="Note"/>
                    <w:keepNext/>
                    <w:framePr w:hSpace="180" w:wrap="around" w:vAnchor="text" w:hAnchor="margin" w:xAlign="center" w:y="12"/>
                    <w:widowControl w:val="0"/>
                    <w:rPr>
                      <w:rFonts w:cs="Arial"/>
                      <w:szCs w:val="18"/>
                    </w:rPr>
                  </w:pPr>
                </w:p>
              </w:tc>
              <w:tc>
                <w:tcPr>
                  <w:tcW w:w="4302" w:type="pct"/>
                  <w:tcBorders>
                    <w:top w:val="nil"/>
                    <w:left w:val="nil"/>
                    <w:bottom w:val="nil"/>
                    <w:right w:val="nil"/>
                  </w:tcBorders>
                  <w:shd w:val="clear" w:color="auto" w:fill="auto"/>
                </w:tcPr>
                <w:p w14:paraId="10FA9F72" w14:textId="77777777" w:rsidR="00484120" w:rsidRPr="00C62DEE" w:rsidRDefault="00484120" w:rsidP="00C62DEE">
                  <w:pPr>
                    <w:pStyle w:val="TableBodyText"/>
                    <w:jc w:val="left"/>
                  </w:pPr>
                  <w:r w:rsidRPr="00C62DEE">
                    <w:t xml:space="preserve">Complete (subject to caveats) for the current reporting period. </w:t>
                  </w:r>
                </w:p>
              </w:tc>
            </w:tr>
          </w:tbl>
          <w:p w14:paraId="7DD24845" w14:textId="77777777" w:rsidR="00A00626" w:rsidRDefault="00A00626" w:rsidP="00112C96">
            <w:pPr>
              <w:pStyle w:val="TableTitle"/>
              <w:widowControl w:val="0"/>
              <w:rPr>
                <w:b w:val="0"/>
              </w:rPr>
            </w:pPr>
          </w:p>
        </w:tc>
      </w:tr>
      <w:tr w:rsidR="00A61E2E" w14:paraId="67AFE56D" w14:textId="77777777" w:rsidTr="00B349CB">
        <w:tc>
          <w:tcPr>
            <w:tcW w:w="5000" w:type="pct"/>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693"/>
              <w:gridCol w:w="647"/>
              <w:gridCol w:w="647"/>
              <w:gridCol w:w="646"/>
              <w:gridCol w:w="646"/>
              <w:gridCol w:w="646"/>
              <w:gridCol w:w="646"/>
              <w:gridCol w:w="646"/>
              <w:gridCol w:w="646"/>
              <w:gridCol w:w="641"/>
            </w:tblGrid>
            <w:tr w:rsidR="00A61E2E" w14:paraId="2B209565" w14:textId="77777777" w:rsidTr="0025258B">
              <w:trPr>
                <w:tblHeader/>
              </w:trPr>
              <w:tc>
                <w:tcPr>
                  <w:tcW w:w="1583" w:type="pct"/>
                  <w:tcBorders>
                    <w:top w:val="single" w:sz="6" w:space="0" w:color="BFBFBF"/>
                    <w:bottom w:val="single" w:sz="6" w:space="0" w:color="BFBFBF"/>
                  </w:tcBorders>
                  <w:shd w:val="clear" w:color="auto" w:fill="auto"/>
                  <w:tcMar>
                    <w:top w:w="28" w:type="dxa"/>
                  </w:tcMar>
                </w:tcPr>
                <w:p w14:paraId="66C1CEE4" w14:textId="77777777" w:rsidR="00A61E2E" w:rsidRDefault="00A61E2E" w:rsidP="00112C96">
                  <w:pPr>
                    <w:pStyle w:val="TableColumnHeading"/>
                    <w:framePr w:hSpace="180" w:wrap="around" w:vAnchor="text" w:hAnchor="margin" w:xAlign="center" w:y="12"/>
                    <w:widowControl w:val="0"/>
                    <w:jc w:val="left"/>
                  </w:pPr>
                </w:p>
              </w:tc>
              <w:tc>
                <w:tcPr>
                  <w:tcW w:w="380" w:type="pct"/>
                  <w:tcBorders>
                    <w:top w:val="single" w:sz="6" w:space="0" w:color="BFBFBF"/>
                    <w:bottom w:val="single" w:sz="6" w:space="0" w:color="BFBFBF"/>
                  </w:tcBorders>
                </w:tcPr>
                <w:p w14:paraId="342AE169" w14:textId="77777777" w:rsidR="00A61E2E" w:rsidRDefault="00A61E2E" w:rsidP="00112C96">
                  <w:pPr>
                    <w:pStyle w:val="TableColumnHeading"/>
                    <w:framePr w:hSpace="180" w:wrap="around" w:vAnchor="text" w:hAnchor="margin" w:xAlign="center" w:y="12"/>
                    <w:widowControl w:val="0"/>
                    <w:ind w:right="28"/>
                  </w:pPr>
                  <w:r>
                    <w:t>NSW</w:t>
                  </w:r>
                </w:p>
              </w:tc>
              <w:tc>
                <w:tcPr>
                  <w:tcW w:w="380" w:type="pct"/>
                  <w:tcBorders>
                    <w:top w:val="single" w:sz="6" w:space="0" w:color="BFBFBF"/>
                    <w:bottom w:val="single" w:sz="6" w:space="0" w:color="BFBFBF"/>
                  </w:tcBorders>
                </w:tcPr>
                <w:p w14:paraId="6C165827" w14:textId="77777777" w:rsidR="00A61E2E" w:rsidRDefault="00A61E2E" w:rsidP="00112C96">
                  <w:pPr>
                    <w:pStyle w:val="TableColumnHeading"/>
                    <w:framePr w:hSpace="180" w:wrap="around" w:vAnchor="text" w:hAnchor="margin" w:xAlign="center" w:y="12"/>
                    <w:widowControl w:val="0"/>
                    <w:ind w:right="28"/>
                  </w:pPr>
                  <w:r>
                    <w:t>Vic</w:t>
                  </w:r>
                </w:p>
              </w:tc>
              <w:tc>
                <w:tcPr>
                  <w:tcW w:w="380" w:type="pct"/>
                  <w:tcBorders>
                    <w:top w:val="single" w:sz="6" w:space="0" w:color="BFBFBF"/>
                    <w:bottom w:val="single" w:sz="6" w:space="0" w:color="BFBFBF"/>
                  </w:tcBorders>
                </w:tcPr>
                <w:p w14:paraId="3040B64C" w14:textId="77777777" w:rsidR="00A61E2E" w:rsidRDefault="00A61E2E" w:rsidP="00112C96">
                  <w:pPr>
                    <w:pStyle w:val="TableColumnHeading"/>
                    <w:framePr w:hSpace="180" w:wrap="around" w:vAnchor="text" w:hAnchor="margin" w:xAlign="center" w:y="12"/>
                    <w:widowControl w:val="0"/>
                    <w:ind w:right="28"/>
                  </w:pPr>
                  <w:r>
                    <w:t>Qld</w:t>
                  </w:r>
                </w:p>
              </w:tc>
              <w:tc>
                <w:tcPr>
                  <w:tcW w:w="380" w:type="pct"/>
                  <w:tcBorders>
                    <w:top w:val="single" w:sz="6" w:space="0" w:color="BFBFBF"/>
                    <w:bottom w:val="single" w:sz="6" w:space="0" w:color="BFBFBF"/>
                  </w:tcBorders>
                </w:tcPr>
                <w:p w14:paraId="3D9E4B44" w14:textId="77777777" w:rsidR="00A61E2E" w:rsidRDefault="00A61E2E" w:rsidP="00112C96">
                  <w:pPr>
                    <w:pStyle w:val="TableColumnHeading"/>
                    <w:framePr w:hSpace="180" w:wrap="around" w:vAnchor="text" w:hAnchor="margin" w:xAlign="center" w:y="12"/>
                    <w:widowControl w:val="0"/>
                    <w:ind w:right="28"/>
                  </w:pPr>
                  <w:r>
                    <w:t>WA</w:t>
                  </w:r>
                </w:p>
              </w:tc>
              <w:tc>
                <w:tcPr>
                  <w:tcW w:w="380" w:type="pct"/>
                  <w:tcBorders>
                    <w:top w:val="single" w:sz="6" w:space="0" w:color="BFBFBF"/>
                    <w:bottom w:val="single" w:sz="6" w:space="0" w:color="BFBFBF"/>
                  </w:tcBorders>
                </w:tcPr>
                <w:p w14:paraId="7CBA3861" w14:textId="77777777" w:rsidR="00A61E2E" w:rsidRDefault="00A61E2E" w:rsidP="00112C96">
                  <w:pPr>
                    <w:pStyle w:val="TableColumnHeading"/>
                    <w:framePr w:hSpace="180" w:wrap="around" w:vAnchor="text" w:hAnchor="margin" w:xAlign="center" w:y="12"/>
                    <w:widowControl w:val="0"/>
                    <w:ind w:right="28"/>
                  </w:pPr>
                  <w:r>
                    <w:t>SA</w:t>
                  </w:r>
                </w:p>
              </w:tc>
              <w:tc>
                <w:tcPr>
                  <w:tcW w:w="380" w:type="pct"/>
                  <w:tcBorders>
                    <w:top w:val="single" w:sz="6" w:space="0" w:color="BFBFBF"/>
                    <w:bottom w:val="single" w:sz="6" w:space="0" w:color="BFBFBF"/>
                  </w:tcBorders>
                </w:tcPr>
                <w:p w14:paraId="0F11E8C9" w14:textId="77777777" w:rsidR="00A61E2E" w:rsidRDefault="00A61E2E" w:rsidP="00112C96">
                  <w:pPr>
                    <w:pStyle w:val="TableColumnHeading"/>
                    <w:framePr w:hSpace="180" w:wrap="around" w:vAnchor="text" w:hAnchor="margin" w:xAlign="center" w:y="12"/>
                    <w:widowControl w:val="0"/>
                    <w:ind w:right="28"/>
                  </w:pPr>
                  <w:r>
                    <w:t>Tas</w:t>
                  </w:r>
                </w:p>
              </w:tc>
              <w:tc>
                <w:tcPr>
                  <w:tcW w:w="380" w:type="pct"/>
                  <w:tcBorders>
                    <w:top w:val="single" w:sz="6" w:space="0" w:color="BFBFBF"/>
                    <w:bottom w:val="single" w:sz="6" w:space="0" w:color="BFBFBF"/>
                  </w:tcBorders>
                </w:tcPr>
                <w:p w14:paraId="3D1C3120" w14:textId="77777777" w:rsidR="00A61E2E" w:rsidRDefault="00A61E2E" w:rsidP="00112C96">
                  <w:pPr>
                    <w:pStyle w:val="TableColumnHeading"/>
                    <w:framePr w:hSpace="180" w:wrap="around" w:vAnchor="text" w:hAnchor="margin" w:xAlign="center" w:y="12"/>
                    <w:widowControl w:val="0"/>
                    <w:ind w:right="28"/>
                  </w:pPr>
                  <w:r>
                    <w:t>ACT</w:t>
                  </w:r>
                </w:p>
              </w:tc>
              <w:tc>
                <w:tcPr>
                  <w:tcW w:w="380" w:type="pct"/>
                  <w:tcBorders>
                    <w:top w:val="single" w:sz="6" w:space="0" w:color="BFBFBF"/>
                    <w:bottom w:val="single" w:sz="6" w:space="0" w:color="BFBFBF"/>
                  </w:tcBorders>
                </w:tcPr>
                <w:p w14:paraId="7D9564C0" w14:textId="77777777" w:rsidR="00A61E2E" w:rsidRDefault="00A61E2E" w:rsidP="00112C96">
                  <w:pPr>
                    <w:pStyle w:val="TableColumnHeading"/>
                    <w:framePr w:hSpace="180" w:wrap="around" w:vAnchor="text" w:hAnchor="margin" w:xAlign="center" w:y="12"/>
                    <w:widowControl w:val="0"/>
                    <w:ind w:right="28"/>
                  </w:pPr>
                  <w:r>
                    <w:t>NT</w:t>
                  </w:r>
                </w:p>
              </w:tc>
              <w:tc>
                <w:tcPr>
                  <w:tcW w:w="377" w:type="pct"/>
                  <w:tcBorders>
                    <w:top w:val="single" w:sz="6" w:space="0" w:color="BFBFBF"/>
                    <w:bottom w:val="single" w:sz="6" w:space="0" w:color="BFBFBF"/>
                  </w:tcBorders>
                </w:tcPr>
                <w:p w14:paraId="67470891" w14:textId="77777777" w:rsidR="00A61E2E" w:rsidRDefault="00A61E2E" w:rsidP="00112C96">
                  <w:pPr>
                    <w:pStyle w:val="TableColumnHeading"/>
                    <w:framePr w:hSpace="180" w:wrap="around" w:vAnchor="text" w:hAnchor="margin" w:xAlign="center" w:y="12"/>
                    <w:widowControl w:val="0"/>
                    <w:ind w:right="28"/>
                  </w:pPr>
                  <w:r>
                    <w:t>Aust</w:t>
                  </w:r>
                </w:p>
              </w:tc>
            </w:tr>
            <w:tr w:rsidR="00784DE8" w14:paraId="37C2D3C3" w14:textId="77777777" w:rsidTr="0025258B">
              <w:tc>
                <w:tcPr>
                  <w:tcW w:w="1583" w:type="pct"/>
                  <w:tcBorders>
                    <w:top w:val="single" w:sz="6" w:space="0" w:color="BFBFBF"/>
                  </w:tcBorders>
                </w:tcPr>
                <w:p w14:paraId="1C0FFAB1" w14:textId="77777777" w:rsidR="00784DE8" w:rsidRDefault="00784DE8" w:rsidP="00784DE8">
                  <w:pPr>
                    <w:pStyle w:val="TableUnitsRow"/>
                    <w:framePr w:hSpace="180" w:wrap="around" w:vAnchor="text" w:hAnchor="margin" w:xAlign="center" w:y="12"/>
                    <w:widowControl w:val="0"/>
                    <w:jc w:val="left"/>
                  </w:pPr>
                  <w:r>
                    <w:t>Vaccine preventable conditions</w:t>
                  </w:r>
                </w:p>
              </w:tc>
              <w:tc>
                <w:tcPr>
                  <w:tcW w:w="380" w:type="pct"/>
                  <w:tcBorders>
                    <w:top w:val="single" w:sz="6" w:space="0" w:color="BFBFBF"/>
                  </w:tcBorders>
                </w:tcPr>
                <w:p w14:paraId="2C111837" w14:textId="03ECBFC0" w:rsidR="00784DE8" w:rsidRPr="00704DD3" w:rsidRDefault="00784DE8" w:rsidP="00784DE8">
                  <w:pPr>
                    <w:pStyle w:val="TableUnitsRow"/>
                    <w:framePr w:hSpace="180" w:wrap="around" w:vAnchor="text" w:hAnchor="margin" w:xAlign="center" w:y="12"/>
                    <w:widowControl w:val="0"/>
                    <w:ind w:right="28"/>
                    <w:rPr>
                      <w:highlight w:val="yellow"/>
                    </w:rPr>
                  </w:pPr>
                  <w:r w:rsidRPr="00612691">
                    <w:t xml:space="preserve">  2.1</w:t>
                  </w:r>
                </w:p>
              </w:tc>
              <w:tc>
                <w:tcPr>
                  <w:tcW w:w="380" w:type="pct"/>
                  <w:tcBorders>
                    <w:top w:val="single" w:sz="6" w:space="0" w:color="BFBFBF"/>
                  </w:tcBorders>
                </w:tcPr>
                <w:p w14:paraId="26DACD80" w14:textId="2C84D5C9" w:rsidR="00784DE8" w:rsidRPr="00704DD3" w:rsidRDefault="00784DE8" w:rsidP="00784DE8">
                  <w:pPr>
                    <w:pStyle w:val="TableUnitsRow"/>
                    <w:framePr w:hSpace="180" w:wrap="around" w:vAnchor="text" w:hAnchor="margin" w:xAlign="center" w:y="12"/>
                    <w:widowControl w:val="0"/>
                    <w:ind w:right="28"/>
                    <w:rPr>
                      <w:highlight w:val="yellow"/>
                    </w:rPr>
                  </w:pPr>
                  <w:r w:rsidRPr="00612691">
                    <w:t xml:space="preserve">  1.8</w:t>
                  </w:r>
                </w:p>
              </w:tc>
              <w:tc>
                <w:tcPr>
                  <w:tcW w:w="380" w:type="pct"/>
                  <w:tcBorders>
                    <w:top w:val="single" w:sz="6" w:space="0" w:color="BFBFBF"/>
                  </w:tcBorders>
                </w:tcPr>
                <w:p w14:paraId="330A60F9" w14:textId="7F0A39DC" w:rsidR="00784DE8" w:rsidRPr="00704DD3" w:rsidRDefault="00784DE8" w:rsidP="00784DE8">
                  <w:pPr>
                    <w:pStyle w:val="TableUnitsRow"/>
                    <w:framePr w:hSpace="180" w:wrap="around" w:vAnchor="text" w:hAnchor="margin" w:xAlign="center" w:y="12"/>
                    <w:widowControl w:val="0"/>
                    <w:ind w:right="28"/>
                    <w:rPr>
                      <w:highlight w:val="yellow"/>
                    </w:rPr>
                  </w:pPr>
                  <w:r w:rsidRPr="00612691">
                    <w:t xml:space="preserve">  2.4</w:t>
                  </w:r>
                </w:p>
              </w:tc>
              <w:tc>
                <w:tcPr>
                  <w:tcW w:w="380" w:type="pct"/>
                  <w:tcBorders>
                    <w:top w:val="single" w:sz="6" w:space="0" w:color="BFBFBF"/>
                  </w:tcBorders>
                </w:tcPr>
                <w:p w14:paraId="3036F026" w14:textId="465AB5D1" w:rsidR="00784DE8" w:rsidRPr="00704DD3" w:rsidRDefault="00784DE8" w:rsidP="00784DE8">
                  <w:pPr>
                    <w:pStyle w:val="TableUnitsRow"/>
                    <w:framePr w:hSpace="180" w:wrap="around" w:vAnchor="text" w:hAnchor="margin" w:xAlign="center" w:y="12"/>
                    <w:widowControl w:val="0"/>
                    <w:ind w:right="28"/>
                    <w:rPr>
                      <w:highlight w:val="yellow"/>
                    </w:rPr>
                  </w:pPr>
                  <w:r w:rsidRPr="00612691">
                    <w:t xml:space="preserve">  1.7</w:t>
                  </w:r>
                </w:p>
              </w:tc>
              <w:tc>
                <w:tcPr>
                  <w:tcW w:w="380" w:type="pct"/>
                  <w:tcBorders>
                    <w:top w:val="single" w:sz="6" w:space="0" w:color="BFBFBF"/>
                  </w:tcBorders>
                </w:tcPr>
                <w:p w14:paraId="46A7A46A" w14:textId="20FDE75F" w:rsidR="00784DE8" w:rsidRPr="00704DD3" w:rsidRDefault="00784DE8" w:rsidP="00784DE8">
                  <w:pPr>
                    <w:pStyle w:val="TableUnitsRow"/>
                    <w:framePr w:hSpace="180" w:wrap="around" w:vAnchor="text" w:hAnchor="margin" w:xAlign="center" w:y="12"/>
                    <w:widowControl w:val="0"/>
                    <w:ind w:right="28"/>
                    <w:rPr>
                      <w:highlight w:val="yellow"/>
                    </w:rPr>
                  </w:pPr>
                  <w:r w:rsidRPr="00612691">
                    <w:t xml:space="preserve">  2.2</w:t>
                  </w:r>
                </w:p>
              </w:tc>
              <w:tc>
                <w:tcPr>
                  <w:tcW w:w="380" w:type="pct"/>
                  <w:tcBorders>
                    <w:top w:val="single" w:sz="6" w:space="0" w:color="BFBFBF"/>
                  </w:tcBorders>
                </w:tcPr>
                <w:p w14:paraId="285B62B5" w14:textId="47A1F630" w:rsidR="00784DE8" w:rsidRPr="00704DD3" w:rsidRDefault="00784DE8" w:rsidP="00784DE8">
                  <w:pPr>
                    <w:pStyle w:val="TableUnitsRow"/>
                    <w:framePr w:hSpace="180" w:wrap="around" w:vAnchor="text" w:hAnchor="margin" w:xAlign="center" w:y="12"/>
                    <w:widowControl w:val="0"/>
                    <w:ind w:right="28"/>
                    <w:rPr>
                      <w:highlight w:val="yellow"/>
                    </w:rPr>
                  </w:pPr>
                  <w:r w:rsidRPr="00612691">
                    <w:t xml:space="preserve">  1.1</w:t>
                  </w:r>
                </w:p>
              </w:tc>
              <w:tc>
                <w:tcPr>
                  <w:tcW w:w="380" w:type="pct"/>
                  <w:tcBorders>
                    <w:top w:val="single" w:sz="6" w:space="0" w:color="BFBFBF"/>
                  </w:tcBorders>
                </w:tcPr>
                <w:p w14:paraId="54E67851" w14:textId="2B6E5EA3" w:rsidR="00784DE8" w:rsidRPr="00704DD3" w:rsidRDefault="00784DE8" w:rsidP="00784DE8">
                  <w:pPr>
                    <w:pStyle w:val="TableUnitsRow"/>
                    <w:framePr w:hSpace="180" w:wrap="around" w:vAnchor="text" w:hAnchor="margin" w:xAlign="center" w:y="12"/>
                    <w:widowControl w:val="0"/>
                    <w:ind w:right="28"/>
                    <w:rPr>
                      <w:highlight w:val="yellow"/>
                    </w:rPr>
                  </w:pPr>
                  <w:r w:rsidRPr="00612691">
                    <w:t xml:space="preserve">  1.9</w:t>
                  </w:r>
                </w:p>
              </w:tc>
              <w:tc>
                <w:tcPr>
                  <w:tcW w:w="380" w:type="pct"/>
                  <w:tcBorders>
                    <w:top w:val="single" w:sz="6" w:space="0" w:color="BFBFBF"/>
                  </w:tcBorders>
                </w:tcPr>
                <w:p w14:paraId="28A2AEF8" w14:textId="44316CD4" w:rsidR="00784DE8" w:rsidRPr="00704DD3" w:rsidRDefault="00784DE8" w:rsidP="00784DE8">
                  <w:pPr>
                    <w:pStyle w:val="TableUnitsRow"/>
                    <w:framePr w:hSpace="180" w:wrap="around" w:vAnchor="text" w:hAnchor="margin" w:xAlign="center" w:y="12"/>
                    <w:widowControl w:val="0"/>
                    <w:ind w:right="28"/>
                    <w:rPr>
                      <w:highlight w:val="yellow"/>
                    </w:rPr>
                  </w:pPr>
                  <w:r w:rsidRPr="00612691">
                    <w:t xml:space="preserve">  10.7</w:t>
                  </w:r>
                </w:p>
              </w:tc>
              <w:tc>
                <w:tcPr>
                  <w:tcW w:w="377" w:type="pct"/>
                  <w:tcBorders>
                    <w:top w:val="single" w:sz="6" w:space="0" w:color="BFBFBF"/>
                  </w:tcBorders>
                </w:tcPr>
                <w:p w14:paraId="041F1705" w14:textId="3728E426" w:rsidR="00784DE8" w:rsidRPr="00704DD3" w:rsidRDefault="00784DE8" w:rsidP="00784DE8">
                  <w:pPr>
                    <w:pStyle w:val="TableUnitsRow"/>
                    <w:framePr w:hSpace="180" w:wrap="around" w:vAnchor="text" w:hAnchor="margin" w:xAlign="center" w:y="12"/>
                    <w:widowControl w:val="0"/>
                    <w:ind w:right="28"/>
                    <w:rPr>
                      <w:highlight w:val="yellow"/>
                    </w:rPr>
                  </w:pPr>
                  <w:r w:rsidRPr="00612691">
                    <w:t xml:space="preserve">  2.1</w:t>
                  </w:r>
                </w:p>
              </w:tc>
            </w:tr>
            <w:tr w:rsidR="00784DE8" w14:paraId="34EFF45E" w14:textId="77777777" w:rsidTr="0025258B">
              <w:tc>
                <w:tcPr>
                  <w:tcW w:w="1583" w:type="pct"/>
                </w:tcPr>
                <w:p w14:paraId="4842BB7A" w14:textId="77777777" w:rsidR="00784DE8" w:rsidRDefault="00784DE8" w:rsidP="00784DE8">
                  <w:pPr>
                    <w:pStyle w:val="TableBodyText"/>
                    <w:framePr w:hSpace="180" w:wrap="around" w:vAnchor="text" w:hAnchor="margin" w:xAlign="center" w:y="12"/>
                    <w:widowControl w:val="0"/>
                    <w:jc w:val="left"/>
                  </w:pPr>
                  <w:r>
                    <w:t>Selected acute conditions</w:t>
                  </w:r>
                </w:p>
              </w:tc>
              <w:tc>
                <w:tcPr>
                  <w:tcW w:w="380" w:type="pct"/>
                </w:tcPr>
                <w:p w14:paraId="431F16C7" w14:textId="50FC970D" w:rsidR="00784DE8" w:rsidRPr="00704DD3" w:rsidRDefault="00784DE8" w:rsidP="00784DE8">
                  <w:pPr>
                    <w:pStyle w:val="TableBodyText"/>
                    <w:framePr w:hSpace="180" w:wrap="around" w:vAnchor="text" w:hAnchor="margin" w:xAlign="center" w:y="12"/>
                    <w:widowControl w:val="0"/>
                    <w:ind w:right="28"/>
                    <w:rPr>
                      <w:highlight w:val="yellow"/>
                    </w:rPr>
                  </w:pPr>
                  <w:r w:rsidRPr="00FE4D99">
                    <w:t xml:space="preserve">  11.8</w:t>
                  </w:r>
                </w:p>
              </w:tc>
              <w:tc>
                <w:tcPr>
                  <w:tcW w:w="380" w:type="pct"/>
                </w:tcPr>
                <w:p w14:paraId="1AB9B9DF" w14:textId="053BB4E7" w:rsidR="00784DE8" w:rsidRPr="00704DD3" w:rsidRDefault="00784DE8" w:rsidP="00784DE8">
                  <w:pPr>
                    <w:pStyle w:val="TableBodyText"/>
                    <w:framePr w:hSpace="180" w:wrap="around" w:vAnchor="text" w:hAnchor="margin" w:xAlign="center" w:y="12"/>
                    <w:widowControl w:val="0"/>
                    <w:ind w:right="28"/>
                    <w:rPr>
                      <w:highlight w:val="yellow"/>
                    </w:rPr>
                  </w:pPr>
                  <w:r w:rsidRPr="00FE4D99">
                    <w:t xml:space="preserve">  11.5</w:t>
                  </w:r>
                </w:p>
              </w:tc>
              <w:tc>
                <w:tcPr>
                  <w:tcW w:w="380" w:type="pct"/>
                </w:tcPr>
                <w:p w14:paraId="621C50DD" w14:textId="5E97B9F6" w:rsidR="00784DE8" w:rsidRPr="00704DD3" w:rsidRDefault="00784DE8" w:rsidP="00784DE8">
                  <w:pPr>
                    <w:pStyle w:val="TableBodyText"/>
                    <w:framePr w:hSpace="180" w:wrap="around" w:vAnchor="text" w:hAnchor="margin" w:xAlign="center" w:y="12"/>
                    <w:widowControl w:val="0"/>
                    <w:ind w:right="28"/>
                    <w:rPr>
                      <w:highlight w:val="yellow"/>
                    </w:rPr>
                  </w:pPr>
                  <w:r w:rsidRPr="00FE4D99">
                    <w:t xml:space="preserve">  15.8</w:t>
                  </w:r>
                </w:p>
              </w:tc>
              <w:tc>
                <w:tcPr>
                  <w:tcW w:w="380" w:type="pct"/>
                </w:tcPr>
                <w:p w14:paraId="7357189B" w14:textId="7DC60D79" w:rsidR="00784DE8" w:rsidRPr="00704DD3" w:rsidRDefault="00784DE8" w:rsidP="00784DE8">
                  <w:pPr>
                    <w:pStyle w:val="TableBodyText"/>
                    <w:framePr w:hSpace="180" w:wrap="around" w:vAnchor="text" w:hAnchor="margin" w:xAlign="center" w:y="12"/>
                    <w:widowControl w:val="0"/>
                    <w:ind w:right="28"/>
                    <w:rPr>
                      <w:highlight w:val="yellow"/>
                    </w:rPr>
                  </w:pPr>
                  <w:r w:rsidRPr="00FE4D99">
                    <w:t xml:space="preserve">  13.0</w:t>
                  </w:r>
                </w:p>
              </w:tc>
              <w:tc>
                <w:tcPr>
                  <w:tcW w:w="380" w:type="pct"/>
                </w:tcPr>
                <w:p w14:paraId="6F57E8D8" w14:textId="31FFC582" w:rsidR="00784DE8" w:rsidRPr="00704DD3" w:rsidRDefault="00784DE8" w:rsidP="00784DE8">
                  <w:pPr>
                    <w:pStyle w:val="TableBodyText"/>
                    <w:framePr w:hSpace="180" w:wrap="around" w:vAnchor="text" w:hAnchor="margin" w:xAlign="center" w:y="12"/>
                    <w:widowControl w:val="0"/>
                    <w:ind w:right="28"/>
                    <w:rPr>
                      <w:highlight w:val="yellow"/>
                    </w:rPr>
                  </w:pPr>
                  <w:r w:rsidRPr="00FE4D99">
                    <w:t xml:space="preserve">  13.6</w:t>
                  </w:r>
                </w:p>
              </w:tc>
              <w:tc>
                <w:tcPr>
                  <w:tcW w:w="380" w:type="pct"/>
                </w:tcPr>
                <w:p w14:paraId="1A8C8E19" w14:textId="3C48CB18" w:rsidR="00784DE8" w:rsidRPr="00704DD3" w:rsidRDefault="00784DE8" w:rsidP="00784DE8">
                  <w:pPr>
                    <w:pStyle w:val="TableBodyText"/>
                    <w:framePr w:hSpace="180" w:wrap="around" w:vAnchor="text" w:hAnchor="margin" w:xAlign="center" w:y="12"/>
                    <w:widowControl w:val="0"/>
                    <w:ind w:right="28"/>
                    <w:rPr>
                      <w:highlight w:val="yellow"/>
                    </w:rPr>
                  </w:pPr>
                  <w:r w:rsidRPr="00FE4D99">
                    <w:t xml:space="preserve">  11.3</w:t>
                  </w:r>
                </w:p>
              </w:tc>
              <w:tc>
                <w:tcPr>
                  <w:tcW w:w="380" w:type="pct"/>
                </w:tcPr>
                <w:p w14:paraId="1D3410A7" w14:textId="4FA41A68" w:rsidR="00784DE8" w:rsidRPr="00704DD3" w:rsidRDefault="00784DE8" w:rsidP="00784DE8">
                  <w:pPr>
                    <w:pStyle w:val="TableBodyText"/>
                    <w:framePr w:hSpace="180" w:wrap="around" w:vAnchor="text" w:hAnchor="margin" w:xAlign="center" w:y="12"/>
                    <w:widowControl w:val="0"/>
                    <w:ind w:right="28"/>
                    <w:rPr>
                      <w:highlight w:val="yellow"/>
                    </w:rPr>
                  </w:pPr>
                  <w:r w:rsidRPr="00FE4D99">
                    <w:t xml:space="preserve">  10.9</w:t>
                  </w:r>
                </w:p>
              </w:tc>
              <w:tc>
                <w:tcPr>
                  <w:tcW w:w="380" w:type="pct"/>
                </w:tcPr>
                <w:p w14:paraId="716F99A7" w14:textId="6595D495" w:rsidR="00784DE8" w:rsidRPr="00704DD3" w:rsidRDefault="00784DE8" w:rsidP="00784DE8">
                  <w:pPr>
                    <w:pStyle w:val="TableBodyText"/>
                    <w:framePr w:hSpace="180" w:wrap="around" w:vAnchor="text" w:hAnchor="margin" w:xAlign="center" w:y="12"/>
                    <w:widowControl w:val="0"/>
                    <w:ind w:right="28"/>
                    <w:rPr>
                      <w:highlight w:val="yellow"/>
                    </w:rPr>
                  </w:pPr>
                  <w:r w:rsidRPr="00FE4D99">
                    <w:t xml:space="preserve">  26.1</w:t>
                  </w:r>
                </w:p>
              </w:tc>
              <w:tc>
                <w:tcPr>
                  <w:tcW w:w="377" w:type="pct"/>
                </w:tcPr>
                <w:p w14:paraId="61668457" w14:textId="400938F0" w:rsidR="00784DE8" w:rsidRPr="00704DD3" w:rsidRDefault="00784DE8" w:rsidP="00784DE8">
                  <w:pPr>
                    <w:pStyle w:val="TableBodyText"/>
                    <w:framePr w:hSpace="180" w:wrap="around" w:vAnchor="text" w:hAnchor="margin" w:xAlign="center" w:y="12"/>
                    <w:widowControl w:val="0"/>
                    <w:ind w:right="28"/>
                    <w:rPr>
                      <w:highlight w:val="yellow"/>
                    </w:rPr>
                  </w:pPr>
                  <w:r w:rsidRPr="00FE4D99">
                    <w:t xml:space="preserve">  13.0</w:t>
                  </w:r>
                </w:p>
              </w:tc>
            </w:tr>
            <w:tr w:rsidR="00784DE8" w14:paraId="4D614F17" w14:textId="77777777" w:rsidTr="00784DE8">
              <w:tc>
                <w:tcPr>
                  <w:tcW w:w="1583" w:type="pct"/>
                  <w:shd w:val="clear" w:color="auto" w:fill="auto"/>
                </w:tcPr>
                <w:p w14:paraId="747E902A" w14:textId="77777777" w:rsidR="00784DE8" w:rsidRDefault="00784DE8" w:rsidP="00784DE8">
                  <w:pPr>
                    <w:pStyle w:val="TableBodyText"/>
                    <w:framePr w:hSpace="180" w:wrap="around" w:vAnchor="text" w:hAnchor="margin" w:xAlign="center" w:y="12"/>
                    <w:widowControl w:val="0"/>
                    <w:jc w:val="left"/>
                  </w:pPr>
                  <w:r>
                    <w:t>Selected chronic conditions</w:t>
                  </w:r>
                </w:p>
              </w:tc>
              <w:tc>
                <w:tcPr>
                  <w:tcW w:w="380" w:type="pct"/>
                </w:tcPr>
                <w:p w14:paraId="366D892E" w14:textId="6A1E4445" w:rsidR="00784DE8" w:rsidRPr="00704DD3" w:rsidRDefault="00784DE8" w:rsidP="00784DE8">
                  <w:pPr>
                    <w:pStyle w:val="TableBodyText"/>
                    <w:framePr w:hSpace="180" w:wrap="around" w:vAnchor="text" w:hAnchor="margin" w:xAlign="center" w:y="12"/>
                    <w:widowControl w:val="0"/>
                    <w:ind w:right="28"/>
                    <w:rPr>
                      <w:highlight w:val="yellow"/>
                    </w:rPr>
                  </w:pPr>
                  <w:r w:rsidRPr="00A85F8D">
                    <w:t xml:space="preserve">  11.2</w:t>
                  </w:r>
                </w:p>
              </w:tc>
              <w:tc>
                <w:tcPr>
                  <w:tcW w:w="380" w:type="pct"/>
                </w:tcPr>
                <w:p w14:paraId="23346F2C" w14:textId="262DEA4D" w:rsidR="00784DE8" w:rsidRPr="00704DD3" w:rsidRDefault="00784DE8" w:rsidP="00784DE8">
                  <w:pPr>
                    <w:pStyle w:val="TableBodyText"/>
                    <w:framePr w:hSpace="180" w:wrap="around" w:vAnchor="text" w:hAnchor="margin" w:xAlign="center" w:y="12"/>
                    <w:widowControl w:val="0"/>
                    <w:ind w:right="28"/>
                    <w:rPr>
                      <w:highlight w:val="yellow"/>
                    </w:rPr>
                  </w:pPr>
                  <w:r w:rsidRPr="00A85F8D">
                    <w:t xml:space="preserve">  13.0</w:t>
                  </w:r>
                </w:p>
              </w:tc>
              <w:tc>
                <w:tcPr>
                  <w:tcW w:w="380" w:type="pct"/>
                </w:tcPr>
                <w:p w14:paraId="2D99AD13" w14:textId="4A8260A4" w:rsidR="00784DE8" w:rsidRPr="00704DD3" w:rsidRDefault="00784DE8" w:rsidP="00784DE8">
                  <w:pPr>
                    <w:pStyle w:val="TableBodyText"/>
                    <w:framePr w:hSpace="180" w:wrap="around" w:vAnchor="text" w:hAnchor="margin" w:xAlign="center" w:y="12"/>
                    <w:widowControl w:val="0"/>
                    <w:ind w:right="28"/>
                    <w:rPr>
                      <w:highlight w:val="yellow"/>
                    </w:rPr>
                  </w:pPr>
                  <w:r w:rsidRPr="00A85F8D">
                    <w:t xml:space="preserve">  14.4</w:t>
                  </w:r>
                </w:p>
              </w:tc>
              <w:tc>
                <w:tcPr>
                  <w:tcW w:w="380" w:type="pct"/>
                </w:tcPr>
                <w:p w14:paraId="7B916D51" w14:textId="06C25729" w:rsidR="00784DE8" w:rsidRPr="00704DD3" w:rsidRDefault="00784DE8" w:rsidP="00784DE8">
                  <w:pPr>
                    <w:pStyle w:val="TableBodyText"/>
                    <w:framePr w:hSpace="180" w:wrap="around" w:vAnchor="text" w:hAnchor="margin" w:xAlign="center" w:y="12"/>
                    <w:widowControl w:val="0"/>
                    <w:ind w:right="28"/>
                    <w:rPr>
                      <w:highlight w:val="yellow"/>
                    </w:rPr>
                  </w:pPr>
                  <w:r w:rsidRPr="00A85F8D">
                    <w:t xml:space="preserve">  11.5</w:t>
                  </w:r>
                </w:p>
              </w:tc>
              <w:tc>
                <w:tcPr>
                  <w:tcW w:w="380" w:type="pct"/>
                </w:tcPr>
                <w:p w14:paraId="151BBE34" w14:textId="689682BA" w:rsidR="00784DE8" w:rsidRPr="00704DD3" w:rsidRDefault="00784DE8" w:rsidP="00784DE8">
                  <w:pPr>
                    <w:pStyle w:val="TableBodyText"/>
                    <w:framePr w:hSpace="180" w:wrap="around" w:vAnchor="text" w:hAnchor="margin" w:xAlign="center" w:y="12"/>
                    <w:widowControl w:val="0"/>
                    <w:ind w:right="28"/>
                    <w:rPr>
                      <w:highlight w:val="yellow"/>
                    </w:rPr>
                  </w:pPr>
                  <w:r w:rsidRPr="00A85F8D">
                    <w:t xml:space="preserve">  11.9</w:t>
                  </w:r>
                </w:p>
              </w:tc>
              <w:tc>
                <w:tcPr>
                  <w:tcW w:w="380" w:type="pct"/>
                </w:tcPr>
                <w:p w14:paraId="645C9B71" w14:textId="71221AAB" w:rsidR="00784DE8" w:rsidRPr="00704DD3" w:rsidRDefault="00784DE8" w:rsidP="00784DE8">
                  <w:pPr>
                    <w:pStyle w:val="TableBodyText"/>
                    <w:framePr w:hSpace="180" w:wrap="around" w:vAnchor="text" w:hAnchor="margin" w:xAlign="center" w:y="12"/>
                    <w:widowControl w:val="0"/>
                    <w:ind w:right="28"/>
                    <w:rPr>
                      <w:highlight w:val="yellow"/>
                    </w:rPr>
                  </w:pPr>
                  <w:r w:rsidRPr="00A85F8D">
                    <w:t xml:space="preserve">  10.8</w:t>
                  </w:r>
                </w:p>
              </w:tc>
              <w:tc>
                <w:tcPr>
                  <w:tcW w:w="380" w:type="pct"/>
                </w:tcPr>
                <w:p w14:paraId="4FC433FD" w14:textId="4466110D" w:rsidR="00784DE8" w:rsidRPr="00704DD3" w:rsidRDefault="00784DE8" w:rsidP="00784DE8">
                  <w:pPr>
                    <w:pStyle w:val="TableBodyText"/>
                    <w:framePr w:hSpace="180" w:wrap="around" w:vAnchor="text" w:hAnchor="margin" w:xAlign="center" w:y="12"/>
                    <w:widowControl w:val="0"/>
                    <w:ind w:right="28"/>
                    <w:rPr>
                      <w:highlight w:val="yellow"/>
                    </w:rPr>
                  </w:pPr>
                  <w:r w:rsidRPr="00A85F8D">
                    <w:t xml:space="preserve">  10.6</w:t>
                  </w:r>
                </w:p>
              </w:tc>
              <w:tc>
                <w:tcPr>
                  <w:tcW w:w="380" w:type="pct"/>
                </w:tcPr>
                <w:p w14:paraId="350B4701" w14:textId="1AA8EE2D" w:rsidR="00784DE8" w:rsidRPr="00704DD3" w:rsidRDefault="00784DE8" w:rsidP="00784DE8">
                  <w:pPr>
                    <w:pStyle w:val="TableBodyText"/>
                    <w:framePr w:hSpace="180" w:wrap="around" w:vAnchor="text" w:hAnchor="margin" w:xAlign="center" w:y="12"/>
                    <w:widowControl w:val="0"/>
                    <w:ind w:right="28"/>
                    <w:rPr>
                      <w:highlight w:val="yellow"/>
                    </w:rPr>
                  </w:pPr>
                  <w:r w:rsidRPr="00A85F8D">
                    <w:t xml:space="preserve">  23.0</w:t>
                  </w:r>
                </w:p>
              </w:tc>
              <w:tc>
                <w:tcPr>
                  <w:tcW w:w="377" w:type="pct"/>
                </w:tcPr>
                <w:p w14:paraId="0CAFBFE4" w14:textId="5DC5EEA4" w:rsidR="00784DE8" w:rsidRPr="00704DD3" w:rsidRDefault="00784DE8" w:rsidP="00784DE8">
                  <w:pPr>
                    <w:pStyle w:val="TableBodyText"/>
                    <w:framePr w:hSpace="180" w:wrap="around" w:vAnchor="text" w:hAnchor="margin" w:xAlign="center" w:y="12"/>
                    <w:widowControl w:val="0"/>
                    <w:ind w:right="28"/>
                    <w:rPr>
                      <w:highlight w:val="yellow"/>
                    </w:rPr>
                  </w:pPr>
                  <w:r w:rsidRPr="00A85F8D">
                    <w:t xml:space="preserve">  12.5</w:t>
                  </w:r>
                </w:p>
              </w:tc>
            </w:tr>
            <w:tr w:rsidR="00784DE8" w14:paraId="0DC9A001" w14:textId="77777777" w:rsidTr="00784DE8">
              <w:tc>
                <w:tcPr>
                  <w:tcW w:w="1583" w:type="pct"/>
                  <w:tcBorders>
                    <w:bottom w:val="single" w:sz="6" w:space="0" w:color="BFBFBF"/>
                  </w:tcBorders>
                  <w:shd w:val="clear" w:color="auto" w:fill="auto"/>
                </w:tcPr>
                <w:p w14:paraId="29240737" w14:textId="77777777" w:rsidR="00784DE8" w:rsidRPr="00EB268D" w:rsidRDefault="00784DE8" w:rsidP="00784DE8">
                  <w:pPr>
                    <w:pStyle w:val="TableBodyText"/>
                    <w:framePr w:hSpace="180" w:wrap="around" w:vAnchor="text" w:hAnchor="margin" w:xAlign="center" w:y="12"/>
                    <w:widowControl w:val="0"/>
                    <w:jc w:val="left"/>
                    <w:rPr>
                      <w:b/>
                    </w:rPr>
                  </w:pPr>
                  <w:r w:rsidRPr="00EB268D">
                    <w:rPr>
                      <w:b/>
                    </w:rPr>
                    <w:t>Total</w:t>
                  </w:r>
                </w:p>
              </w:tc>
              <w:tc>
                <w:tcPr>
                  <w:tcW w:w="380" w:type="pct"/>
                  <w:tcBorders>
                    <w:bottom w:val="single" w:sz="6" w:space="0" w:color="BFBFBF"/>
                  </w:tcBorders>
                </w:tcPr>
                <w:p w14:paraId="663584FF" w14:textId="6BFBC1F7" w:rsidR="00784DE8" w:rsidRPr="007A5622" w:rsidRDefault="00784DE8" w:rsidP="00784DE8">
                  <w:pPr>
                    <w:pStyle w:val="TableBodyText"/>
                    <w:framePr w:hSpace="180" w:wrap="around" w:vAnchor="text" w:hAnchor="margin" w:xAlign="center" w:y="12"/>
                    <w:widowControl w:val="0"/>
                    <w:ind w:right="28"/>
                    <w:rPr>
                      <w:b/>
                      <w:highlight w:val="yellow"/>
                    </w:rPr>
                  </w:pPr>
                  <w:r w:rsidRPr="007A5622">
                    <w:rPr>
                      <w:b/>
                    </w:rPr>
                    <w:t>24.9</w:t>
                  </w:r>
                </w:p>
              </w:tc>
              <w:tc>
                <w:tcPr>
                  <w:tcW w:w="380" w:type="pct"/>
                  <w:tcBorders>
                    <w:bottom w:val="single" w:sz="6" w:space="0" w:color="BFBFBF"/>
                  </w:tcBorders>
                </w:tcPr>
                <w:p w14:paraId="2E3C176F" w14:textId="344D1D30" w:rsidR="00784DE8" w:rsidRPr="007A5622" w:rsidRDefault="00784DE8" w:rsidP="00784DE8">
                  <w:pPr>
                    <w:pStyle w:val="TableBodyText"/>
                    <w:framePr w:hSpace="180" w:wrap="around" w:vAnchor="text" w:hAnchor="margin" w:xAlign="center" w:y="12"/>
                    <w:widowControl w:val="0"/>
                    <w:ind w:right="28"/>
                    <w:rPr>
                      <w:b/>
                      <w:highlight w:val="yellow"/>
                    </w:rPr>
                  </w:pPr>
                  <w:r w:rsidRPr="007A5622">
                    <w:rPr>
                      <w:b/>
                    </w:rPr>
                    <w:t>26.2</w:t>
                  </w:r>
                </w:p>
              </w:tc>
              <w:tc>
                <w:tcPr>
                  <w:tcW w:w="380" w:type="pct"/>
                  <w:tcBorders>
                    <w:bottom w:val="single" w:sz="6" w:space="0" w:color="BFBFBF"/>
                  </w:tcBorders>
                </w:tcPr>
                <w:p w14:paraId="525BCD46" w14:textId="0D65890A" w:rsidR="00784DE8" w:rsidRPr="007A5622" w:rsidRDefault="00784DE8" w:rsidP="00784DE8">
                  <w:pPr>
                    <w:pStyle w:val="TableBodyText"/>
                    <w:framePr w:hSpace="180" w:wrap="around" w:vAnchor="text" w:hAnchor="margin" w:xAlign="center" w:y="12"/>
                    <w:widowControl w:val="0"/>
                    <w:ind w:right="28"/>
                    <w:rPr>
                      <w:b/>
                      <w:highlight w:val="yellow"/>
                    </w:rPr>
                  </w:pPr>
                  <w:r w:rsidRPr="007A5622">
                    <w:rPr>
                      <w:b/>
                    </w:rPr>
                    <w:t>32.3</w:t>
                  </w:r>
                </w:p>
              </w:tc>
              <w:tc>
                <w:tcPr>
                  <w:tcW w:w="380" w:type="pct"/>
                  <w:tcBorders>
                    <w:bottom w:val="single" w:sz="6" w:space="0" w:color="BFBFBF"/>
                  </w:tcBorders>
                </w:tcPr>
                <w:p w14:paraId="26DEC901" w14:textId="77FD6AC5" w:rsidR="00784DE8" w:rsidRPr="007A5622" w:rsidRDefault="00784DE8" w:rsidP="00784DE8">
                  <w:pPr>
                    <w:pStyle w:val="TableBodyText"/>
                    <w:framePr w:hSpace="180" w:wrap="around" w:vAnchor="text" w:hAnchor="margin" w:xAlign="center" w:y="12"/>
                    <w:widowControl w:val="0"/>
                    <w:ind w:right="28"/>
                    <w:rPr>
                      <w:b/>
                      <w:highlight w:val="yellow"/>
                    </w:rPr>
                  </w:pPr>
                  <w:r w:rsidRPr="007A5622">
                    <w:rPr>
                      <w:b/>
                    </w:rPr>
                    <w:t>26</w:t>
                  </w:r>
                  <w:r w:rsidR="003D2293" w:rsidRPr="007A5622">
                    <w:rPr>
                      <w:b/>
                    </w:rPr>
                    <w:t>.0</w:t>
                  </w:r>
                </w:p>
              </w:tc>
              <w:tc>
                <w:tcPr>
                  <w:tcW w:w="380" w:type="pct"/>
                  <w:tcBorders>
                    <w:bottom w:val="single" w:sz="6" w:space="0" w:color="BFBFBF"/>
                  </w:tcBorders>
                </w:tcPr>
                <w:p w14:paraId="4BD1E548" w14:textId="3FC55805" w:rsidR="00784DE8" w:rsidRPr="007A5622" w:rsidRDefault="00784DE8" w:rsidP="00784DE8">
                  <w:pPr>
                    <w:pStyle w:val="TableBodyText"/>
                    <w:framePr w:hSpace="180" w:wrap="around" w:vAnchor="text" w:hAnchor="margin" w:xAlign="center" w:y="12"/>
                    <w:widowControl w:val="0"/>
                    <w:ind w:right="28"/>
                    <w:rPr>
                      <w:b/>
                      <w:highlight w:val="yellow"/>
                    </w:rPr>
                  </w:pPr>
                  <w:r w:rsidRPr="007A5622">
                    <w:rPr>
                      <w:b/>
                    </w:rPr>
                    <w:t>27.4</w:t>
                  </w:r>
                </w:p>
              </w:tc>
              <w:tc>
                <w:tcPr>
                  <w:tcW w:w="380" w:type="pct"/>
                  <w:tcBorders>
                    <w:bottom w:val="single" w:sz="6" w:space="0" w:color="BFBFBF"/>
                  </w:tcBorders>
                </w:tcPr>
                <w:p w14:paraId="4E55E4A8" w14:textId="10CE9A93" w:rsidR="00784DE8" w:rsidRPr="007A5622" w:rsidRDefault="00784DE8" w:rsidP="00784DE8">
                  <w:pPr>
                    <w:pStyle w:val="TableBodyText"/>
                    <w:framePr w:hSpace="180" w:wrap="around" w:vAnchor="text" w:hAnchor="margin" w:xAlign="center" w:y="12"/>
                    <w:widowControl w:val="0"/>
                    <w:ind w:right="28"/>
                    <w:rPr>
                      <w:b/>
                      <w:highlight w:val="yellow"/>
                    </w:rPr>
                  </w:pPr>
                  <w:r w:rsidRPr="007A5622">
                    <w:rPr>
                      <w:b/>
                    </w:rPr>
                    <w:t>23.1</w:t>
                  </w:r>
                </w:p>
              </w:tc>
              <w:tc>
                <w:tcPr>
                  <w:tcW w:w="380" w:type="pct"/>
                  <w:tcBorders>
                    <w:bottom w:val="single" w:sz="6" w:space="0" w:color="BFBFBF"/>
                  </w:tcBorders>
                </w:tcPr>
                <w:p w14:paraId="5031D147" w14:textId="610CBC50" w:rsidR="00784DE8" w:rsidRPr="007A5622" w:rsidRDefault="00784DE8" w:rsidP="00784DE8">
                  <w:pPr>
                    <w:pStyle w:val="TableBodyText"/>
                    <w:framePr w:hSpace="180" w:wrap="around" w:vAnchor="text" w:hAnchor="margin" w:xAlign="center" w:y="12"/>
                    <w:widowControl w:val="0"/>
                    <w:ind w:right="28"/>
                    <w:rPr>
                      <w:b/>
                      <w:highlight w:val="yellow"/>
                    </w:rPr>
                  </w:pPr>
                  <w:r w:rsidRPr="007A5622">
                    <w:rPr>
                      <w:b/>
                    </w:rPr>
                    <w:t>23.1</w:t>
                  </w:r>
                </w:p>
              </w:tc>
              <w:tc>
                <w:tcPr>
                  <w:tcW w:w="380" w:type="pct"/>
                  <w:tcBorders>
                    <w:bottom w:val="single" w:sz="6" w:space="0" w:color="BFBFBF"/>
                  </w:tcBorders>
                </w:tcPr>
                <w:p w14:paraId="22367F3D" w14:textId="40A12AC5" w:rsidR="00784DE8" w:rsidRPr="007A5622" w:rsidRDefault="00784DE8" w:rsidP="00784DE8">
                  <w:pPr>
                    <w:pStyle w:val="TableBodyText"/>
                    <w:framePr w:hSpace="180" w:wrap="around" w:vAnchor="text" w:hAnchor="margin" w:xAlign="center" w:y="12"/>
                    <w:widowControl w:val="0"/>
                    <w:ind w:right="28"/>
                    <w:rPr>
                      <w:b/>
                      <w:highlight w:val="yellow"/>
                    </w:rPr>
                  </w:pPr>
                  <w:r w:rsidRPr="007A5622">
                    <w:rPr>
                      <w:b/>
                    </w:rPr>
                    <w:t>57.9</w:t>
                  </w:r>
                </w:p>
              </w:tc>
              <w:tc>
                <w:tcPr>
                  <w:tcW w:w="377" w:type="pct"/>
                  <w:tcBorders>
                    <w:bottom w:val="single" w:sz="6" w:space="0" w:color="BFBFBF"/>
                  </w:tcBorders>
                </w:tcPr>
                <w:p w14:paraId="1FBC16F6" w14:textId="01F29C04" w:rsidR="00784DE8" w:rsidRPr="007A5622" w:rsidRDefault="00784DE8" w:rsidP="00784DE8">
                  <w:pPr>
                    <w:pStyle w:val="TableBodyText"/>
                    <w:framePr w:hSpace="180" w:wrap="around" w:vAnchor="text" w:hAnchor="margin" w:xAlign="center" w:y="12"/>
                    <w:widowControl w:val="0"/>
                    <w:ind w:right="28"/>
                    <w:rPr>
                      <w:b/>
                      <w:highlight w:val="yellow"/>
                    </w:rPr>
                  </w:pPr>
                  <w:r w:rsidRPr="007A5622">
                    <w:rPr>
                      <w:b/>
                    </w:rPr>
                    <w:t>27.3</w:t>
                  </w:r>
                </w:p>
              </w:tc>
            </w:tr>
          </w:tbl>
          <w:p w14:paraId="0B0C0887" w14:textId="77777777" w:rsidR="00A61E2E" w:rsidRDefault="00A61E2E" w:rsidP="00112C96">
            <w:pPr>
              <w:pStyle w:val="Box"/>
              <w:keepLines/>
              <w:widowControl w:val="0"/>
            </w:pPr>
          </w:p>
        </w:tc>
      </w:tr>
      <w:tr w:rsidR="00A61E2E" w14:paraId="6F3B7C8A" w14:textId="77777777" w:rsidTr="00B349CB">
        <w:tc>
          <w:tcPr>
            <w:tcW w:w="5000" w:type="pct"/>
            <w:tcBorders>
              <w:top w:val="nil"/>
              <w:left w:val="nil"/>
              <w:bottom w:val="nil"/>
              <w:right w:val="nil"/>
            </w:tcBorders>
            <w:shd w:val="clear" w:color="auto" w:fill="auto"/>
          </w:tcPr>
          <w:p w14:paraId="62018440" w14:textId="556ECA54" w:rsidR="00A61E2E" w:rsidRDefault="00A61E2E" w:rsidP="00BD77B0">
            <w:pPr>
              <w:pStyle w:val="Note"/>
              <w:keepNext/>
              <w:widowControl w:val="0"/>
              <w:rPr>
                <w:i/>
              </w:rPr>
            </w:pPr>
            <w:r w:rsidRPr="008E77FE">
              <w:rPr>
                <w:rStyle w:val="NoteLabel"/>
              </w:rPr>
              <w:t>a</w:t>
            </w:r>
            <w:r>
              <w:t xml:space="preserve"> See box 10.17 and </w:t>
            </w:r>
            <w:r w:rsidRPr="004602A4">
              <w:t>table 10A.</w:t>
            </w:r>
            <w:r w:rsidR="005879AA">
              <w:t>58</w:t>
            </w:r>
            <w:r>
              <w:t xml:space="preserve"> for detailed definitions, footnotes and caveats.</w:t>
            </w:r>
          </w:p>
        </w:tc>
      </w:tr>
      <w:tr w:rsidR="00A61E2E" w14:paraId="38595EC9" w14:textId="77777777" w:rsidTr="00B349CB">
        <w:tc>
          <w:tcPr>
            <w:tcW w:w="5000" w:type="pct"/>
            <w:tcBorders>
              <w:top w:val="nil"/>
              <w:left w:val="nil"/>
              <w:bottom w:val="nil"/>
              <w:right w:val="nil"/>
            </w:tcBorders>
            <w:shd w:val="clear" w:color="auto" w:fill="auto"/>
          </w:tcPr>
          <w:p w14:paraId="5825AC8C" w14:textId="1C063E29" w:rsidR="00A61E2E" w:rsidRDefault="00A61E2E" w:rsidP="008772F8">
            <w:pPr>
              <w:pStyle w:val="Source"/>
              <w:keepNext/>
              <w:widowControl w:val="0"/>
            </w:pPr>
            <w:r>
              <w:rPr>
                <w:i/>
              </w:rPr>
              <w:t>Source</w:t>
            </w:r>
            <w:r w:rsidRPr="00167F06">
              <w:t xml:space="preserve">: </w:t>
            </w:r>
            <w:r w:rsidRPr="008F6658">
              <w:t xml:space="preserve">AIHW </w:t>
            </w:r>
            <w:r w:rsidRPr="00461A4A">
              <w:rPr>
                <w:i/>
              </w:rPr>
              <w:t>Admitted patient care 201</w:t>
            </w:r>
            <w:r w:rsidR="008772F8">
              <w:rPr>
                <w:i/>
              </w:rPr>
              <w:t>6</w:t>
            </w:r>
            <w:r w:rsidR="008D3534">
              <w:rPr>
                <w:i/>
              </w:rPr>
              <w:noBreakHyphen/>
            </w:r>
            <w:r w:rsidRPr="00461A4A">
              <w:rPr>
                <w:i/>
              </w:rPr>
              <w:t>1</w:t>
            </w:r>
            <w:r w:rsidR="008772F8">
              <w:rPr>
                <w:i/>
              </w:rPr>
              <w:t>7</w:t>
            </w:r>
            <w:r w:rsidRPr="00461A4A">
              <w:rPr>
                <w:i/>
              </w:rPr>
              <w:t>: Australian hospital statistics</w:t>
            </w:r>
            <w:r>
              <w:t xml:space="preserve">; </w:t>
            </w:r>
            <w:r w:rsidRPr="004602A4">
              <w:t>table 10A.</w:t>
            </w:r>
            <w:r w:rsidR="005879AA">
              <w:t>58</w:t>
            </w:r>
            <w:r w:rsidRPr="002C4939">
              <w:t>.</w:t>
            </w:r>
          </w:p>
        </w:tc>
      </w:tr>
      <w:tr w:rsidR="00A61E2E" w14:paraId="34CBD3DD" w14:textId="77777777" w:rsidTr="00A61E2E">
        <w:tc>
          <w:tcPr>
            <w:tcW w:w="5000" w:type="pct"/>
            <w:tcBorders>
              <w:top w:val="nil"/>
              <w:left w:val="nil"/>
              <w:bottom w:val="single" w:sz="6" w:space="0" w:color="78A22F"/>
              <w:right w:val="nil"/>
            </w:tcBorders>
            <w:shd w:val="clear" w:color="auto" w:fill="auto"/>
          </w:tcPr>
          <w:p w14:paraId="57961C63" w14:textId="77777777" w:rsidR="00A61E2E" w:rsidRDefault="00A61E2E" w:rsidP="00112C96">
            <w:pPr>
              <w:pStyle w:val="Box"/>
              <w:keepLines/>
              <w:widowControl w:val="0"/>
              <w:spacing w:before="0" w:line="120" w:lineRule="exact"/>
            </w:pPr>
          </w:p>
        </w:tc>
      </w:tr>
      <w:tr w:rsidR="00A61E2E" w:rsidRPr="000863A5" w14:paraId="26B55F35" w14:textId="77777777" w:rsidTr="00A61E2E">
        <w:tc>
          <w:tcPr>
            <w:tcW w:w="5000" w:type="pct"/>
            <w:tcBorders>
              <w:top w:val="single" w:sz="6" w:space="0" w:color="78A22F"/>
              <w:left w:val="nil"/>
              <w:bottom w:val="nil"/>
              <w:right w:val="nil"/>
            </w:tcBorders>
          </w:tcPr>
          <w:p w14:paraId="0A8B8D38" w14:textId="35C03622" w:rsidR="00A61E2E" w:rsidRPr="00626D32" w:rsidRDefault="00A61E2E" w:rsidP="00112C96">
            <w:pPr>
              <w:pStyle w:val="BoxSpaceBelow"/>
              <w:keepNext/>
              <w:keepLines/>
              <w:widowControl w:val="0"/>
            </w:pPr>
          </w:p>
        </w:tc>
      </w:tr>
    </w:tbl>
    <w:p w14:paraId="4BA81256" w14:textId="35C10004" w:rsidR="00DF3F57" w:rsidRPr="008D37C1" w:rsidRDefault="008D37C1" w:rsidP="008D37C1">
      <w:pPr>
        <w:pStyle w:val="BodyText"/>
      </w:pPr>
      <w:r>
        <w:t>For 2</w:t>
      </w:r>
      <w:r w:rsidR="00DA610A" w:rsidRPr="008D37C1">
        <w:t>01</w:t>
      </w:r>
      <w:r w:rsidR="0053633A" w:rsidRPr="008D37C1">
        <w:t>6</w:t>
      </w:r>
      <w:r w:rsidR="002C71D2" w:rsidRPr="008D37C1">
        <w:noBreakHyphen/>
      </w:r>
      <w:r w:rsidR="00DA610A" w:rsidRPr="008D37C1">
        <w:t>1</w:t>
      </w:r>
      <w:r w:rsidR="0053633A" w:rsidRPr="008D37C1">
        <w:t>7</w:t>
      </w:r>
      <w:r w:rsidR="00DA610A" w:rsidRPr="008D37C1">
        <w:t xml:space="preserve"> and prior years, t</w:t>
      </w:r>
      <w:r w:rsidR="00015D1C" w:rsidRPr="008D37C1">
        <w:t xml:space="preserve">he </w:t>
      </w:r>
      <w:r w:rsidR="00417AF7" w:rsidRPr="008D37C1">
        <w:t>age</w:t>
      </w:r>
      <w:r w:rsidR="00417AF7" w:rsidRPr="008D37C1">
        <w:noBreakHyphen/>
        <w:t xml:space="preserve">standardised hospital separation </w:t>
      </w:r>
      <w:r w:rsidR="00015D1C" w:rsidRPr="008D37C1">
        <w:t xml:space="preserve">rate was higher for Aboriginal and Torres Strait Islander Australians than for other Australians </w:t>
      </w:r>
      <w:r w:rsidR="007C1981" w:rsidRPr="008D37C1">
        <w:t xml:space="preserve">in </w:t>
      </w:r>
      <w:r w:rsidR="005670BA" w:rsidRPr="008D37C1">
        <w:t>all jurisdictions for</w:t>
      </w:r>
      <w:r w:rsidR="00DA610A" w:rsidRPr="008D37C1">
        <w:t xml:space="preserve"> which data by Indigenous status are reported</w:t>
      </w:r>
      <w:r w:rsidR="005670BA" w:rsidRPr="008D37C1">
        <w:t xml:space="preserve"> </w:t>
      </w:r>
      <w:r w:rsidR="00D427BE" w:rsidRPr="008D37C1">
        <w:t>(</w:t>
      </w:r>
      <w:r w:rsidR="006C36C1" w:rsidRPr="008D37C1">
        <w:t>table</w:t>
      </w:r>
      <w:r w:rsidR="009D24E2" w:rsidRPr="008D37C1">
        <w:t> </w:t>
      </w:r>
      <w:r w:rsidR="006C36C1" w:rsidRPr="008D37C1">
        <w:t>10A.</w:t>
      </w:r>
      <w:r w:rsidR="00484120" w:rsidRPr="008D37C1">
        <w:t>59</w:t>
      </w:r>
      <w:r w:rsidR="00015D1C" w:rsidRPr="008D37C1">
        <w:t>).</w:t>
      </w:r>
    </w:p>
    <w:p w14:paraId="05FB104D" w14:textId="786CA752" w:rsidR="00186700" w:rsidRDefault="00186700" w:rsidP="003B0E34">
      <w:pPr>
        <w:pStyle w:val="BodyText"/>
      </w:pPr>
      <w:r w:rsidRPr="00913654">
        <w:t>Nationally</w:t>
      </w:r>
      <w:r>
        <w:t xml:space="preserve"> in 201</w:t>
      </w:r>
      <w:r w:rsidR="0053633A">
        <w:t>6</w:t>
      </w:r>
      <w:r w:rsidR="008D3534">
        <w:noBreakHyphen/>
      </w:r>
      <w:r>
        <w:t>1</w:t>
      </w:r>
      <w:r w:rsidR="0053633A">
        <w:t>7</w:t>
      </w:r>
      <w:r w:rsidRPr="00913654">
        <w:t>, the age</w:t>
      </w:r>
      <w:r>
        <w:t>-</w:t>
      </w:r>
      <w:r w:rsidRPr="00913654">
        <w:t>standardised hospital separation rate for diabetes was</w:t>
      </w:r>
      <w:r>
        <w:t xml:space="preserve"> </w:t>
      </w:r>
      <w:r w:rsidR="002F686E">
        <w:t>113.7</w:t>
      </w:r>
      <w:r w:rsidR="00733B73">
        <w:t> </w:t>
      </w:r>
      <w:r w:rsidRPr="00931CC9">
        <w:t>separations per 100 000 people</w:t>
      </w:r>
      <w:r w:rsidRPr="00913654">
        <w:t xml:space="preserve"> (</w:t>
      </w:r>
      <w:r>
        <w:t>tabl</w:t>
      </w:r>
      <w:r w:rsidRPr="006E715D">
        <w:t>e 10</w:t>
      </w:r>
      <w:r>
        <w:t>A</w:t>
      </w:r>
      <w:r w:rsidRPr="006E715D">
        <w:t>.</w:t>
      </w:r>
      <w:r w:rsidR="00484120">
        <w:t>66</w:t>
      </w:r>
      <w:r w:rsidRPr="00913654">
        <w:t>).</w:t>
      </w:r>
      <w:r>
        <w:t xml:space="preserve"> T</w:t>
      </w:r>
      <w:r w:rsidRPr="00D61FF9">
        <w:t>he age</w:t>
      </w:r>
      <w:r>
        <w:t>-</w:t>
      </w:r>
      <w:r w:rsidRPr="00D61FF9">
        <w:t xml:space="preserve">standardised separation rate </w:t>
      </w:r>
      <w:r>
        <w:t xml:space="preserve">for </w:t>
      </w:r>
      <w:r w:rsidRPr="00D61FF9">
        <w:t xml:space="preserve">Aboriginal and Torres Strait Islander people </w:t>
      </w:r>
      <w:r w:rsidRPr="008528A3">
        <w:t>(excluding separations for diabetes complications as an additional diagnosis)</w:t>
      </w:r>
      <w:r>
        <w:t xml:space="preserve"> </w:t>
      </w:r>
      <w:r w:rsidRPr="00D61FF9">
        <w:t xml:space="preserve">was </w:t>
      </w:r>
      <w:r w:rsidR="0052366C">
        <w:t>2.6</w:t>
      </w:r>
      <w:r w:rsidRPr="00D61FF9">
        <w:t xml:space="preserve"> times the rate for all Australians (table 10A.</w:t>
      </w:r>
      <w:r w:rsidR="00C63F80">
        <w:t>65</w:t>
      </w:r>
      <w:r w:rsidRPr="00913654">
        <w:t>).</w:t>
      </w:r>
      <w:r w:rsidR="0053633A" w:rsidRPr="0053633A">
        <w:t xml:space="preserve"> </w:t>
      </w:r>
    </w:p>
    <w:p w14:paraId="31ECE486" w14:textId="58AFD7F9" w:rsidR="003E2B93" w:rsidRDefault="003E2B93" w:rsidP="00931CC9">
      <w:pPr>
        <w:pStyle w:val="BodyText"/>
      </w:pPr>
      <w:r w:rsidRPr="00574C45">
        <w:t xml:space="preserve">The </w:t>
      </w:r>
      <w:r w:rsidR="000061AB" w:rsidRPr="00574C45">
        <w:t xml:space="preserve">most serious </w:t>
      </w:r>
      <w:r w:rsidR="000130CB" w:rsidRPr="00574C45">
        <w:t xml:space="preserve">complication of Type 2 diabetes </w:t>
      </w:r>
      <w:r w:rsidRPr="00574C45">
        <w:t>most common</w:t>
      </w:r>
      <w:r w:rsidR="000130CB" w:rsidRPr="00574C45">
        <w:t>ly</w:t>
      </w:r>
      <w:r w:rsidRPr="00574C45">
        <w:t xml:space="preserve"> </w:t>
      </w:r>
      <w:r w:rsidR="000130CB" w:rsidRPr="00574C45">
        <w:t>leading to</w:t>
      </w:r>
      <w:r w:rsidRPr="00574C45">
        <w:t xml:space="preserve"> hospitalisation in </w:t>
      </w:r>
      <w:r w:rsidR="00280888" w:rsidRPr="00574C45">
        <w:t>201</w:t>
      </w:r>
      <w:r w:rsidR="0053633A">
        <w:t>6</w:t>
      </w:r>
      <w:r w:rsidR="002C71D2">
        <w:noBreakHyphen/>
      </w:r>
      <w:r w:rsidR="00280888" w:rsidRPr="00574C45">
        <w:t>1</w:t>
      </w:r>
      <w:r w:rsidR="0053633A">
        <w:t>7</w:t>
      </w:r>
      <w:r w:rsidR="00025443" w:rsidRPr="00574C45">
        <w:t xml:space="preserve"> </w:t>
      </w:r>
      <w:r w:rsidRPr="00574C45">
        <w:t>w</w:t>
      </w:r>
      <w:r w:rsidR="000061AB" w:rsidRPr="00574C45">
        <w:t>as</w:t>
      </w:r>
      <w:r w:rsidRPr="00574C45">
        <w:t xml:space="preserve"> </w:t>
      </w:r>
      <w:r w:rsidR="00D07052" w:rsidRPr="00574C45">
        <w:t xml:space="preserve">circulatory </w:t>
      </w:r>
      <w:r w:rsidRPr="00574C45">
        <w:t>complications</w:t>
      </w:r>
      <w:r w:rsidR="000061AB" w:rsidRPr="00574C45">
        <w:t>, with an age standardised rate of</w:t>
      </w:r>
      <w:r w:rsidR="000061AB">
        <w:t xml:space="preserve"> </w:t>
      </w:r>
      <w:r w:rsidR="0052366C">
        <w:t>17.2</w:t>
      </w:r>
      <w:r w:rsidR="000061AB">
        <w:t xml:space="preserve"> per 100 000 people (table 10A.6</w:t>
      </w:r>
      <w:r w:rsidR="00C63F80">
        <w:t>6</w:t>
      </w:r>
      <w:r w:rsidR="000061AB">
        <w:t>)</w:t>
      </w:r>
      <w:r w:rsidRPr="00913654">
        <w:t xml:space="preserve">. </w:t>
      </w:r>
      <w:r w:rsidR="00523DBF" w:rsidRPr="00913654">
        <w:t xml:space="preserve">Serious circulatory complications of diabetes can necessitate </w:t>
      </w:r>
      <w:r w:rsidR="00F60BD1" w:rsidRPr="00913654">
        <w:t xml:space="preserve">lower limb </w:t>
      </w:r>
      <w:r w:rsidR="00523DBF" w:rsidRPr="00913654">
        <w:t>a</w:t>
      </w:r>
      <w:r w:rsidRPr="00913654">
        <w:t xml:space="preserve">mputation. In </w:t>
      </w:r>
      <w:r w:rsidR="00280888">
        <w:t>201</w:t>
      </w:r>
      <w:r w:rsidR="0053633A">
        <w:t>6</w:t>
      </w:r>
      <w:r w:rsidR="008D3534">
        <w:noBreakHyphen/>
      </w:r>
      <w:r w:rsidR="00280888">
        <w:t>1</w:t>
      </w:r>
      <w:r w:rsidR="0053633A">
        <w:t>7</w:t>
      </w:r>
      <w:r w:rsidRPr="00913654">
        <w:t xml:space="preserve">, there </w:t>
      </w:r>
      <w:r w:rsidRPr="00F60BD1">
        <w:t>wer</w:t>
      </w:r>
      <w:r w:rsidR="00AE4837" w:rsidRPr="00F60BD1">
        <w:t xml:space="preserve">e </w:t>
      </w:r>
      <w:r w:rsidR="0052366C">
        <w:t>18.4</w:t>
      </w:r>
      <w:r w:rsidR="00CA5C1F" w:rsidRPr="00F60BD1">
        <w:t xml:space="preserve"> </w:t>
      </w:r>
      <w:r w:rsidR="001A1B44" w:rsidRPr="00913654">
        <w:t>age</w:t>
      </w:r>
      <w:r w:rsidR="000061AB">
        <w:t>-</w:t>
      </w:r>
      <w:r w:rsidR="001A1B44" w:rsidRPr="00913654">
        <w:t>standardised</w:t>
      </w:r>
      <w:r w:rsidR="001A1B44" w:rsidRPr="00F60BD1">
        <w:t xml:space="preserve"> </w:t>
      </w:r>
      <w:r w:rsidR="00AE4837" w:rsidRPr="00F60BD1">
        <w:t>hospital</w:t>
      </w:r>
      <w:r w:rsidR="00AE4837" w:rsidRPr="00931CC9">
        <w:t xml:space="preserve"> separations per </w:t>
      </w:r>
      <w:r w:rsidRPr="00931CC9">
        <w:t>100</w:t>
      </w:r>
      <w:r w:rsidR="00AE4837" w:rsidRPr="00931CC9">
        <w:t> </w:t>
      </w:r>
      <w:r w:rsidRPr="00931CC9">
        <w:t>000 people</w:t>
      </w:r>
      <w:r w:rsidRPr="00913654">
        <w:t xml:space="preserve"> for lower limb amputations where Type 2 diabetes mellitus was a principal or additional diagnosis (</w:t>
      </w:r>
      <w:r w:rsidR="006C36C1" w:rsidRPr="00D61FF9">
        <w:t>table 10A.</w:t>
      </w:r>
      <w:r w:rsidR="00C63F80">
        <w:t>68</w:t>
      </w:r>
      <w:r w:rsidRPr="00913654">
        <w:t>).</w:t>
      </w:r>
      <w:r w:rsidR="000061AB">
        <w:t xml:space="preserve"> </w:t>
      </w:r>
    </w:p>
    <w:p w14:paraId="450DF22F" w14:textId="21FDB734" w:rsidR="006D70FB" w:rsidRDefault="009525ED" w:rsidP="00B474F1">
      <w:pPr>
        <w:pStyle w:val="Heading2"/>
        <w:keepNext w:val="0"/>
        <w:widowControl w:val="0"/>
        <w:spacing w:after="240"/>
      </w:pPr>
      <w:bookmarkStart w:id="18" w:name="_Toc526867547"/>
      <w:r>
        <w:t>10.</w:t>
      </w:r>
      <w:r w:rsidR="0008386D">
        <w:rPr>
          <w:noProof/>
        </w:rPr>
        <w:t>4</w:t>
      </w:r>
      <w:r w:rsidR="006D70FB">
        <w:tab/>
      </w:r>
      <w:r w:rsidR="006D70FB" w:rsidRPr="00BC1CC1">
        <w:t>Definitions of key terms</w:t>
      </w:r>
      <w:bookmarkEnd w:id="18"/>
    </w:p>
    <w:tbl>
      <w:tblPr>
        <w:tblW w:w="0" w:type="auto"/>
        <w:tblLook w:val="01E0" w:firstRow="1" w:lastRow="1" w:firstColumn="1" w:lastColumn="1" w:noHBand="0" w:noVBand="0"/>
      </w:tblPr>
      <w:tblGrid>
        <w:gridCol w:w="2410"/>
        <w:gridCol w:w="6379"/>
      </w:tblGrid>
      <w:tr w:rsidR="00B474F1" w:rsidRPr="00CD50C4" w14:paraId="6B76FEF3" w14:textId="77777777" w:rsidTr="0039681F">
        <w:trPr>
          <w:trHeight w:val="517"/>
        </w:trPr>
        <w:tc>
          <w:tcPr>
            <w:tcW w:w="2410" w:type="dxa"/>
            <w:shd w:val="clear" w:color="auto" w:fill="auto"/>
            <w:tcMar>
              <w:left w:w="0" w:type="dxa"/>
            </w:tcMar>
          </w:tcPr>
          <w:p w14:paraId="28EC3A23" w14:textId="46EEEC64" w:rsidR="00B474F1" w:rsidRPr="002E00E7" w:rsidRDefault="00B474F1" w:rsidP="00B474F1">
            <w:pPr>
              <w:pStyle w:val="TableBodyText"/>
              <w:keepNext w:val="0"/>
              <w:keepLines w:val="0"/>
              <w:widowControl w:val="0"/>
              <w:spacing w:before="60" w:after="60"/>
              <w:ind w:left="0"/>
              <w:jc w:val="left"/>
            </w:pPr>
            <w:r w:rsidRPr="00F459BD">
              <w:t>Age standardised</w:t>
            </w:r>
          </w:p>
        </w:tc>
        <w:tc>
          <w:tcPr>
            <w:tcW w:w="6379" w:type="dxa"/>
            <w:shd w:val="clear" w:color="auto" w:fill="auto"/>
          </w:tcPr>
          <w:p w14:paraId="097F15E1" w14:textId="56EF9145" w:rsidR="00B474F1" w:rsidRPr="00841571" w:rsidRDefault="00B474F1" w:rsidP="00B474F1">
            <w:pPr>
              <w:pStyle w:val="TableBodyText"/>
              <w:keepNext w:val="0"/>
              <w:keepLines w:val="0"/>
              <w:widowControl w:val="0"/>
              <w:spacing w:before="60" w:after="60"/>
              <w:ind w:left="0"/>
              <w:jc w:val="left"/>
            </w:pPr>
            <w:r w:rsidRPr="00F459BD">
              <w:t>Removing the effect of different age distributions (across jurisdictions or over time) when making comparisons, by weighting the age</w:t>
            </w:r>
            <w:r>
              <w:noBreakHyphen/>
            </w:r>
            <w:r w:rsidRPr="00F459BD">
              <w:t>specific rates for each jurisdiction by the national age distribution.</w:t>
            </w:r>
          </w:p>
        </w:tc>
      </w:tr>
      <w:tr w:rsidR="00B474F1" w:rsidRPr="00CD50C4" w14:paraId="10C069E2" w14:textId="77777777" w:rsidTr="0039681F">
        <w:trPr>
          <w:trHeight w:val="517"/>
        </w:trPr>
        <w:tc>
          <w:tcPr>
            <w:tcW w:w="2410" w:type="dxa"/>
            <w:shd w:val="clear" w:color="auto" w:fill="auto"/>
            <w:tcMar>
              <w:left w:w="0" w:type="dxa"/>
            </w:tcMar>
          </w:tcPr>
          <w:p w14:paraId="765287E6" w14:textId="4950C65F" w:rsidR="00B474F1" w:rsidRPr="002E00E7" w:rsidRDefault="00B474F1" w:rsidP="00B474F1">
            <w:pPr>
              <w:pStyle w:val="TableBodyText"/>
              <w:keepNext w:val="0"/>
              <w:keepLines w:val="0"/>
              <w:widowControl w:val="0"/>
              <w:spacing w:before="60" w:after="60"/>
              <w:ind w:left="0"/>
              <w:jc w:val="left"/>
            </w:pPr>
            <w:r w:rsidRPr="00F459BD">
              <w:t>Annual cycle of care for people with diabetes mellitus within general practice</w:t>
            </w:r>
          </w:p>
        </w:tc>
        <w:tc>
          <w:tcPr>
            <w:tcW w:w="6379" w:type="dxa"/>
            <w:shd w:val="clear" w:color="auto" w:fill="auto"/>
          </w:tcPr>
          <w:p w14:paraId="3AD6F3CB" w14:textId="77777777" w:rsidR="00B474F1" w:rsidRPr="00F459BD" w:rsidRDefault="00B474F1" w:rsidP="00B474F1">
            <w:pPr>
              <w:pStyle w:val="TableBodyText"/>
              <w:keepNext w:val="0"/>
              <w:keepLines w:val="0"/>
              <w:widowControl w:val="0"/>
              <w:spacing w:before="60" w:after="60"/>
              <w:ind w:left="0"/>
              <w:jc w:val="left"/>
            </w:pPr>
            <w:r w:rsidRPr="00F459BD">
              <w:t>The annual cycle of care comprises the components of care, delivered over the course of a year, that are minimum requirements for the appropriate management of diabetes in general practice based on RACGP guidelines.</w:t>
            </w:r>
          </w:p>
          <w:p w14:paraId="57346981" w14:textId="63537EF2" w:rsidR="00B474F1" w:rsidRPr="00841571" w:rsidRDefault="00B474F1" w:rsidP="00B474F1">
            <w:pPr>
              <w:pStyle w:val="TableBodyText"/>
              <w:keepNext w:val="0"/>
              <w:keepLines w:val="0"/>
              <w:widowControl w:val="0"/>
              <w:spacing w:before="60" w:after="60"/>
              <w:ind w:left="0"/>
              <w:jc w:val="left"/>
            </w:pPr>
            <w:r w:rsidRPr="00F459BD">
              <w:t>MBS items can be claimed on completion of the annual cycle of care according to MBS requirements for management, which are based on but not identical to the RACGP guidelines.</w:t>
            </w:r>
          </w:p>
        </w:tc>
      </w:tr>
      <w:tr w:rsidR="00B474F1" w:rsidRPr="00CD50C4" w14:paraId="73D95C6C" w14:textId="77777777" w:rsidTr="0039681F">
        <w:trPr>
          <w:trHeight w:val="517"/>
        </w:trPr>
        <w:tc>
          <w:tcPr>
            <w:tcW w:w="2410" w:type="dxa"/>
            <w:shd w:val="clear" w:color="auto" w:fill="auto"/>
            <w:tcMar>
              <w:left w:w="0" w:type="dxa"/>
            </w:tcMar>
          </w:tcPr>
          <w:p w14:paraId="55D157D4" w14:textId="00448830" w:rsidR="00B474F1" w:rsidRPr="002E00E7" w:rsidRDefault="00B474F1" w:rsidP="00B474F1">
            <w:pPr>
              <w:pStyle w:val="TableBodyText"/>
              <w:keepNext w:val="0"/>
              <w:keepLines w:val="0"/>
              <w:widowControl w:val="0"/>
              <w:spacing w:before="60" w:after="60"/>
              <w:ind w:left="0"/>
              <w:jc w:val="left"/>
            </w:pPr>
            <w:r w:rsidRPr="00F459BD">
              <w:t>Asthma Action Plan</w:t>
            </w:r>
          </w:p>
        </w:tc>
        <w:tc>
          <w:tcPr>
            <w:tcW w:w="6379" w:type="dxa"/>
            <w:shd w:val="clear" w:color="auto" w:fill="auto"/>
          </w:tcPr>
          <w:p w14:paraId="60293CF4" w14:textId="77777777" w:rsidR="00B474F1" w:rsidRPr="00F459BD" w:rsidRDefault="00B474F1" w:rsidP="00B474F1">
            <w:pPr>
              <w:pStyle w:val="TableBodyText"/>
              <w:keepNext w:val="0"/>
              <w:keepLines w:val="0"/>
              <w:widowControl w:val="0"/>
              <w:spacing w:before="60" w:after="60"/>
              <w:ind w:left="0"/>
              <w:jc w:val="left"/>
            </w:pPr>
            <w:r w:rsidRPr="00F459BD">
              <w:t>An asthma action plan is an individualised, written asthma action plan incorporating information on how to recognise the onset of an exacerbation of asthma and information on what action to take in response to that exacerbation, developed in consultation with a health professional.</w:t>
            </w:r>
          </w:p>
          <w:p w14:paraId="5B2349F7" w14:textId="29143A3B" w:rsidR="00B474F1" w:rsidRPr="00841571" w:rsidRDefault="00B474F1" w:rsidP="00B474F1">
            <w:pPr>
              <w:pStyle w:val="TableBodyText"/>
              <w:keepNext w:val="0"/>
              <w:keepLines w:val="0"/>
              <w:widowControl w:val="0"/>
              <w:spacing w:before="60" w:after="60"/>
              <w:ind w:left="0"/>
              <w:jc w:val="left"/>
            </w:pPr>
            <w:r w:rsidRPr="00B474F1">
              <w:t>Source</w:t>
            </w:r>
            <w:r w:rsidRPr="00F459BD">
              <w:t xml:space="preserve">: ACAM (Australian Centre for Asthma Monitoring) 2007, </w:t>
            </w:r>
            <w:r w:rsidRPr="00B474F1">
              <w:t xml:space="preserve">Australian </w:t>
            </w:r>
            <w:r w:rsidRPr="00B474F1">
              <w:lastRenderedPageBreak/>
              <w:t>asthma indicators: Five</w:t>
            </w:r>
            <w:r w:rsidRPr="00B474F1">
              <w:noBreakHyphen/>
              <w:t>year review of asthma monitoring in Australia</w:t>
            </w:r>
            <w:r>
              <w:t>. Cat. </w:t>
            </w:r>
            <w:r w:rsidRPr="00F459BD">
              <w:t>no. ACM 12, AIHW.</w:t>
            </w:r>
          </w:p>
        </w:tc>
      </w:tr>
      <w:tr w:rsidR="00B474F1" w:rsidRPr="00CD50C4" w14:paraId="1C9EC6DA" w14:textId="77777777" w:rsidTr="0039681F">
        <w:trPr>
          <w:trHeight w:val="517"/>
        </w:trPr>
        <w:tc>
          <w:tcPr>
            <w:tcW w:w="2410" w:type="dxa"/>
            <w:shd w:val="clear" w:color="auto" w:fill="auto"/>
            <w:tcMar>
              <w:left w:w="0" w:type="dxa"/>
            </w:tcMar>
          </w:tcPr>
          <w:p w14:paraId="6AD0FF0F" w14:textId="146E0754" w:rsidR="00B474F1" w:rsidRPr="002E00E7" w:rsidRDefault="00B474F1" w:rsidP="00B474F1">
            <w:pPr>
              <w:pStyle w:val="TableBodyText"/>
              <w:keepNext w:val="0"/>
              <w:keepLines w:val="0"/>
              <w:widowControl w:val="0"/>
              <w:spacing w:before="60" w:after="60"/>
              <w:ind w:left="0"/>
              <w:jc w:val="left"/>
            </w:pPr>
            <w:r w:rsidRPr="006611B1">
              <w:lastRenderedPageBreak/>
              <w:t>Closed treatment episode</w:t>
            </w:r>
          </w:p>
        </w:tc>
        <w:tc>
          <w:tcPr>
            <w:tcW w:w="6379" w:type="dxa"/>
            <w:shd w:val="clear" w:color="auto" w:fill="auto"/>
          </w:tcPr>
          <w:p w14:paraId="6ED5D6CF" w14:textId="5C1BDD9C" w:rsidR="00B474F1" w:rsidRPr="00841571" w:rsidRDefault="00B474F1" w:rsidP="00B474F1">
            <w:pPr>
              <w:pStyle w:val="TableBodyText"/>
              <w:keepNext w:val="0"/>
              <w:keepLines w:val="0"/>
              <w:widowControl w:val="0"/>
              <w:spacing w:before="60" w:after="60"/>
              <w:ind w:left="0"/>
              <w:jc w:val="left"/>
            </w:pPr>
            <w:r w:rsidRPr="006611B1">
              <w:t>A closed treatment episode is a period of contact between a client and an alcohol and other drug treatment agency. It has defined dates of commencement and cessation, during which the principal drug of concern, treatment delivery setting and main treatment type did not change. Reasons for cessation of a treatment episode include treatment completion, and client non</w:t>
            </w:r>
            <w:r w:rsidRPr="006611B1">
              <w:noBreakHyphen/>
              <w:t>participation in treatment for 3 months or more. Clients may have more than one closed treatment episode in a data collection period.</w:t>
            </w:r>
          </w:p>
        </w:tc>
      </w:tr>
      <w:tr w:rsidR="00B474F1" w:rsidRPr="00CD50C4" w14:paraId="35B99724" w14:textId="77777777" w:rsidTr="0039681F">
        <w:trPr>
          <w:trHeight w:val="517"/>
        </w:trPr>
        <w:tc>
          <w:tcPr>
            <w:tcW w:w="2410" w:type="dxa"/>
            <w:shd w:val="clear" w:color="auto" w:fill="auto"/>
            <w:tcMar>
              <w:left w:w="0" w:type="dxa"/>
            </w:tcMar>
          </w:tcPr>
          <w:p w14:paraId="4C20FE7A" w14:textId="70852289" w:rsidR="00B474F1" w:rsidRPr="002E00E7" w:rsidRDefault="00B474F1" w:rsidP="00B474F1">
            <w:pPr>
              <w:pStyle w:val="TableBodyText"/>
              <w:keepNext w:val="0"/>
              <w:keepLines w:val="0"/>
              <w:widowControl w:val="0"/>
              <w:spacing w:before="60" w:after="60"/>
              <w:ind w:left="0"/>
              <w:jc w:val="left"/>
            </w:pPr>
            <w:r w:rsidRPr="00F459BD">
              <w:t>Community health services</w:t>
            </w:r>
          </w:p>
        </w:tc>
        <w:tc>
          <w:tcPr>
            <w:tcW w:w="6379" w:type="dxa"/>
            <w:shd w:val="clear" w:color="auto" w:fill="auto"/>
          </w:tcPr>
          <w:p w14:paraId="28CF59ED" w14:textId="3E8ACC2B" w:rsidR="00B474F1" w:rsidRPr="00841571" w:rsidRDefault="00B474F1" w:rsidP="00B474F1">
            <w:pPr>
              <w:pStyle w:val="TableBodyText"/>
              <w:keepNext w:val="0"/>
              <w:keepLines w:val="0"/>
              <w:widowControl w:val="0"/>
              <w:spacing w:before="60" w:after="60"/>
              <w:ind w:left="0"/>
              <w:jc w:val="left"/>
            </w:pPr>
            <w:r w:rsidRPr="00F459BD">
              <w:t>Health services for individuals and groups delivered in a community setting, rather than via hospitals or private facilities.</w:t>
            </w:r>
          </w:p>
        </w:tc>
      </w:tr>
      <w:tr w:rsidR="002E00E7" w:rsidRPr="00CD50C4" w14:paraId="4A8929FA" w14:textId="77777777" w:rsidTr="0039681F">
        <w:trPr>
          <w:trHeight w:val="517"/>
        </w:trPr>
        <w:tc>
          <w:tcPr>
            <w:tcW w:w="2410" w:type="dxa"/>
            <w:shd w:val="clear" w:color="auto" w:fill="auto"/>
            <w:tcMar>
              <w:left w:w="0" w:type="dxa"/>
            </w:tcMar>
          </w:tcPr>
          <w:p w14:paraId="35E49F0A" w14:textId="77777777" w:rsidR="002E00E7" w:rsidRPr="002E00E7" w:rsidRDefault="002E00E7" w:rsidP="00B474F1">
            <w:pPr>
              <w:pStyle w:val="TableBodyText"/>
              <w:keepNext w:val="0"/>
              <w:keepLines w:val="0"/>
              <w:widowControl w:val="0"/>
              <w:spacing w:before="60" w:after="60"/>
              <w:ind w:left="0"/>
              <w:jc w:val="left"/>
            </w:pPr>
            <w:r w:rsidRPr="002E00E7">
              <w:t>Comparability</w:t>
            </w:r>
          </w:p>
        </w:tc>
        <w:tc>
          <w:tcPr>
            <w:tcW w:w="6379" w:type="dxa"/>
            <w:shd w:val="clear" w:color="auto" w:fill="auto"/>
          </w:tcPr>
          <w:p w14:paraId="1EB6167B" w14:textId="77777777" w:rsidR="002E00E7" w:rsidRPr="00CD50C4" w:rsidRDefault="00841571" w:rsidP="00B474F1">
            <w:pPr>
              <w:pStyle w:val="TableBodyText"/>
              <w:keepNext w:val="0"/>
              <w:keepLines w:val="0"/>
              <w:widowControl w:val="0"/>
              <w:spacing w:before="60" w:after="60"/>
              <w:ind w:left="0"/>
              <w:jc w:val="left"/>
            </w:pPr>
            <w:r w:rsidRPr="00841571">
              <w:t>Data are considered comparable if (subject to caveats) they can be used to inform an assessment of comparative performance. Typically, data are considered comparable when they are collected in the same way and in accordance with the same definitions. For comparable indicators or measures, significant differences in reported results allow an assessment of differences in performance, rather than being the result of anomalies in the data</w:t>
            </w:r>
            <w:r w:rsidR="00FF138A">
              <w:t>.</w:t>
            </w:r>
          </w:p>
        </w:tc>
      </w:tr>
      <w:tr w:rsidR="002E00E7" w:rsidRPr="00CD50C4" w14:paraId="09D2EEF8" w14:textId="77777777" w:rsidTr="0039681F">
        <w:trPr>
          <w:trHeight w:val="517"/>
        </w:trPr>
        <w:tc>
          <w:tcPr>
            <w:tcW w:w="2410" w:type="dxa"/>
            <w:shd w:val="clear" w:color="auto" w:fill="auto"/>
            <w:tcMar>
              <w:left w:w="0" w:type="dxa"/>
            </w:tcMar>
          </w:tcPr>
          <w:p w14:paraId="0B1C25A1" w14:textId="77777777" w:rsidR="002E00E7" w:rsidRPr="002E00E7" w:rsidRDefault="002E00E7" w:rsidP="00B474F1">
            <w:pPr>
              <w:pStyle w:val="TableBodyText"/>
              <w:keepNext w:val="0"/>
              <w:keepLines w:val="0"/>
              <w:widowControl w:val="0"/>
              <w:spacing w:before="60" w:after="60"/>
              <w:ind w:left="0"/>
              <w:jc w:val="left"/>
            </w:pPr>
            <w:r w:rsidRPr="002E00E7">
              <w:t>Completeness</w:t>
            </w:r>
          </w:p>
        </w:tc>
        <w:tc>
          <w:tcPr>
            <w:tcW w:w="6379" w:type="dxa"/>
            <w:shd w:val="clear" w:color="auto" w:fill="auto"/>
          </w:tcPr>
          <w:p w14:paraId="51DC41BE" w14:textId="77777777" w:rsidR="002E00E7" w:rsidRPr="00CD50C4" w:rsidRDefault="005228B2" w:rsidP="00B474F1">
            <w:pPr>
              <w:pStyle w:val="TableBodyText"/>
              <w:keepNext w:val="0"/>
              <w:keepLines w:val="0"/>
              <w:widowControl w:val="0"/>
              <w:spacing w:before="60" w:after="60"/>
              <w:ind w:left="0"/>
              <w:jc w:val="left"/>
            </w:pPr>
            <w:r w:rsidRPr="005228B2">
              <w:t>Data are considered complete if all required data are available for all jurisdictions that provide the service</w:t>
            </w:r>
            <w:r w:rsidR="002E00E7" w:rsidRPr="00CD50C4">
              <w:t>.</w:t>
            </w:r>
          </w:p>
        </w:tc>
      </w:tr>
      <w:tr w:rsidR="00182D9A" w:rsidRPr="00F459BD" w14:paraId="3A43D08F" w14:textId="77777777" w:rsidTr="00E51597">
        <w:tc>
          <w:tcPr>
            <w:tcW w:w="2410" w:type="dxa"/>
            <w:shd w:val="clear" w:color="auto" w:fill="auto"/>
            <w:tcMar>
              <w:left w:w="0" w:type="dxa"/>
            </w:tcMar>
          </w:tcPr>
          <w:p w14:paraId="7C264481" w14:textId="77777777" w:rsidR="00182D9A" w:rsidRPr="00F459BD" w:rsidRDefault="00182D9A" w:rsidP="00B474F1">
            <w:pPr>
              <w:pStyle w:val="TableBodyText"/>
              <w:keepNext w:val="0"/>
              <w:keepLines w:val="0"/>
              <w:widowControl w:val="0"/>
              <w:spacing w:before="60" w:after="60"/>
              <w:ind w:left="0"/>
              <w:jc w:val="left"/>
            </w:pPr>
            <w:r w:rsidRPr="00F459BD">
              <w:t>Consultations</w:t>
            </w:r>
          </w:p>
        </w:tc>
        <w:tc>
          <w:tcPr>
            <w:tcW w:w="6379" w:type="dxa"/>
            <w:shd w:val="clear" w:color="auto" w:fill="auto"/>
          </w:tcPr>
          <w:p w14:paraId="631F13B4" w14:textId="77777777" w:rsidR="00E81FE4" w:rsidRPr="00F459BD" w:rsidRDefault="00940ED7" w:rsidP="00B474F1">
            <w:pPr>
              <w:pStyle w:val="TableBodyText"/>
              <w:keepNext w:val="0"/>
              <w:keepLines w:val="0"/>
              <w:widowControl w:val="0"/>
              <w:spacing w:before="60" w:after="60"/>
              <w:ind w:left="0"/>
              <w:jc w:val="left"/>
            </w:pPr>
            <w:r w:rsidRPr="00F459BD">
              <w:t>The different types of services provided by GPs</w:t>
            </w:r>
            <w:r w:rsidR="00B06938" w:rsidRPr="00F459BD">
              <w:t>.</w:t>
            </w:r>
          </w:p>
        </w:tc>
      </w:tr>
      <w:tr w:rsidR="00182D9A" w:rsidRPr="00F459BD" w14:paraId="7C74532C" w14:textId="77777777" w:rsidTr="00F72052">
        <w:tc>
          <w:tcPr>
            <w:tcW w:w="2410" w:type="dxa"/>
            <w:shd w:val="clear" w:color="auto" w:fill="auto"/>
            <w:tcMar>
              <w:left w:w="0" w:type="dxa"/>
            </w:tcMar>
          </w:tcPr>
          <w:p w14:paraId="56A4D491" w14:textId="77777777" w:rsidR="00182D9A" w:rsidRPr="00F459BD" w:rsidRDefault="00182D9A" w:rsidP="00B474F1">
            <w:pPr>
              <w:pStyle w:val="TableBodyText"/>
              <w:keepNext w:val="0"/>
              <w:keepLines w:val="0"/>
              <w:widowControl w:val="0"/>
              <w:spacing w:before="60" w:after="60"/>
              <w:ind w:left="0"/>
              <w:jc w:val="left"/>
            </w:pPr>
            <w:r w:rsidRPr="00F459BD">
              <w:t>Cost to government of general practice per person</w:t>
            </w:r>
          </w:p>
        </w:tc>
        <w:tc>
          <w:tcPr>
            <w:tcW w:w="6379" w:type="dxa"/>
            <w:shd w:val="clear" w:color="auto" w:fill="auto"/>
          </w:tcPr>
          <w:p w14:paraId="0C7B979E" w14:textId="77777777" w:rsidR="00182D9A" w:rsidRPr="00F459BD" w:rsidRDefault="00940ED7" w:rsidP="00B474F1">
            <w:pPr>
              <w:pStyle w:val="TableBodyText"/>
              <w:keepNext w:val="0"/>
              <w:keepLines w:val="0"/>
              <w:widowControl w:val="0"/>
              <w:spacing w:before="60" w:after="60"/>
              <w:ind w:left="0"/>
              <w:jc w:val="left"/>
            </w:pPr>
            <w:r w:rsidRPr="00F459BD">
              <w:t>Cost to the Australian Government of total non</w:t>
            </w:r>
            <w:r w:rsidR="0064097A">
              <w:noBreakHyphen/>
            </w:r>
            <w:r w:rsidRPr="00F459BD">
              <w:t>referred attendances by non</w:t>
            </w:r>
            <w:r w:rsidR="0064097A">
              <w:noBreakHyphen/>
            </w:r>
            <w:r w:rsidRPr="00F459BD">
              <w:t>specialist medical practitioners per person.</w:t>
            </w:r>
          </w:p>
        </w:tc>
      </w:tr>
      <w:tr w:rsidR="00182D9A" w:rsidRPr="00F459BD" w14:paraId="6E91B5E7" w14:textId="77777777" w:rsidTr="00F72052">
        <w:tc>
          <w:tcPr>
            <w:tcW w:w="2410" w:type="dxa"/>
            <w:shd w:val="clear" w:color="auto" w:fill="auto"/>
            <w:tcMar>
              <w:left w:w="0" w:type="dxa"/>
            </w:tcMar>
          </w:tcPr>
          <w:p w14:paraId="15A7C9D4" w14:textId="77777777" w:rsidR="00182D9A" w:rsidRPr="00F459BD" w:rsidRDefault="00182D9A" w:rsidP="00B474F1">
            <w:pPr>
              <w:pStyle w:val="TableBodyText"/>
              <w:keepNext w:val="0"/>
              <w:keepLines w:val="0"/>
              <w:widowControl w:val="0"/>
              <w:spacing w:before="60" w:after="60"/>
              <w:ind w:left="0"/>
              <w:jc w:val="left"/>
            </w:pPr>
            <w:r w:rsidRPr="00F459BD">
              <w:t xml:space="preserve">Full time </w:t>
            </w:r>
            <w:r w:rsidR="009625F4">
              <w:t>service equivalents (FS</w:t>
            </w:r>
            <w:r w:rsidRPr="00F459BD">
              <w:t>E)</w:t>
            </w:r>
          </w:p>
        </w:tc>
        <w:tc>
          <w:tcPr>
            <w:tcW w:w="6379" w:type="dxa"/>
            <w:shd w:val="clear" w:color="auto" w:fill="auto"/>
          </w:tcPr>
          <w:p w14:paraId="60F693D1" w14:textId="77777777" w:rsidR="00182D9A" w:rsidRPr="00F459BD" w:rsidRDefault="00BD6D91" w:rsidP="00B474F1">
            <w:pPr>
              <w:pStyle w:val="TableBodyText"/>
              <w:keepNext w:val="0"/>
              <w:keepLines w:val="0"/>
              <w:widowControl w:val="0"/>
              <w:spacing w:before="60" w:after="0"/>
              <w:ind w:left="0"/>
              <w:jc w:val="left"/>
            </w:pPr>
            <w:r w:rsidRPr="00BD6D91">
              <w:t>FSE (Full Service Equivalent) is an estimated measure of medical workforce based on Medicare claims information. Although Medicare claims data does not include information on hours worked it does have sufficient time</w:t>
            </w:r>
            <w:r w:rsidR="0064097A">
              <w:noBreakHyphen/>
            </w:r>
            <w:r w:rsidRPr="00BD6D91">
              <w:t>based items to estimate a proxy for hours worked. The FSE methodology models total hours worked for each practitioner based on the number of days worked, volume of services, and schedule fees. One FSE is approximately equivalent to a workload of 7.5 hours per day, five days per week. The FSE for each practitioner is capped at 2.5.</w:t>
            </w:r>
          </w:p>
        </w:tc>
      </w:tr>
      <w:tr w:rsidR="00182D9A" w:rsidRPr="00F459BD" w14:paraId="6C0C0865" w14:textId="77777777" w:rsidTr="00931CC9">
        <w:tc>
          <w:tcPr>
            <w:tcW w:w="2410" w:type="dxa"/>
            <w:shd w:val="clear" w:color="auto" w:fill="auto"/>
            <w:tcMar>
              <w:left w:w="0" w:type="dxa"/>
            </w:tcMar>
          </w:tcPr>
          <w:p w14:paraId="66FC5E38" w14:textId="77777777" w:rsidR="00182D9A" w:rsidRPr="00F459BD" w:rsidRDefault="00940ED7" w:rsidP="00B474F1">
            <w:pPr>
              <w:pStyle w:val="TableBodyText"/>
              <w:keepNext w:val="0"/>
              <w:keepLines w:val="0"/>
              <w:widowControl w:val="0"/>
              <w:spacing w:before="60" w:after="60"/>
              <w:ind w:left="0"/>
              <w:jc w:val="left"/>
            </w:pPr>
            <w:r w:rsidRPr="00F459BD">
              <w:t>General practice</w:t>
            </w:r>
          </w:p>
        </w:tc>
        <w:tc>
          <w:tcPr>
            <w:tcW w:w="6379" w:type="dxa"/>
            <w:shd w:val="clear" w:color="auto" w:fill="auto"/>
          </w:tcPr>
          <w:p w14:paraId="7AB77B8F" w14:textId="77777777" w:rsidR="00182D9A" w:rsidRPr="00F459BD" w:rsidRDefault="00940ED7" w:rsidP="00B474F1">
            <w:pPr>
              <w:pStyle w:val="TableBodyText"/>
              <w:keepNext w:val="0"/>
              <w:keepLines w:val="0"/>
              <w:widowControl w:val="0"/>
              <w:spacing w:before="60" w:after="60"/>
              <w:ind w:left="0"/>
              <w:jc w:val="left"/>
            </w:pPr>
            <w:r w:rsidRPr="00F459BD">
              <w:t>The organisational structure with one or more GPs and other staff such as practice nurses. A general practice provides and supervises healthcare for a ‘population’ of patients and may include services for specific populations, such as women</w:t>
            </w:r>
            <w:r w:rsidR="008C53A7">
              <w:t>’</w:t>
            </w:r>
            <w:r w:rsidRPr="00F459BD">
              <w:t xml:space="preserve">s health or </w:t>
            </w:r>
            <w:r w:rsidR="00D16EBA">
              <w:t>Aboriginal and Torres Strait Islander</w:t>
            </w:r>
            <w:r w:rsidRPr="00F459BD">
              <w:t xml:space="preserve"> health.</w:t>
            </w:r>
          </w:p>
        </w:tc>
      </w:tr>
      <w:tr w:rsidR="00182D9A" w:rsidRPr="00F459BD" w14:paraId="5F28CD9F" w14:textId="77777777" w:rsidTr="00931CC9">
        <w:tc>
          <w:tcPr>
            <w:tcW w:w="2410" w:type="dxa"/>
            <w:shd w:val="clear" w:color="auto" w:fill="auto"/>
            <w:tcMar>
              <w:left w:w="0" w:type="dxa"/>
            </w:tcMar>
          </w:tcPr>
          <w:p w14:paraId="24AAF6D1" w14:textId="77777777" w:rsidR="00182D9A" w:rsidRPr="00F459BD" w:rsidRDefault="00182D9A" w:rsidP="00B474F1">
            <w:pPr>
              <w:pStyle w:val="TableBodyText"/>
              <w:keepNext w:val="0"/>
              <w:keepLines w:val="0"/>
              <w:widowControl w:val="0"/>
              <w:spacing w:before="60" w:after="60"/>
              <w:ind w:left="0"/>
              <w:jc w:val="left"/>
            </w:pPr>
            <w:r w:rsidRPr="00F459BD">
              <w:t>General practitioner (GP)</w:t>
            </w:r>
          </w:p>
        </w:tc>
        <w:tc>
          <w:tcPr>
            <w:tcW w:w="6379" w:type="dxa"/>
            <w:shd w:val="clear" w:color="auto" w:fill="auto"/>
          </w:tcPr>
          <w:p w14:paraId="4DCB6799" w14:textId="77777777" w:rsidR="00CF7C08" w:rsidRPr="00F459BD" w:rsidRDefault="00557713" w:rsidP="00B474F1">
            <w:pPr>
              <w:pStyle w:val="TableBodyText"/>
              <w:keepNext w:val="0"/>
              <w:keepLines w:val="0"/>
              <w:widowControl w:val="0"/>
              <w:spacing w:before="60" w:after="60"/>
              <w:ind w:left="0"/>
              <w:jc w:val="left"/>
            </w:pPr>
            <w:r w:rsidRPr="00F459BD">
              <w:t xml:space="preserve">Vocationally </w:t>
            </w:r>
            <w:r w:rsidR="000B2487" w:rsidRPr="000B2487">
              <w:t>registered</w:t>
            </w:r>
            <w:r w:rsidR="000465F0" w:rsidRPr="000465F0">
              <w:t xml:space="preserve"> </w:t>
            </w:r>
            <w:r w:rsidRPr="00F459BD">
              <w:t xml:space="preserve">GPs — </w:t>
            </w:r>
            <w:r w:rsidRPr="00931CC9">
              <w:t xml:space="preserve">medical practitioners who are vocationally </w:t>
            </w:r>
            <w:r w:rsidR="000B2487" w:rsidRPr="000B2487">
              <w:t xml:space="preserve">registered </w:t>
            </w:r>
            <w:r w:rsidRPr="00931CC9">
              <w:t xml:space="preserve">under s.3F of the </w:t>
            </w:r>
            <w:r w:rsidRPr="00931CC9">
              <w:rPr>
                <w:i/>
              </w:rPr>
              <w:t>Health Insurance Act 1973</w:t>
            </w:r>
            <w:r w:rsidRPr="00931CC9">
              <w:t xml:space="preserve"> (Cwlth), hold Fellowship of th</w:t>
            </w:r>
            <w:r w:rsidR="002D1E08" w:rsidRPr="00931CC9">
              <w:t>e RACGP</w:t>
            </w:r>
            <w:r w:rsidR="00C0068F" w:rsidRPr="00931CC9">
              <w:t xml:space="preserve"> </w:t>
            </w:r>
            <w:r w:rsidR="00907984" w:rsidRPr="00931CC9">
              <w:t>or the</w:t>
            </w:r>
            <w:r w:rsidR="002D1E08" w:rsidRPr="00931CC9">
              <w:t xml:space="preserve"> </w:t>
            </w:r>
            <w:r w:rsidR="00BB2DCF" w:rsidRPr="00931CC9">
              <w:t>Australian College of Rural and Remote Medicine (</w:t>
            </w:r>
            <w:r w:rsidR="002D1E08" w:rsidRPr="00931CC9">
              <w:t>ACRRM</w:t>
            </w:r>
            <w:r w:rsidR="00BB2DCF" w:rsidRPr="00931CC9">
              <w:t>)</w:t>
            </w:r>
            <w:r w:rsidR="00C0068F" w:rsidRPr="00931CC9">
              <w:t xml:space="preserve"> </w:t>
            </w:r>
            <w:r w:rsidR="002D1E08" w:rsidRPr="00931CC9">
              <w:t>or equivalent</w:t>
            </w:r>
            <w:r w:rsidR="00537F76" w:rsidRPr="00931CC9">
              <w:t>, or hold a recognised training placement.</w:t>
            </w:r>
            <w:r w:rsidR="002D1E08" w:rsidRPr="00F459BD">
              <w:t xml:space="preserve"> </w:t>
            </w:r>
            <w:r w:rsidR="00537F76">
              <w:t>F</w:t>
            </w:r>
            <w:r w:rsidR="002D1E08" w:rsidRPr="00F459BD">
              <w:t>rom 1996</w:t>
            </w:r>
            <w:r w:rsidRPr="00F459BD">
              <w:t xml:space="preserve"> vocational registration </w:t>
            </w:r>
            <w:r w:rsidR="00C0068F">
              <w:t>is</w:t>
            </w:r>
            <w:r w:rsidRPr="00F459BD">
              <w:t xml:space="preserve"> available only to GPs who attain</w:t>
            </w:r>
            <w:r w:rsidR="00C0068F">
              <w:t xml:space="preserve"> Fellowship of the RACGP</w:t>
            </w:r>
            <w:r w:rsidR="000465F0">
              <w:t xml:space="preserve"> or (from April 2007)</w:t>
            </w:r>
            <w:r w:rsidRPr="00F459BD">
              <w:t xml:space="preserve"> the ACRRM</w:t>
            </w:r>
            <w:r w:rsidR="00F87DE2">
              <w:t>, or</w:t>
            </w:r>
            <w:r w:rsidR="00F87DE2" w:rsidRPr="00F87DE2">
              <w:t xml:space="preserve"> hold a recognised training placement</w:t>
            </w:r>
            <w:r w:rsidRPr="00F459BD">
              <w:t>.</w:t>
            </w:r>
          </w:p>
          <w:p w14:paraId="0F5230DA" w14:textId="77777777" w:rsidR="00557713" w:rsidRPr="00F459BD" w:rsidRDefault="00557713" w:rsidP="00B474F1">
            <w:pPr>
              <w:pStyle w:val="TableBodyText"/>
              <w:keepNext w:val="0"/>
              <w:keepLines w:val="0"/>
              <w:widowControl w:val="0"/>
              <w:spacing w:before="60" w:after="60"/>
              <w:ind w:left="0"/>
              <w:jc w:val="left"/>
            </w:pPr>
            <w:r w:rsidRPr="00F459BD">
              <w:t>Other medical practitioners</w:t>
            </w:r>
            <w:r w:rsidR="00396E9C" w:rsidRPr="00F459BD">
              <w:t xml:space="preserve"> (OMP)</w:t>
            </w:r>
            <w:r w:rsidRPr="00F459BD">
              <w:t xml:space="preserve"> — medical practitioners who are not vocationally </w:t>
            </w:r>
            <w:r w:rsidR="000B2487" w:rsidRPr="000B2487">
              <w:t xml:space="preserve">registered </w:t>
            </w:r>
            <w:r w:rsidRPr="00F459BD">
              <w:t>GPs.</w:t>
            </w:r>
          </w:p>
        </w:tc>
      </w:tr>
      <w:tr w:rsidR="00807170" w:rsidRPr="00F459BD" w14:paraId="4D07421F" w14:textId="77777777" w:rsidTr="00E51597">
        <w:tc>
          <w:tcPr>
            <w:tcW w:w="2410" w:type="dxa"/>
            <w:shd w:val="clear" w:color="auto" w:fill="auto"/>
            <w:tcMar>
              <w:left w:w="0" w:type="dxa"/>
            </w:tcMar>
          </w:tcPr>
          <w:p w14:paraId="3B652FF8" w14:textId="77777777" w:rsidR="00807170" w:rsidRPr="00F459BD" w:rsidRDefault="00396E9C" w:rsidP="00B474F1">
            <w:pPr>
              <w:pStyle w:val="TableBodyText"/>
              <w:keepNext w:val="0"/>
              <w:keepLines w:val="0"/>
              <w:widowControl w:val="0"/>
              <w:spacing w:before="60" w:after="60"/>
              <w:ind w:left="0"/>
              <w:jc w:val="left"/>
            </w:pPr>
            <w:r w:rsidRPr="00F459BD">
              <w:t>G</w:t>
            </w:r>
            <w:r w:rsidR="00E16C45" w:rsidRPr="00F459BD">
              <w:t>P</w:t>
            </w:r>
            <w:r w:rsidRPr="00F459BD">
              <w:noBreakHyphen/>
              <w:t>type services</w:t>
            </w:r>
          </w:p>
        </w:tc>
        <w:tc>
          <w:tcPr>
            <w:tcW w:w="6379" w:type="dxa"/>
            <w:shd w:val="clear" w:color="auto" w:fill="auto"/>
          </w:tcPr>
          <w:p w14:paraId="33EE0374" w14:textId="77777777" w:rsidR="00807170" w:rsidRPr="00F459BD" w:rsidRDefault="00396E9C" w:rsidP="00B474F1">
            <w:pPr>
              <w:pStyle w:val="TableBodyText"/>
              <w:keepNext w:val="0"/>
              <w:keepLines w:val="0"/>
              <w:widowControl w:val="0"/>
              <w:spacing w:before="60" w:after="60"/>
              <w:ind w:left="0"/>
              <w:jc w:val="left"/>
            </w:pPr>
            <w:r w:rsidRPr="00F459BD">
              <w:t>Non</w:t>
            </w:r>
            <w:r w:rsidRPr="00F459BD">
              <w:noBreakHyphen/>
              <w:t xml:space="preserve">referred attendances by vocationally </w:t>
            </w:r>
            <w:r w:rsidR="000B2487" w:rsidRPr="000B2487">
              <w:t xml:space="preserve">registered </w:t>
            </w:r>
            <w:r w:rsidRPr="00F459BD">
              <w:t>GPs and OMPs, and practice nurses</w:t>
            </w:r>
            <w:r w:rsidR="008D426A" w:rsidRPr="00F459BD">
              <w:t>.</w:t>
            </w:r>
          </w:p>
        </w:tc>
      </w:tr>
      <w:tr w:rsidR="00640438" w:rsidRPr="00F459BD" w14:paraId="52F474E1" w14:textId="77777777" w:rsidTr="00E51597">
        <w:tc>
          <w:tcPr>
            <w:tcW w:w="2410" w:type="dxa"/>
            <w:shd w:val="clear" w:color="auto" w:fill="auto"/>
            <w:tcMar>
              <w:left w:w="0" w:type="dxa"/>
            </w:tcMar>
          </w:tcPr>
          <w:p w14:paraId="2A8075F5" w14:textId="77777777" w:rsidR="00640438" w:rsidRPr="00F459BD" w:rsidRDefault="00640438" w:rsidP="00B474F1">
            <w:pPr>
              <w:pStyle w:val="TableBodyText"/>
              <w:keepNext w:val="0"/>
              <w:keepLines w:val="0"/>
              <w:widowControl w:val="0"/>
              <w:spacing w:before="60" w:after="60"/>
              <w:ind w:left="0"/>
              <w:jc w:val="left"/>
            </w:pPr>
            <w:r w:rsidRPr="00E51597">
              <w:rPr>
                <w:i/>
              </w:rPr>
              <w:t>Haemophilus influenzae</w:t>
            </w:r>
            <w:r w:rsidRPr="00F459BD">
              <w:t xml:space="preserve"> type b</w:t>
            </w:r>
          </w:p>
        </w:tc>
        <w:tc>
          <w:tcPr>
            <w:tcW w:w="6379" w:type="dxa"/>
            <w:shd w:val="clear" w:color="auto" w:fill="auto"/>
          </w:tcPr>
          <w:p w14:paraId="1D39F18D" w14:textId="7119E553" w:rsidR="00640438" w:rsidRPr="00F459BD" w:rsidRDefault="00640438" w:rsidP="00D842F0">
            <w:pPr>
              <w:pStyle w:val="TableBodyText"/>
              <w:keepNext w:val="0"/>
              <w:keepLines w:val="0"/>
              <w:widowControl w:val="0"/>
              <w:spacing w:before="60" w:after="60"/>
              <w:ind w:left="0"/>
              <w:jc w:val="left"/>
            </w:pPr>
            <w:r w:rsidRPr="00F459BD">
              <w:t>A bacterium which causes bloodstream infection, meningitis, epiglottitis, and pneumonia (</w:t>
            </w:r>
            <w:r w:rsidR="006C2E5E">
              <w:t>Department of Health</w:t>
            </w:r>
            <w:r w:rsidRPr="00F459BD">
              <w:t xml:space="preserve"> </w:t>
            </w:r>
            <w:r w:rsidR="00D842F0">
              <w:t>2018</w:t>
            </w:r>
            <w:r w:rsidRPr="00F459BD">
              <w:t>).</w:t>
            </w:r>
          </w:p>
        </w:tc>
      </w:tr>
      <w:tr w:rsidR="00182D9A" w:rsidRPr="00F459BD" w14:paraId="6246C3C4" w14:textId="77777777" w:rsidTr="00E51597">
        <w:tc>
          <w:tcPr>
            <w:tcW w:w="2410" w:type="dxa"/>
            <w:shd w:val="clear" w:color="auto" w:fill="auto"/>
            <w:tcMar>
              <w:left w:w="0" w:type="dxa"/>
            </w:tcMar>
          </w:tcPr>
          <w:p w14:paraId="0734C098" w14:textId="77777777" w:rsidR="00127AD7" w:rsidRDefault="00182D9A" w:rsidP="00B474F1">
            <w:pPr>
              <w:pStyle w:val="TableBodyText"/>
              <w:keepNext w:val="0"/>
              <w:keepLines w:val="0"/>
              <w:widowControl w:val="0"/>
              <w:spacing w:before="60" w:after="60"/>
              <w:ind w:left="0"/>
              <w:jc w:val="left"/>
            </w:pPr>
            <w:r w:rsidRPr="00F459BD">
              <w:t>Non</w:t>
            </w:r>
            <w:r w:rsidR="0064097A">
              <w:noBreakHyphen/>
            </w:r>
            <w:r w:rsidRPr="00F459BD">
              <w:t>referred attendances</w:t>
            </w:r>
          </w:p>
          <w:p w14:paraId="0DCD4D6E" w14:textId="77777777" w:rsidR="00127AD7" w:rsidRDefault="00127AD7" w:rsidP="00B474F1">
            <w:pPr>
              <w:widowControl w:val="0"/>
            </w:pPr>
          </w:p>
          <w:p w14:paraId="18203002" w14:textId="77777777" w:rsidR="00182D9A" w:rsidRPr="00127AD7" w:rsidRDefault="00182D9A" w:rsidP="00B474F1">
            <w:pPr>
              <w:widowControl w:val="0"/>
              <w:jc w:val="right"/>
            </w:pPr>
          </w:p>
        </w:tc>
        <w:tc>
          <w:tcPr>
            <w:tcW w:w="6379" w:type="dxa"/>
            <w:shd w:val="clear" w:color="auto" w:fill="auto"/>
          </w:tcPr>
          <w:p w14:paraId="25DE754D" w14:textId="77777777" w:rsidR="00864A84" w:rsidRPr="00F459BD" w:rsidRDefault="00557713" w:rsidP="00B474F1">
            <w:pPr>
              <w:pStyle w:val="TableBodyText"/>
              <w:keepNext w:val="0"/>
              <w:keepLines w:val="0"/>
              <w:widowControl w:val="0"/>
              <w:spacing w:before="60" w:after="60"/>
              <w:ind w:left="0"/>
              <w:jc w:val="left"/>
            </w:pPr>
            <w:r w:rsidRPr="00F459BD">
              <w:t xml:space="preserve">GP services, emergency attendances after hours, other prolonged attendances, group therapy and acupuncture. All attendances for specialist services are excluded because these must be ‘referred’ to receive </w:t>
            </w:r>
            <w:r w:rsidR="00A663F4">
              <w:t>DHS</w:t>
            </w:r>
            <w:r w:rsidR="002D7882" w:rsidRPr="002D7882">
              <w:t xml:space="preserve"> Medicare </w:t>
            </w:r>
            <w:r w:rsidRPr="00F459BD">
              <w:t>reimbursement.</w:t>
            </w:r>
          </w:p>
        </w:tc>
      </w:tr>
      <w:tr w:rsidR="00182D9A" w:rsidRPr="00F459BD" w14:paraId="4D4C0A3E" w14:textId="77777777" w:rsidTr="00E51597">
        <w:tc>
          <w:tcPr>
            <w:tcW w:w="2410" w:type="dxa"/>
            <w:shd w:val="clear" w:color="auto" w:fill="auto"/>
            <w:tcMar>
              <w:left w:w="0" w:type="dxa"/>
            </w:tcMar>
          </w:tcPr>
          <w:p w14:paraId="4FD12A44" w14:textId="77777777" w:rsidR="00182D9A" w:rsidRPr="00F459BD" w:rsidRDefault="00182D9A" w:rsidP="00B474F1">
            <w:pPr>
              <w:pStyle w:val="TableBodyText"/>
              <w:keepNext w:val="0"/>
              <w:keepLines w:val="0"/>
              <w:widowControl w:val="0"/>
              <w:spacing w:before="60" w:after="60"/>
              <w:ind w:left="0"/>
              <w:jc w:val="left"/>
            </w:pPr>
            <w:r w:rsidRPr="00F459BD">
              <w:t xml:space="preserve">Nationally notifiable disease </w:t>
            </w:r>
          </w:p>
        </w:tc>
        <w:tc>
          <w:tcPr>
            <w:tcW w:w="6379" w:type="dxa"/>
            <w:shd w:val="clear" w:color="auto" w:fill="auto"/>
          </w:tcPr>
          <w:p w14:paraId="264F5A68" w14:textId="097F967E" w:rsidR="00133D04" w:rsidRPr="00F459BD" w:rsidRDefault="00557713" w:rsidP="00B474F1">
            <w:pPr>
              <w:pStyle w:val="TableBodyText"/>
              <w:keepNext w:val="0"/>
              <w:keepLines w:val="0"/>
              <w:widowControl w:val="0"/>
              <w:spacing w:before="60" w:after="60"/>
              <w:ind w:left="0"/>
              <w:jc w:val="left"/>
            </w:pPr>
            <w:r w:rsidRPr="00F459BD">
              <w:t>A communicable disease that is on the Communicable Diseases Network Australia’s endorsed list of diseases to be notified nationally (</w:t>
            </w:r>
            <w:r w:rsidR="006C2E5E">
              <w:t>Department of Health</w:t>
            </w:r>
            <w:r w:rsidR="00094998">
              <w:t xml:space="preserve"> 2013</w:t>
            </w:r>
            <w:r w:rsidRPr="00F459BD">
              <w:t>). On diagnosis of these diseases, there is a requirement to notify the relevant State or Territory health authority.</w:t>
            </w:r>
          </w:p>
        </w:tc>
      </w:tr>
      <w:tr w:rsidR="00182D9A" w:rsidRPr="00F459BD" w14:paraId="77F95C84" w14:textId="77777777" w:rsidTr="00E51597">
        <w:tc>
          <w:tcPr>
            <w:tcW w:w="2410" w:type="dxa"/>
            <w:shd w:val="clear" w:color="auto" w:fill="auto"/>
            <w:tcMar>
              <w:left w:w="0" w:type="dxa"/>
            </w:tcMar>
          </w:tcPr>
          <w:p w14:paraId="7931CAC8" w14:textId="77777777" w:rsidR="00182D9A" w:rsidRPr="00F459BD" w:rsidRDefault="00182D9A" w:rsidP="00B474F1">
            <w:pPr>
              <w:pStyle w:val="TableBodyText"/>
              <w:keepNext w:val="0"/>
              <w:keepLines w:val="0"/>
              <w:widowControl w:val="0"/>
              <w:tabs>
                <w:tab w:val="left" w:pos="585"/>
              </w:tabs>
              <w:spacing w:before="60" w:after="60"/>
              <w:ind w:left="0"/>
              <w:jc w:val="left"/>
            </w:pPr>
            <w:r w:rsidRPr="00F459BD">
              <w:lastRenderedPageBreak/>
              <w:t>Other medical practitioner (OMP)</w:t>
            </w:r>
          </w:p>
        </w:tc>
        <w:tc>
          <w:tcPr>
            <w:tcW w:w="6379" w:type="dxa"/>
            <w:shd w:val="clear" w:color="auto" w:fill="auto"/>
          </w:tcPr>
          <w:p w14:paraId="063D47D5" w14:textId="77777777" w:rsidR="0074551E" w:rsidRPr="00F459BD" w:rsidRDefault="00557713" w:rsidP="00B474F1">
            <w:pPr>
              <w:pStyle w:val="TableBodyText"/>
              <w:keepNext w:val="0"/>
              <w:keepLines w:val="0"/>
              <w:widowControl w:val="0"/>
              <w:spacing w:before="60" w:after="60"/>
              <w:ind w:left="0"/>
              <w:jc w:val="left"/>
            </w:pPr>
            <w:r w:rsidRPr="00F459BD">
              <w:t xml:space="preserve">A medical practitioner other than a vocationally </w:t>
            </w:r>
            <w:r w:rsidR="000B2487" w:rsidRPr="000B2487">
              <w:t>registered</w:t>
            </w:r>
            <w:r w:rsidRPr="00F459BD">
              <w:t xml:space="preserve"> GP who has at least half of the schedule fee value of his/her </w:t>
            </w:r>
            <w:r w:rsidR="002D7882" w:rsidRPr="002D7882">
              <w:t xml:space="preserve">DHS Medicare </w:t>
            </w:r>
            <w:r w:rsidRPr="00F459BD">
              <w:t>billing from non</w:t>
            </w:r>
            <w:r w:rsidR="0064097A">
              <w:noBreakHyphen/>
            </w:r>
            <w:r w:rsidRPr="00F459BD">
              <w:t xml:space="preserve">referred attendances. These practitioners are able to access only the lower A2 </w:t>
            </w:r>
            <w:r w:rsidR="002D7882" w:rsidRPr="002D7882">
              <w:t xml:space="preserve">DHS Medicare </w:t>
            </w:r>
            <w:r w:rsidRPr="00F459BD">
              <w:t>rebate for general practice services they provide, unless the services are provided through certain Departmental incen</w:t>
            </w:r>
            <w:r w:rsidR="00A06509">
              <w:t>tive programs.</w:t>
            </w:r>
          </w:p>
        </w:tc>
      </w:tr>
      <w:tr w:rsidR="00182D9A" w:rsidRPr="00F459BD" w14:paraId="4130A0C9" w14:textId="77777777" w:rsidTr="00E51597">
        <w:tc>
          <w:tcPr>
            <w:tcW w:w="2410" w:type="dxa"/>
            <w:shd w:val="clear" w:color="auto" w:fill="auto"/>
            <w:tcMar>
              <w:left w:w="0" w:type="dxa"/>
            </w:tcMar>
          </w:tcPr>
          <w:p w14:paraId="345F1F40" w14:textId="77777777" w:rsidR="00182D9A" w:rsidRPr="00F459BD" w:rsidRDefault="00557713" w:rsidP="00B474F1">
            <w:pPr>
              <w:pStyle w:val="TableBodyText"/>
              <w:keepNext w:val="0"/>
              <w:keepLines w:val="0"/>
              <w:widowControl w:val="0"/>
              <w:spacing w:before="60" w:after="60"/>
              <w:ind w:left="0"/>
              <w:jc w:val="left"/>
            </w:pPr>
            <w:r w:rsidRPr="00F459BD">
              <w:t>Pap smear</w:t>
            </w:r>
          </w:p>
        </w:tc>
        <w:tc>
          <w:tcPr>
            <w:tcW w:w="6379" w:type="dxa"/>
            <w:shd w:val="clear" w:color="auto" w:fill="auto"/>
          </w:tcPr>
          <w:p w14:paraId="403EB849" w14:textId="77777777" w:rsidR="00170FA9" w:rsidRPr="00F459BD" w:rsidRDefault="00557713" w:rsidP="00B474F1">
            <w:pPr>
              <w:pStyle w:val="TableBodyText"/>
              <w:keepNext w:val="0"/>
              <w:keepLines w:val="0"/>
              <w:widowControl w:val="0"/>
              <w:spacing w:before="60" w:after="60"/>
              <w:ind w:left="0"/>
              <w:jc w:val="left"/>
            </w:pPr>
            <w:r w:rsidRPr="00F459BD">
              <w:t>A procedure for the detection of cancer and pre</w:t>
            </w:r>
            <w:r w:rsidR="0064097A">
              <w:noBreakHyphen/>
            </w:r>
            <w:r w:rsidRPr="00F459BD">
              <w:t>cancerous conditions of the female cervix.</w:t>
            </w:r>
          </w:p>
        </w:tc>
      </w:tr>
      <w:tr w:rsidR="00AF3FA5" w:rsidRPr="00E51597" w14:paraId="7789B323" w14:textId="77777777" w:rsidTr="00E51597">
        <w:tc>
          <w:tcPr>
            <w:tcW w:w="2410" w:type="dxa"/>
            <w:shd w:val="clear" w:color="auto" w:fill="auto"/>
            <w:tcMar>
              <w:left w:w="0" w:type="dxa"/>
            </w:tcMar>
          </w:tcPr>
          <w:p w14:paraId="019517D0" w14:textId="77777777" w:rsidR="00AF3FA5" w:rsidRPr="00F459BD" w:rsidRDefault="00AF3FA5" w:rsidP="00B474F1">
            <w:pPr>
              <w:pStyle w:val="TableBodyText"/>
              <w:keepNext w:val="0"/>
              <w:keepLines w:val="0"/>
              <w:widowControl w:val="0"/>
              <w:spacing w:before="60" w:after="60"/>
              <w:ind w:left="0"/>
              <w:jc w:val="left"/>
            </w:pPr>
            <w:r w:rsidRPr="00AF3FA5">
              <w:t>PBS doctor’s bag</w:t>
            </w:r>
          </w:p>
        </w:tc>
        <w:tc>
          <w:tcPr>
            <w:tcW w:w="6379" w:type="dxa"/>
            <w:shd w:val="clear" w:color="auto" w:fill="auto"/>
          </w:tcPr>
          <w:p w14:paraId="4FBF4367" w14:textId="77777777" w:rsidR="00AF3FA5" w:rsidRPr="00F459BD" w:rsidRDefault="00AF3FA5" w:rsidP="00B474F1">
            <w:pPr>
              <w:pStyle w:val="TableBodyText"/>
              <w:keepNext w:val="0"/>
              <w:keepLines w:val="0"/>
              <w:widowControl w:val="0"/>
              <w:spacing w:before="60" w:after="60"/>
              <w:jc w:val="left"/>
            </w:pPr>
            <w:r>
              <w:t xml:space="preserve">Emergency drug supplies provided without charge to prescribers for use in </w:t>
            </w:r>
            <w:r w:rsidRPr="00AF3FA5">
              <w:t>medical emergencies in the clinic or the community</w:t>
            </w:r>
            <w:r>
              <w:t xml:space="preserve"> at no charge to the patient.</w:t>
            </w:r>
          </w:p>
        </w:tc>
      </w:tr>
      <w:tr w:rsidR="00182D9A" w:rsidRPr="00E51597" w14:paraId="06AE0935" w14:textId="77777777" w:rsidTr="00E51597">
        <w:tc>
          <w:tcPr>
            <w:tcW w:w="2410" w:type="dxa"/>
            <w:shd w:val="clear" w:color="auto" w:fill="auto"/>
            <w:tcMar>
              <w:left w:w="0" w:type="dxa"/>
            </w:tcMar>
          </w:tcPr>
          <w:p w14:paraId="78AA4085" w14:textId="77777777" w:rsidR="00182D9A" w:rsidRPr="00F459BD" w:rsidRDefault="00557713" w:rsidP="00B474F1">
            <w:pPr>
              <w:pStyle w:val="TableBodyText"/>
              <w:keepNext w:val="0"/>
              <w:keepLines w:val="0"/>
              <w:widowControl w:val="0"/>
              <w:spacing w:before="60" w:after="60"/>
              <w:ind w:left="0"/>
              <w:jc w:val="left"/>
            </w:pPr>
            <w:r w:rsidRPr="00F459BD">
              <w:t xml:space="preserve">Per person benefits paid for GP ordered pathology </w:t>
            </w:r>
          </w:p>
        </w:tc>
        <w:tc>
          <w:tcPr>
            <w:tcW w:w="6379" w:type="dxa"/>
            <w:shd w:val="clear" w:color="auto" w:fill="auto"/>
          </w:tcPr>
          <w:p w14:paraId="367A236E" w14:textId="77777777" w:rsidR="00182D9A" w:rsidRPr="00F459BD" w:rsidRDefault="00557713" w:rsidP="00B474F1">
            <w:pPr>
              <w:pStyle w:val="TableBodyText"/>
              <w:keepNext w:val="0"/>
              <w:keepLines w:val="0"/>
              <w:widowControl w:val="0"/>
              <w:spacing w:before="60" w:after="60"/>
              <w:ind w:left="0"/>
              <w:jc w:val="left"/>
            </w:pPr>
            <w:r w:rsidRPr="00F459BD">
              <w:t xml:space="preserve">Total benefits paid </w:t>
            </w:r>
            <w:r w:rsidR="00C90EA8">
              <w:t xml:space="preserve">under </w:t>
            </w:r>
            <w:r w:rsidR="002D7882" w:rsidRPr="002D7882">
              <w:t xml:space="preserve">DHS Medicare </w:t>
            </w:r>
            <w:r w:rsidRPr="00F459BD">
              <w:t xml:space="preserve">for pathology tests </w:t>
            </w:r>
            <w:r w:rsidR="00C90EA8">
              <w:t>requested</w:t>
            </w:r>
            <w:r w:rsidRPr="00F459BD">
              <w:t xml:space="preserve"> by GPs, divided by the population.</w:t>
            </w:r>
          </w:p>
        </w:tc>
      </w:tr>
      <w:tr w:rsidR="00182D9A" w:rsidRPr="00E51597" w14:paraId="7C3B99DE" w14:textId="77777777" w:rsidTr="00E51597">
        <w:tc>
          <w:tcPr>
            <w:tcW w:w="2410" w:type="dxa"/>
            <w:shd w:val="clear" w:color="auto" w:fill="auto"/>
            <w:tcMar>
              <w:left w:w="0" w:type="dxa"/>
            </w:tcMar>
          </w:tcPr>
          <w:p w14:paraId="5DA3EC5A" w14:textId="77777777" w:rsidR="0002634A" w:rsidRPr="00F459BD" w:rsidRDefault="00557713" w:rsidP="00B474F1">
            <w:pPr>
              <w:pStyle w:val="TableBodyText"/>
              <w:keepNext w:val="0"/>
              <w:keepLines w:val="0"/>
              <w:widowControl w:val="0"/>
              <w:spacing w:before="60" w:after="60"/>
              <w:ind w:left="0"/>
              <w:jc w:val="left"/>
            </w:pPr>
            <w:r w:rsidRPr="00F459BD">
              <w:t>Per person benefits paid for GP referred diagnostic imaging</w:t>
            </w:r>
          </w:p>
        </w:tc>
        <w:tc>
          <w:tcPr>
            <w:tcW w:w="6379" w:type="dxa"/>
            <w:shd w:val="clear" w:color="auto" w:fill="auto"/>
          </w:tcPr>
          <w:p w14:paraId="74AF1813" w14:textId="77777777" w:rsidR="00182D9A" w:rsidRPr="00F459BD" w:rsidRDefault="00557713" w:rsidP="00B474F1">
            <w:pPr>
              <w:pStyle w:val="TableBodyText"/>
              <w:keepNext w:val="0"/>
              <w:keepLines w:val="0"/>
              <w:widowControl w:val="0"/>
              <w:spacing w:before="60" w:after="60"/>
              <w:ind w:left="0"/>
              <w:jc w:val="left"/>
            </w:pPr>
            <w:r w:rsidRPr="00F459BD">
              <w:t xml:space="preserve">Total benefits paid for diagnostic imaging </w:t>
            </w:r>
            <w:r w:rsidR="00C90EA8">
              <w:t>services</w:t>
            </w:r>
            <w:r w:rsidR="00A77C1D">
              <w:t xml:space="preserve"> performed on ref</w:t>
            </w:r>
            <w:r w:rsidRPr="00F459BD">
              <w:t>err</w:t>
            </w:r>
            <w:r w:rsidR="00A77C1D">
              <w:t>al</w:t>
            </w:r>
            <w:r w:rsidRPr="00F459BD">
              <w:t xml:space="preserve"> by GPs, divided by the population.</w:t>
            </w:r>
          </w:p>
        </w:tc>
      </w:tr>
      <w:tr w:rsidR="00557713" w:rsidRPr="00E51597" w14:paraId="61ADCD52" w14:textId="77777777" w:rsidTr="00E51597">
        <w:tc>
          <w:tcPr>
            <w:tcW w:w="2410" w:type="dxa"/>
            <w:shd w:val="clear" w:color="auto" w:fill="auto"/>
            <w:tcMar>
              <w:left w:w="0" w:type="dxa"/>
            </w:tcMar>
          </w:tcPr>
          <w:p w14:paraId="158ADB5A" w14:textId="77777777" w:rsidR="00557713" w:rsidRPr="00F459BD" w:rsidRDefault="00557713" w:rsidP="00B474F1">
            <w:pPr>
              <w:pStyle w:val="TableBodyText"/>
              <w:keepNext w:val="0"/>
              <w:keepLines w:val="0"/>
              <w:widowControl w:val="0"/>
              <w:spacing w:before="60" w:after="60"/>
              <w:ind w:left="0"/>
              <w:jc w:val="left"/>
            </w:pPr>
            <w:r w:rsidRPr="00F459BD">
              <w:t>Primary healthcare</w:t>
            </w:r>
          </w:p>
        </w:tc>
        <w:tc>
          <w:tcPr>
            <w:tcW w:w="6379" w:type="dxa"/>
            <w:shd w:val="clear" w:color="auto" w:fill="auto"/>
          </w:tcPr>
          <w:p w14:paraId="0B0DCF5C" w14:textId="77777777" w:rsidR="00557713" w:rsidRPr="00F459BD" w:rsidRDefault="00557713" w:rsidP="00B474F1">
            <w:pPr>
              <w:pStyle w:val="TableBodyText"/>
              <w:keepNext w:val="0"/>
              <w:keepLines w:val="0"/>
              <w:widowControl w:val="0"/>
              <w:spacing w:before="60" w:after="60"/>
              <w:ind w:left="0"/>
              <w:jc w:val="left"/>
            </w:pPr>
            <w:r w:rsidRPr="00F459BD">
              <w:t>The primary and community healthcare sector includes services that:</w:t>
            </w:r>
          </w:p>
          <w:p w14:paraId="2BD8B0B9" w14:textId="77777777" w:rsidR="00557713" w:rsidRPr="00F459BD" w:rsidRDefault="00557713" w:rsidP="00B474F1">
            <w:pPr>
              <w:pStyle w:val="TableBullet"/>
              <w:keepNext w:val="0"/>
              <w:keepLines w:val="0"/>
              <w:widowControl w:val="0"/>
            </w:pPr>
            <w:r w:rsidRPr="00F459BD">
              <w:t>provide the first point of contact with the health system</w:t>
            </w:r>
          </w:p>
          <w:p w14:paraId="33007ACE" w14:textId="77777777" w:rsidR="00557713" w:rsidRPr="00F459BD" w:rsidRDefault="00557713" w:rsidP="00B474F1">
            <w:pPr>
              <w:pStyle w:val="TableBullet"/>
              <w:keepNext w:val="0"/>
              <w:keepLines w:val="0"/>
              <w:widowControl w:val="0"/>
            </w:pPr>
            <w:r w:rsidRPr="00F459BD">
              <w:t>have a particular focus on illness prevention or early intervention</w:t>
            </w:r>
          </w:p>
          <w:p w14:paraId="34740342" w14:textId="77777777" w:rsidR="00557713" w:rsidRPr="00F459BD" w:rsidRDefault="00557713" w:rsidP="00B474F1">
            <w:pPr>
              <w:pStyle w:val="TableBullet"/>
              <w:keepNext w:val="0"/>
              <w:keepLines w:val="0"/>
              <w:widowControl w:val="0"/>
            </w:pPr>
            <w:r w:rsidRPr="00F459BD">
              <w:t>are intended to maintain people’s independence and maximise their quality of life through care and support at home or in local community settings.</w:t>
            </w:r>
          </w:p>
        </w:tc>
      </w:tr>
      <w:tr w:rsidR="005C7B13" w:rsidRPr="00E51597" w14:paraId="77495767" w14:textId="77777777" w:rsidTr="00E51597">
        <w:trPr>
          <w:trHeight w:val="282"/>
        </w:trPr>
        <w:tc>
          <w:tcPr>
            <w:tcW w:w="2410" w:type="dxa"/>
            <w:shd w:val="clear" w:color="auto" w:fill="auto"/>
            <w:tcMar>
              <w:left w:w="0" w:type="dxa"/>
            </w:tcMar>
          </w:tcPr>
          <w:p w14:paraId="63AAB487" w14:textId="77777777" w:rsidR="005C7B13" w:rsidRPr="00F459BD" w:rsidRDefault="005C7B13" w:rsidP="00B474F1">
            <w:pPr>
              <w:pStyle w:val="TableBodyText"/>
              <w:keepNext w:val="0"/>
              <w:keepLines w:val="0"/>
              <w:widowControl w:val="0"/>
              <w:spacing w:before="60" w:after="60"/>
              <w:ind w:left="0"/>
              <w:jc w:val="left"/>
            </w:pPr>
            <w:r>
              <w:t>Primary Health Network</w:t>
            </w:r>
            <w:r w:rsidR="002D68B6">
              <w:t>s</w:t>
            </w:r>
          </w:p>
        </w:tc>
        <w:tc>
          <w:tcPr>
            <w:tcW w:w="6379" w:type="dxa"/>
            <w:shd w:val="clear" w:color="auto" w:fill="auto"/>
          </w:tcPr>
          <w:p w14:paraId="26DC94E8" w14:textId="77777777" w:rsidR="005C7B13" w:rsidRPr="00F459BD" w:rsidRDefault="002D68B6" w:rsidP="00B474F1">
            <w:pPr>
              <w:pStyle w:val="TableBodyText"/>
              <w:keepNext w:val="0"/>
              <w:keepLines w:val="0"/>
              <w:widowControl w:val="0"/>
              <w:spacing w:before="60" w:after="60"/>
              <w:ind w:left="0"/>
              <w:jc w:val="left"/>
            </w:pPr>
            <w:r w:rsidRPr="002D68B6">
              <w:t xml:space="preserve">Primary Health Networks </w:t>
            </w:r>
            <w:r>
              <w:t xml:space="preserve">(PHNs) are a national network of </w:t>
            </w:r>
            <w:r w:rsidRPr="00A73D31">
              <w:t>independent</w:t>
            </w:r>
            <w:r>
              <w:t xml:space="preserve"> </w:t>
            </w:r>
            <w:r w:rsidRPr="00F97661">
              <w:t>primary health care organisations</w:t>
            </w:r>
            <w:r>
              <w:t xml:space="preserve"> (replacing </w:t>
            </w:r>
            <w:r w:rsidR="00CA654F" w:rsidRPr="005A4538">
              <w:t>Medicare Locals (</w:t>
            </w:r>
            <w:r w:rsidRPr="005A4538">
              <w:t>MLs</w:t>
            </w:r>
            <w:r w:rsidR="00CA654F" w:rsidRPr="005A4538">
              <w:t>)</w:t>
            </w:r>
            <w:r>
              <w:t xml:space="preserve"> from 1 July 2015) with</w:t>
            </w:r>
            <w:r w:rsidR="00AE3D4B">
              <w:t xml:space="preserve"> the objective</w:t>
            </w:r>
            <w:r>
              <w:t xml:space="preserve"> </w:t>
            </w:r>
            <w:r w:rsidR="00AE3D4B" w:rsidRPr="00AE3D4B">
              <w:t>to improve the efficiency and effectiveness of medical services for patients at risk of poor health outcomes and to improve coordination of care, particularly for those with chronic and complex conditions</w:t>
            </w:r>
            <w:r>
              <w:t>.</w:t>
            </w:r>
          </w:p>
        </w:tc>
      </w:tr>
      <w:tr w:rsidR="00557713" w:rsidRPr="00E51597" w14:paraId="7B337114" w14:textId="77777777" w:rsidTr="00E51597">
        <w:trPr>
          <w:trHeight w:val="282"/>
        </w:trPr>
        <w:tc>
          <w:tcPr>
            <w:tcW w:w="2410" w:type="dxa"/>
            <w:shd w:val="clear" w:color="auto" w:fill="auto"/>
            <w:tcMar>
              <w:left w:w="0" w:type="dxa"/>
            </w:tcMar>
          </w:tcPr>
          <w:p w14:paraId="53AB036D" w14:textId="77777777" w:rsidR="00557713" w:rsidRPr="00F459BD" w:rsidRDefault="00557713" w:rsidP="00B474F1">
            <w:pPr>
              <w:pStyle w:val="TableBodyText"/>
              <w:keepNext w:val="0"/>
              <w:keepLines w:val="0"/>
              <w:widowControl w:val="0"/>
              <w:spacing w:before="60" w:after="60"/>
              <w:ind w:left="0"/>
              <w:jc w:val="left"/>
            </w:pPr>
            <w:r w:rsidRPr="00F459BD">
              <w:t>Prevalence</w:t>
            </w:r>
          </w:p>
        </w:tc>
        <w:tc>
          <w:tcPr>
            <w:tcW w:w="6379" w:type="dxa"/>
            <w:shd w:val="clear" w:color="auto" w:fill="auto"/>
          </w:tcPr>
          <w:p w14:paraId="62AF53EC" w14:textId="77777777" w:rsidR="00557713" w:rsidRPr="00F459BD" w:rsidRDefault="00557713" w:rsidP="00B474F1">
            <w:pPr>
              <w:pStyle w:val="TableBodyText"/>
              <w:keepNext w:val="0"/>
              <w:keepLines w:val="0"/>
              <w:widowControl w:val="0"/>
              <w:spacing w:before="60" w:after="60"/>
              <w:ind w:left="0"/>
              <w:jc w:val="left"/>
            </w:pPr>
            <w:r w:rsidRPr="00F459BD">
              <w:t>The proportion of the population suffering from a disorder at a given point in time (point prevalence) o</w:t>
            </w:r>
            <w:r w:rsidR="0002634A" w:rsidRPr="00F459BD">
              <w:t>r given period (period </w:t>
            </w:r>
            <w:r w:rsidRPr="00F459BD">
              <w:t>prevalence).</w:t>
            </w:r>
          </w:p>
        </w:tc>
      </w:tr>
      <w:tr w:rsidR="00557713" w:rsidRPr="00E51597" w14:paraId="65DE2E80" w14:textId="77777777" w:rsidTr="00E51597">
        <w:tc>
          <w:tcPr>
            <w:tcW w:w="2410" w:type="dxa"/>
            <w:shd w:val="clear" w:color="auto" w:fill="auto"/>
            <w:tcMar>
              <w:left w:w="0" w:type="dxa"/>
            </w:tcMar>
          </w:tcPr>
          <w:p w14:paraId="7F85FF21" w14:textId="77777777" w:rsidR="00557713" w:rsidRPr="00F459BD" w:rsidRDefault="00557713" w:rsidP="00B474F1">
            <w:pPr>
              <w:pStyle w:val="TableBodyText"/>
              <w:keepNext w:val="0"/>
              <w:keepLines w:val="0"/>
              <w:widowControl w:val="0"/>
              <w:spacing w:before="60" w:after="60"/>
              <w:ind w:left="0"/>
              <w:jc w:val="left"/>
            </w:pPr>
            <w:r w:rsidRPr="00F459BD">
              <w:t>Public health</w:t>
            </w:r>
          </w:p>
        </w:tc>
        <w:tc>
          <w:tcPr>
            <w:tcW w:w="6379" w:type="dxa"/>
            <w:shd w:val="clear" w:color="auto" w:fill="auto"/>
          </w:tcPr>
          <w:p w14:paraId="5299805C" w14:textId="77777777" w:rsidR="00557713" w:rsidRPr="00F459BD" w:rsidRDefault="00557713" w:rsidP="00B474F1">
            <w:pPr>
              <w:pStyle w:val="TableBodyText"/>
              <w:keepNext w:val="0"/>
              <w:keepLines w:val="0"/>
              <w:widowControl w:val="0"/>
              <w:spacing w:before="60" w:after="60"/>
              <w:ind w:left="0"/>
              <w:jc w:val="left"/>
            </w:pPr>
            <w:r w:rsidRPr="00F459BD">
              <w:t>The organised, social response to protect and promote health and to prevent illness, injury and disability. The starting point for identifying public health issues, problems and priorities, and for designing and implementing interventions, is the population as a whole or population subgroups. Public health is characterised by a focus on the health of the population (and particular at</w:t>
            </w:r>
            <w:r w:rsidR="0064097A">
              <w:noBreakHyphen/>
            </w:r>
            <w:r w:rsidRPr="00F459BD">
              <w:t>risk groups) and complements clinical provision of healthcare services.</w:t>
            </w:r>
          </w:p>
        </w:tc>
      </w:tr>
      <w:tr w:rsidR="00557713" w:rsidRPr="00E51597" w14:paraId="02004254" w14:textId="77777777" w:rsidTr="00931CC9">
        <w:tc>
          <w:tcPr>
            <w:tcW w:w="2410" w:type="dxa"/>
            <w:shd w:val="clear" w:color="auto" w:fill="auto"/>
            <w:tcMar>
              <w:left w:w="0" w:type="dxa"/>
            </w:tcMar>
          </w:tcPr>
          <w:p w14:paraId="17AABF9E" w14:textId="77777777" w:rsidR="00557713" w:rsidRPr="00F459BD" w:rsidRDefault="00557713" w:rsidP="00B474F1">
            <w:pPr>
              <w:pStyle w:val="TableBodyText"/>
              <w:keepNext w:val="0"/>
              <w:keepLines w:val="0"/>
              <w:widowControl w:val="0"/>
              <w:spacing w:before="60" w:after="60"/>
              <w:ind w:left="0"/>
              <w:jc w:val="left"/>
            </w:pPr>
            <w:r w:rsidRPr="00F459BD">
              <w:t>Recognised immunisation provider</w:t>
            </w:r>
          </w:p>
        </w:tc>
        <w:tc>
          <w:tcPr>
            <w:tcW w:w="6379" w:type="dxa"/>
            <w:shd w:val="clear" w:color="auto" w:fill="auto"/>
          </w:tcPr>
          <w:p w14:paraId="0C85BF15" w14:textId="37A96143" w:rsidR="00557713" w:rsidRPr="00F459BD" w:rsidRDefault="00557713" w:rsidP="00B474F1">
            <w:pPr>
              <w:pStyle w:val="TableBodyText"/>
              <w:keepNext w:val="0"/>
              <w:keepLines w:val="0"/>
              <w:widowControl w:val="0"/>
              <w:spacing w:before="60" w:after="60"/>
              <w:ind w:left="0"/>
              <w:jc w:val="left"/>
            </w:pPr>
            <w:r w:rsidRPr="00F459BD">
              <w:t xml:space="preserve">A provider recognised by </w:t>
            </w:r>
            <w:r w:rsidR="002D7882" w:rsidRPr="002D7882">
              <w:t xml:space="preserve">DHS Medicare </w:t>
            </w:r>
            <w:r w:rsidRPr="00F459BD">
              <w:t xml:space="preserve">as </w:t>
            </w:r>
            <w:r w:rsidR="00D97FE8">
              <w:t>a provider of immunisation</w:t>
            </w:r>
            <w:r w:rsidRPr="00F459BD">
              <w:t>.</w:t>
            </w:r>
          </w:p>
        </w:tc>
      </w:tr>
      <w:tr w:rsidR="00557713" w:rsidRPr="00E51597" w14:paraId="6F2297F5" w14:textId="77777777" w:rsidTr="00931CC9">
        <w:tc>
          <w:tcPr>
            <w:tcW w:w="2410" w:type="dxa"/>
            <w:shd w:val="clear" w:color="auto" w:fill="auto"/>
            <w:tcMar>
              <w:left w:w="0" w:type="dxa"/>
            </w:tcMar>
          </w:tcPr>
          <w:p w14:paraId="5EFD3EBF" w14:textId="77777777" w:rsidR="00557713" w:rsidRPr="00F459BD" w:rsidRDefault="00557713" w:rsidP="00B474F1">
            <w:pPr>
              <w:pStyle w:val="TableBodyText"/>
              <w:keepNext w:val="0"/>
              <w:keepLines w:val="0"/>
              <w:widowControl w:val="0"/>
              <w:spacing w:before="60" w:after="60"/>
              <w:ind w:left="0"/>
              <w:jc w:val="left"/>
            </w:pPr>
            <w:r w:rsidRPr="00F459BD">
              <w:t>Recognised specialist</w:t>
            </w:r>
          </w:p>
        </w:tc>
        <w:tc>
          <w:tcPr>
            <w:tcW w:w="6379" w:type="dxa"/>
            <w:shd w:val="clear" w:color="auto" w:fill="auto"/>
          </w:tcPr>
          <w:p w14:paraId="345D0200" w14:textId="77777777" w:rsidR="00557713" w:rsidRPr="006764BC" w:rsidRDefault="00557713" w:rsidP="00B474F1">
            <w:pPr>
              <w:pStyle w:val="TableBodyText"/>
              <w:keepNext w:val="0"/>
              <w:keepLines w:val="0"/>
              <w:widowControl w:val="0"/>
              <w:spacing w:before="60" w:after="60"/>
              <w:ind w:left="0"/>
              <w:jc w:val="left"/>
              <w:rPr>
                <w:highlight w:val="yellow"/>
              </w:rPr>
            </w:pPr>
            <w:r w:rsidRPr="00931CC9">
              <w:t xml:space="preserve">A medical practitioner classified as a specialist </w:t>
            </w:r>
            <w:r w:rsidR="001177EC" w:rsidRPr="00931CC9">
              <w:t xml:space="preserve">by the Medical Board of Australia </w:t>
            </w:r>
            <w:r w:rsidR="006764BC" w:rsidRPr="00931CC9">
              <w:t xml:space="preserve">and </w:t>
            </w:r>
            <w:r w:rsidRPr="00931CC9">
              <w:t xml:space="preserve">on the </w:t>
            </w:r>
            <w:r w:rsidR="002D7882" w:rsidRPr="00931CC9">
              <w:t xml:space="preserve">DHS Medicare </w:t>
            </w:r>
            <w:r w:rsidRPr="00931CC9">
              <w:t xml:space="preserve">database earning at least half of his or her income from relevant specialist items in the schedule, having regard to the practitioner’s </w:t>
            </w:r>
            <w:r w:rsidR="006764BC" w:rsidRPr="00931CC9">
              <w:t>field of specialist recognition.</w:t>
            </w:r>
          </w:p>
        </w:tc>
      </w:tr>
      <w:tr w:rsidR="00557713" w:rsidRPr="00E51597" w14:paraId="28F731D3" w14:textId="77777777" w:rsidTr="00E51597">
        <w:trPr>
          <w:trHeight w:val="266"/>
        </w:trPr>
        <w:tc>
          <w:tcPr>
            <w:tcW w:w="2410" w:type="dxa"/>
            <w:shd w:val="clear" w:color="auto" w:fill="auto"/>
            <w:tcMar>
              <w:left w:w="0" w:type="dxa"/>
            </w:tcMar>
          </w:tcPr>
          <w:p w14:paraId="1D2C89AB" w14:textId="77777777" w:rsidR="00557713" w:rsidRPr="00F459BD" w:rsidRDefault="00557713" w:rsidP="00B474F1">
            <w:pPr>
              <w:pStyle w:val="TableBodyText"/>
              <w:keepNext w:val="0"/>
              <w:keepLines w:val="0"/>
              <w:widowControl w:val="0"/>
              <w:spacing w:before="60" w:after="60"/>
              <w:ind w:left="0"/>
              <w:jc w:val="left"/>
            </w:pPr>
            <w:r w:rsidRPr="00F459BD">
              <w:t>Screening</w:t>
            </w:r>
          </w:p>
        </w:tc>
        <w:tc>
          <w:tcPr>
            <w:tcW w:w="6379" w:type="dxa"/>
            <w:shd w:val="clear" w:color="auto" w:fill="auto"/>
          </w:tcPr>
          <w:p w14:paraId="50AA1BBE" w14:textId="77777777" w:rsidR="00174257" w:rsidRPr="00F459BD" w:rsidRDefault="00557713" w:rsidP="00B474F1">
            <w:pPr>
              <w:pStyle w:val="TableBodyText"/>
              <w:keepNext w:val="0"/>
              <w:keepLines w:val="0"/>
              <w:widowControl w:val="0"/>
              <w:spacing w:before="60" w:after="60"/>
              <w:ind w:left="0"/>
              <w:jc w:val="left"/>
            </w:pPr>
            <w:r w:rsidRPr="00F459BD">
              <w:t xml:space="preserve">The performance of tests on apparently well people to detect a medical condition </w:t>
            </w:r>
            <w:r w:rsidR="00900FDC" w:rsidRPr="00F459BD">
              <w:t>earlier than would otherwise be possible</w:t>
            </w:r>
            <w:r w:rsidRPr="00F459BD">
              <w:t>.</w:t>
            </w:r>
          </w:p>
        </w:tc>
      </w:tr>
      <w:tr w:rsidR="002B2E0C" w:rsidRPr="00F459BD" w14:paraId="0429BB5B" w14:textId="77777777" w:rsidTr="00E51597">
        <w:tc>
          <w:tcPr>
            <w:tcW w:w="2410" w:type="dxa"/>
            <w:shd w:val="clear" w:color="auto" w:fill="auto"/>
            <w:tcMar>
              <w:left w:w="0" w:type="dxa"/>
            </w:tcMar>
          </w:tcPr>
          <w:p w14:paraId="2E3F3169" w14:textId="77777777" w:rsidR="002B2E0C" w:rsidRPr="00F459BD" w:rsidRDefault="002B2E0C" w:rsidP="00B474F1">
            <w:pPr>
              <w:pStyle w:val="TableBodyText"/>
              <w:keepNext w:val="0"/>
              <w:keepLines w:val="0"/>
              <w:widowControl w:val="0"/>
              <w:jc w:val="left"/>
            </w:pPr>
            <w:r w:rsidRPr="00F459BD">
              <w:t>Triage category</w:t>
            </w:r>
          </w:p>
        </w:tc>
        <w:tc>
          <w:tcPr>
            <w:tcW w:w="6379" w:type="dxa"/>
            <w:shd w:val="clear" w:color="auto" w:fill="auto"/>
          </w:tcPr>
          <w:p w14:paraId="4957671B" w14:textId="77777777" w:rsidR="002B2E0C" w:rsidRPr="00F459BD" w:rsidRDefault="002B2E0C" w:rsidP="00B474F1">
            <w:pPr>
              <w:pStyle w:val="TableBodyText"/>
              <w:keepNext w:val="0"/>
              <w:keepLines w:val="0"/>
              <w:widowControl w:val="0"/>
              <w:jc w:val="left"/>
            </w:pPr>
            <w:r w:rsidRPr="00F459BD">
              <w:t>The urgency of the patient’s need for medical and nursing care:</w:t>
            </w:r>
          </w:p>
          <w:p w14:paraId="391B481B" w14:textId="77777777" w:rsidR="002B2E0C" w:rsidRPr="00F459BD" w:rsidRDefault="002B2E0C" w:rsidP="00B474F1">
            <w:pPr>
              <w:pStyle w:val="TableBullet"/>
              <w:keepNext w:val="0"/>
              <w:keepLines w:val="0"/>
              <w:widowControl w:val="0"/>
            </w:pPr>
            <w:r w:rsidRPr="00F459BD">
              <w:t>category 1 — resuscitation (immediate within seconds)</w:t>
            </w:r>
          </w:p>
          <w:p w14:paraId="66AA10B8" w14:textId="77777777" w:rsidR="002B2E0C" w:rsidRPr="00F459BD" w:rsidRDefault="002B2E0C" w:rsidP="00B474F1">
            <w:pPr>
              <w:pStyle w:val="TableBullet"/>
              <w:keepNext w:val="0"/>
              <w:keepLines w:val="0"/>
              <w:widowControl w:val="0"/>
            </w:pPr>
            <w:r w:rsidRPr="00F459BD">
              <w:t>category 2 — emergency (within 10 minutes)</w:t>
            </w:r>
          </w:p>
          <w:p w14:paraId="255045AD" w14:textId="77777777" w:rsidR="002B2E0C" w:rsidRPr="00F459BD" w:rsidRDefault="002B2E0C" w:rsidP="00B474F1">
            <w:pPr>
              <w:pStyle w:val="TableBullet"/>
              <w:keepNext w:val="0"/>
              <w:keepLines w:val="0"/>
              <w:widowControl w:val="0"/>
            </w:pPr>
            <w:r w:rsidRPr="00F459BD">
              <w:t>category 3 — urgent (within 30 minutes)</w:t>
            </w:r>
          </w:p>
          <w:p w14:paraId="138DC7BB" w14:textId="77777777" w:rsidR="002B2E0C" w:rsidRPr="00F459BD" w:rsidRDefault="002B2E0C" w:rsidP="00B474F1">
            <w:pPr>
              <w:pStyle w:val="TableBullet"/>
              <w:keepNext w:val="0"/>
              <w:keepLines w:val="0"/>
              <w:widowControl w:val="0"/>
            </w:pPr>
            <w:r w:rsidRPr="00F459BD">
              <w:t>category 4 — semi</w:t>
            </w:r>
            <w:r w:rsidR="0064097A">
              <w:noBreakHyphen/>
            </w:r>
            <w:r w:rsidRPr="00F459BD">
              <w:t>urgent (within 60 minutes)</w:t>
            </w:r>
          </w:p>
          <w:p w14:paraId="41340828" w14:textId="77777777" w:rsidR="002B2E0C" w:rsidRPr="00F459BD" w:rsidRDefault="002B2E0C" w:rsidP="00B474F1">
            <w:pPr>
              <w:pStyle w:val="TableBullet"/>
              <w:keepNext w:val="0"/>
              <w:keepLines w:val="0"/>
              <w:widowControl w:val="0"/>
            </w:pPr>
            <w:r w:rsidRPr="00F459BD">
              <w:t>category 5 — non</w:t>
            </w:r>
            <w:r w:rsidR="0064097A">
              <w:noBreakHyphen/>
            </w:r>
            <w:r w:rsidRPr="00F459BD">
              <w:t>urgent (within 120 minutes).</w:t>
            </w:r>
          </w:p>
        </w:tc>
      </w:tr>
    </w:tbl>
    <w:p w14:paraId="500536D9" w14:textId="77777777" w:rsidR="005C7B13" w:rsidRPr="005C7B13" w:rsidRDefault="005C7B13" w:rsidP="00175757">
      <w:pPr>
        <w:pStyle w:val="BoxSpaceBelow"/>
      </w:pPr>
      <w:bookmarkStart w:id="19" w:name="_Toc208034416"/>
      <w:bookmarkStart w:id="20" w:name="_Toc274941104"/>
    </w:p>
    <w:p w14:paraId="731603C9" w14:textId="4770FAA8" w:rsidR="00BB7C13" w:rsidRPr="00097C57" w:rsidRDefault="009525ED" w:rsidP="00D4361E">
      <w:pPr>
        <w:pStyle w:val="Heading2"/>
        <w:rPr>
          <w:b w:val="0"/>
          <w:sz w:val="24"/>
        </w:rPr>
      </w:pPr>
      <w:bookmarkStart w:id="21" w:name="_Toc208034417"/>
      <w:bookmarkStart w:id="22" w:name="_Toc274941105"/>
      <w:bookmarkStart w:id="23" w:name="_Toc396916152"/>
      <w:bookmarkStart w:id="24" w:name="_Toc463966145"/>
      <w:bookmarkStart w:id="25" w:name="_Toc526867548"/>
      <w:bookmarkEnd w:id="19"/>
      <w:bookmarkEnd w:id="20"/>
      <w:r>
        <w:lastRenderedPageBreak/>
        <w:t>10.</w:t>
      </w:r>
      <w:r w:rsidR="0008386D">
        <w:rPr>
          <w:noProof/>
        </w:rPr>
        <w:t>5</w:t>
      </w:r>
      <w:r w:rsidR="00C31CF2" w:rsidRPr="00D61FF9">
        <w:tab/>
      </w:r>
      <w:r w:rsidR="00BB7C13" w:rsidRPr="00D61FF9">
        <w:t>References</w:t>
      </w:r>
      <w:bookmarkEnd w:id="21"/>
      <w:bookmarkEnd w:id="22"/>
      <w:bookmarkEnd w:id="23"/>
      <w:bookmarkEnd w:id="24"/>
      <w:bookmarkEnd w:id="25"/>
    </w:p>
    <w:p w14:paraId="2E9C37DF" w14:textId="77777777" w:rsidR="00673F2C" w:rsidRPr="001E5797" w:rsidRDefault="00673F2C" w:rsidP="001E5797">
      <w:pPr>
        <w:pStyle w:val="Reference"/>
      </w:pPr>
      <w:r w:rsidRPr="001E5797">
        <w:t>ACAM (Australian Centre for Asthma Monitoring) 2008, Asthma in Australia 2008, Cat. no. ACM 14, AIHW (Australian Institute of Health and Welfare) Asthma Series 3, Canberra.</w:t>
      </w:r>
    </w:p>
    <w:p w14:paraId="3A18379C" w14:textId="51AA14ED" w:rsidR="00BB674B" w:rsidRPr="001E5797" w:rsidRDefault="00BB674B" w:rsidP="001E5797">
      <w:pPr>
        <w:pStyle w:val="Reference"/>
      </w:pPr>
      <w:r w:rsidRPr="001E5797">
        <w:t>Australian Government DHS (Department of Human Services) 2015, Practice Incentives Program (PIP) (</w:t>
      </w:r>
      <w:r w:rsidR="006D70FB" w:rsidRPr="006D70FB">
        <w:t>http://www.humanservices.gov.au/health</w:t>
      </w:r>
      <w:r w:rsidR="006D70FB" w:rsidRPr="006D70FB">
        <w:noBreakHyphen/>
        <w:t>professionals/services/</w:t>
      </w:r>
      <w:r w:rsidR="006D70FB">
        <w:t xml:space="preserve"> </w:t>
      </w:r>
      <w:r w:rsidRPr="001E5797">
        <w:t>practice</w:t>
      </w:r>
      <w:r w:rsidR="0064097A" w:rsidRPr="001E5797">
        <w:noBreakHyphen/>
      </w:r>
      <w:r w:rsidRPr="001E5797">
        <w:t>incentives</w:t>
      </w:r>
      <w:r w:rsidR="0064097A" w:rsidRPr="001E5797">
        <w:noBreakHyphen/>
      </w:r>
      <w:r w:rsidRPr="001E5797">
        <w:t>programme/, accessed 16 November 2015).</w:t>
      </w:r>
    </w:p>
    <w:p w14:paraId="4E1A2E18" w14:textId="77777777" w:rsidR="0033334B" w:rsidRPr="001E5797" w:rsidRDefault="0033334B" w:rsidP="001E5797">
      <w:pPr>
        <w:pStyle w:val="Reference"/>
      </w:pPr>
      <w:r w:rsidRPr="001E5797">
        <w:t>AIHW (unpublished) National Dental Telephone Interview Survey</w:t>
      </w:r>
      <w:r w:rsidR="00140B80" w:rsidRPr="001E5797">
        <w:t>.</w:t>
      </w:r>
    </w:p>
    <w:p w14:paraId="586C548D" w14:textId="1D76061B" w:rsidR="00094998" w:rsidRPr="001E5797" w:rsidRDefault="00BB6063" w:rsidP="00296A4C">
      <w:pPr>
        <w:pStyle w:val="Reference"/>
      </w:pPr>
      <w:r w:rsidRPr="001E5797">
        <w:t xml:space="preserve">Department of Health </w:t>
      </w:r>
      <w:r w:rsidR="00D842F0">
        <w:t>2018</w:t>
      </w:r>
      <w:r w:rsidR="00094998" w:rsidRPr="001E5797">
        <w:t xml:space="preserve">, </w:t>
      </w:r>
      <w:r w:rsidR="00D842F0">
        <w:t xml:space="preserve">Questions about vaccination. </w:t>
      </w:r>
      <w:r w:rsidR="00D842F0" w:rsidRPr="00D842F0">
        <w:t>https://beta.health.gov.au/</w:t>
      </w:r>
      <w:r w:rsidR="00AE2BA6">
        <w:t xml:space="preserve"> </w:t>
      </w:r>
      <w:r w:rsidR="00D842F0" w:rsidRPr="00D842F0">
        <w:t>resources/publications/questions-about-vaccination</w:t>
      </w:r>
      <w:r w:rsidR="00094998" w:rsidRPr="001E5797">
        <w:t xml:space="preserve"> (accessed </w:t>
      </w:r>
      <w:r w:rsidR="00D842F0">
        <w:t>16 November 2018</w:t>
      </w:r>
      <w:r w:rsidR="00094998" w:rsidRPr="001E5797">
        <w:t>).</w:t>
      </w:r>
    </w:p>
    <w:p w14:paraId="18EE6A1F" w14:textId="640C6BA1" w:rsidR="00334F0D" w:rsidRDefault="000156B4" w:rsidP="001E5797">
      <w:pPr>
        <w:pStyle w:val="Reference"/>
        <w:rPr>
          <w:rStyle w:val="Hyperlink"/>
          <w:color w:val="auto"/>
          <w:u w:val="none"/>
        </w:rPr>
      </w:pPr>
      <w:r w:rsidRPr="00802936">
        <w:t>—— 201</w:t>
      </w:r>
      <w:r w:rsidR="00C2651D" w:rsidRPr="00802936">
        <w:t>7</w:t>
      </w:r>
      <w:r w:rsidR="002F29F6" w:rsidRPr="00802936">
        <w:t xml:space="preserve">, </w:t>
      </w:r>
      <w:r w:rsidR="00DE0593" w:rsidRPr="00802936">
        <w:t>PBS expenditure and prescriptions 2016-17</w:t>
      </w:r>
      <w:r w:rsidR="00802936" w:rsidRPr="00802936">
        <w:t xml:space="preserve"> (</w:t>
      </w:r>
      <w:r w:rsidR="00DE0593" w:rsidRPr="00802936">
        <w:rPr>
          <w:rStyle w:val="Hyperlink"/>
          <w:color w:val="auto"/>
          <w:u w:val="none"/>
        </w:rPr>
        <w:t>http://www.pbs.gov.au/statistics/</w:t>
      </w:r>
      <w:r w:rsidR="00802936" w:rsidRPr="00802936">
        <w:rPr>
          <w:rStyle w:val="Hyperlink"/>
          <w:color w:val="auto"/>
          <w:u w:val="none"/>
        </w:rPr>
        <w:br/>
      </w:r>
      <w:r w:rsidR="00DE0593" w:rsidRPr="00802936">
        <w:rPr>
          <w:rStyle w:val="Hyperlink"/>
          <w:color w:val="auto"/>
          <w:u w:val="none"/>
        </w:rPr>
        <w:t>expenditure-prescriptions/2016-2017/expenditure-and-prescriptions-twelve-months-to-30-june-2017.pdf</w:t>
      </w:r>
      <w:r w:rsidR="00802936" w:rsidRPr="00802936">
        <w:rPr>
          <w:rStyle w:val="Hyperlink"/>
          <w:color w:val="auto"/>
          <w:u w:val="none"/>
        </w:rPr>
        <w:t>, accessed 12 October 2018).</w:t>
      </w:r>
    </w:p>
    <w:p w14:paraId="6F6161BC" w14:textId="55D1A6F8" w:rsidR="00934256" w:rsidRPr="00802936" w:rsidRDefault="005D7070" w:rsidP="00934256">
      <w:pPr>
        <w:pStyle w:val="Reference"/>
      </w:pPr>
      <w:r>
        <w:t xml:space="preserve">—— </w:t>
      </w:r>
      <w:r w:rsidR="00934256" w:rsidRPr="001E5797">
        <w:t>2013, Australian national notifiable diseases list and case definitions, www.</w:t>
      </w:r>
      <w:r w:rsidR="00934256" w:rsidRPr="00802936">
        <w:t>health.gov.au/internet/main/publishing.nsf/Content/cda_surveil</w:t>
      </w:r>
      <w:r w:rsidR="00934256" w:rsidRPr="00802936">
        <w:noBreakHyphen/>
        <w:t>nndss</w:t>
      </w:r>
      <w:r w:rsidR="00934256" w:rsidRPr="00802936">
        <w:noBreakHyphen/>
        <w:t>dislist.htm (accessed 8 January 2014).</w:t>
      </w:r>
    </w:p>
    <w:p w14:paraId="0D69D38C" w14:textId="77777777" w:rsidR="004F596F" w:rsidRPr="00802936" w:rsidRDefault="004F596F" w:rsidP="001E5797">
      <w:pPr>
        <w:pStyle w:val="Reference"/>
      </w:pPr>
      <w:r w:rsidRPr="00802936">
        <w:t>—— unpublished, MBS Statistics</w:t>
      </w:r>
      <w:r w:rsidR="00140B80" w:rsidRPr="00802936">
        <w:t>.</w:t>
      </w:r>
    </w:p>
    <w:p w14:paraId="2FE562C0" w14:textId="77777777" w:rsidR="004F596F" w:rsidRPr="001E5797" w:rsidRDefault="004F596F" w:rsidP="001E5797">
      <w:pPr>
        <w:pStyle w:val="Reference"/>
      </w:pPr>
      <w:r w:rsidRPr="001E5797">
        <w:t>Department of Veterans Affairs (unpublished) DVA Collection</w:t>
      </w:r>
      <w:r w:rsidR="00140B80" w:rsidRPr="001E5797">
        <w:t>.</w:t>
      </w:r>
    </w:p>
    <w:sectPr w:rsidR="004F596F" w:rsidRPr="001E5797" w:rsidSect="00A4578F">
      <w:headerReference w:type="even" r:id="rId24"/>
      <w:headerReference w:type="default" r:id="rId25"/>
      <w:footerReference w:type="even" r:id="rId26"/>
      <w:footerReference w:type="default" r:id="rId27"/>
      <w:pgSz w:w="11907" w:h="16840" w:code="9"/>
      <w:pgMar w:top="1984" w:right="1304" w:bottom="1247" w:left="1814" w:header="1701" w:footer="397" w:gutter="0"/>
      <w:pgNumType w:start="1" w:chapSep="period"/>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E9C171" w14:textId="77777777" w:rsidR="00AE2BA6" w:rsidRDefault="00AE2BA6">
      <w:r>
        <w:separator/>
      </w:r>
    </w:p>
  </w:endnote>
  <w:endnote w:type="continuationSeparator" w:id="0">
    <w:p w14:paraId="126EFEC7" w14:textId="77777777" w:rsidR="00AE2BA6" w:rsidRDefault="00AE2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AE2BA6" w14:paraId="3AAF2D12" w14:textId="77777777" w:rsidTr="005D0593">
      <w:trPr>
        <w:trHeight w:hRule="exact" w:val="567"/>
      </w:trPr>
      <w:tc>
        <w:tcPr>
          <w:tcW w:w="510" w:type="dxa"/>
        </w:tcPr>
        <w:p w14:paraId="17052D40" w14:textId="74C7894B" w:rsidR="00AE2BA6" w:rsidRPr="00A24443" w:rsidRDefault="00AE2BA6" w:rsidP="005D0593">
          <w:pPr>
            <w:pStyle w:val="Footer"/>
            <w:tabs>
              <w:tab w:val="left" w:pos="0"/>
            </w:tabs>
            <w:ind w:right="0"/>
            <w:rPr>
              <w:rStyle w:val="PageNumber"/>
              <w:caps w:val="0"/>
            </w:rPr>
          </w:pPr>
          <w:r>
            <w:rPr>
              <w:rStyle w:val="PageNumber"/>
              <w:caps w:val="0"/>
            </w:rPr>
            <w:t>10.</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B61CA1">
            <w:rPr>
              <w:rStyle w:val="PageNumber"/>
              <w:caps w:val="0"/>
              <w:noProof/>
            </w:rPr>
            <w:t>8</w:t>
          </w:r>
          <w:r w:rsidRPr="00A24443">
            <w:rPr>
              <w:rStyle w:val="PageNumber"/>
              <w:caps w:val="0"/>
            </w:rPr>
            <w:fldChar w:fldCharType="end"/>
          </w:r>
        </w:p>
      </w:tc>
      <w:tc>
        <w:tcPr>
          <w:tcW w:w="7767" w:type="dxa"/>
        </w:tcPr>
        <w:p w14:paraId="3CA5A5AD" w14:textId="5D6B7FF9" w:rsidR="00AE2BA6" w:rsidRPr="0013739A" w:rsidRDefault="00AE2BA6" w:rsidP="00FD4014">
          <w:pPr>
            <w:pStyle w:val="Footer"/>
            <w:rPr>
              <w:rFonts w:cs="Arial"/>
            </w:rPr>
          </w:pPr>
          <w:r>
            <w:rPr>
              <w:rFonts w:cs="Arial"/>
            </w:rPr>
            <w:t>Report on Government Services 2019</w:t>
          </w:r>
          <w:bookmarkStart w:id="26" w:name="DraftReportEven"/>
          <w:bookmarkEnd w:id="26"/>
        </w:p>
      </w:tc>
      <w:tc>
        <w:tcPr>
          <w:tcW w:w="510" w:type="dxa"/>
        </w:tcPr>
        <w:p w14:paraId="39D1A4E1" w14:textId="77777777" w:rsidR="00AE2BA6" w:rsidRDefault="00AE2BA6" w:rsidP="005D0593">
          <w:pPr>
            <w:pStyle w:val="Footer"/>
          </w:pPr>
        </w:p>
      </w:tc>
    </w:tr>
  </w:tbl>
  <w:p w14:paraId="6D60E381" w14:textId="77777777" w:rsidR="00AE2BA6" w:rsidRDefault="00AE2BA6" w:rsidP="005D0593">
    <w:pPr>
      <w:pStyle w:val="FooterEnd"/>
    </w:pPr>
  </w:p>
  <w:p w14:paraId="552EBA8F" w14:textId="77777777" w:rsidR="00AE2BA6" w:rsidRDefault="00AE2BA6">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AE2BA6" w14:paraId="00C279AE" w14:textId="77777777" w:rsidTr="005D0593">
      <w:trPr>
        <w:trHeight w:hRule="exact" w:val="567"/>
      </w:trPr>
      <w:tc>
        <w:tcPr>
          <w:tcW w:w="510" w:type="dxa"/>
        </w:tcPr>
        <w:p w14:paraId="0D2067E1" w14:textId="77777777" w:rsidR="00AE2BA6" w:rsidRDefault="00AE2BA6">
          <w:pPr>
            <w:pStyle w:val="Footer"/>
            <w:ind w:right="360" w:firstLine="360"/>
          </w:pPr>
        </w:p>
      </w:tc>
      <w:tc>
        <w:tcPr>
          <w:tcW w:w="7767" w:type="dxa"/>
        </w:tcPr>
        <w:p w14:paraId="2F3DCAD4" w14:textId="430AD958" w:rsidR="00AE2BA6" w:rsidRPr="00BA5B14" w:rsidRDefault="00AE2BA6" w:rsidP="005D0593">
          <w:pPr>
            <w:pStyle w:val="Footer"/>
            <w:jc w:val="right"/>
            <w:rPr>
              <w:rFonts w:cs="Arial"/>
            </w:rPr>
          </w:pPr>
          <w:r>
            <w:rPr>
              <w:rFonts w:cs="Arial"/>
            </w:rPr>
            <w:t>Primary and community health</w:t>
          </w:r>
        </w:p>
      </w:tc>
      <w:tc>
        <w:tcPr>
          <w:tcW w:w="510" w:type="dxa"/>
        </w:tcPr>
        <w:p w14:paraId="709AE14F" w14:textId="162EA88F" w:rsidR="00AE2BA6" w:rsidRPr="00A24443" w:rsidRDefault="00AE2BA6">
          <w:pPr>
            <w:pStyle w:val="Footer"/>
            <w:jc w:val="right"/>
            <w:rPr>
              <w:caps w:val="0"/>
            </w:rPr>
          </w:pPr>
          <w:r>
            <w:rPr>
              <w:rStyle w:val="PageNumber"/>
              <w:caps w:val="0"/>
            </w:rPr>
            <w:t>10.</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B61CA1">
            <w:rPr>
              <w:rStyle w:val="PageNumber"/>
              <w:caps w:val="0"/>
              <w:noProof/>
            </w:rPr>
            <w:t>7</w:t>
          </w:r>
          <w:r w:rsidRPr="00A24443">
            <w:rPr>
              <w:rStyle w:val="PageNumber"/>
              <w:caps w:val="0"/>
            </w:rPr>
            <w:fldChar w:fldCharType="end"/>
          </w:r>
        </w:p>
      </w:tc>
    </w:tr>
  </w:tbl>
  <w:p w14:paraId="3FC2C3EE" w14:textId="77777777" w:rsidR="00AE2BA6" w:rsidRDefault="00AE2BA6">
    <w:pPr>
      <w:pStyle w:val="FooterEnd"/>
    </w:pPr>
  </w:p>
  <w:p w14:paraId="716FEB12" w14:textId="77777777" w:rsidR="00AE2BA6" w:rsidRDefault="00AE2BA6">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D1AE67" w14:textId="77777777" w:rsidR="00AE2BA6" w:rsidRDefault="00AE2BA6">
      <w:r>
        <w:separator/>
      </w:r>
    </w:p>
  </w:footnote>
  <w:footnote w:type="continuationSeparator" w:id="0">
    <w:p w14:paraId="7828B138" w14:textId="77777777" w:rsidR="00AE2BA6" w:rsidRDefault="00AE2BA6">
      <w:r>
        <w:continuationSeparator/>
      </w:r>
    </w:p>
  </w:footnote>
  <w:footnote w:id="1">
    <w:p w14:paraId="0C6F7CDA" w14:textId="06CA0913" w:rsidR="00AE2BA6" w:rsidRDefault="00AE2BA6">
      <w:pPr>
        <w:pStyle w:val="FootnoteText"/>
      </w:pPr>
      <w:r>
        <w:rPr>
          <w:rStyle w:val="FootnoteReference"/>
        </w:rPr>
        <w:footnoteRef/>
      </w:r>
      <w:r>
        <w:tab/>
        <w:t>See section 10.4 for a definition of FSE.</w:t>
      </w:r>
    </w:p>
  </w:footnote>
  <w:footnote w:id="2">
    <w:p w14:paraId="53729E26" w14:textId="5D7B4B31" w:rsidR="00AE2BA6" w:rsidRDefault="00AE2BA6">
      <w:pPr>
        <w:pStyle w:val="FootnoteText"/>
      </w:pPr>
      <w:r>
        <w:rPr>
          <w:rStyle w:val="FootnoteReference"/>
        </w:rPr>
        <w:footnoteRef/>
      </w:r>
      <w:r>
        <w:tab/>
      </w:r>
      <w:r w:rsidRPr="009E79EB">
        <w:t>Around 3.8 million additional</w:t>
      </w:r>
      <w:r w:rsidRPr="00862F2D">
        <w:t xml:space="preserve"> services were billed to the DVA (DVA unpublished).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AE2BA6" w14:paraId="728CC136" w14:textId="77777777">
      <w:tc>
        <w:tcPr>
          <w:tcW w:w="2155" w:type="dxa"/>
          <w:tcBorders>
            <w:top w:val="single" w:sz="24" w:space="0" w:color="auto"/>
          </w:tcBorders>
        </w:tcPr>
        <w:p w14:paraId="567BC6B6" w14:textId="77777777" w:rsidR="00AE2BA6" w:rsidRDefault="00AE2BA6" w:rsidP="005D0593">
          <w:pPr>
            <w:pStyle w:val="HeaderEven"/>
          </w:pPr>
        </w:p>
      </w:tc>
      <w:tc>
        <w:tcPr>
          <w:tcW w:w="6634" w:type="dxa"/>
          <w:tcBorders>
            <w:top w:val="single" w:sz="6" w:space="0" w:color="auto"/>
          </w:tcBorders>
        </w:tcPr>
        <w:p w14:paraId="658320C3" w14:textId="5EA693E3" w:rsidR="00AE2BA6" w:rsidRDefault="00AE2BA6" w:rsidP="00340B24">
          <w:pPr>
            <w:pStyle w:val="HeaderEven"/>
            <w:jc w:val="right"/>
          </w:pPr>
        </w:p>
      </w:tc>
    </w:tr>
  </w:tbl>
  <w:p w14:paraId="1CDD35CC" w14:textId="77777777" w:rsidR="00AE2BA6" w:rsidRDefault="00AE2BA6" w:rsidP="005D0593">
    <w:pPr>
      <w:pStyle w:val="HeaderEnd"/>
    </w:pPr>
  </w:p>
  <w:p w14:paraId="4067C384" w14:textId="77777777" w:rsidR="00AE2BA6" w:rsidRDefault="00AE2BA6">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AE2BA6" w14:paraId="5FF9F7A9" w14:textId="77777777">
      <w:tc>
        <w:tcPr>
          <w:tcW w:w="6634" w:type="dxa"/>
          <w:tcBorders>
            <w:top w:val="single" w:sz="6" w:space="0" w:color="auto"/>
          </w:tcBorders>
        </w:tcPr>
        <w:p w14:paraId="106CBEB7" w14:textId="47D20214" w:rsidR="00AE2BA6" w:rsidRDefault="00AE2BA6" w:rsidP="005D0593">
          <w:pPr>
            <w:pStyle w:val="HeaderOdd"/>
          </w:pPr>
        </w:p>
      </w:tc>
      <w:tc>
        <w:tcPr>
          <w:tcW w:w="2155" w:type="dxa"/>
          <w:tcBorders>
            <w:top w:val="single" w:sz="24" w:space="0" w:color="auto"/>
          </w:tcBorders>
        </w:tcPr>
        <w:p w14:paraId="36DD39AA" w14:textId="77777777" w:rsidR="00AE2BA6" w:rsidRDefault="00AE2BA6" w:rsidP="005D0593">
          <w:pPr>
            <w:pStyle w:val="HeaderOdd"/>
          </w:pPr>
        </w:p>
      </w:tc>
    </w:tr>
  </w:tbl>
  <w:p w14:paraId="139F047C" w14:textId="77777777" w:rsidR="00AE2BA6" w:rsidRDefault="00AE2BA6" w:rsidP="005D0593">
    <w:pPr>
      <w:pStyle w:val="HeaderEnd"/>
    </w:pPr>
  </w:p>
  <w:p w14:paraId="74324B2A" w14:textId="77777777" w:rsidR="00AE2BA6" w:rsidRDefault="00AE2BA6">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0B5AF1CA"/>
    <w:lvl w:ilvl="0">
      <w:start w:val="1"/>
      <w:numFmt w:val="decimal"/>
      <w:lvlText w:val="%1."/>
      <w:lvlJc w:val="left"/>
      <w:pPr>
        <w:tabs>
          <w:tab w:val="num" w:pos="360"/>
        </w:tabs>
        <w:ind w:left="360"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F4F77F0"/>
    <w:multiLevelType w:val="hybridMultilevel"/>
    <w:tmpl w:val="F5D6BF68"/>
    <w:lvl w:ilvl="0" w:tplc="62B6738A">
      <w:start w:val="2"/>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9"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0"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AB25CDE"/>
    <w:multiLevelType w:val="singleLevel"/>
    <w:tmpl w:val="3086CA22"/>
    <w:lvl w:ilvl="0">
      <w:start w:val="1"/>
      <w:numFmt w:val="decimal"/>
      <w:lvlText w:val="%1."/>
      <w:legacy w:legacy="1" w:legacySpace="0" w:legacyIndent="340"/>
      <w:lvlJc w:val="left"/>
      <w:pPr>
        <w:ind w:left="340" w:hanging="340"/>
      </w:pPr>
    </w:lvl>
  </w:abstractNum>
  <w:abstractNum w:abstractNumId="12" w15:restartNumberingAfterBreak="0">
    <w:nsid w:val="1D34026B"/>
    <w:multiLevelType w:val="hybridMultilevel"/>
    <w:tmpl w:val="EED64F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4"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2D2E6D99"/>
    <w:multiLevelType w:val="hybridMultilevel"/>
    <w:tmpl w:val="4EFC8D8A"/>
    <w:lvl w:ilvl="0" w:tplc="643A9F50">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6" w15:restartNumberingAfterBreak="0">
    <w:nsid w:val="2DA70B1F"/>
    <w:multiLevelType w:val="hybridMultilevel"/>
    <w:tmpl w:val="B7DACF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8"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0"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1"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2"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5" w15:restartNumberingAfterBreak="0">
    <w:nsid w:val="6A870A40"/>
    <w:multiLevelType w:val="hybridMultilevel"/>
    <w:tmpl w:val="E4845DBE"/>
    <w:lvl w:ilvl="0" w:tplc="6EB8F140">
      <w:start w:val="1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7"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24"/>
  </w:num>
  <w:num w:numId="2">
    <w:abstractNumId w:val="4"/>
  </w:num>
  <w:num w:numId="3">
    <w:abstractNumId w:val="5"/>
  </w:num>
  <w:num w:numId="4">
    <w:abstractNumId w:val="9"/>
  </w:num>
  <w:num w:numId="5">
    <w:abstractNumId w:val="19"/>
  </w:num>
  <w:num w:numId="6">
    <w:abstractNumId w:val="17"/>
  </w:num>
  <w:num w:numId="7">
    <w:abstractNumId w:val="26"/>
  </w:num>
  <w:num w:numId="8">
    <w:abstractNumId w:val="27"/>
  </w:num>
  <w:num w:numId="9">
    <w:abstractNumId w:val="13"/>
  </w:num>
  <w:num w:numId="10">
    <w:abstractNumId w:val="20"/>
  </w:num>
  <w:num w:numId="11">
    <w:abstractNumId w:val="21"/>
  </w:num>
  <w:num w:numId="12">
    <w:abstractNumId w:val="3"/>
  </w:num>
  <w:num w:numId="13">
    <w:abstractNumId w:val="7"/>
  </w:num>
  <w:num w:numId="14">
    <w:abstractNumId w:val="6"/>
  </w:num>
  <w:num w:numId="15">
    <w:abstractNumId w:val="14"/>
  </w:num>
  <w:num w:numId="16">
    <w:abstractNumId w:val="18"/>
  </w:num>
  <w:num w:numId="17">
    <w:abstractNumId w:val="22"/>
  </w:num>
  <w:num w:numId="18">
    <w:abstractNumId w:val="23"/>
  </w:num>
  <w:num w:numId="19">
    <w:abstractNumId w:val="10"/>
  </w:num>
  <w:num w:numId="20">
    <w:abstractNumId w:val="0"/>
  </w:num>
  <w:num w:numId="21">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2">
    <w:abstractNumId w:val="17"/>
  </w:num>
  <w:num w:numId="23">
    <w:abstractNumId w:val="25"/>
  </w:num>
  <w:num w:numId="24">
    <w:abstractNumId w:val="8"/>
  </w:num>
  <w:num w:numId="25">
    <w:abstractNumId w:val="17"/>
  </w:num>
  <w:num w:numId="26">
    <w:abstractNumId w:val="15"/>
  </w:num>
  <w:num w:numId="27">
    <w:abstractNumId w:val="16"/>
  </w:num>
  <w:num w:numId="28">
    <w:abstractNumId w:val="12"/>
  </w:num>
  <w:num w:numId="29">
    <w:abstractNumId w:val="1"/>
  </w:num>
  <w:num w:numId="30">
    <w:abstractNumId w:val="11"/>
  </w:num>
  <w:num w:numId="31">
    <w:abstractNumId w:val="17"/>
  </w:num>
  <w:num w:numId="32">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AU" w:vendorID="8" w:dllVersion="513" w:checkStyle="1"/>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40"/>
  <w:evenAndOddHeaders/>
  <w:displayHorizontalDrawingGridEvery w:val="0"/>
  <w:displayVerticalDrawingGridEvery w:val="0"/>
  <w:doNotUseMarginsForDrawingGridOrigin/>
  <w:noPunctuationKerning/>
  <w:characterSpacingControl w:val="doNotCompress"/>
  <w:hdrShapeDefaults>
    <o:shapedefaults v:ext="edit" spidmax="9011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EvenFooter" w:val="0"/>
    <w:docVar w:name="_HasChapterNumber" w:val="1"/>
    <w:docVar w:name="_NumberByChapter" w:val="0"/>
    <w:docVar w:name="_Separator" w:val="."/>
    <w:docVar w:name="AppendixNumber" w:val="B"/>
    <w:docVar w:name="DocType" w:val="0"/>
    <w:docVar w:name="FindingOptions" w:val="1"/>
    <w:docVar w:name="LongChapterTitle" w:val="Chapter"/>
    <w:docVar w:name="LongReportTitle" w:val="Report title"/>
    <w:docVar w:name="RecOptions" w:val="111"/>
    <w:docVar w:name="ShortChapterTitle" w:val="Primary and community health"/>
    <w:docVar w:name="ShortReportTitle" w:val="Report on Government Services 2019"/>
    <w:docVar w:name="SideNote" w:val="1"/>
    <w:docVar w:name="UseShortChapter" w:val="0"/>
    <w:docVar w:name="UseShortReport" w:val="0"/>
  </w:docVars>
  <w:rsids>
    <w:rsidRoot w:val="00711EF3"/>
    <w:rsid w:val="000002A7"/>
    <w:rsid w:val="0000078E"/>
    <w:rsid w:val="000011F1"/>
    <w:rsid w:val="00001351"/>
    <w:rsid w:val="000017FF"/>
    <w:rsid w:val="0000181C"/>
    <w:rsid w:val="00001EC4"/>
    <w:rsid w:val="000020EB"/>
    <w:rsid w:val="0000256F"/>
    <w:rsid w:val="00002758"/>
    <w:rsid w:val="00002AF5"/>
    <w:rsid w:val="00002DBA"/>
    <w:rsid w:val="00002E9C"/>
    <w:rsid w:val="00002FE8"/>
    <w:rsid w:val="00003672"/>
    <w:rsid w:val="00003A18"/>
    <w:rsid w:val="00003AAD"/>
    <w:rsid w:val="00003B5B"/>
    <w:rsid w:val="00003BB8"/>
    <w:rsid w:val="00003CF7"/>
    <w:rsid w:val="00003DFD"/>
    <w:rsid w:val="000046D8"/>
    <w:rsid w:val="0000484E"/>
    <w:rsid w:val="000049DE"/>
    <w:rsid w:val="00005A70"/>
    <w:rsid w:val="00005AC4"/>
    <w:rsid w:val="000061AB"/>
    <w:rsid w:val="00006228"/>
    <w:rsid w:val="000062C7"/>
    <w:rsid w:val="0000632F"/>
    <w:rsid w:val="000064BD"/>
    <w:rsid w:val="00006644"/>
    <w:rsid w:val="0000665A"/>
    <w:rsid w:val="000067C3"/>
    <w:rsid w:val="00006B63"/>
    <w:rsid w:val="00006C26"/>
    <w:rsid w:val="00006E5B"/>
    <w:rsid w:val="00006F89"/>
    <w:rsid w:val="000072E3"/>
    <w:rsid w:val="00007B92"/>
    <w:rsid w:val="00007DAB"/>
    <w:rsid w:val="00007F5B"/>
    <w:rsid w:val="0001008A"/>
    <w:rsid w:val="000100B7"/>
    <w:rsid w:val="000102CC"/>
    <w:rsid w:val="000102D8"/>
    <w:rsid w:val="0001034E"/>
    <w:rsid w:val="00010420"/>
    <w:rsid w:val="0001084E"/>
    <w:rsid w:val="0001096A"/>
    <w:rsid w:val="00010C66"/>
    <w:rsid w:val="00010E28"/>
    <w:rsid w:val="00011082"/>
    <w:rsid w:val="0001136D"/>
    <w:rsid w:val="00011668"/>
    <w:rsid w:val="0001167C"/>
    <w:rsid w:val="00011705"/>
    <w:rsid w:val="0001182F"/>
    <w:rsid w:val="00011876"/>
    <w:rsid w:val="00011911"/>
    <w:rsid w:val="0001197C"/>
    <w:rsid w:val="00011CE2"/>
    <w:rsid w:val="00011DF7"/>
    <w:rsid w:val="00012020"/>
    <w:rsid w:val="00012299"/>
    <w:rsid w:val="00012399"/>
    <w:rsid w:val="00012493"/>
    <w:rsid w:val="0001274D"/>
    <w:rsid w:val="000127B7"/>
    <w:rsid w:val="00012C4B"/>
    <w:rsid w:val="00012E42"/>
    <w:rsid w:val="000130CB"/>
    <w:rsid w:val="000131AE"/>
    <w:rsid w:val="000131BB"/>
    <w:rsid w:val="000131ED"/>
    <w:rsid w:val="000135E5"/>
    <w:rsid w:val="00013605"/>
    <w:rsid w:val="00013A09"/>
    <w:rsid w:val="00013A4E"/>
    <w:rsid w:val="00013D04"/>
    <w:rsid w:val="00013E24"/>
    <w:rsid w:val="0001445E"/>
    <w:rsid w:val="00014D0D"/>
    <w:rsid w:val="00014EF9"/>
    <w:rsid w:val="00014F2E"/>
    <w:rsid w:val="00015016"/>
    <w:rsid w:val="00015158"/>
    <w:rsid w:val="00015384"/>
    <w:rsid w:val="000155DE"/>
    <w:rsid w:val="000156B4"/>
    <w:rsid w:val="000157E6"/>
    <w:rsid w:val="00015CAF"/>
    <w:rsid w:val="00015D1C"/>
    <w:rsid w:val="00015F70"/>
    <w:rsid w:val="0001631C"/>
    <w:rsid w:val="000168C6"/>
    <w:rsid w:val="00016C86"/>
    <w:rsid w:val="00016CC4"/>
    <w:rsid w:val="00016EDB"/>
    <w:rsid w:val="00016F26"/>
    <w:rsid w:val="00016FB3"/>
    <w:rsid w:val="0001759E"/>
    <w:rsid w:val="00017B7C"/>
    <w:rsid w:val="00020001"/>
    <w:rsid w:val="00020199"/>
    <w:rsid w:val="000202E1"/>
    <w:rsid w:val="00020B0A"/>
    <w:rsid w:val="00020BA7"/>
    <w:rsid w:val="00020E0E"/>
    <w:rsid w:val="00020F1B"/>
    <w:rsid w:val="000212B1"/>
    <w:rsid w:val="00021B4D"/>
    <w:rsid w:val="00021F1F"/>
    <w:rsid w:val="00022259"/>
    <w:rsid w:val="00022291"/>
    <w:rsid w:val="00022430"/>
    <w:rsid w:val="000227C7"/>
    <w:rsid w:val="000228BE"/>
    <w:rsid w:val="00022AED"/>
    <w:rsid w:val="00022CEA"/>
    <w:rsid w:val="00022E6A"/>
    <w:rsid w:val="00022F11"/>
    <w:rsid w:val="00023056"/>
    <w:rsid w:val="00023637"/>
    <w:rsid w:val="00023AB2"/>
    <w:rsid w:val="00023DAD"/>
    <w:rsid w:val="00024624"/>
    <w:rsid w:val="00024955"/>
    <w:rsid w:val="0002500F"/>
    <w:rsid w:val="00025443"/>
    <w:rsid w:val="000255F4"/>
    <w:rsid w:val="000256A5"/>
    <w:rsid w:val="00025A50"/>
    <w:rsid w:val="00025D01"/>
    <w:rsid w:val="00025DD3"/>
    <w:rsid w:val="00025EFA"/>
    <w:rsid w:val="000261E4"/>
    <w:rsid w:val="0002634A"/>
    <w:rsid w:val="00026A6F"/>
    <w:rsid w:val="00027078"/>
    <w:rsid w:val="00027AEA"/>
    <w:rsid w:val="00027CF4"/>
    <w:rsid w:val="00027D81"/>
    <w:rsid w:val="00030270"/>
    <w:rsid w:val="00030594"/>
    <w:rsid w:val="00030B45"/>
    <w:rsid w:val="00030CB0"/>
    <w:rsid w:val="00030F8E"/>
    <w:rsid w:val="00031632"/>
    <w:rsid w:val="00031744"/>
    <w:rsid w:val="00031805"/>
    <w:rsid w:val="000319A7"/>
    <w:rsid w:val="0003201B"/>
    <w:rsid w:val="0003231C"/>
    <w:rsid w:val="0003246A"/>
    <w:rsid w:val="00032A3A"/>
    <w:rsid w:val="00032C04"/>
    <w:rsid w:val="00032CB1"/>
    <w:rsid w:val="00032D3D"/>
    <w:rsid w:val="00032DB5"/>
    <w:rsid w:val="00032E36"/>
    <w:rsid w:val="000332DD"/>
    <w:rsid w:val="00033303"/>
    <w:rsid w:val="00034151"/>
    <w:rsid w:val="00034190"/>
    <w:rsid w:val="0003468B"/>
    <w:rsid w:val="000348AA"/>
    <w:rsid w:val="00034985"/>
    <w:rsid w:val="00034B9B"/>
    <w:rsid w:val="00034D7D"/>
    <w:rsid w:val="00034D84"/>
    <w:rsid w:val="00034F99"/>
    <w:rsid w:val="000353DD"/>
    <w:rsid w:val="0003641B"/>
    <w:rsid w:val="00036738"/>
    <w:rsid w:val="00036B77"/>
    <w:rsid w:val="00036D2E"/>
    <w:rsid w:val="0003707A"/>
    <w:rsid w:val="00037365"/>
    <w:rsid w:val="00037377"/>
    <w:rsid w:val="00037385"/>
    <w:rsid w:val="000373F7"/>
    <w:rsid w:val="000375F2"/>
    <w:rsid w:val="0003766E"/>
    <w:rsid w:val="00037AC3"/>
    <w:rsid w:val="0004005B"/>
    <w:rsid w:val="00040398"/>
    <w:rsid w:val="00040465"/>
    <w:rsid w:val="00040B63"/>
    <w:rsid w:val="00040BA2"/>
    <w:rsid w:val="000410B7"/>
    <w:rsid w:val="000410BE"/>
    <w:rsid w:val="000410FD"/>
    <w:rsid w:val="0004129E"/>
    <w:rsid w:val="00041592"/>
    <w:rsid w:val="00041647"/>
    <w:rsid w:val="00041695"/>
    <w:rsid w:val="00041946"/>
    <w:rsid w:val="000419CD"/>
    <w:rsid w:val="00041A8A"/>
    <w:rsid w:val="00042234"/>
    <w:rsid w:val="00042392"/>
    <w:rsid w:val="000427AD"/>
    <w:rsid w:val="00042BD5"/>
    <w:rsid w:val="00042D31"/>
    <w:rsid w:val="00042F33"/>
    <w:rsid w:val="000430C7"/>
    <w:rsid w:val="000430D4"/>
    <w:rsid w:val="000431A6"/>
    <w:rsid w:val="000435AE"/>
    <w:rsid w:val="0004392D"/>
    <w:rsid w:val="00043AA4"/>
    <w:rsid w:val="00043B2C"/>
    <w:rsid w:val="00043E23"/>
    <w:rsid w:val="00043E52"/>
    <w:rsid w:val="00043F05"/>
    <w:rsid w:val="00043F49"/>
    <w:rsid w:val="000444A4"/>
    <w:rsid w:val="00044562"/>
    <w:rsid w:val="000446F5"/>
    <w:rsid w:val="000446FF"/>
    <w:rsid w:val="0004504C"/>
    <w:rsid w:val="00045052"/>
    <w:rsid w:val="00045114"/>
    <w:rsid w:val="000452D3"/>
    <w:rsid w:val="000454E4"/>
    <w:rsid w:val="0004553E"/>
    <w:rsid w:val="000459C2"/>
    <w:rsid w:val="00045CF4"/>
    <w:rsid w:val="00045E61"/>
    <w:rsid w:val="00046121"/>
    <w:rsid w:val="000462FD"/>
    <w:rsid w:val="00046518"/>
    <w:rsid w:val="000465F0"/>
    <w:rsid w:val="000467B7"/>
    <w:rsid w:val="00046ADC"/>
    <w:rsid w:val="00046CB9"/>
    <w:rsid w:val="00046DB2"/>
    <w:rsid w:val="00046DF5"/>
    <w:rsid w:val="0004703D"/>
    <w:rsid w:val="00047059"/>
    <w:rsid w:val="000477F1"/>
    <w:rsid w:val="000479AA"/>
    <w:rsid w:val="00047F92"/>
    <w:rsid w:val="0005053A"/>
    <w:rsid w:val="000506E2"/>
    <w:rsid w:val="00050A25"/>
    <w:rsid w:val="00050F3D"/>
    <w:rsid w:val="0005141F"/>
    <w:rsid w:val="000514A6"/>
    <w:rsid w:val="00051912"/>
    <w:rsid w:val="00051EF0"/>
    <w:rsid w:val="0005218D"/>
    <w:rsid w:val="00052239"/>
    <w:rsid w:val="0005291E"/>
    <w:rsid w:val="000529A1"/>
    <w:rsid w:val="000529E8"/>
    <w:rsid w:val="00052AA2"/>
    <w:rsid w:val="00052D40"/>
    <w:rsid w:val="00052E0A"/>
    <w:rsid w:val="000530B3"/>
    <w:rsid w:val="000531AF"/>
    <w:rsid w:val="0005361C"/>
    <w:rsid w:val="00053635"/>
    <w:rsid w:val="0005368F"/>
    <w:rsid w:val="000537DB"/>
    <w:rsid w:val="00053D2B"/>
    <w:rsid w:val="00054080"/>
    <w:rsid w:val="00054099"/>
    <w:rsid w:val="00054BF4"/>
    <w:rsid w:val="0005559F"/>
    <w:rsid w:val="000558D8"/>
    <w:rsid w:val="00055CBF"/>
    <w:rsid w:val="0005607A"/>
    <w:rsid w:val="00056136"/>
    <w:rsid w:val="000563DA"/>
    <w:rsid w:val="0005642C"/>
    <w:rsid w:val="000566C1"/>
    <w:rsid w:val="00056E7D"/>
    <w:rsid w:val="00056F0E"/>
    <w:rsid w:val="00057119"/>
    <w:rsid w:val="00057135"/>
    <w:rsid w:val="0005740D"/>
    <w:rsid w:val="00057446"/>
    <w:rsid w:val="000574F0"/>
    <w:rsid w:val="00057710"/>
    <w:rsid w:val="0005789C"/>
    <w:rsid w:val="00057B88"/>
    <w:rsid w:val="00057C86"/>
    <w:rsid w:val="00057ECD"/>
    <w:rsid w:val="00060326"/>
    <w:rsid w:val="00060556"/>
    <w:rsid w:val="00060662"/>
    <w:rsid w:val="0006092F"/>
    <w:rsid w:val="00060B80"/>
    <w:rsid w:val="00060C7B"/>
    <w:rsid w:val="00060D1D"/>
    <w:rsid w:val="00060D7C"/>
    <w:rsid w:val="00060F77"/>
    <w:rsid w:val="0006109E"/>
    <w:rsid w:val="00061142"/>
    <w:rsid w:val="00061391"/>
    <w:rsid w:val="0006153E"/>
    <w:rsid w:val="00062099"/>
    <w:rsid w:val="00062136"/>
    <w:rsid w:val="0006274A"/>
    <w:rsid w:val="000627B0"/>
    <w:rsid w:val="00062970"/>
    <w:rsid w:val="000635A8"/>
    <w:rsid w:val="000635DD"/>
    <w:rsid w:val="0006360D"/>
    <w:rsid w:val="000638C3"/>
    <w:rsid w:val="00063924"/>
    <w:rsid w:val="00063E66"/>
    <w:rsid w:val="0006447A"/>
    <w:rsid w:val="00064767"/>
    <w:rsid w:val="00064A12"/>
    <w:rsid w:val="00064B9F"/>
    <w:rsid w:val="000655E3"/>
    <w:rsid w:val="000656F5"/>
    <w:rsid w:val="00065D58"/>
    <w:rsid w:val="00066013"/>
    <w:rsid w:val="00066B28"/>
    <w:rsid w:val="00067383"/>
    <w:rsid w:val="00067444"/>
    <w:rsid w:val="000675A1"/>
    <w:rsid w:val="00067FB9"/>
    <w:rsid w:val="00067FFE"/>
    <w:rsid w:val="00070090"/>
    <w:rsid w:val="00070181"/>
    <w:rsid w:val="000709D5"/>
    <w:rsid w:val="00070C57"/>
    <w:rsid w:val="00070EC9"/>
    <w:rsid w:val="000712E6"/>
    <w:rsid w:val="000715AF"/>
    <w:rsid w:val="00071692"/>
    <w:rsid w:val="000717BD"/>
    <w:rsid w:val="00071BA8"/>
    <w:rsid w:val="00071CDE"/>
    <w:rsid w:val="00071D3D"/>
    <w:rsid w:val="00071F6A"/>
    <w:rsid w:val="0007229B"/>
    <w:rsid w:val="000724C3"/>
    <w:rsid w:val="0007258B"/>
    <w:rsid w:val="00072BFE"/>
    <w:rsid w:val="00072CA4"/>
    <w:rsid w:val="00073389"/>
    <w:rsid w:val="00073493"/>
    <w:rsid w:val="0007357B"/>
    <w:rsid w:val="00073714"/>
    <w:rsid w:val="00073BA7"/>
    <w:rsid w:val="00073BB2"/>
    <w:rsid w:val="00073BD0"/>
    <w:rsid w:val="00074508"/>
    <w:rsid w:val="000745DF"/>
    <w:rsid w:val="0007460F"/>
    <w:rsid w:val="00074958"/>
    <w:rsid w:val="000749D1"/>
    <w:rsid w:val="00074C90"/>
    <w:rsid w:val="00074CC9"/>
    <w:rsid w:val="000752DE"/>
    <w:rsid w:val="00075401"/>
    <w:rsid w:val="00075673"/>
    <w:rsid w:val="000759B8"/>
    <w:rsid w:val="00075CB2"/>
    <w:rsid w:val="00075FA0"/>
    <w:rsid w:val="00076040"/>
    <w:rsid w:val="00076082"/>
    <w:rsid w:val="00076101"/>
    <w:rsid w:val="0007625A"/>
    <w:rsid w:val="000764BF"/>
    <w:rsid w:val="000768D7"/>
    <w:rsid w:val="00076CFF"/>
    <w:rsid w:val="0007714A"/>
    <w:rsid w:val="00077169"/>
    <w:rsid w:val="0007740C"/>
    <w:rsid w:val="0007756C"/>
    <w:rsid w:val="00077603"/>
    <w:rsid w:val="000777F3"/>
    <w:rsid w:val="00077857"/>
    <w:rsid w:val="00077859"/>
    <w:rsid w:val="00077B08"/>
    <w:rsid w:val="00077B7C"/>
    <w:rsid w:val="00077D2C"/>
    <w:rsid w:val="000801FF"/>
    <w:rsid w:val="0008046A"/>
    <w:rsid w:val="0008053A"/>
    <w:rsid w:val="0008054E"/>
    <w:rsid w:val="00080687"/>
    <w:rsid w:val="00080871"/>
    <w:rsid w:val="000809AB"/>
    <w:rsid w:val="00080FA4"/>
    <w:rsid w:val="0008116B"/>
    <w:rsid w:val="00081171"/>
    <w:rsid w:val="000817C6"/>
    <w:rsid w:val="00081D41"/>
    <w:rsid w:val="000820E0"/>
    <w:rsid w:val="00082560"/>
    <w:rsid w:val="00082D7C"/>
    <w:rsid w:val="000832D4"/>
    <w:rsid w:val="00083715"/>
    <w:rsid w:val="0008386D"/>
    <w:rsid w:val="00083B97"/>
    <w:rsid w:val="00083BE8"/>
    <w:rsid w:val="00083F12"/>
    <w:rsid w:val="00083F1C"/>
    <w:rsid w:val="000843B3"/>
    <w:rsid w:val="00084467"/>
    <w:rsid w:val="000847B9"/>
    <w:rsid w:val="0008489C"/>
    <w:rsid w:val="00084C3B"/>
    <w:rsid w:val="00084D12"/>
    <w:rsid w:val="00085197"/>
    <w:rsid w:val="000852B5"/>
    <w:rsid w:val="00085349"/>
    <w:rsid w:val="0008540E"/>
    <w:rsid w:val="00085B88"/>
    <w:rsid w:val="00085D8C"/>
    <w:rsid w:val="000863B9"/>
    <w:rsid w:val="00086528"/>
    <w:rsid w:val="000866C5"/>
    <w:rsid w:val="0008673C"/>
    <w:rsid w:val="00086C2C"/>
    <w:rsid w:val="00086DF6"/>
    <w:rsid w:val="00086E18"/>
    <w:rsid w:val="0008751F"/>
    <w:rsid w:val="0008764A"/>
    <w:rsid w:val="00087660"/>
    <w:rsid w:val="000876B0"/>
    <w:rsid w:val="00087EE0"/>
    <w:rsid w:val="00090085"/>
    <w:rsid w:val="00090443"/>
    <w:rsid w:val="000908DE"/>
    <w:rsid w:val="00090C69"/>
    <w:rsid w:val="00090CD0"/>
    <w:rsid w:val="0009111D"/>
    <w:rsid w:val="00091836"/>
    <w:rsid w:val="000918F1"/>
    <w:rsid w:val="00092075"/>
    <w:rsid w:val="0009244C"/>
    <w:rsid w:val="000924DC"/>
    <w:rsid w:val="000924EE"/>
    <w:rsid w:val="0009280D"/>
    <w:rsid w:val="00092B7B"/>
    <w:rsid w:val="00092DED"/>
    <w:rsid w:val="00092ED1"/>
    <w:rsid w:val="0009384B"/>
    <w:rsid w:val="00093F77"/>
    <w:rsid w:val="00094998"/>
    <w:rsid w:val="00094B15"/>
    <w:rsid w:val="00094B4A"/>
    <w:rsid w:val="00094E03"/>
    <w:rsid w:val="000957EE"/>
    <w:rsid w:val="00095AFE"/>
    <w:rsid w:val="00095D8F"/>
    <w:rsid w:val="00095E5A"/>
    <w:rsid w:val="00096109"/>
    <w:rsid w:val="000969D2"/>
    <w:rsid w:val="000969E0"/>
    <w:rsid w:val="00096CD5"/>
    <w:rsid w:val="00097334"/>
    <w:rsid w:val="00097950"/>
    <w:rsid w:val="00097C57"/>
    <w:rsid w:val="00097DBF"/>
    <w:rsid w:val="00097F59"/>
    <w:rsid w:val="000A04C7"/>
    <w:rsid w:val="000A06C3"/>
    <w:rsid w:val="000A09E4"/>
    <w:rsid w:val="000A0AC8"/>
    <w:rsid w:val="000A1691"/>
    <w:rsid w:val="000A177D"/>
    <w:rsid w:val="000A1B7D"/>
    <w:rsid w:val="000A1D92"/>
    <w:rsid w:val="000A2043"/>
    <w:rsid w:val="000A2154"/>
    <w:rsid w:val="000A225F"/>
    <w:rsid w:val="000A2286"/>
    <w:rsid w:val="000A258A"/>
    <w:rsid w:val="000A260B"/>
    <w:rsid w:val="000A283E"/>
    <w:rsid w:val="000A29DB"/>
    <w:rsid w:val="000A2B5F"/>
    <w:rsid w:val="000A2DBC"/>
    <w:rsid w:val="000A2E3B"/>
    <w:rsid w:val="000A3014"/>
    <w:rsid w:val="000A30B3"/>
    <w:rsid w:val="000A3505"/>
    <w:rsid w:val="000A3663"/>
    <w:rsid w:val="000A3BE1"/>
    <w:rsid w:val="000A4108"/>
    <w:rsid w:val="000A419E"/>
    <w:rsid w:val="000A4551"/>
    <w:rsid w:val="000A4652"/>
    <w:rsid w:val="000A46E1"/>
    <w:rsid w:val="000A488B"/>
    <w:rsid w:val="000A4ABE"/>
    <w:rsid w:val="000A4ACF"/>
    <w:rsid w:val="000A4BEF"/>
    <w:rsid w:val="000A4DB5"/>
    <w:rsid w:val="000A5518"/>
    <w:rsid w:val="000A6401"/>
    <w:rsid w:val="000A661D"/>
    <w:rsid w:val="000A68DB"/>
    <w:rsid w:val="000A6A03"/>
    <w:rsid w:val="000A6CE7"/>
    <w:rsid w:val="000A6D38"/>
    <w:rsid w:val="000A7179"/>
    <w:rsid w:val="000A78DF"/>
    <w:rsid w:val="000A7B7C"/>
    <w:rsid w:val="000A7F1C"/>
    <w:rsid w:val="000B00BB"/>
    <w:rsid w:val="000B00EA"/>
    <w:rsid w:val="000B0522"/>
    <w:rsid w:val="000B06AC"/>
    <w:rsid w:val="000B07A9"/>
    <w:rsid w:val="000B08BD"/>
    <w:rsid w:val="000B0BDE"/>
    <w:rsid w:val="000B15F4"/>
    <w:rsid w:val="000B18E0"/>
    <w:rsid w:val="000B1BF6"/>
    <w:rsid w:val="000B1C2E"/>
    <w:rsid w:val="000B1E43"/>
    <w:rsid w:val="000B1FC8"/>
    <w:rsid w:val="000B202B"/>
    <w:rsid w:val="000B20C4"/>
    <w:rsid w:val="000B21B8"/>
    <w:rsid w:val="000B2487"/>
    <w:rsid w:val="000B252E"/>
    <w:rsid w:val="000B2796"/>
    <w:rsid w:val="000B29A1"/>
    <w:rsid w:val="000B2A40"/>
    <w:rsid w:val="000B32B4"/>
    <w:rsid w:val="000B32DB"/>
    <w:rsid w:val="000B3500"/>
    <w:rsid w:val="000B370C"/>
    <w:rsid w:val="000B3BB9"/>
    <w:rsid w:val="000B3C32"/>
    <w:rsid w:val="000B3E7E"/>
    <w:rsid w:val="000B4465"/>
    <w:rsid w:val="000B4834"/>
    <w:rsid w:val="000B4FFF"/>
    <w:rsid w:val="000B538B"/>
    <w:rsid w:val="000B53F7"/>
    <w:rsid w:val="000B5ABD"/>
    <w:rsid w:val="000B5D74"/>
    <w:rsid w:val="000B5EA0"/>
    <w:rsid w:val="000B60BA"/>
    <w:rsid w:val="000B6D44"/>
    <w:rsid w:val="000B709E"/>
    <w:rsid w:val="000B7102"/>
    <w:rsid w:val="000B73A0"/>
    <w:rsid w:val="000B749E"/>
    <w:rsid w:val="000B774B"/>
    <w:rsid w:val="000B7A70"/>
    <w:rsid w:val="000B7A8F"/>
    <w:rsid w:val="000B7B35"/>
    <w:rsid w:val="000B7CCE"/>
    <w:rsid w:val="000B7DDA"/>
    <w:rsid w:val="000B7E6E"/>
    <w:rsid w:val="000C03BA"/>
    <w:rsid w:val="000C04EC"/>
    <w:rsid w:val="000C06B6"/>
    <w:rsid w:val="000C0A59"/>
    <w:rsid w:val="000C0E91"/>
    <w:rsid w:val="000C11F0"/>
    <w:rsid w:val="000C1455"/>
    <w:rsid w:val="000C14CA"/>
    <w:rsid w:val="000C1808"/>
    <w:rsid w:val="000C20C5"/>
    <w:rsid w:val="000C20C9"/>
    <w:rsid w:val="000C2142"/>
    <w:rsid w:val="000C2588"/>
    <w:rsid w:val="000C29E7"/>
    <w:rsid w:val="000C29EB"/>
    <w:rsid w:val="000C2A6D"/>
    <w:rsid w:val="000C2AB6"/>
    <w:rsid w:val="000C2C51"/>
    <w:rsid w:val="000C2EFA"/>
    <w:rsid w:val="000C3040"/>
    <w:rsid w:val="000C3170"/>
    <w:rsid w:val="000C35F5"/>
    <w:rsid w:val="000C3771"/>
    <w:rsid w:val="000C414E"/>
    <w:rsid w:val="000C4162"/>
    <w:rsid w:val="000C4877"/>
    <w:rsid w:val="000C50BE"/>
    <w:rsid w:val="000C5220"/>
    <w:rsid w:val="000C5413"/>
    <w:rsid w:val="000C594B"/>
    <w:rsid w:val="000C595B"/>
    <w:rsid w:val="000C5A37"/>
    <w:rsid w:val="000C5C84"/>
    <w:rsid w:val="000C5EEE"/>
    <w:rsid w:val="000C6015"/>
    <w:rsid w:val="000C6426"/>
    <w:rsid w:val="000C658E"/>
    <w:rsid w:val="000C65CB"/>
    <w:rsid w:val="000C6758"/>
    <w:rsid w:val="000C6B1E"/>
    <w:rsid w:val="000C6C48"/>
    <w:rsid w:val="000C6E81"/>
    <w:rsid w:val="000C6F79"/>
    <w:rsid w:val="000C6FFD"/>
    <w:rsid w:val="000C73A6"/>
    <w:rsid w:val="000C78C4"/>
    <w:rsid w:val="000C79B6"/>
    <w:rsid w:val="000C7BAB"/>
    <w:rsid w:val="000C7FE4"/>
    <w:rsid w:val="000D0082"/>
    <w:rsid w:val="000D01D6"/>
    <w:rsid w:val="000D025F"/>
    <w:rsid w:val="000D036B"/>
    <w:rsid w:val="000D0379"/>
    <w:rsid w:val="000D0394"/>
    <w:rsid w:val="000D0489"/>
    <w:rsid w:val="000D0910"/>
    <w:rsid w:val="000D0A41"/>
    <w:rsid w:val="000D0AF5"/>
    <w:rsid w:val="000D0E9D"/>
    <w:rsid w:val="000D0F48"/>
    <w:rsid w:val="000D146A"/>
    <w:rsid w:val="000D189C"/>
    <w:rsid w:val="000D2484"/>
    <w:rsid w:val="000D2644"/>
    <w:rsid w:val="000D2CB1"/>
    <w:rsid w:val="000D2D7B"/>
    <w:rsid w:val="000D2F89"/>
    <w:rsid w:val="000D30AE"/>
    <w:rsid w:val="000D3255"/>
    <w:rsid w:val="000D33A8"/>
    <w:rsid w:val="000D3B62"/>
    <w:rsid w:val="000D3D85"/>
    <w:rsid w:val="000D42D5"/>
    <w:rsid w:val="000D459C"/>
    <w:rsid w:val="000D477D"/>
    <w:rsid w:val="000D4909"/>
    <w:rsid w:val="000D4B8F"/>
    <w:rsid w:val="000D4DC3"/>
    <w:rsid w:val="000D503D"/>
    <w:rsid w:val="000D50E0"/>
    <w:rsid w:val="000D54F0"/>
    <w:rsid w:val="000D5537"/>
    <w:rsid w:val="000D5654"/>
    <w:rsid w:val="000D5992"/>
    <w:rsid w:val="000D59AD"/>
    <w:rsid w:val="000D59F1"/>
    <w:rsid w:val="000D5A0C"/>
    <w:rsid w:val="000D5B1A"/>
    <w:rsid w:val="000D5CED"/>
    <w:rsid w:val="000D5DA4"/>
    <w:rsid w:val="000D5DBB"/>
    <w:rsid w:val="000D5F35"/>
    <w:rsid w:val="000D6248"/>
    <w:rsid w:val="000D63A1"/>
    <w:rsid w:val="000D65CD"/>
    <w:rsid w:val="000D6669"/>
    <w:rsid w:val="000D689F"/>
    <w:rsid w:val="000D6D68"/>
    <w:rsid w:val="000D6FEA"/>
    <w:rsid w:val="000D7153"/>
    <w:rsid w:val="000D733C"/>
    <w:rsid w:val="000D73C9"/>
    <w:rsid w:val="000D7521"/>
    <w:rsid w:val="000D7FC3"/>
    <w:rsid w:val="000E0198"/>
    <w:rsid w:val="000E03C7"/>
    <w:rsid w:val="000E05F2"/>
    <w:rsid w:val="000E08ED"/>
    <w:rsid w:val="000E0B34"/>
    <w:rsid w:val="000E0E04"/>
    <w:rsid w:val="000E0F2B"/>
    <w:rsid w:val="000E125C"/>
    <w:rsid w:val="000E13AE"/>
    <w:rsid w:val="000E14A5"/>
    <w:rsid w:val="000E190C"/>
    <w:rsid w:val="000E1D4F"/>
    <w:rsid w:val="000E1F66"/>
    <w:rsid w:val="000E2077"/>
    <w:rsid w:val="000E27C2"/>
    <w:rsid w:val="000E2C09"/>
    <w:rsid w:val="000E314B"/>
    <w:rsid w:val="000E36F1"/>
    <w:rsid w:val="000E411A"/>
    <w:rsid w:val="000E465E"/>
    <w:rsid w:val="000E46E6"/>
    <w:rsid w:val="000E4805"/>
    <w:rsid w:val="000E4885"/>
    <w:rsid w:val="000E4B83"/>
    <w:rsid w:val="000E4F8B"/>
    <w:rsid w:val="000E50EE"/>
    <w:rsid w:val="000E5196"/>
    <w:rsid w:val="000E51BE"/>
    <w:rsid w:val="000E556F"/>
    <w:rsid w:val="000E5601"/>
    <w:rsid w:val="000E58AA"/>
    <w:rsid w:val="000E5EA9"/>
    <w:rsid w:val="000E5F9F"/>
    <w:rsid w:val="000E5FBD"/>
    <w:rsid w:val="000E6F98"/>
    <w:rsid w:val="000E71B4"/>
    <w:rsid w:val="000E72DF"/>
    <w:rsid w:val="000E73F7"/>
    <w:rsid w:val="000E768B"/>
    <w:rsid w:val="000E7A4D"/>
    <w:rsid w:val="000E7CAA"/>
    <w:rsid w:val="000E7DA7"/>
    <w:rsid w:val="000E7DF4"/>
    <w:rsid w:val="000E7E3F"/>
    <w:rsid w:val="000E7EBD"/>
    <w:rsid w:val="000F01E1"/>
    <w:rsid w:val="000F0357"/>
    <w:rsid w:val="000F0373"/>
    <w:rsid w:val="000F039A"/>
    <w:rsid w:val="000F08A2"/>
    <w:rsid w:val="000F09A4"/>
    <w:rsid w:val="000F0AF1"/>
    <w:rsid w:val="000F0E9A"/>
    <w:rsid w:val="000F11C2"/>
    <w:rsid w:val="000F1418"/>
    <w:rsid w:val="000F1471"/>
    <w:rsid w:val="000F15AE"/>
    <w:rsid w:val="000F1710"/>
    <w:rsid w:val="000F1B07"/>
    <w:rsid w:val="000F20D3"/>
    <w:rsid w:val="000F2298"/>
    <w:rsid w:val="000F22EC"/>
    <w:rsid w:val="000F232C"/>
    <w:rsid w:val="000F2437"/>
    <w:rsid w:val="000F27CC"/>
    <w:rsid w:val="000F2A7B"/>
    <w:rsid w:val="000F2CB4"/>
    <w:rsid w:val="000F2D23"/>
    <w:rsid w:val="000F3488"/>
    <w:rsid w:val="000F3529"/>
    <w:rsid w:val="000F39BF"/>
    <w:rsid w:val="000F3A15"/>
    <w:rsid w:val="000F3AEB"/>
    <w:rsid w:val="000F3F3E"/>
    <w:rsid w:val="000F42B5"/>
    <w:rsid w:val="000F464A"/>
    <w:rsid w:val="000F46D0"/>
    <w:rsid w:val="000F47AF"/>
    <w:rsid w:val="000F48B2"/>
    <w:rsid w:val="000F4BC8"/>
    <w:rsid w:val="000F4FA9"/>
    <w:rsid w:val="000F518A"/>
    <w:rsid w:val="000F53D9"/>
    <w:rsid w:val="000F53DD"/>
    <w:rsid w:val="000F5644"/>
    <w:rsid w:val="000F59BE"/>
    <w:rsid w:val="000F5A21"/>
    <w:rsid w:val="000F6077"/>
    <w:rsid w:val="000F6108"/>
    <w:rsid w:val="000F650F"/>
    <w:rsid w:val="000F658A"/>
    <w:rsid w:val="000F67C9"/>
    <w:rsid w:val="000F6808"/>
    <w:rsid w:val="000F6C51"/>
    <w:rsid w:val="000F6DD4"/>
    <w:rsid w:val="000F6EE2"/>
    <w:rsid w:val="000F6EF2"/>
    <w:rsid w:val="000F74FB"/>
    <w:rsid w:val="000F7FDC"/>
    <w:rsid w:val="00100183"/>
    <w:rsid w:val="00100190"/>
    <w:rsid w:val="001001FB"/>
    <w:rsid w:val="001005A3"/>
    <w:rsid w:val="001007E9"/>
    <w:rsid w:val="00100970"/>
    <w:rsid w:val="00100A62"/>
    <w:rsid w:val="00100BBE"/>
    <w:rsid w:val="00100D51"/>
    <w:rsid w:val="00100E30"/>
    <w:rsid w:val="001010B1"/>
    <w:rsid w:val="00101349"/>
    <w:rsid w:val="00101503"/>
    <w:rsid w:val="00101532"/>
    <w:rsid w:val="0010179D"/>
    <w:rsid w:val="0010225F"/>
    <w:rsid w:val="0010282E"/>
    <w:rsid w:val="00102C25"/>
    <w:rsid w:val="001030E6"/>
    <w:rsid w:val="0010325E"/>
    <w:rsid w:val="0010383C"/>
    <w:rsid w:val="001039D5"/>
    <w:rsid w:val="00103FFB"/>
    <w:rsid w:val="001040C8"/>
    <w:rsid w:val="0010438D"/>
    <w:rsid w:val="001045F4"/>
    <w:rsid w:val="001048E2"/>
    <w:rsid w:val="00104997"/>
    <w:rsid w:val="00105122"/>
    <w:rsid w:val="00105402"/>
    <w:rsid w:val="0010554E"/>
    <w:rsid w:val="00105A53"/>
    <w:rsid w:val="00105A71"/>
    <w:rsid w:val="00105A7B"/>
    <w:rsid w:val="00105EA5"/>
    <w:rsid w:val="001061DB"/>
    <w:rsid w:val="0010630E"/>
    <w:rsid w:val="0010647B"/>
    <w:rsid w:val="001064E2"/>
    <w:rsid w:val="001065EC"/>
    <w:rsid w:val="00106639"/>
    <w:rsid w:val="00106827"/>
    <w:rsid w:val="00106ECB"/>
    <w:rsid w:val="0010718B"/>
    <w:rsid w:val="00107255"/>
    <w:rsid w:val="0010747E"/>
    <w:rsid w:val="001075C8"/>
    <w:rsid w:val="00107939"/>
    <w:rsid w:val="0010796D"/>
    <w:rsid w:val="00107A83"/>
    <w:rsid w:val="00107BA3"/>
    <w:rsid w:val="00110095"/>
    <w:rsid w:val="00110229"/>
    <w:rsid w:val="00110445"/>
    <w:rsid w:val="00110642"/>
    <w:rsid w:val="0011098B"/>
    <w:rsid w:val="00110E64"/>
    <w:rsid w:val="00110F10"/>
    <w:rsid w:val="0011182E"/>
    <w:rsid w:val="00111861"/>
    <w:rsid w:val="00111C27"/>
    <w:rsid w:val="0011203D"/>
    <w:rsid w:val="0011205A"/>
    <w:rsid w:val="001121B3"/>
    <w:rsid w:val="00112270"/>
    <w:rsid w:val="001127F3"/>
    <w:rsid w:val="00112827"/>
    <w:rsid w:val="001129D8"/>
    <w:rsid w:val="00112C29"/>
    <w:rsid w:val="00112C91"/>
    <w:rsid w:val="00112C96"/>
    <w:rsid w:val="00112D80"/>
    <w:rsid w:val="001139A6"/>
    <w:rsid w:val="00113A1C"/>
    <w:rsid w:val="00113AEE"/>
    <w:rsid w:val="00113B72"/>
    <w:rsid w:val="00113F96"/>
    <w:rsid w:val="00114274"/>
    <w:rsid w:val="00114943"/>
    <w:rsid w:val="00114D1C"/>
    <w:rsid w:val="0011550A"/>
    <w:rsid w:val="00115592"/>
    <w:rsid w:val="00115820"/>
    <w:rsid w:val="00115C8A"/>
    <w:rsid w:val="001160A9"/>
    <w:rsid w:val="0011614D"/>
    <w:rsid w:val="00116464"/>
    <w:rsid w:val="0011698B"/>
    <w:rsid w:val="00117003"/>
    <w:rsid w:val="00117025"/>
    <w:rsid w:val="001171DB"/>
    <w:rsid w:val="00117611"/>
    <w:rsid w:val="001177EC"/>
    <w:rsid w:val="00117908"/>
    <w:rsid w:val="00117A9A"/>
    <w:rsid w:val="00117ABF"/>
    <w:rsid w:val="00117D01"/>
    <w:rsid w:val="00117FE0"/>
    <w:rsid w:val="00117FE6"/>
    <w:rsid w:val="0012028E"/>
    <w:rsid w:val="0012096E"/>
    <w:rsid w:val="00120F65"/>
    <w:rsid w:val="0012107A"/>
    <w:rsid w:val="00121643"/>
    <w:rsid w:val="0012164E"/>
    <w:rsid w:val="00121817"/>
    <w:rsid w:val="00121A66"/>
    <w:rsid w:val="00121D81"/>
    <w:rsid w:val="00121E9B"/>
    <w:rsid w:val="00121EF2"/>
    <w:rsid w:val="0012245C"/>
    <w:rsid w:val="00122686"/>
    <w:rsid w:val="00122740"/>
    <w:rsid w:val="00122C76"/>
    <w:rsid w:val="00122D8D"/>
    <w:rsid w:val="00123198"/>
    <w:rsid w:val="00123278"/>
    <w:rsid w:val="001234D8"/>
    <w:rsid w:val="00123527"/>
    <w:rsid w:val="001238C6"/>
    <w:rsid w:val="00123ABD"/>
    <w:rsid w:val="00123B0F"/>
    <w:rsid w:val="00123B30"/>
    <w:rsid w:val="00123ED0"/>
    <w:rsid w:val="00123F6F"/>
    <w:rsid w:val="001244FC"/>
    <w:rsid w:val="001245E6"/>
    <w:rsid w:val="0012460C"/>
    <w:rsid w:val="00124B42"/>
    <w:rsid w:val="00124B8A"/>
    <w:rsid w:val="001253B3"/>
    <w:rsid w:val="001253C9"/>
    <w:rsid w:val="0012559F"/>
    <w:rsid w:val="00125620"/>
    <w:rsid w:val="00125A3D"/>
    <w:rsid w:val="00125F2C"/>
    <w:rsid w:val="00126054"/>
    <w:rsid w:val="00126439"/>
    <w:rsid w:val="001264A6"/>
    <w:rsid w:val="00126714"/>
    <w:rsid w:val="001269EA"/>
    <w:rsid w:val="00126A8D"/>
    <w:rsid w:val="00126BCD"/>
    <w:rsid w:val="00126FA6"/>
    <w:rsid w:val="0012734B"/>
    <w:rsid w:val="001278E0"/>
    <w:rsid w:val="001279E4"/>
    <w:rsid w:val="00127AD7"/>
    <w:rsid w:val="00127E31"/>
    <w:rsid w:val="00127E9C"/>
    <w:rsid w:val="0013020C"/>
    <w:rsid w:val="00130277"/>
    <w:rsid w:val="001302A8"/>
    <w:rsid w:val="001303A1"/>
    <w:rsid w:val="00130D4E"/>
    <w:rsid w:val="00130E24"/>
    <w:rsid w:val="00130E31"/>
    <w:rsid w:val="001310DC"/>
    <w:rsid w:val="001317AB"/>
    <w:rsid w:val="001317DC"/>
    <w:rsid w:val="00131D56"/>
    <w:rsid w:val="00131DC1"/>
    <w:rsid w:val="00131ECB"/>
    <w:rsid w:val="00131F67"/>
    <w:rsid w:val="001328F0"/>
    <w:rsid w:val="00132ACE"/>
    <w:rsid w:val="00132D2D"/>
    <w:rsid w:val="001331A6"/>
    <w:rsid w:val="001334CB"/>
    <w:rsid w:val="001337E1"/>
    <w:rsid w:val="00133872"/>
    <w:rsid w:val="00133876"/>
    <w:rsid w:val="001339E2"/>
    <w:rsid w:val="00133D04"/>
    <w:rsid w:val="00134307"/>
    <w:rsid w:val="0013464C"/>
    <w:rsid w:val="0013467D"/>
    <w:rsid w:val="00134873"/>
    <w:rsid w:val="0013488D"/>
    <w:rsid w:val="00134B15"/>
    <w:rsid w:val="00134BC1"/>
    <w:rsid w:val="00134C51"/>
    <w:rsid w:val="00134EB7"/>
    <w:rsid w:val="00134EE4"/>
    <w:rsid w:val="00134EF0"/>
    <w:rsid w:val="00134FBF"/>
    <w:rsid w:val="00135154"/>
    <w:rsid w:val="0013539D"/>
    <w:rsid w:val="00135776"/>
    <w:rsid w:val="00135ACC"/>
    <w:rsid w:val="00135D39"/>
    <w:rsid w:val="0013602B"/>
    <w:rsid w:val="00136278"/>
    <w:rsid w:val="001362A9"/>
    <w:rsid w:val="0013691C"/>
    <w:rsid w:val="00136BD1"/>
    <w:rsid w:val="00136E86"/>
    <w:rsid w:val="00136F4A"/>
    <w:rsid w:val="001375FD"/>
    <w:rsid w:val="00137774"/>
    <w:rsid w:val="00137AC9"/>
    <w:rsid w:val="00137F8B"/>
    <w:rsid w:val="0014037A"/>
    <w:rsid w:val="00140432"/>
    <w:rsid w:val="001404B7"/>
    <w:rsid w:val="001404DB"/>
    <w:rsid w:val="001407C3"/>
    <w:rsid w:val="0014091B"/>
    <w:rsid w:val="00140B15"/>
    <w:rsid w:val="00140B80"/>
    <w:rsid w:val="001410BE"/>
    <w:rsid w:val="001412F3"/>
    <w:rsid w:val="001415F9"/>
    <w:rsid w:val="00141660"/>
    <w:rsid w:val="001417FF"/>
    <w:rsid w:val="00141A13"/>
    <w:rsid w:val="00141D0A"/>
    <w:rsid w:val="001424EF"/>
    <w:rsid w:val="001425D5"/>
    <w:rsid w:val="00142B23"/>
    <w:rsid w:val="00142BC4"/>
    <w:rsid w:val="0014307F"/>
    <w:rsid w:val="00143154"/>
    <w:rsid w:val="00143188"/>
    <w:rsid w:val="001434DD"/>
    <w:rsid w:val="0014353A"/>
    <w:rsid w:val="00143607"/>
    <w:rsid w:val="001436EC"/>
    <w:rsid w:val="00143AAE"/>
    <w:rsid w:val="00143B89"/>
    <w:rsid w:val="00143CB1"/>
    <w:rsid w:val="00143E8B"/>
    <w:rsid w:val="00144095"/>
    <w:rsid w:val="001441E3"/>
    <w:rsid w:val="00144470"/>
    <w:rsid w:val="001446AB"/>
    <w:rsid w:val="00144AE3"/>
    <w:rsid w:val="00144C52"/>
    <w:rsid w:val="00144EB1"/>
    <w:rsid w:val="00145395"/>
    <w:rsid w:val="0014546F"/>
    <w:rsid w:val="001454AC"/>
    <w:rsid w:val="001455E2"/>
    <w:rsid w:val="00145923"/>
    <w:rsid w:val="001459B3"/>
    <w:rsid w:val="00145ACD"/>
    <w:rsid w:val="00146186"/>
    <w:rsid w:val="001461A6"/>
    <w:rsid w:val="001462C9"/>
    <w:rsid w:val="00146465"/>
    <w:rsid w:val="001466F1"/>
    <w:rsid w:val="001469EF"/>
    <w:rsid w:val="00146B27"/>
    <w:rsid w:val="00146FBD"/>
    <w:rsid w:val="00147164"/>
    <w:rsid w:val="00147DA1"/>
    <w:rsid w:val="00147E4C"/>
    <w:rsid w:val="00147ED3"/>
    <w:rsid w:val="00150753"/>
    <w:rsid w:val="00150A06"/>
    <w:rsid w:val="00150BA8"/>
    <w:rsid w:val="00150C00"/>
    <w:rsid w:val="00150C47"/>
    <w:rsid w:val="00150F51"/>
    <w:rsid w:val="0015102C"/>
    <w:rsid w:val="0015136E"/>
    <w:rsid w:val="00151476"/>
    <w:rsid w:val="00151982"/>
    <w:rsid w:val="001519A2"/>
    <w:rsid w:val="00151A13"/>
    <w:rsid w:val="00151A92"/>
    <w:rsid w:val="00151F7D"/>
    <w:rsid w:val="001521CE"/>
    <w:rsid w:val="0015255C"/>
    <w:rsid w:val="00152581"/>
    <w:rsid w:val="0015279F"/>
    <w:rsid w:val="00152808"/>
    <w:rsid w:val="00152933"/>
    <w:rsid w:val="00152A9B"/>
    <w:rsid w:val="00152CCC"/>
    <w:rsid w:val="001531F9"/>
    <w:rsid w:val="001534AC"/>
    <w:rsid w:val="00153576"/>
    <w:rsid w:val="001535A3"/>
    <w:rsid w:val="00153635"/>
    <w:rsid w:val="00153C7E"/>
    <w:rsid w:val="00153CC8"/>
    <w:rsid w:val="00153F66"/>
    <w:rsid w:val="0015429E"/>
    <w:rsid w:val="00154548"/>
    <w:rsid w:val="00154E11"/>
    <w:rsid w:val="00154FD3"/>
    <w:rsid w:val="00155441"/>
    <w:rsid w:val="001559E7"/>
    <w:rsid w:val="00155F7B"/>
    <w:rsid w:val="00156045"/>
    <w:rsid w:val="00156B18"/>
    <w:rsid w:val="00156CF6"/>
    <w:rsid w:val="001570E2"/>
    <w:rsid w:val="001573EF"/>
    <w:rsid w:val="00157664"/>
    <w:rsid w:val="00157AB6"/>
    <w:rsid w:val="00157BB8"/>
    <w:rsid w:val="00157C79"/>
    <w:rsid w:val="0016002F"/>
    <w:rsid w:val="001606E6"/>
    <w:rsid w:val="001607C1"/>
    <w:rsid w:val="00160899"/>
    <w:rsid w:val="00160A45"/>
    <w:rsid w:val="00161A48"/>
    <w:rsid w:val="0016248E"/>
    <w:rsid w:val="001625B6"/>
    <w:rsid w:val="001626CB"/>
    <w:rsid w:val="001627AE"/>
    <w:rsid w:val="00162864"/>
    <w:rsid w:val="00162B77"/>
    <w:rsid w:val="00162CF3"/>
    <w:rsid w:val="00162FB1"/>
    <w:rsid w:val="00163093"/>
    <w:rsid w:val="00163100"/>
    <w:rsid w:val="001632B3"/>
    <w:rsid w:val="00163A71"/>
    <w:rsid w:val="00163E3F"/>
    <w:rsid w:val="00163ED9"/>
    <w:rsid w:val="0016425B"/>
    <w:rsid w:val="001644E7"/>
    <w:rsid w:val="00164524"/>
    <w:rsid w:val="0016466C"/>
    <w:rsid w:val="00164901"/>
    <w:rsid w:val="00165721"/>
    <w:rsid w:val="0016577C"/>
    <w:rsid w:val="00165BE6"/>
    <w:rsid w:val="00165C63"/>
    <w:rsid w:val="00165CD8"/>
    <w:rsid w:val="00165DF6"/>
    <w:rsid w:val="00166276"/>
    <w:rsid w:val="001666D0"/>
    <w:rsid w:val="001666F1"/>
    <w:rsid w:val="0016678B"/>
    <w:rsid w:val="00166A62"/>
    <w:rsid w:val="00166CD9"/>
    <w:rsid w:val="00166CF1"/>
    <w:rsid w:val="00166D34"/>
    <w:rsid w:val="00166F7A"/>
    <w:rsid w:val="00167407"/>
    <w:rsid w:val="0016770C"/>
    <w:rsid w:val="001679F8"/>
    <w:rsid w:val="00167A03"/>
    <w:rsid w:val="00167A8B"/>
    <w:rsid w:val="0017069B"/>
    <w:rsid w:val="00170876"/>
    <w:rsid w:val="00170A33"/>
    <w:rsid w:val="00170CFA"/>
    <w:rsid w:val="00170FA9"/>
    <w:rsid w:val="00170FC6"/>
    <w:rsid w:val="001710EE"/>
    <w:rsid w:val="001713A0"/>
    <w:rsid w:val="00171632"/>
    <w:rsid w:val="0017176B"/>
    <w:rsid w:val="001719DE"/>
    <w:rsid w:val="00171B58"/>
    <w:rsid w:val="001720C4"/>
    <w:rsid w:val="0017257E"/>
    <w:rsid w:val="001725BC"/>
    <w:rsid w:val="00172785"/>
    <w:rsid w:val="001727B9"/>
    <w:rsid w:val="001730C7"/>
    <w:rsid w:val="001732B4"/>
    <w:rsid w:val="001735EB"/>
    <w:rsid w:val="00173AF7"/>
    <w:rsid w:val="00174083"/>
    <w:rsid w:val="00174257"/>
    <w:rsid w:val="001746EA"/>
    <w:rsid w:val="0017478F"/>
    <w:rsid w:val="001747D2"/>
    <w:rsid w:val="00174926"/>
    <w:rsid w:val="00174A7B"/>
    <w:rsid w:val="00174B9A"/>
    <w:rsid w:val="00174D33"/>
    <w:rsid w:val="00174D43"/>
    <w:rsid w:val="00174DBA"/>
    <w:rsid w:val="00174DFE"/>
    <w:rsid w:val="00175434"/>
    <w:rsid w:val="00175535"/>
    <w:rsid w:val="0017567E"/>
    <w:rsid w:val="001756B6"/>
    <w:rsid w:val="00175757"/>
    <w:rsid w:val="001758F2"/>
    <w:rsid w:val="00175B8A"/>
    <w:rsid w:val="00175C7B"/>
    <w:rsid w:val="00175CD4"/>
    <w:rsid w:val="00175E49"/>
    <w:rsid w:val="00176191"/>
    <w:rsid w:val="001761AD"/>
    <w:rsid w:val="001763B0"/>
    <w:rsid w:val="001763E0"/>
    <w:rsid w:val="001768C6"/>
    <w:rsid w:val="00176FEB"/>
    <w:rsid w:val="00177168"/>
    <w:rsid w:val="001773DF"/>
    <w:rsid w:val="00177546"/>
    <w:rsid w:val="00177602"/>
    <w:rsid w:val="00177665"/>
    <w:rsid w:val="00177DF4"/>
    <w:rsid w:val="00177E87"/>
    <w:rsid w:val="0018014A"/>
    <w:rsid w:val="00180227"/>
    <w:rsid w:val="001805A0"/>
    <w:rsid w:val="001806E0"/>
    <w:rsid w:val="0018070C"/>
    <w:rsid w:val="0018075C"/>
    <w:rsid w:val="00180771"/>
    <w:rsid w:val="001808A3"/>
    <w:rsid w:val="001809C9"/>
    <w:rsid w:val="00180ADE"/>
    <w:rsid w:val="00180C85"/>
    <w:rsid w:val="00181185"/>
    <w:rsid w:val="0018162B"/>
    <w:rsid w:val="00181790"/>
    <w:rsid w:val="0018193B"/>
    <w:rsid w:val="00181BC2"/>
    <w:rsid w:val="0018205D"/>
    <w:rsid w:val="00182849"/>
    <w:rsid w:val="00182AD2"/>
    <w:rsid w:val="00182B2E"/>
    <w:rsid w:val="00182C85"/>
    <w:rsid w:val="00182D9A"/>
    <w:rsid w:val="00182F9B"/>
    <w:rsid w:val="00183655"/>
    <w:rsid w:val="001837D1"/>
    <w:rsid w:val="00183B88"/>
    <w:rsid w:val="00183E36"/>
    <w:rsid w:val="00184176"/>
    <w:rsid w:val="00184473"/>
    <w:rsid w:val="001847B7"/>
    <w:rsid w:val="001848A3"/>
    <w:rsid w:val="00184CFD"/>
    <w:rsid w:val="00184D66"/>
    <w:rsid w:val="00184E2F"/>
    <w:rsid w:val="00184FFD"/>
    <w:rsid w:val="001854D5"/>
    <w:rsid w:val="0018579A"/>
    <w:rsid w:val="001857FA"/>
    <w:rsid w:val="00185B15"/>
    <w:rsid w:val="00185BD8"/>
    <w:rsid w:val="00185C5F"/>
    <w:rsid w:val="00185CDC"/>
    <w:rsid w:val="00186032"/>
    <w:rsid w:val="00186338"/>
    <w:rsid w:val="0018638D"/>
    <w:rsid w:val="0018663C"/>
    <w:rsid w:val="001866DD"/>
    <w:rsid w:val="00186700"/>
    <w:rsid w:val="00186730"/>
    <w:rsid w:val="00186B8C"/>
    <w:rsid w:val="00186D80"/>
    <w:rsid w:val="00187B0C"/>
    <w:rsid w:val="00187CE3"/>
    <w:rsid w:val="00187D91"/>
    <w:rsid w:val="00187F17"/>
    <w:rsid w:val="00187F4F"/>
    <w:rsid w:val="00187F50"/>
    <w:rsid w:val="00190191"/>
    <w:rsid w:val="0019081E"/>
    <w:rsid w:val="00190964"/>
    <w:rsid w:val="00190A58"/>
    <w:rsid w:val="00190D16"/>
    <w:rsid w:val="0019146B"/>
    <w:rsid w:val="00191559"/>
    <w:rsid w:val="001915BB"/>
    <w:rsid w:val="001918F4"/>
    <w:rsid w:val="00191A49"/>
    <w:rsid w:val="00191F68"/>
    <w:rsid w:val="0019204E"/>
    <w:rsid w:val="00192064"/>
    <w:rsid w:val="00192148"/>
    <w:rsid w:val="001923F4"/>
    <w:rsid w:val="0019334E"/>
    <w:rsid w:val="00193426"/>
    <w:rsid w:val="00193AA0"/>
    <w:rsid w:val="00193CBE"/>
    <w:rsid w:val="00193CD7"/>
    <w:rsid w:val="00194356"/>
    <w:rsid w:val="00194874"/>
    <w:rsid w:val="00194917"/>
    <w:rsid w:val="001949AC"/>
    <w:rsid w:val="00194C51"/>
    <w:rsid w:val="00195474"/>
    <w:rsid w:val="00195A82"/>
    <w:rsid w:val="00195ABE"/>
    <w:rsid w:val="00195C9D"/>
    <w:rsid w:val="00195EEF"/>
    <w:rsid w:val="0019610F"/>
    <w:rsid w:val="00196239"/>
    <w:rsid w:val="001965BE"/>
    <w:rsid w:val="00196D6F"/>
    <w:rsid w:val="0019702C"/>
    <w:rsid w:val="00197144"/>
    <w:rsid w:val="00197251"/>
    <w:rsid w:val="0019769C"/>
    <w:rsid w:val="001A0014"/>
    <w:rsid w:val="001A04B0"/>
    <w:rsid w:val="001A04B1"/>
    <w:rsid w:val="001A0650"/>
    <w:rsid w:val="001A06C9"/>
    <w:rsid w:val="001A1194"/>
    <w:rsid w:val="001A13B5"/>
    <w:rsid w:val="001A1AB9"/>
    <w:rsid w:val="001A1B20"/>
    <w:rsid w:val="001A1B44"/>
    <w:rsid w:val="001A1CF0"/>
    <w:rsid w:val="001A2085"/>
    <w:rsid w:val="001A22F0"/>
    <w:rsid w:val="001A2480"/>
    <w:rsid w:val="001A2785"/>
    <w:rsid w:val="001A28D3"/>
    <w:rsid w:val="001A294F"/>
    <w:rsid w:val="001A2960"/>
    <w:rsid w:val="001A2AFA"/>
    <w:rsid w:val="001A312F"/>
    <w:rsid w:val="001A3556"/>
    <w:rsid w:val="001A3585"/>
    <w:rsid w:val="001A39B2"/>
    <w:rsid w:val="001A3AD6"/>
    <w:rsid w:val="001A4563"/>
    <w:rsid w:val="001A4D92"/>
    <w:rsid w:val="001A4F65"/>
    <w:rsid w:val="001A51F3"/>
    <w:rsid w:val="001A553C"/>
    <w:rsid w:val="001A55C5"/>
    <w:rsid w:val="001A5662"/>
    <w:rsid w:val="001A57A2"/>
    <w:rsid w:val="001A591F"/>
    <w:rsid w:val="001A5A3B"/>
    <w:rsid w:val="001A5ADF"/>
    <w:rsid w:val="001A5B7A"/>
    <w:rsid w:val="001A5E68"/>
    <w:rsid w:val="001A5EDB"/>
    <w:rsid w:val="001A5F7A"/>
    <w:rsid w:val="001A634F"/>
    <w:rsid w:val="001A63CD"/>
    <w:rsid w:val="001A6528"/>
    <w:rsid w:val="001A6892"/>
    <w:rsid w:val="001A6EFD"/>
    <w:rsid w:val="001A7489"/>
    <w:rsid w:val="001A7835"/>
    <w:rsid w:val="001A78E9"/>
    <w:rsid w:val="001A78F1"/>
    <w:rsid w:val="001A79C1"/>
    <w:rsid w:val="001A7B6C"/>
    <w:rsid w:val="001A7DC0"/>
    <w:rsid w:val="001B007A"/>
    <w:rsid w:val="001B0082"/>
    <w:rsid w:val="001B047A"/>
    <w:rsid w:val="001B04A9"/>
    <w:rsid w:val="001B059B"/>
    <w:rsid w:val="001B0A69"/>
    <w:rsid w:val="001B0BB7"/>
    <w:rsid w:val="001B0C3A"/>
    <w:rsid w:val="001B0CC8"/>
    <w:rsid w:val="001B0DCF"/>
    <w:rsid w:val="001B0EB2"/>
    <w:rsid w:val="001B142C"/>
    <w:rsid w:val="001B1DBE"/>
    <w:rsid w:val="001B2220"/>
    <w:rsid w:val="001B223C"/>
    <w:rsid w:val="001B225D"/>
    <w:rsid w:val="001B258B"/>
    <w:rsid w:val="001B26C0"/>
    <w:rsid w:val="001B2807"/>
    <w:rsid w:val="001B294D"/>
    <w:rsid w:val="001B2BDC"/>
    <w:rsid w:val="001B2D60"/>
    <w:rsid w:val="001B3146"/>
    <w:rsid w:val="001B33F2"/>
    <w:rsid w:val="001B3402"/>
    <w:rsid w:val="001B345D"/>
    <w:rsid w:val="001B34B6"/>
    <w:rsid w:val="001B377F"/>
    <w:rsid w:val="001B378B"/>
    <w:rsid w:val="001B3968"/>
    <w:rsid w:val="001B3BA8"/>
    <w:rsid w:val="001B43BF"/>
    <w:rsid w:val="001B458F"/>
    <w:rsid w:val="001B4A37"/>
    <w:rsid w:val="001B4C0B"/>
    <w:rsid w:val="001B5242"/>
    <w:rsid w:val="001B55C8"/>
    <w:rsid w:val="001B5728"/>
    <w:rsid w:val="001B597F"/>
    <w:rsid w:val="001B5A78"/>
    <w:rsid w:val="001B5B0C"/>
    <w:rsid w:val="001B5B77"/>
    <w:rsid w:val="001B5E2C"/>
    <w:rsid w:val="001B5FB0"/>
    <w:rsid w:val="001B5FCF"/>
    <w:rsid w:val="001B5FDA"/>
    <w:rsid w:val="001B61DB"/>
    <w:rsid w:val="001B6366"/>
    <w:rsid w:val="001B67CD"/>
    <w:rsid w:val="001B69D5"/>
    <w:rsid w:val="001B6B19"/>
    <w:rsid w:val="001B6B6B"/>
    <w:rsid w:val="001B71D8"/>
    <w:rsid w:val="001B79CE"/>
    <w:rsid w:val="001B7BD8"/>
    <w:rsid w:val="001B7BE5"/>
    <w:rsid w:val="001B7CFE"/>
    <w:rsid w:val="001B7F42"/>
    <w:rsid w:val="001C0013"/>
    <w:rsid w:val="001C027E"/>
    <w:rsid w:val="001C0711"/>
    <w:rsid w:val="001C0755"/>
    <w:rsid w:val="001C0ACB"/>
    <w:rsid w:val="001C0D1B"/>
    <w:rsid w:val="001C0DA5"/>
    <w:rsid w:val="001C0DC9"/>
    <w:rsid w:val="001C100A"/>
    <w:rsid w:val="001C11F4"/>
    <w:rsid w:val="001C1263"/>
    <w:rsid w:val="001C12C9"/>
    <w:rsid w:val="001C146D"/>
    <w:rsid w:val="001C15E2"/>
    <w:rsid w:val="001C1B10"/>
    <w:rsid w:val="001C1B30"/>
    <w:rsid w:val="001C1BA1"/>
    <w:rsid w:val="001C2234"/>
    <w:rsid w:val="001C26B8"/>
    <w:rsid w:val="001C2B27"/>
    <w:rsid w:val="001C2C30"/>
    <w:rsid w:val="001C2D1E"/>
    <w:rsid w:val="001C2D56"/>
    <w:rsid w:val="001C3144"/>
    <w:rsid w:val="001C33BA"/>
    <w:rsid w:val="001C34C8"/>
    <w:rsid w:val="001C36F2"/>
    <w:rsid w:val="001C3841"/>
    <w:rsid w:val="001C39D6"/>
    <w:rsid w:val="001C3DBE"/>
    <w:rsid w:val="001C43DF"/>
    <w:rsid w:val="001C471B"/>
    <w:rsid w:val="001C4AD7"/>
    <w:rsid w:val="001C4B1F"/>
    <w:rsid w:val="001C4B48"/>
    <w:rsid w:val="001C54D0"/>
    <w:rsid w:val="001C5697"/>
    <w:rsid w:val="001C5AAE"/>
    <w:rsid w:val="001C5C90"/>
    <w:rsid w:val="001C5FEC"/>
    <w:rsid w:val="001C5FFE"/>
    <w:rsid w:val="001C6179"/>
    <w:rsid w:val="001C6313"/>
    <w:rsid w:val="001C6B3F"/>
    <w:rsid w:val="001C6EF4"/>
    <w:rsid w:val="001C747D"/>
    <w:rsid w:val="001C74ED"/>
    <w:rsid w:val="001C77FD"/>
    <w:rsid w:val="001C7AC5"/>
    <w:rsid w:val="001C7B3B"/>
    <w:rsid w:val="001C7E3F"/>
    <w:rsid w:val="001C7EC5"/>
    <w:rsid w:val="001D01BB"/>
    <w:rsid w:val="001D0243"/>
    <w:rsid w:val="001D02F2"/>
    <w:rsid w:val="001D07E2"/>
    <w:rsid w:val="001D0866"/>
    <w:rsid w:val="001D1126"/>
    <w:rsid w:val="001D1554"/>
    <w:rsid w:val="001D1725"/>
    <w:rsid w:val="001D178B"/>
    <w:rsid w:val="001D1C7B"/>
    <w:rsid w:val="001D217A"/>
    <w:rsid w:val="001D2383"/>
    <w:rsid w:val="001D25C0"/>
    <w:rsid w:val="001D2859"/>
    <w:rsid w:val="001D2BB1"/>
    <w:rsid w:val="001D3474"/>
    <w:rsid w:val="001D356A"/>
    <w:rsid w:val="001D3845"/>
    <w:rsid w:val="001D3BA4"/>
    <w:rsid w:val="001D3BF1"/>
    <w:rsid w:val="001D3C59"/>
    <w:rsid w:val="001D3F3A"/>
    <w:rsid w:val="001D403E"/>
    <w:rsid w:val="001D4182"/>
    <w:rsid w:val="001D42C0"/>
    <w:rsid w:val="001D44CF"/>
    <w:rsid w:val="001D44F6"/>
    <w:rsid w:val="001D4B3E"/>
    <w:rsid w:val="001D4DD4"/>
    <w:rsid w:val="001D4F6A"/>
    <w:rsid w:val="001D535F"/>
    <w:rsid w:val="001D540C"/>
    <w:rsid w:val="001D5647"/>
    <w:rsid w:val="001D5971"/>
    <w:rsid w:val="001D5F3B"/>
    <w:rsid w:val="001D5FA4"/>
    <w:rsid w:val="001D6019"/>
    <w:rsid w:val="001D65C2"/>
    <w:rsid w:val="001D67CA"/>
    <w:rsid w:val="001D680F"/>
    <w:rsid w:val="001D6A3B"/>
    <w:rsid w:val="001D6F27"/>
    <w:rsid w:val="001D6FA7"/>
    <w:rsid w:val="001D6FDD"/>
    <w:rsid w:val="001D722B"/>
    <w:rsid w:val="001D7325"/>
    <w:rsid w:val="001D79B9"/>
    <w:rsid w:val="001D7A20"/>
    <w:rsid w:val="001D7AF9"/>
    <w:rsid w:val="001D7E4D"/>
    <w:rsid w:val="001E0634"/>
    <w:rsid w:val="001E0766"/>
    <w:rsid w:val="001E0E47"/>
    <w:rsid w:val="001E0F4F"/>
    <w:rsid w:val="001E0FC5"/>
    <w:rsid w:val="001E108D"/>
    <w:rsid w:val="001E12B7"/>
    <w:rsid w:val="001E1511"/>
    <w:rsid w:val="001E1532"/>
    <w:rsid w:val="001E1726"/>
    <w:rsid w:val="001E19E8"/>
    <w:rsid w:val="001E23EC"/>
    <w:rsid w:val="001E2855"/>
    <w:rsid w:val="001E2932"/>
    <w:rsid w:val="001E2A8C"/>
    <w:rsid w:val="001E2AFE"/>
    <w:rsid w:val="001E2B72"/>
    <w:rsid w:val="001E2C17"/>
    <w:rsid w:val="001E35FA"/>
    <w:rsid w:val="001E3DFC"/>
    <w:rsid w:val="001E4048"/>
    <w:rsid w:val="001E42E1"/>
    <w:rsid w:val="001E4303"/>
    <w:rsid w:val="001E4514"/>
    <w:rsid w:val="001E4C1A"/>
    <w:rsid w:val="001E4D53"/>
    <w:rsid w:val="001E528F"/>
    <w:rsid w:val="001E5356"/>
    <w:rsid w:val="001E543C"/>
    <w:rsid w:val="001E5797"/>
    <w:rsid w:val="001E6080"/>
    <w:rsid w:val="001E62EE"/>
    <w:rsid w:val="001E65CD"/>
    <w:rsid w:val="001E65D8"/>
    <w:rsid w:val="001E695B"/>
    <w:rsid w:val="001E6A1A"/>
    <w:rsid w:val="001E6CFC"/>
    <w:rsid w:val="001E6D29"/>
    <w:rsid w:val="001E6EB1"/>
    <w:rsid w:val="001E6EB6"/>
    <w:rsid w:val="001E6FF9"/>
    <w:rsid w:val="001E747F"/>
    <w:rsid w:val="001E7871"/>
    <w:rsid w:val="001E7915"/>
    <w:rsid w:val="001E7AF2"/>
    <w:rsid w:val="001F032F"/>
    <w:rsid w:val="001F03AA"/>
    <w:rsid w:val="001F0E21"/>
    <w:rsid w:val="001F0E49"/>
    <w:rsid w:val="001F10DC"/>
    <w:rsid w:val="001F10F7"/>
    <w:rsid w:val="001F1346"/>
    <w:rsid w:val="001F1423"/>
    <w:rsid w:val="001F148F"/>
    <w:rsid w:val="001F1A48"/>
    <w:rsid w:val="001F1B5F"/>
    <w:rsid w:val="001F1F16"/>
    <w:rsid w:val="001F1FBE"/>
    <w:rsid w:val="001F21DE"/>
    <w:rsid w:val="001F22CA"/>
    <w:rsid w:val="001F2791"/>
    <w:rsid w:val="001F2E40"/>
    <w:rsid w:val="001F2F67"/>
    <w:rsid w:val="001F2FA5"/>
    <w:rsid w:val="001F33E7"/>
    <w:rsid w:val="001F36A4"/>
    <w:rsid w:val="001F3D7E"/>
    <w:rsid w:val="001F41BD"/>
    <w:rsid w:val="001F4201"/>
    <w:rsid w:val="001F4383"/>
    <w:rsid w:val="001F4826"/>
    <w:rsid w:val="001F4C18"/>
    <w:rsid w:val="001F4EBC"/>
    <w:rsid w:val="001F4F08"/>
    <w:rsid w:val="001F4F99"/>
    <w:rsid w:val="001F4FA8"/>
    <w:rsid w:val="001F515F"/>
    <w:rsid w:val="001F5620"/>
    <w:rsid w:val="001F5632"/>
    <w:rsid w:val="001F57C7"/>
    <w:rsid w:val="001F5CC2"/>
    <w:rsid w:val="001F5D2D"/>
    <w:rsid w:val="001F5DD4"/>
    <w:rsid w:val="001F5E2C"/>
    <w:rsid w:val="001F6064"/>
    <w:rsid w:val="001F6AA2"/>
    <w:rsid w:val="001F6EF5"/>
    <w:rsid w:val="001F7199"/>
    <w:rsid w:val="001F73C1"/>
    <w:rsid w:val="001F7640"/>
    <w:rsid w:val="001F7D41"/>
    <w:rsid w:val="002002CD"/>
    <w:rsid w:val="0020036F"/>
    <w:rsid w:val="002006A3"/>
    <w:rsid w:val="0020075D"/>
    <w:rsid w:val="0020079A"/>
    <w:rsid w:val="00200919"/>
    <w:rsid w:val="00200A43"/>
    <w:rsid w:val="00200C93"/>
    <w:rsid w:val="00200DCA"/>
    <w:rsid w:val="00200E79"/>
    <w:rsid w:val="00200FAE"/>
    <w:rsid w:val="00201388"/>
    <w:rsid w:val="00201D49"/>
    <w:rsid w:val="00201E03"/>
    <w:rsid w:val="00201E79"/>
    <w:rsid w:val="00201FD6"/>
    <w:rsid w:val="0020222F"/>
    <w:rsid w:val="00202242"/>
    <w:rsid w:val="0020277D"/>
    <w:rsid w:val="00202950"/>
    <w:rsid w:val="00202A00"/>
    <w:rsid w:val="00203249"/>
    <w:rsid w:val="0020334A"/>
    <w:rsid w:val="00203377"/>
    <w:rsid w:val="002033C9"/>
    <w:rsid w:val="002035E2"/>
    <w:rsid w:val="00203730"/>
    <w:rsid w:val="00203A3C"/>
    <w:rsid w:val="00203F76"/>
    <w:rsid w:val="00204159"/>
    <w:rsid w:val="00204822"/>
    <w:rsid w:val="0020482B"/>
    <w:rsid w:val="00204B1E"/>
    <w:rsid w:val="00204DF9"/>
    <w:rsid w:val="00204F26"/>
    <w:rsid w:val="00205420"/>
    <w:rsid w:val="002056BB"/>
    <w:rsid w:val="002057C1"/>
    <w:rsid w:val="00205983"/>
    <w:rsid w:val="00205F00"/>
    <w:rsid w:val="002064D9"/>
    <w:rsid w:val="00206645"/>
    <w:rsid w:val="00206E75"/>
    <w:rsid w:val="002071B5"/>
    <w:rsid w:val="00207335"/>
    <w:rsid w:val="0021016E"/>
    <w:rsid w:val="002104C4"/>
    <w:rsid w:val="00210C09"/>
    <w:rsid w:val="00210E4C"/>
    <w:rsid w:val="00210EE7"/>
    <w:rsid w:val="00210FD2"/>
    <w:rsid w:val="00211276"/>
    <w:rsid w:val="002112A5"/>
    <w:rsid w:val="00211726"/>
    <w:rsid w:val="002117A6"/>
    <w:rsid w:val="002119AE"/>
    <w:rsid w:val="00211A7E"/>
    <w:rsid w:val="00211B55"/>
    <w:rsid w:val="00211C47"/>
    <w:rsid w:val="00211F5F"/>
    <w:rsid w:val="00212081"/>
    <w:rsid w:val="00212303"/>
    <w:rsid w:val="002124EA"/>
    <w:rsid w:val="002126B8"/>
    <w:rsid w:val="00212848"/>
    <w:rsid w:val="00212A13"/>
    <w:rsid w:val="00212D61"/>
    <w:rsid w:val="00212FCC"/>
    <w:rsid w:val="00213817"/>
    <w:rsid w:val="0021386A"/>
    <w:rsid w:val="00213885"/>
    <w:rsid w:val="00213AEB"/>
    <w:rsid w:val="00214590"/>
    <w:rsid w:val="0021465F"/>
    <w:rsid w:val="00214754"/>
    <w:rsid w:val="00214BAC"/>
    <w:rsid w:val="0021502E"/>
    <w:rsid w:val="00215111"/>
    <w:rsid w:val="0021526C"/>
    <w:rsid w:val="00215308"/>
    <w:rsid w:val="00215759"/>
    <w:rsid w:val="002158C5"/>
    <w:rsid w:val="00215CF6"/>
    <w:rsid w:val="00215F51"/>
    <w:rsid w:val="00216571"/>
    <w:rsid w:val="002165DC"/>
    <w:rsid w:val="00216642"/>
    <w:rsid w:val="0021665F"/>
    <w:rsid w:val="0021673A"/>
    <w:rsid w:val="002176FE"/>
    <w:rsid w:val="0021774F"/>
    <w:rsid w:val="002177D2"/>
    <w:rsid w:val="00220273"/>
    <w:rsid w:val="002208D2"/>
    <w:rsid w:val="0022092E"/>
    <w:rsid w:val="00220970"/>
    <w:rsid w:val="00220AD2"/>
    <w:rsid w:val="00220C34"/>
    <w:rsid w:val="00220D5A"/>
    <w:rsid w:val="00220FA2"/>
    <w:rsid w:val="00221064"/>
    <w:rsid w:val="00221460"/>
    <w:rsid w:val="002214BC"/>
    <w:rsid w:val="00221681"/>
    <w:rsid w:val="00221855"/>
    <w:rsid w:val="0022196B"/>
    <w:rsid w:val="00221BD7"/>
    <w:rsid w:val="00222068"/>
    <w:rsid w:val="002220F3"/>
    <w:rsid w:val="00222223"/>
    <w:rsid w:val="00222388"/>
    <w:rsid w:val="00222501"/>
    <w:rsid w:val="00222664"/>
    <w:rsid w:val="0022284D"/>
    <w:rsid w:val="0022290B"/>
    <w:rsid w:val="00222AFA"/>
    <w:rsid w:val="00222D62"/>
    <w:rsid w:val="00223314"/>
    <w:rsid w:val="0022348D"/>
    <w:rsid w:val="00223E02"/>
    <w:rsid w:val="002242C5"/>
    <w:rsid w:val="002242F2"/>
    <w:rsid w:val="002244A9"/>
    <w:rsid w:val="00224589"/>
    <w:rsid w:val="002246C4"/>
    <w:rsid w:val="00225CB4"/>
    <w:rsid w:val="00225CD3"/>
    <w:rsid w:val="00225F14"/>
    <w:rsid w:val="002261DC"/>
    <w:rsid w:val="0022693A"/>
    <w:rsid w:val="002269A4"/>
    <w:rsid w:val="002269BC"/>
    <w:rsid w:val="00226A5B"/>
    <w:rsid w:val="00226CD5"/>
    <w:rsid w:val="00226D9F"/>
    <w:rsid w:val="00226EA4"/>
    <w:rsid w:val="0022732C"/>
    <w:rsid w:val="0022778C"/>
    <w:rsid w:val="002279E6"/>
    <w:rsid w:val="00227C09"/>
    <w:rsid w:val="00227C34"/>
    <w:rsid w:val="002302C7"/>
    <w:rsid w:val="002302ED"/>
    <w:rsid w:val="002302F6"/>
    <w:rsid w:val="00230885"/>
    <w:rsid w:val="00230C7E"/>
    <w:rsid w:val="00231252"/>
    <w:rsid w:val="00231310"/>
    <w:rsid w:val="002314F4"/>
    <w:rsid w:val="00232136"/>
    <w:rsid w:val="002324BA"/>
    <w:rsid w:val="0023264F"/>
    <w:rsid w:val="0023275F"/>
    <w:rsid w:val="002327AF"/>
    <w:rsid w:val="002329E7"/>
    <w:rsid w:val="00232BE5"/>
    <w:rsid w:val="00232C7D"/>
    <w:rsid w:val="00232DEE"/>
    <w:rsid w:val="00232EF8"/>
    <w:rsid w:val="002332D5"/>
    <w:rsid w:val="0023334F"/>
    <w:rsid w:val="002334A7"/>
    <w:rsid w:val="00233631"/>
    <w:rsid w:val="00233691"/>
    <w:rsid w:val="0023375E"/>
    <w:rsid w:val="00233791"/>
    <w:rsid w:val="00233D0F"/>
    <w:rsid w:val="00233D52"/>
    <w:rsid w:val="00233DFF"/>
    <w:rsid w:val="00233EF9"/>
    <w:rsid w:val="00234290"/>
    <w:rsid w:val="002342EC"/>
    <w:rsid w:val="002342FB"/>
    <w:rsid w:val="00234451"/>
    <w:rsid w:val="002345EB"/>
    <w:rsid w:val="002346EE"/>
    <w:rsid w:val="00234A99"/>
    <w:rsid w:val="00234C8D"/>
    <w:rsid w:val="00234DDC"/>
    <w:rsid w:val="00234FE9"/>
    <w:rsid w:val="002350C7"/>
    <w:rsid w:val="00235194"/>
    <w:rsid w:val="002354FE"/>
    <w:rsid w:val="00235754"/>
    <w:rsid w:val="00235985"/>
    <w:rsid w:val="00235A33"/>
    <w:rsid w:val="00235B1B"/>
    <w:rsid w:val="00235EC5"/>
    <w:rsid w:val="00236122"/>
    <w:rsid w:val="0023698E"/>
    <w:rsid w:val="00236ABC"/>
    <w:rsid w:val="00236D7F"/>
    <w:rsid w:val="00236DD4"/>
    <w:rsid w:val="00236F67"/>
    <w:rsid w:val="00237195"/>
    <w:rsid w:val="00237361"/>
    <w:rsid w:val="00237727"/>
    <w:rsid w:val="00237844"/>
    <w:rsid w:val="00237CE0"/>
    <w:rsid w:val="00237CED"/>
    <w:rsid w:val="00240093"/>
    <w:rsid w:val="00240163"/>
    <w:rsid w:val="00240257"/>
    <w:rsid w:val="002403A2"/>
    <w:rsid w:val="002409DF"/>
    <w:rsid w:val="00240C87"/>
    <w:rsid w:val="00240F01"/>
    <w:rsid w:val="00240F14"/>
    <w:rsid w:val="00240F15"/>
    <w:rsid w:val="00241252"/>
    <w:rsid w:val="002412B9"/>
    <w:rsid w:val="00241415"/>
    <w:rsid w:val="0024144E"/>
    <w:rsid w:val="00241C8F"/>
    <w:rsid w:val="00241D58"/>
    <w:rsid w:val="00241DFA"/>
    <w:rsid w:val="00241FED"/>
    <w:rsid w:val="002425BB"/>
    <w:rsid w:val="0024297F"/>
    <w:rsid w:val="002429D3"/>
    <w:rsid w:val="00242F8D"/>
    <w:rsid w:val="0024319B"/>
    <w:rsid w:val="002432FB"/>
    <w:rsid w:val="00243395"/>
    <w:rsid w:val="00243798"/>
    <w:rsid w:val="00243B90"/>
    <w:rsid w:val="0024493A"/>
    <w:rsid w:val="00244D93"/>
    <w:rsid w:val="00244FC7"/>
    <w:rsid w:val="00245060"/>
    <w:rsid w:val="00245064"/>
    <w:rsid w:val="002451BD"/>
    <w:rsid w:val="00245255"/>
    <w:rsid w:val="002455E6"/>
    <w:rsid w:val="0024569E"/>
    <w:rsid w:val="002456EA"/>
    <w:rsid w:val="00245B78"/>
    <w:rsid w:val="00245F4C"/>
    <w:rsid w:val="00245FF6"/>
    <w:rsid w:val="002461CB"/>
    <w:rsid w:val="002461E4"/>
    <w:rsid w:val="00246237"/>
    <w:rsid w:val="002465CF"/>
    <w:rsid w:val="00246C28"/>
    <w:rsid w:val="00246D00"/>
    <w:rsid w:val="00246D46"/>
    <w:rsid w:val="00246DD1"/>
    <w:rsid w:val="0024707F"/>
    <w:rsid w:val="0024713A"/>
    <w:rsid w:val="002471DD"/>
    <w:rsid w:val="002473C0"/>
    <w:rsid w:val="0024779C"/>
    <w:rsid w:val="00250364"/>
    <w:rsid w:val="0025038B"/>
    <w:rsid w:val="002503FD"/>
    <w:rsid w:val="002507A0"/>
    <w:rsid w:val="002507DD"/>
    <w:rsid w:val="00250C92"/>
    <w:rsid w:val="0025104F"/>
    <w:rsid w:val="002511A2"/>
    <w:rsid w:val="00251345"/>
    <w:rsid w:val="00251550"/>
    <w:rsid w:val="00251D8A"/>
    <w:rsid w:val="00251DA6"/>
    <w:rsid w:val="00252348"/>
    <w:rsid w:val="002524B0"/>
    <w:rsid w:val="0025258B"/>
    <w:rsid w:val="0025262E"/>
    <w:rsid w:val="00252785"/>
    <w:rsid w:val="002528A7"/>
    <w:rsid w:val="00252963"/>
    <w:rsid w:val="0025323C"/>
    <w:rsid w:val="002533FC"/>
    <w:rsid w:val="00253554"/>
    <w:rsid w:val="00253646"/>
    <w:rsid w:val="00253775"/>
    <w:rsid w:val="002538FD"/>
    <w:rsid w:val="00253C38"/>
    <w:rsid w:val="00253C95"/>
    <w:rsid w:val="00254398"/>
    <w:rsid w:val="00254519"/>
    <w:rsid w:val="00254ADC"/>
    <w:rsid w:val="00254F68"/>
    <w:rsid w:val="00254FE8"/>
    <w:rsid w:val="00255156"/>
    <w:rsid w:val="002551CB"/>
    <w:rsid w:val="00255401"/>
    <w:rsid w:val="0025573B"/>
    <w:rsid w:val="00255BD4"/>
    <w:rsid w:val="00255CC0"/>
    <w:rsid w:val="00255D8A"/>
    <w:rsid w:val="002561B7"/>
    <w:rsid w:val="002562A3"/>
    <w:rsid w:val="002562C9"/>
    <w:rsid w:val="00256647"/>
    <w:rsid w:val="00256CAA"/>
    <w:rsid w:val="00256D81"/>
    <w:rsid w:val="00257388"/>
    <w:rsid w:val="0025747C"/>
    <w:rsid w:val="00257985"/>
    <w:rsid w:val="002579BE"/>
    <w:rsid w:val="002579E4"/>
    <w:rsid w:val="002579FA"/>
    <w:rsid w:val="00257AF5"/>
    <w:rsid w:val="00257D3B"/>
    <w:rsid w:val="00257F2B"/>
    <w:rsid w:val="00260047"/>
    <w:rsid w:val="0026012A"/>
    <w:rsid w:val="002601B5"/>
    <w:rsid w:val="0026046C"/>
    <w:rsid w:val="00260604"/>
    <w:rsid w:val="00260812"/>
    <w:rsid w:val="00260C6A"/>
    <w:rsid w:val="00260D8D"/>
    <w:rsid w:val="00260DAA"/>
    <w:rsid w:val="002612B3"/>
    <w:rsid w:val="0026132C"/>
    <w:rsid w:val="00261524"/>
    <w:rsid w:val="00261ABB"/>
    <w:rsid w:val="00261C2A"/>
    <w:rsid w:val="00261C8E"/>
    <w:rsid w:val="00261FB6"/>
    <w:rsid w:val="0026215F"/>
    <w:rsid w:val="0026222B"/>
    <w:rsid w:val="0026261D"/>
    <w:rsid w:val="002627AC"/>
    <w:rsid w:val="002628E8"/>
    <w:rsid w:val="002629A3"/>
    <w:rsid w:val="00262B3E"/>
    <w:rsid w:val="00262F2D"/>
    <w:rsid w:val="002630B0"/>
    <w:rsid w:val="0026332B"/>
    <w:rsid w:val="00263414"/>
    <w:rsid w:val="00263821"/>
    <w:rsid w:val="00263E3D"/>
    <w:rsid w:val="0026403F"/>
    <w:rsid w:val="00264056"/>
    <w:rsid w:val="002642AB"/>
    <w:rsid w:val="00264503"/>
    <w:rsid w:val="00264569"/>
    <w:rsid w:val="00264677"/>
    <w:rsid w:val="00264681"/>
    <w:rsid w:val="00264C31"/>
    <w:rsid w:val="0026519F"/>
    <w:rsid w:val="00265324"/>
    <w:rsid w:val="0026545F"/>
    <w:rsid w:val="00265A9F"/>
    <w:rsid w:val="00265B97"/>
    <w:rsid w:val="00265BEE"/>
    <w:rsid w:val="00265D7E"/>
    <w:rsid w:val="00265DCE"/>
    <w:rsid w:val="00265ED7"/>
    <w:rsid w:val="0026662E"/>
    <w:rsid w:val="00266C46"/>
    <w:rsid w:val="00267029"/>
    <w:rsid w:val="002670E9"/>
    <w:rsid w:val="0026730D"/>
    <w:rsid w:val="00267380"/>
    <w:rsid w:val="002673C8"/>
    <w:rsid w:val="002677C8"/>
    <w:rsid w:val="002678F8"/>
    <w:rsid w:val="00267E6A"/>
    <w:rsid w:val="00270364"/>
    <w:rsid w:val="00270554"/>
    <w:rsid w:val="00270557"/>
    <w:rsid w:val="002706CE"/>
    <w:rsid w:val="00270978"/>
    <w:rsid w:val="00270A8E"/>
    <w:rsid w:val="00270B6F"/>
    <w:rsid w:val="00270C6D"/>
    <w:rsid w:val="00271359"/>
    <w:rsid w:val="00271442"/>
    <w:rsid w:val="00271645"/>
    <w:rsid w:val="002716E5"/>
    <w:rsid w:val="00271796"/>
    <w:rsid w:val="00271E49"/>
    <w:rsid w:val="00272230"/>
    <w:rsid w:val="002723C5"/>
    <w:rsid w:val="00272539"/>
    <w:rsid w:val="002726D1"/>
    <w:rsid w:val="0027293F"/>
    <w:rsid w:val="00272B15"/>
    <w:rsid w:val="00272E7C"/>
    <w:rsid w:val="00272FF9"/>
    <w:rsid w:val="0027316F"/>
    <w:rsid w:val="00273218"/>
    <w:rsid w:val="0027351B"/>
    <w:rsid w:val="00273746"/>
    <w:rsid w:val="00273801"/>
    <w:rsid w:val="00273889"/>
    <w:rsid w:val="002739AE"/>
    <w:rsid w:val="00273B27"/>
    <w:rsid w:val="00273E27"/>
    <w:rsid w:val="00273E88"/>
    <w:rsid w:val="00273E9F"/>
    <w:rsid w:val="002742EC"/>
    <w:rsid w:val="00274681"/>
    <w:rsid w:val="00274941"/>
    <w:rsid w:val="00274A65"/>
    <w:rsid w:val="00274C07"/>
    <w:rsid w:val="00274C2E"/>
    <w:rsid w:val="00274CD2"/>
    <w:rsid w:val="00274E60"/>
    <w:rsid w:val="00275239"/>
    <w:rsid w:val="002753C8"/>
    <w:rsid w:val="00275DE9"/>
    <w:rsid w:val="00275E0A"/>
    <w:rsid w:val="00276653"/>
    <w:rsid w:val="00276B6B"/>
    <w:rsid w:val="0027716A"/>
    <w:rsid w:val="00277ACD"/>
    <w:rsid w:val="00277CEE"/>
    <w:rsid w:val="00277D33"/>
    <w:rsid w:val="002804C0"/>
    <w:rsid w:val="00280888"/>
    <w:rsid w:val="00280D27"/>
    <w:rsid w:val="00281B88"/>
    <w:rsid w:val="00281CD1"/>
    <w:rsid w:val="00282205"/>
    <w:rsid w:val="002822B0"/>
    <w:rsid w:val="0028274B"/>
    <w:rsid w:val="00282F3D"/>
    <w:rsid w:val="00283026"/>
    <w:rsid w:val="00283119"/>
    <w:rsid w:val="002831C7"/>
    <w:rsid w:val="00283878"/>
    <w:rsid w:val="00283926"/>
    <w:rsid w:val="00283BC7"/>
    <w:rsid w:val="00283E81"/>
    <w:rsid w:val="00284091"/>
    <w:rsid w:val="002841EE"/>
    <w:rsid w:val="00284302"/>
    <w:rsid w:val="002845C5"/>
    <w:rsid w:val="00284E6F"/>
    <w:rsid w:val="00284F34"/>
    <w:rsid w:val="0028545B"/>
    <w:rsid w:val="002856CE"/>
    <w:rsid w:val="00286104"/>
    <w:rsid w:val="00286429"/>
    <w:rsid w:val="00286E6C"/>
    <w:rsid w:val="0028737A"/>
    <w:rsid w:val="0028760D"/>
    <w:rsid w:val="002877FC"/>
    <w:rsid w:val="00287D46"/>
    <w:rsid w:val="00287E24"/>
    <w:rsid w:val="0029014C"/>
    <w:rsid w:val="002901E0"/>
    <w:rsid w:val="002906D8"/>
    <w:rsid w:val="00290739"/>
    <w:rsid w:val="00290959"/>
    <w:rsid w:val="0029098C"/>
    <w:rsid w:val="00290B90"/>
    <w:rsid w:val="00290C76"/>
    <w:rsid w:val="00290D0E"/>
    <w:rsid w:val="00290E73"/>
    <w:rsid w:val="0029124A"/>
    <w:rsid w:val="002912F2"/>
    <w:rsid w:val="002915E8"/>
    <w:rsid w:val="0029194D"/>
    <w:rsid w:val="002919F2"/>
    <w:rsid w:val="0029218B"/>
    <w:rsid w:val="00292C66"/>
    <w:rsid w:val="00292E82"/>
    <w:rsid w:val="002933D7"/>
    <w:rsid w:val="00293429"/>
    <w:rsid w:val="0029367D"/>
    <w:rsid w:val="00293B4F"/>
    <w:rsid w:val="002941F6"/>
    <w:rsid w:val="00294A18"/>
    <w:rsid w:val="00295732"/>
    <w:rsid w:val="002958C8"/>
    <w:rsid w:val="002959FE"/>
    <w:rsid w:val="00295C09"/>
    <w:rsid w:val="00295C2D"/>
    <w:rsid w:val="00295C56"/>
    <w:rsid w:val="00296248"/>
    <w:rsid w:val="0029636C"/>
    <w:rsid w:val="00296372"/>
    <w:rsid w:val="0029662B"/>
    <w:rsid w:val="00296A4C"/>
    <w:rsid w:val="00296B63"/>
    <w:rsid w:val="00297202"/>
    <w:rsid w:val="0029722B"/>
    <w:rsid w:val="0029725F"/>
    <w:rsid w:val="00297EFB"/>
    <w:rsid w:val="002A0011"/>
    <w:rsid w:val="002A0552"/>
    <w:rsid w:val="002A0570"/>
    <w:rsid w:val="002A060F"/>
    <w:rsid w:val="002A063A"/>
    <w:rsid w:val="002A06A1"/>
    <w:rsid w:val="002A07B5"/>
    <w:rsid w:val="002A0959"/>
    <w:rsid w:val="002A0A1B"/>
    <w:rsid w:val="002A0D53"/>
    <w:rsid w:val="002A0DAB"/>
    <w:rsid w:val="002A10D3"/>
    <w:rsid w:val="002A144E"/>
    <w:rsid w:val="002A14D9"/>
    <w:rsid w:val="002A1A89"/>
    <w:rsid w:val="002A1DDF"/>
    <w:rsid w:val="002A1EA5"/>
    <w:rsid w:val="002A23FA"/>
    <w:rsid w:val="002A2464"/>
    <w:rsid w:val="002A2476"/>
    <w:rsid w:val="002A259E"/>
    <w:rsid w:val="002A2828"/>
    <w:rsid w:val="002A2A68"/>
    <w:rsid w:val="002A2FD7"/>
    <w:rsid w:val="002A300C"/>
    <w:rsid w:val="002A30A2"/>
    <w:rsid w:val="002A3114"/>
    <w:rsid w:val="002A346C"/>
    <w:rsid w:val="002A3B65"/>
    <w:rsid w:val="002A3E7D"/>
    <w:rsid w:val="002A44A1"/>
    <w:rsid w:val="002A484A"/>
    <w:rsid w:val="002A4BFF"/>
    <w:rsid w:val="002A4EF6"/>
    <w:rsid w:val="002A51AB"/>
    <w:rsid w:val="002A51DB"/>
    <w:rsid w:val="002A52B7"/>
    <w:rsid w:val="002A583C"/>
    <w:rsid w:val="002A5950"/>
    <w:rsid w:val="002A5A0E"/>
    <w:rsid w:val="002A5B30"/>
    <w:rsid w:val="002A5BDF"/>
    <w:rsid w:val="002A66FA"/>
    <w:rsid w:val="002A6B55"/>
    <w:rsid w:val="002A6BEB"/>
    <w:rsid w:val="002A6F64"/>
    <w:rsid w:val="002A6F67"/>
    <w:rsid w:val="002A7198"/>
    <w:rsid w:val="002A7216"/>
    <w:rsid w:val="002A76F1"/>
    <w:rsid w:val="002A76FF"/>
    <w:rsid w:val="002A7B13"/>
    <w:rsid w:val="002A7B5A"/>
    <w:rsid w:val="002A7C32"/>
    <w:rsid w:val="002A7C7C"/>
    <w:rsid w:val="002A7D2F"/>
    <w:rsid w:val="002A7E31"/>
    <w:rsid w:val="002A7FF5"/>
    <w:rsid w:val="002B0238"/>
    <w:rsid w:val="002B04EC"/>
    <w:rsid w:val="002B0C4A"/>
    <w:rsid w:val="002B1012"/>
    <w:rsid w:val="002B10CF"/>
    <w:rsid w:val="002B129F"/>
    <w:rsid w:val="002B1578"/>
    <w:rsid w:val="002B1921"/>
    <w:rsid w:val="002B1ACA"/>
    <w:rsid w:val="002B1CE4"/>
    <w:rsid w:val="002B21E0"/>
    <w:rsid w:val="002B22FD"/>
    <w:rsid w:val="002B24E3"/>
    <w:rsid w:val="002B26BE"/>
    <w:rsid w:val="002B2701"/>
    <w:rsid w:val="002B2A2F"/>
    <w:rsid w:val="002B2A7D"/>
    <w:rsid w:val="002B2B26"/>
    <w:rsid w:val="002B2BAE"/>
    <w:rsid w:val="002B2BCF"/>
    <w:rsid w:val="002B2E0C"/>
    <w:rsid w:val="002B35B3"/>
    <w:rsid w:val="002B3840"/>
    <w:rsid w:val="002B3B4D"/>
    <w:rsid w:val="002B3B97"/>
    <w:rsid w:val="002B3C24"/>
    <w:rsid w:val="002B3D6A"/>
    <w:rsid w:val="002B4046"/>
    <w:rsid w:val="002B413D"/>
    <w:rsid w:val="002B43CB"/>
    <w:rsid w:val="002B4582"/>
    <w:rsid w:val="002B484D"/>
    <w:rsid w:val="002B490A"/>
    <w:rsid w:val="002B4C46"/>
    <w:rsid w:val="002B55DA"/>
    <w:rsid w:val="002B5E83"/>
    <w:rsid w:val="002B65CB"/>
    <w:rsid w:val="002B68A8"/>
    <w:rsid w:val="002B68E7"/>
    <w:rsid w:val="002B6931"/>
    <w:rsid w:val="002B6F6F"/>
    <w:rsid w:val="002B6FAB"/>
    <w:rsid w:val="002B706B"/>
    <w:rsid w:val="002B724C"/>
    <w:rsid w:val="002B7280"/>
    <w:rsid w:val="002B7353"/>
    <w:rsid w:val="002B73EA"/>
    <w:rsid w:val="002B7642"/>
    <w:rsid w:val="002B78C2"/>
    <w:rsid w:val="002B7921"/>
    <w:rsid w:val="002C0029"/>
    <w:rsid w:val="002C066D"/>
    <w:rsid w:val="002C07F1"/>
    <w:rsid w:val="002C0809"/>
    <w:rsid w:val="002C0901"/>
    <w:rsid w:val="002C0B41"/>
    <w:rsid w:val="002C12B5"/>
    <w:rsid w:val="002C12C9"/>
    <w:rsid w:val="002C160F"/>
    <w:rsid w:val="002C1659"/>
    <w:rsid w:val="002C16C8"/>
    <w:rsid w:val="002C16E5"/>
    <w:rsid w:val="002C18AB"/>
    <w:rsid w:val="002C1A1E"/>
    <w:rsid w:val="002C2000"/>
    <w:rsid w:val="002C2461"/>
    <w:rsid w:val="002C28AE"/>
    <w:rsid w:val="002C2BAC"/>
    <w:rsid w:val="002C2BE6"/>
    <w:rsid w:val="002C2C36"/>
    <w:rsid w:val="002C365B"/>
    <w:rsid w:val="002C36C7"/>
    <w:rsid w:val="002C39A2"/>
    <w:rsid w:val="002C39D3"/>
    <w:rsid w:val="002C3DA2"/>
    <w:rsid w:val="002C3ED4"/>
    <w:rsid w:val="002C3F55"/>
    <w:rsid w:val="002C40F6"/>
    <w:rsid w:val="002C4287"/>
    <w:rsid w:val="002C428E"/>
    <w:rsid w:val="002C443F"/>
    <w:rsid w:val="002C44D9"/>
    <w:rsid w:val="002C4939"/>
    <w:rsid w:val="002C4A40"/>
    <w:rsid w:val="002C4B6F"/>
    <w:rsid w:val="002C5348"/>
    <w:rsid w:val="002C5544"/>
    <w:rsid w:val="002C5632"/>
    <w:rsid w:val="002C5882"/>
    <w:rsid w:val="002C5A9A"/>
    <w:rsid w:val="002C6A61"/>
    <w:rsid w:val="002C6F2F"/>
    <w:rsid w:val="002C6F35"/>
    <w:rsid w:val="002C6FCC"/>
    <w:rsid w:val="002C70C8"/>
    <w:rsid w:val="002C713D"/>
    <w:rsid w:val="002C71D2"/>
    <w:rsid w:val="002C71F6"/>
    <w:rsid w:val="002C7657"/>
    <w:rsid w:val="002C76E0"/>
    <w:rsid w:val="002C773A"/>
    <w:rsid w:val="002C7873"/>
    <w:rsid w:val="002C787B"/>
    <w:rsid w:val="002C7C91"/>
    <w:rsid w:val="002C7F2F"/>
    <w:rsid w:val="002D00F8"/>
    <w:rsid w:val="002D0651"/>
    <w:rsid w:val="002D0A31"/>
    <w:rsid w:val="002D0CB8"/>
    <w:rsid w:val="002D0D72"/>
    <w:rsid w:val="002D0EA9"/>
    <w:rsid w:val="002D101D"/>
    <w:rsid w:val="002D10FF"/>
    <w:rsid w:val="002D1294"/>
    <w:rsid w:val="002D189C"/>
    <w:rsid w:val="002D197F"/>
    <w:rsid w:val="002D199E"/>
    <w:rsid w:val="002D1BB3"/>
    <w:rsid w:val="002D1DC2"/>
    <w:rsid w:val="002D1E08"/>
    <w:rsid w:val="002D23C2"/>
    <w:rsid w:val="002D2514"/>
    <w:rsid w:val="002D26F9"/>
    <w:rsid w:val="002D2706"/>
    <w:rsid w:val="002D33C5"/>
    <w:rsid w:val="002D3E37"/>
    <w:rsid w:val="002D408E"/>
    <w:rsid w:val="002D4184"/>
    <w:rsid w:val="002D4253"/>
    <w:rsid w:val="002D4553"/>
    <w:rsid w:val="002D500B"/>
    <w:rsid w:val="002D50AD"/>
    <w:rsid w:val="002D51D4"/>
    <w:rsid w:val="002D53E2"/>
    <w:rsid w:val="002D5678"/>
    <w:rsid w:val="002D57BF"/>
    <w:rsid w:val="002D59C0"/>
    <w:rsid w:val="002D5B97"/>
    <w:rsid w:val="002D6057"/>
    <w:rsid w:val="002D6227"/>
    <w:rsid w:val="002D6480"/>
    <w:rsid w:val="002D65DC"/>
    <w:rsid w:val="002D676F"/>
    <w:rsid w:val="002D68B6"/>
    <w:rsid w:val="002D68D7"/>
    <w:rsid w:val="002D68FC"/>
    <w:rsid w:val="002D6A62"/>
    <w:rsid w:val="002D6B26"/>
    <w:rsid w:val="002D6CC9"/>
    <w:rsid w:val="002D6D02"/>
    <w:rsid w:val="002D71F7"/>
    <w:rsid w:val="002D7487"/>
    <w:rsid w:val="002D7580"/>
    <w:rsid w:val="002D76D3"/>
    <w:rsid w:val="002D7882"/>
    <w:rsid w:val="002D7A66"/>
    <w:rsid w:val="002D7E59"/>
    <w:rsid w:val="002E00E7"/>
    <w:rsid w:val="002E02E4"/>
    <w:rsid w:val="002E0436"/>
    <w:rsid w:val="002E04A9"/>
    <w:rsid w:val="002E05D0"/>
    <w:rsid w:val="002E0F2B"/>
    <w:rsid w:val="002E129F"/>
    <w:rsid w:val="002E1508"/>
    <w:rsid w:val="002E1B9D"/>
    <w:rsid w:val="002E1F48"/>
    <w:rsid w:val="002E213F"/>
    <w:rsid w:val="002E22B9"/>
    <w:rsid w:val="002E2426"/>
    <w:rsid w:val="002E25C3"/>
    <w:rsid w:val="002E25FC"/>
    <w:rsid w:val="002E2983"/>
    <w:rsid w:val="002E30D3"/>
    <w:rsid w:val="002E3202"/>
    <w:rsid w:val="002E34BB"/>
    <w:rsid w:val="002E3788"/>
    <w:rsid w:val="002E3D33"/>
    <w:rsid w:val="002E4047"/>
    <w:rsid w:val="002E42AB"/>
    <w:rsid w:val="002E4511"/>
    <w:rsid w:val="002E48CA"/>
    <w:rsid w:val="002E4BA8"/>
    <w:rsid w:val="002E4D9A"/>
    <w:rsid w:val="002E4F74"/>
    <w:rsid w:val="002E5348"/>
    <w:rsid w:val="002E56EB"/>
    <w:rsid w:val="002E56F0"/>
    <w:rsid w:val="002E59CA"/>
    <w:rsid w:val="002E5DF4"/>
    <w:rsid w:val="002E5E3E"/>
    <w:rsid w:val="002E622D"/>
    <w:rsid w:val="002E6281"/>
    <w:rsid w:val="002E66F1"/>
    <w:rsid w:val="002E6B41"/>
    <w:rsid w:val="002E78AE"/>
    <w:rsid w:val="002E78C7"/>
    <w:rsid w:val="002E7984"/>
    <w:rsid w:val="002F03B9"/>
    <w:rsid w:val="002F04BC"/>
    <w:rsid w:val="002F07B0"/>
    <w:rsid w:val="002F0802"/>
    <w:rsid w:val="002F0C46"/>
    <w:rsid w:val="002F0D72"/>
    <w:rsid w:val="002F0FBF"/>
    <w:rsid w:val="002F104C"/>
    <w:rsid w:val="002F143C"/>
    <w:rsid w:val="002F16E4"/>
    <w:rsid w:val="002F1A9B"/>
    <w:rsid w:val="002F1B5B"/>
    <w:rsid w:val="002F1BF2"/>
    <w:rsid w:val="002F1E48"/>
    <w:rsid w:val="002F2126"/>
    <w:rsid w:val="002F240F"/>
    <w:rsid w:val="002F2493"/>
    <w:rsid w:val="002F28A6"/>
    <w:rsid w:val="002F29F6"/>
    <w:rsid w:val="002F2C08"/>
    <w:rsid w:val="002F2CF4"/>
    <w:rsid w:val="002F2D31"/>
    <w:rsid w:val="002F2D3F"/>
    <w:rsid w:val="002F2D95"/>
    <w:rsid w:val="002F2F5F"/>
    <w:rsid w:val="002F30EF"/>
    <w:rsid w:val="002F3440"/>
    <w:rsid w:val="002F34B7"/>
    <w:rsid w:val="002F34F3"/>
    <w:rsid w:val="002F35E5"/>
    <w:rsid w:val="002F3634"/>
    <w:rsid w:val="002F3A93"/>
    <w:rsid w:val="002F3DC1"/>
    <w:rsid w:val="002F3E85"/>
    <w:rsid w:val="002F3EC4"/>
    <w:rsid w:val="002F3ECF"/>
    <w:rsid w:val="002F3F2E"/>
    <w:rsid w:val="002F432B"/>
    <w:rsid w:val="002F43AC"/>
    <w:rsid w:val="002F4581"/>
    <w:rsid w:val="002F46DA"/>
    <w:rsid w:val="002F481C"/>
    <w:rsid w:val="002F4C72"/>
    <w:rsid w:val="002F4F5B"/>
    <w:rsid w:val="002F50CF"/>
    <w:rsid w:val="002F529B"/>
    <w:rsid w:val="002F579B"/>
    <w:rsid w:val="002F57B9"/>
    <w:rsid w:val="002F580A"/>
    <w:rsid w:val="002F5813"/>
    <w:rsid w:val="002F5C7A"/>
    <w:rsid w:val="002F5E3E"/>
    <w:rsid w:val="002F5E80"/>
    <w:rsid w:val="002F5F44"/>
    <w:rsid w:val="002F6012"/>
    <w:rsid w:val="002F6015"/>
    <w:rsid w:val="002F6265"/>
    <w:rsid w:val="002F62E8"/>
    <w:rsid w:val="002F644C"/>
    <w:rsid w:val="002F6747"/>
    <w:rsid w:val="002F686E"/>
    <w:rsid w:val="002F7070"/>
    <w:rsid w:val="002F765B"/>
    <w:rsid w:val="0030021B"/>
    <w:rsid w:val="003002A1"/>
    <w:rsid w:val="0030040C"/>
    <w:rsid w:val="003005D7"/>
    <w:rsid w:val="003007A6"/>
    <w:rsid w:val="003009A1"/>
    <w:rsid w:val="00300AE2"/>
    <w:rsid w:val="00300B19"/>
    <w:rsid w:val="00300F99"/>
    <w:rsid w:val="003018DD"/>
    <w:rsid w:val="003019F8"/>
    <w:rsid w:val="00301B94"/>
    <w:rsid w:val="00301C82"/>
    <w:rsid w:val="00301D34"/>
    <w:rsid w:val="00301F63"/>
    <w:rsid w:val="0030259C"/>
    <w:rsid w:val="0030261D"/>
    <w:rsid w:val="00302973"/>
    <w:rsid w:val="00302E8E"/>
    <w:rsid w:val="00303705"/>
    <w:rsid w:val="003038D0"/>
    <w:rsid w:val="00303F60"/>
    <w:rsid w:val="00303F7A"/>
    <w:rsid w:val="003041CA"/>
    <w:rsid w:val="00304281"/>
    <w:rsid w:val="003042A6"/>
    <w:rsid w:val="0030431B"/>
    <w:rsid w:val="00304576"/>
    <w:rsid w:val="00304646"/>
    <w:rsid w:val="003046DB"/>
    <w:rsid w:val="00304707"/>
    <w:rsid w:val="00304790"/>
    <w:rsid w:val="003047F5"/>
    <w:rsid w:val="00304874"/>
    <w:rsid w:val="00304F34"/>
    <w:rsid w:val="00305322"/>
    <w:rsid w:val="003053B9"/>
    <w:rsid w:val="003055EE"/>
    <w:rsid w:val="00305D7B"/>
    <w:rsid w:val="003060AC"/>
    <w:rsid w:val="00306375"/>
    <w:rsid w:val="0030671D"/>
    <w:rsid w:val="003067C7"/>
    <w:rsid w:val="00306872"/>
    <w:rsid w:val="00306A9F"/>
    <w:rsid w:val="00306AED"/>
    <w:rsid w:val="00306C9D"/>
    <w:rsid w:val="00306D44"/>
    <w:rsid w:val="00306E0F"/>
    <w:rsid w:val="00306F18"/>
    <w:rsid w:val="00307535"/>
    <w:rsid w:val="00307EC5"/>
    <w:rsid w:val="00307F09"/>
    <w:rsid w:val="0031003A"/>
    <w:rsid w:val="00310488"/>
    <w:rsid w:val="003108FF"/>
    <w:rsid w:val="003109EE"/>
    <w:rsid w:val="00310BB6"/>
    <w:rsid w:val="00310DF8"/>
    <w:rsid w:val="00310E9D"/>
    <w:rsid w:val="00311051"/>
    <w:rsid w:val="00311200"/>
    <w:rsid w:val="0031144E"/>
    <w:rsid w:val="00311456"/>
    <w:rsid w:val="003116E4"/>
    <w:rsid w:val="00311943"/>
    <w:rsid w:val="00311A63"/>
    <w:rsid w:val="00311B95"/>
    <w:rsid w:val="00311C28"/>
    <w:rsid w:val="00311CC8"/>
    <w:rsid w:val="00311DCD"/>
    <w:rsid w:val="00312168"/>
    <w:rsid w:val="0031218C"/>
    <w:rsid w:val="003122D8"/>
    <w:rsid w:val="003125D7"/>
    <w:rsid w:val="00313273"/>
    <w:rsid w:val="0031333F"/>
    <w:rsid w:val="00313417"/>
    <w:rsid w:val="003135E1"/>
    <w:rsid w:val="00313C5D"/>
    <w:rsid w:val="00313D47"/>
    <w:rsid w:val="00314E42"/>
    <w:rsid w:val="00314EB0"/>
    <w:rsid w:val="00315148"/>
    <w:rsid w:val="003157BB"/>
    <w:rsid w:val="00315E75"/>
    <w:rsid w:val="003168D6"/>
    <w:rsid w:val="00316B00"/>
    <w:rsid w:val="00316F81"/>
    <w:rsid w:val="0031716E"/>
    <w:rsid w:val="003171F4"/>
    <w:rsid w:val="00317344"/>
    <w:rsid w:val="00317379"/>
    <w:rsid w:val="003174BB"/>
    <w:rsid w:val="0031760D"/>
    <w:rsid w:val="003179BB"/>
    <w:rsid w:val="00317BF8"/>
    <w:rsid w:val="0032059D"/>
    <w:rsid w:val="00320815"/>
    <w:rsid w:val="0032081C"/>
    <w:rsid w:val="00320A0A"/>
    <w:rsid w:val="00320A64"/>
    <w:rsid w:val="00320C4D"/>
    <w:rsid w:val="00320CF2"/>
    <w:rsid w:val="00320D27"/>
    <w:rsid w:val="003217E0"/>
    <w:rsid w:val="00321C45"/>
    <w:rsid w:val="00321DBD"/>
    <w:rsid w:val="003221DB"/>
    <w:rsid w:val="00322252"/>
    <w:rsid w:val="003223AC"/>
    <w:rsid w:val="0032246D"/>
    <w:rsid w:val="00322610"/>
    <w:rsid w:val="003228CF"/>
    <w:rsid w:val="00322A2E"/>
    <w:rsid w:val="00322C4E"/>
    <w:rsid w:val="00322DF4"/>
    <w:rsid w:val="00322E82"/>
    <w:rsid w:val="00322F65"/>
    <w:rsid w:val="003233F7"/>
    <w:rsid w:val="00323460"/>
    <w:rsid w:val="00323C04"/>
    <w:rsid w:val="00324411"/>
    <w:rsid w:val="0032443D"/>
    <w:rsid w:val="0032448E"/>
    <w:rsid w:val="00324AD9"/>
    <w:rsid w:val="00324AFB"/>
    <w:rsid w:val="00324BDC"/>
    <w:rsid w:val="00324C5D"/>
    <w:rsid w:val="00324DE0"/>
    <w:rsid w:val="00324E27"/>
    <w:rsid w:val="00324E2C"/>
    <w:rsid w:val="00324E73"/>
    <w:rsid w:val="0032503A"/>
    <w:rsid w:val="00325193"/>
    <w:rsid w:val="00325418"/>
    <w:rsid w:val="003254D6"/>
    <w:rsid w:val="00325659"/>
    <w:rsid w:val="003256AC"/>
    <w:rsid w:val="003258CB"/>
    <w:rsid w:val="00325A4A"/>
    <w:rsid w:val="00325A76"/>
    <w:rsid w:val="00325A99"/>
    <w:rsid w:val="00325FCB"/>
    <w:rsid w:val="003260C3"/>
    <w:rsid w:val="00326139"/>
    <w:rsid w:val="003261EF"/>
    <w:rsid w:val="00326229"/>
    <w:rsid w:val="0032625F"/>
    <w:rsid w:val="0032631D"/>
    <w:rsid w:val="003264DE"/>
    <w:rsid w:val="00326800"/>
    <w:rsid w:val="00326965"/>
    <w:rsid w:val="00326973"/>
    <w:rsid w:val="00327634"/>
    <w:rsid w:val="00327714"/>
    <w:rsid w:val="00327BA7"/>
    <w:rsid w:val="00327C9B"/>
    <w:rsid w:val="00327D4F"/>
    <w:rsid w:val="00327DC7"/>
    <w:rsid w:val="00327EC6"/>
    <w:rsid w:val="00330023"/>
    <w:rsid w:val="003301E9"/>
    <w:rsid w:val="003303D5"/>
    <w:rsid w:val="0033045A"/>
    <w:rsid w:val="00330A88"/>
    <w:rsid w:val="003310BC"/>
    <w:rsid w:val="00331149"/>
    <w:rsid w:val="0033116B"/>
    <w:rsid w:val="003312CF"/>
    <w:rsid w:val="00331430"/>
    <w:rsid w:val="00331616"/>
    <w:rsid w:val="00331992"/>
    <w:rsid w:val="00331E76"/>
    <w:rsid w:val="0033202E"/>
    <w:rsid w:val="0033279C"/>
    <w:rsid w:val="0033281D"/>
    <w:rsid w:val="00332A2C"/>
    <w:rsid w:val="00332B7E"/>
    <w:rsid w:val="00332CC1"/>
    <w:rsid w:val="00332D2E"/>
    <w:rsid w:val="00332D58"/>
    <w:rsid w:val="00332F0C"/>
    <w:rsid w:val="0033306E"/>
    <w:rsid w:val="00333073"/>
    <w:rsid w:val="0033308B"/>
    <w:rsid w:val="0033334B"/>
    <w:rsid w:val="00333C46"/>
    <w:rsid w:val="00333F49"/>
    <w:rsid w:val="00334650"/>
    <w:rsid w:val="0033473D"/>
    <w:rsid w:val="0033492C"/>
    <w:rsid w:val="00334BF9"/>
    <w:rsid w:val="00334C30"/>
    <w:rsid w:val="00334C93"/>
    <w:rsid w:val="00334D9A"/>
    <w:rsid w:val="00334ECB"/>
    <w:rsid w:val="00334F0D"/>
    <w:rsid w:val="003350FA"/>
    <w:rsid w:val="0033570A"/>
    <w:rsid w:val="0033620B"/>
    <w:rsid w:val="00336532"/>
    <w:rsid w:val="00336568"/>
    <w:rsid w:val="003366B5"/>
    <w:rsid w:val="00336780"/>
    <w:rsid w:val="003368B1"/>
    <w:rsid w:val="003369BC"/>
    <w:rsid w:val="00336BDA"/>
    <w:rsid w:val="003371C2"/>
    <w:rsid w:val="003376E6"/>
    <w:rsid w:val="00337B6D"/>
    <w:rsid w:val="00337BB4"/>
    <w:rsid w:val="00340350"/>
    <w:rsid w:val="00340408"/>
    <w:rsid w:val="00340B24"/>
    <w:rsid w:val="003411CC"/>
    <w:rsid w:val="003415E8"/>
    <w:rsid w:val="003417E4"/>
    <w:rsid w:val="0034181B"/>
    <w:rsid w:val="0034211C"/>
    <w:rsid w:val="00342327"/>
    <w:rsid w:val="003423F7"/>
    <w:rsid w:val="0034286D"/>
    <w:rsid w:val="003429FD"/>
    <w:rsid w:val="00342CE7"/>
    <w:rsid w:val="00342E66"/>
    <w:rsid w:val="003431F6"/>
    <w:rsid w:val="003435C5"/>
    <w:rsid w:val="003439E3"/>
    <w:rsid w:val="00343A17"/>
    <w:rsid w:val="00343EAC"/>
    <w:rsid w:val="00344371"/>
    <w:rsid w:val="0034461E"/>
    <w:rsid w:val="003447F4"/>
    <w:rsid w:val="003449DF"/>
    <w:rsid w:val="00344AA9"/>
    <w:rsid w:val="00344E48"/>
    <w:rsid w:val="00344EF5"/>
    <w:rsid w:val="00344FA4"/>
    <w:rsid w:val="00344FD3"/>
    <w:rsid w:val="0034525D"/>
    <w:rsid w:val="00345A9F"/>
    <w:rsid w:val="003463B2"/>
    <w:rsid w:val="00346658"/>
    <w:rsid w:val="0034696C"/>
    <w:rsid w:val="003473F0"/>
    <w:rsid w:val="003478BD"/>
    <w:rsid w:val="003478F2"/>
    <w:rsid w:val="00347936"/>
    <w:rsid w:val="00347A26"/>
    <w:rsid w:val="00350102"/>
    <w:rsid w:val="00350258"/>
    <w:rsid w:val="00350A0F"/>
    <w:rsid w:val="00350A35"/>
    <w:rsid w:val="00350AF5"/>
    <w:rsid w:val="00350B99"/>
    <w:rsid w:val="00350BAF"/>
    <w:rsid w:val="00350DA3"/>
    <w:rsid w:val="00350EBD"/>
    <w:rsid w:val="00351284"/>
    <w:rsid w:val="0035168A"/>
    <w:rsid w:val="0035180D"/>
    <w:rsid w:val="00351BBC"/>
    <w:rsid w:val="00351BFA"/>
    <w:rsid w:val="00351C8A"/>
    <w:rsid w:val="00352012"/>
    <w:rsid w:val="0035206C"/>
    <w:rsid w:val="00352127"/>
    <w:rsid w:val="003521BF"/>
    <w:rsid w:val="003521F1"/>
    <w:rsid w:val="00352597"/>
    <w:rsid w:val="003525ED"/>
    <w:rsid w:val="003528B2"/>
    <w:rsid w:val="00352C2A"/>
    <w:rsid w:val="00352E12"/>
    <w:rsid w:val="0035311B"/>
    <w:rsid w:val="00353614"/>
    <w:rsid w:val="00353A10"/>
    <w:rsid w:val="00353A51"/>
    <w:rsid w:val="00353F61"/>
    <w:rsid w:val="00354341"/>
    <w:rsid w:val="00354479"/>
    <w:rsid w:val="003544B6"/>
    <w:rsid w:val="003544C1"/>
    <w:rsid w:val="00354763"/>
    <w:rsid w:val="00354A13"/>
    <w:rsid w:val="00354B1A"/>
    <w:rsid w:val="00354C9B"/>
    <w:rsid w:val="00355023"/>
    <w:rsid w:val="003551D4"/>
    <w:rsid w:val="00355295"/>
    <w:rsid w:val="00355386"/>
    <w:rsid w:val="003553CA"/>
    <w:rsid w:val="003555B8"/>
    <w:rsid w:val="00355610"/>
    <w:rsid w:val="00355A09"/>
    <w:rsid w:val="00355C5A"/>
    <w:rsid w:val="00355D80"/>
    <w:rsid w:val="003561F7"/>
    <w:rsid w:val="0035634A"/>
    <w:rsid w:val="003564F1"/>
    <w:rsid w:val="00356B16"/>
    <w:rsid w:val="00356E0C"/>
    <w:rsid w:val="00356EBC"/>
    <w:rsid w:val="00356F8A"/>
    <w:rsid w:val="003570A5"/>
    <w:rsid w:val="003570D4"/>
    <w:rsid w:val="003575BF"/>
    <w:rsid w:val="0035785D"/>
    <w:rsid w:val="00357BC9"/>
    <w:rsid w:val="00357C21"/>
    <w:rsid w:val="00360216"/>
    <w:rsid w:val="003605AA"/>
    <w:rsid w:val="003607CF"/>
    <w:rsid w:val="00360885"/>
    <w:rsid w:val="00360A0B"/>
    <w:rsid w:val="00360BA5"/>
    <w:rsid w:val="00360BFD"/>
    <w:rsid w:val="00360D7C"/>
    <w:rsid w:val="00361231"/>
    <w:rsid w:val="00361262"/>
    <w:rsid w:val="00361582"/>
    <w:rsid w:val="00361D7F"/>
    <w:rsid w:val="00361FD5"/>
    <w:rsid w:val="00362202"/>
    <w:rsid w:val="0036244B"/>
    <w:rsid w:val="00362FE8"/>
    <w:rsid w:val="00363A03"/>
    <w:rsid w:val="00363D50"/>
    <w:rsid w:val="00363D6D"/>
    <w:rsid w:val="00364183"/>
    <w:rsid w:val="00364544"/>
    <w:rsid w:val="003645D5"/>
    <w:rsid w:val="0036482D"/>
    <w:rsid w:val="00364ADA"/>
    <w:rsid w:val="00364EDC"/>
    <w:rsid w:val="003654A1"/>
    <w:rsid w:val="003655B9"/>
    <w:rsid w:val="00365669"/>
    <w:rsid w:val="00365727"/>
    <w:rsid w:val="00365876"/>
    <w:rsid w:val="003658CB"/>
    <w:rsid w:val="00365939"/>
    <w:rsid w:val="00365C4E"/>
    <w:rsid w:val="003661B8"/>
    <w:rsid w:val="00366211"/>
    <w:rsid w:val="003663F6"/>
    <w:rsid w:val="003668EB"/>
    <w:rsid w:val="00366987"/>
    <w:rsid w:val="00366A0D"/>
    <w:rsid w:val="00366B1F"/>
    <w:rsid w:val="00366B97"/>
    <w:rsid w:val="00366C24"/>
    <w:rsid w:val="00366C3D"/>
    <w:rsid w:val="0036748E"/>
    <w:rsid w:val="003675CB"/>
    <w:rsid w:val="00367CC5"/>
    <w:rsid w:val="00367D0E"/>
    <w:rsid w:val="0037026C"/>
    <w:rsid w:val="00370343"/>
    <w:rsid w:val="0037036E"/>
    <w:rsid w:val="003703EF"/>
    <w:rsid w:val="00370694"/>
    <w:rsid w:val="00370789"/>
    <w:rsid w:val="0037089A"/>
    <w:rsid w:val="00370959"/>
    <w:rsid w:val="00370E29"/>
    <w:rsid w:val="0037103E"/>
    <w:rsid w:val="00371487"/>
    <w:rsid w:val="00371688"/>
    <w:rsid w:val="00371B4C"/>
    <w:rsid w:val="00371BC1"/>
    <w:rsid w:val="00371C01"/>
    <w:rsid w:val="003721CF"/>
    <w:rsid w:val="0037256F"/>
    <w:rsid w:val="00372745"/>
    <w:rsid w:val="00372911"/>
    <w:rsid w:val="0037294F"/>
    <w:rsid w:val="00372BD3"/>
    <w:rsid w:val="00372D68"/>
    <w:rsid w:val="003733CD"/>
    <w:rsid w:val="00373587"/>
    <w:rsid w:val="0037361D"/>
    <w:rsid w:val="003736CB"/>
    <w:rsid w:val="0037385E"/>
    <w:rsid w:val="00373BD3"/>
    <w:rsid w:val="00373C6B"/>
    <w:rsid w:val="00373EDC"/>
    <w:rsid w:val="00374466"/>
    <w:rsid w:val="003747C9"/>
    <w:rsid w:val="003751E3"/>
    <w:rsid w:val="0037530A"/>
    <w:rsid w:val="003753AE"/>
    <w:rsid w:val="0037566A"/>
    <w:rsid w:val="00375866"/>
    <w:rsid w:val="00375B50"/>
    <w:rsid w:val="00375D68"/>
    <w:rsid w:val="00375E9F"/>
    <w:rsid w:val="0037628F"/>
    <w:rsid w:val="003763FA"/>
    <w:rsid w:val="00376906"/>
    <w:rsid w:val="003769CD"/>
    <w:rsid w:val="00376E70"/>
    <w:rsid w:val="003770BD"/>
    <w:rsid w:val="003773EE"/>
    <w:rsid w:val="003774F3"/>
    <w:rsid w:val="0037755C"/>
    <w:rsid w:val="003777B6"/>
    <w:rsid w:val="003779CF"/>
    <w:rsid w:val="00377D51"/>
    <w:rsid w:val="00380176"/>
    <w:rsid w:val="003809EF"/>
    <w:rsid w:val="00380B52"/>
    <w:rsid w:val="00380CC8"/>
    <w:rsid w:val="00380CF9"/>
    <w:rsid w:val="00380F34"/>
    <w:rsid w:val="003811DF"/>
    <w:rsid w:val="0038131C"/>
    <w:rsid w:val="003815A9"/>
    <w:rsid w:val="003815FE"/>
    <w:rsid w:val="00381B2A"/>
    <w:rsid w:val="003820CF"/>
    <w:rsid w:val="003821C6"/>
    <w:rsid w:val="0038224A"/>
    <w:rsid w:val="0038233D"/>
    <w:rsid w:val="003823D8"/>
    <w:rsid w:val="003824F5"/>
    <w:rsid w:val="00382687"/>
    <w:rsid w:val="003828FE"/>
    <w:rsid w:val="00382C46"/>
    <w:rsid w:val="00383153"/>
    <w:rsid w:val="003831BA"/>
    <w:rsid w:val="003833D5"/>
    <w:rsid w:val="00383971"/>
    <w:rsid w:val="003842AD"/>
    <w:rsid w:val="0038454A"/>
    <w:rsid w:val="003849F3"/>
    <w:rsid w:val="00384B3F"/>
    <w:rsid w:val="00384CE2"/>
    <w:rsid w:val="00385077"/>
    <w:rsid w:val="00385132"/>
    <w:rsid w:val="0038530E"/>
    <w:rsid w:val="00385493"/>
    <w:rsid w:val="00385987"/>
    <w:rsid w:val="00385E47"/>
    <w:rsid w:val="0038602A"/>
    <w:rsid w:val="0038630F"/>
    <w:rsid w:val="00386455"/>
    <w:rsid w:val="003864E7"/>
    <w:rsid w:val="00386890"/>
    <w:rsid w:val="003869F5"/>
    <w:rsid w:val="00386AD9"/>
    <w:rsid w:val="00386C3C"/>
    <w:rsid w:val="00386D5F"/>
    <w:rsid w:val="00387357"/>
    <w:rsid w:val="0038735D"/>
    <w:rsid w:val="00387E1D"/>
    <w:rsid w:val="00390150"/>
    <w:rsid w:val="003901DE"/>
    <w:rsid w:val="00390232"/>
    <w:rsid w:val="003903D4"/>
    <w:rsid w:val="00390608"/>
    <w:rsid w:val="0039089D"/>
    <w:rsid w:val="003908E7"/>
    <w:rsid w:val="00390A4C"/>
    <w:rsid w:val="00390DE8"/>
    <w:rsid w:val="0039106B"/>
    <w:rsid w:val="0039111A"/>
    <w:rsid w:val="003912E0"/>
    <w:rsid w:val="00391353"/>
    <w:rsid w:val="003915C5"/>
    <w:rsid w:val="0039173E"/>
    <w:rsid w:val="003919F9"/>
    <w:rsid w:val="00391C44"/>
    <w:rsid w:val="00391F18"/>
    <w:rsid w:val="00392023"/>
    <w:rsid w:val="00392523"/>
    <w:rsid w:val="0039281D"/>
    <w:rsid w:val="00392D09"/>
    <w:rsid w:val="003930F9"/>
    <w:rsid w:val="00393233"/>
    <w:rsid w:val="003933DA"/>
    <w:rsid w:val="0039348A"/>
    <w:rsid w:val="00393500"/>
    <w:rsid w:val="00393EE7"/>
    <w:rsid w:val="00394185"/>
    <w:rsid w:val="00394509"/>
    <w:rsid w:val="00394CDE"/>
    <w:rsid w:val="0039550A"/>
    <w:rsid w:val="0039582A"/>
    <w:rsid w:val="00395E0B"/>
    <w:rsid w:val="00395F9F"/>
    <w:rsid w:val="003962B2"/>
    <w:rsid w:val="00396357"/>
    <w:rsid w:val="0039681F"/>
    <w:rsid w:val="003968AA"/>
    <w:rsid w:val="00396E9C"/>
    <w:rsid w:val="003971C4"/>
    <w:rsid w:val="003973BF"/>
    <w:rsid w:val="00397447"/>
    <w:rsid w:val="003976CF"/>
    <w:rsid w:val="00397DD2"/>
    <w:rsid w:val="00397E47"/>
    <w:rsid w:val="00397FDE"/>
    <w:rsid w:val="003A03CC"/>
    <w:rsid w:val="003A03FA"/>
    <w:rsid w:val="003A03FF"/>
    <w:rsid w:val="003A05BE"/>
    <w:rsid w:val="003A0728"/>
    <w:rsid w:val="003A077E"/>
    <w:rsid w:val="003A0C00"/>
    <w:rsid w:val="003A0CA1"/>
    <w:rsid w:val="003A0E63"/>
    <w:rsid w:val="003A0E8A"/>
    <w:rsid w:val="003A0F51"/>
    <w:rsid w:val="003A0F6D"/>
    <w:rsid w:val="003A0F89"/>
    <w:rsid w:val="003A1729"/>
    <w:rsid w:val="003A18E4"/>
    <w:rsid w:val="003A198D"/>
    <w:rsid w:val="003A19F8"/>
    <w:rsid w:val="003A1B60"/>
    <w:rsid w:val="003A1D25"/>
    <w:rsid w:val="003A1D3E"/>
    <w:rsid w:val="003A1E65"/>
    <w:rsid w:val="003A2212"/>
    <w:rsid w:val="003A24C4"/>
    <w:rsid w:val="003A25D0"/>
    <w:rsid w:val="003A293C"/>
    <w:rsid w:val="003A2BE9"/>
    <w:rsid w:val="003A2C22"/>
    <w:rsid w:val="003A32D2"/>
    <w:rsid w:val="003A34A5"/>
    <w:rsid w:val="003A36D1"/>
    <w:rsid w:val="003A36E5"/>
    <w:rsid w:val="003A3A55"/>
    <w:rsid w:val="003A3B28"/>
    <w:rsid w:val="003A3C66"/>
    <w:rsid w:val="003A3DFE"/>
    <w:rsid w:val="003A3F1D"/>
    <w:rsid w:val="003A4357"/>
    <w:rsid w:val="003A44E2"/>
    <w:rsid w:val="003A4647"/>
    <w:rsid w:val="003A4998"/>
    <w:rsid w:val="003A4EBE"/>
    <w:rsid w:val="003A5038"/>
    <w:rsid w:val="003A5174"/>
    <w:rsid w:val="003A52BF"/>
    <w:rsid w:val="003A52E3"/>
    <w:rsid w:val="003A598C"/>
    <w:rsid w:val="003A5D7F"/>
    <w:rsid w:val="003A5DDA"/>
    <w:rsid w:val="003A5F29"/>
    <w:rsid w:val="003A628F"/>
    <w:rsid w:val="003A62CF"/>
    <w:rsid w:val="003A6409"/>
    <w:rsid w:val="003A64C2"/>
    <w:rsid w:val="003A65A7"/>
    <w:rsid w:val="003A6850"/>
    <w:rsid w:val="003A6D38"/>
    <w:rsid w:val="003A70F1"/>
    <w:rsid w:val="003A730D"/>
    <w:rsid w:val="003A741E"/>
    <w:rsid w:val="003A7BBD"/>
    <w:rsid w:val="003A7BFE"/>
    <w:rsid w:val="003A7FB0"/>
    <w:rsid w:val="003B00E5"/>
    <w:rsid w:val="003B0228"/>
    <w:rsid w:val="003B027E"/>
    <w:rsid w:val="003B0B3C"/>
    <w:rsid w:val="003B0C31"/>
    <w:rsid w:val="003B0E27"/>
    <w:rsid w:val="003B0E34"/>
    <w:rsid w:val="003B138D"/>
    <w:rsid w:val="003B1B56"/>
    <w:rsid w:val="003B1E19"/>
    <w:rsid w:val="003B256F"/>
    <w:rsid w:val="003B2A3B"/>
    <w:rsid w:val="003B3CD1"/>
    <w:rsid w:val="003B40BE"/>
    <w:rsid w:val="003B411C"/>
    <w:rsid w:val="003B4400"/>
    <w:rsid w:val="003B4446"/>
    <w:rsid w:val="003B4716"/>
    <w:rsid w:val="003B5421"/>
    <w:rsid w:val="003B5698"/>
    <w:rsid w:val="003B56E8"/>
    <w:rsid w:val="003B5988"/>
    <w:rsid w:val="003B5A35"/>
    <w:rsid w:val="003B5C81"/>
    <w:rsid w:val="003B5CD3"/>
    <w:rsid w:val="003B60AB"/>
    <w:rsid w:val="003B614B"/>
    <w:rsid w:val="003B6319"/>
    <w:rsid w:val="003B6434"/>
    <w:rsid w:val="003B67E1"/>
    <w:rsid w:val="003B6B79"/>
    <w:rsid w:val="003B6EB0"/>
    <w:rsid w:val="003B6F1C"/>
    <w:rsid w:val="003B6F79"/>
    <w:rsid w:val="003B71AB"/>
    <w:rsid w:val="003B73D2"/>
    <w:rsid w:val="003B77D0"/>
    <w:rsid w:val="003B790F"/>
    <w:rsid w:val="003B7BC9"/>
    <w:rsid w:val="003B7DC6"/>
    <w:rsid w:val="003B7FAD"/>
    <w:rsid w:val="003C0052"/>
    <w:rsid w:val="003C010F"/>
    <w:rsid w:val="003C01E7"/>
    <w:rsid w:val="003C0424"/>
    <w:rsid w:val="003C068E"/>
    <w:rsid w:val="003C0DC9"/>
    <w:rsid w:val="003C0E67"/>
    <w:rsid w:val="003C0ECF"/>
    <w:rsid w:val="003C10E0"/>
    <w:rsid w:val="003C1140"/>
    <w:rsid w:val="003C1684"/>
    <w:rsid w:val="003C1AF7"/>
    <w:rsid w:val="003C1C7B"/>
    <w:rsid w:val="003C1EDC"/>
    <w:rsid w:val="003C255F"/>
    <w:rsid w:val="003C274E"/>
    <w:rsid w:val="003C278D"/>
    <w:rsid w:val="003C294F"/>
    <w:rsid w:val="003C2963"/>
    <w:rsid w:val="003C2A73"/>
    <w:rsid w:val="003C2C40"/>
    <w:rsid w:val="003C2C8E"/>
    <w:rsid w:val="003C2EE0"/>
    <w:rsid w:val="003C30E7"/>
    <w:rsid w:val="003C357A"/>
    <w:rsid w:val="003C375E"/>
    <w:rsid w:val="003C3AB2"/>
    <w:rsid w:val="003C3BA1"/>
    <w:rsid w:val="003C3FDE"/>
    <w:rsid w:val="003C4080"/>
    <w:rsid w:val="003C41ED"/>
    <w:rsid w:val="003C4406"/>
    <w:rsid w:val="003C4584"/>
    <w:rsid w:val="003C495B"/>
    <w:rsid w:val="003C496A"/>
    <w:rsid w:val="003C5353"/>
    <w:rsid w:val="003C550F"/>
    <w:rsid w:val="003C5619"/>
    <w:rsid w:val="003C5BA2"/>
    <w:rsid w:val="003C5BEB"/>
    <w:rsid w:val="003C6143"/>
    <w:rsid w:val="003C6217"/>
    <w:rsid w:val="003C6263"/>
    <w:rsid w:val="003C6ADD"/>
    <w:rsid w:val="003C6AF2"/>
    <w:rsid w:val="003C700A"/>
    <w:rsid w:val="003C74DA"/>
    <w:rsid w:val="003C750F"/>
    <w:rsid w:val="003C7984"/>
    <w:rsid w:val="003C7A03"/>
    <w:rsid w:val="003C7B90"/>
    <w:rsid w:val="003C7C65"/>
    <w:rsid w:val="003C7C9E"/>
    <w:rsid w:val="003C7DB8"/>
    <w:rsid w:val="003D014C"/>
    <w:rsid w:val="003D032D"/>
    <w:rsid w:val="003D06DA"/>
    <w:rsid w:val="003D08DC"/>
    <w:rsid w:val="003D0B8C"/>
    <w:rsid w:val="003D0E50"/>
    <w:rsid w:val="003D0F55"/>
    <w:rsid w:val="003D12F6"/>
    <w:rsid w:val="003D1531"/>
    <w:rsid w:val="003D1863"/>
    <w:rsid w:val="003D1A5B"/>
    <w:rsid w:val="003D1BEB"/>
    <w:rsid w:val="003D1E12"/>
    <w:rsid w:val="003D21F8"/>
    <w:rsid w:val="003D2293"/>
    <w:rsid w:val="003D22A6"/>
    <w:rsid w:val="003D25F6"/>
    <w:rsid w:val="003D264C"/>
    <w:rsid w:val="003D276F"/>
    <w:rsid w:val="003D329E"/>
    <w:rsid w:val="003D33E1"/>
    <w:rsid w:val="003D3E53"/>
    <w:rsid w:val="003D3EC0"/>
    <w:rsid w:val="003D3F39"/>
    <w:rsid w:val="003D44B6"/>
    <w:rsid w:val="003D4617"/>
    <w:rsid w:val="003D46A1"/>
    <w:rsid w:val="003D4C18"/>
    <w:rsid w:val="003D4E80"/>
    <w:rsid w:val="003D507E"/>
    <w:rsid w:val="003D56FC"/>
    <w:rsid w:val="003D571A"/>
    <w:rsid w:val="003D5799"/>
    <w:rsid w:val="003D59EC"/>
    <w:rsid w:val="003D5DB9"/>
    <w:rsid w:val="003D5F43"/>
    <w:rsid w:val="003D63AE"/>
    <w:rsid w:val="003D66EF"/>
    <w:rsid w:val="003D6893"/>
    <w:rsid w:val="003D68AE"/>
    <w:rsid w:val="003D6C9A"/>
    <w:rsid w:val="003D6DE6"/>
    <w:rsid w:val="003D6F16"/>
    <w:rsid w:val="003D6F9E"/>
    <w:rsid w:val="003D6FC0"/>
    <w:rsid w:val="003D73A7"/>
    <w:rsid w:val="003D7DFA"/>
    <w:rsid w:val="003D7E1D"/>
    <w:rsid w:val="003D7F50"/>
    <w:rsid w:val="003E00C7"/>
    <w:rsid w:val="003E0A6A"/>
    <w:rsid w:val="003E1747"/>
    <w:rsid w:val="003E1ADB"/>
    <w:rsid w:val="003E1BE8"/>
    <w:rsid w:val="003E2274"/>
    <w:rsid w:val="003E2363"/>
    <w:rsid w:val="003E2438"/>
    <w:rsid w:val="003E2B93"/>
    <w:rsid w:val="003E2BF7"/>
    <w:rsid w:val="003E2D89"/>
    <w:rsid w:val="003E342B"/>
    <w:rsid w:val="003E3718"/>
    <w:rsid w:val="003E382F"/>
    <w:rsid w:val="003E3B64"/>
    <w:rsid w:val="003E3E61"/>
    <w:rsid w:val="003E41F8"/>
    <w:rsid w:val="003E42C2"/>
    <w:rsid w:val="003E4403"/>
    <w:rsid w:val="003E4F56"/>
    <w:rsid w:val="003E5525"/>
    <w:rsid w:val="003E568F"/>
    <w:rsid w:val="003E5BD8"/>
    <w:rsid w:val="003E6079"/>
    <w:rsid w:val="003E608A"/>
    <w:rsid w:val="003E60CB"/>
    <w:rsid w:val="003E624E"/>
    <w:rsid w:val="003E6339"/>
    <w:rsid w:val="003E6375"/>
    <w:rsid w:val="003E650E"/>
    <w:rsid w:val="003E668A"/>
    <w:rsid w:val="003E66D6"/>
    <w:rsid w:val="003E6C78"/>
    <w:rsid w:val="003E6DF8"/>
    <w:rsid w:val="003E6E94"/>
    <w:rsid w:val="003E7113"/>
    <w:rsid w:val="003E7656"/>
    <w:rsid w:val="003E7AEF"/>
    <w:rsid w:val="003F0089"/>
    <w:rsid w:val="003F0191"/>
    <w:rsid w:val="003F02B7"/>
    <w:rsid w:val="003F059C"/>
    <w:rsid w:val="003F06AB"/>
    <w:rsid w:val="003F0862"/>
    <w:rsid w:val="003F0CA0"/>
    <w:rsid w:val="003F0D42"/>
    <w:rsid w:val="003F0EE9"/>
    <w:rsid w:val="003F1226"/>
    <w:rsid w:val="003F15F4"/>
    <w:rsid w:val="003F1AAA"/>
    <w:rsid w:val="003F1CF3"/>
    <w:rsid w:val="003F218E"/>
    <w:rsid w:val="003F23AC"/>
    <w:rsid w:val="003F25CC"/>
    <w:rsid w:val="003F2838"/>
    <w:rsid w:val="003F28E5"/>
    <w:rsid w:val="003F2988"/>
    <w:rsid w:val="003F30DB"/>
    <w:rsid w:val="003F3E44"/>
    <w:rsid w:val="003F3F62"/>
    <w:rsid w:val="003F3FB0"/>
    <w:rsid w:val="003F42CD"/>
    <w:rsid w:val="003F44E6"/>
    <w:rsid w:val="003F4519"/>
    <w:rsid w:val="003F461A"/>
    <w:rsid w:val="003F4894"/>
    <w:rsid w:val="003F48C1"/>
    <w:rsid w:val="003F48F2"/>
    <w:rsid w:val="003F4B7D"/>
    <w:rsid w:val="003F4BF8"/>
    <w:rsid w:val="003F4C1A"/>
    <w:rsid w:val="003F4D0B"/>
    <w:rsid w:val="003F509A"/>
    <w:rsid w:val="003F50A8"/>
    <w:rsid w:val="003F5631"/>
    <w:rsid w:val="003F5684"/>
    <w:rsid w:val="003F59DA"/>
    <w:rsid w:val="003F5B02"/>
    <w:rsid w:val="003F5B52"/>
    <w:rsid w:val="003F5D0A"/>
    <w:rsid w:val="003F60FB"/>
    <w:rsid w:val="003F62A5"/>
    <w:rsid w:val="003F6787"/>
    <w:rsid w:val="003F6D22"/>
    <w:rsid w:val="003F6EB2"/>
    <w:rsid w:val="003F7095"/>
    <w:rsid w:val="003F70AB"/>
    <w:rsid w:val="003F741A"/>
    <w:rsid w:val="003F7436"/>
    <w:rsid w:val="003F7800"/>
    <w:rsid w:val="003F79BE"/>
    <w:rsid w:val="003F7B15"/>
    <w:rsid w:val="003F7D2F"/>
    <w:rsid w:val="003F7E1D"/>
    <w:rsid w:val="00400332"/>
    <w:rsid w:val="004006DF"/>
    <w:rsid w:val="00400785"/>
    <w:rsid w:val="00400B51"/>
    <w:rsid w:val="00400D07"/>
    <w:rsid w:val="00400EB4"/>
    <w:rsid w:val="0040109A"/>
    <w:rsid w:val="00401166"/>
    <w:rsid w:val="0040119A"/>
    <w:rsid w:val="00401391"/>
    <w:rsid w:val="00401D9A"/>
    <w:rsid w:val="00401DAA"/>
    <w:rsid w:val="0040202D"/>
    <w:rsid w:val="0040218C"/>
    <w:rsid w:val="0040298E"/>
    <w:rsid w:val="004029F3"/>
    <w:rsid w:val="00402A16"/>
    <w:rsid w:val="00402A45"/>
    <w:rsid w:val="00402B90"/>
    <w:rsid w:val="00402C7C"/>
    <w:rsid w:val="00403012"/>
    <w:rsid w:val="0040369B"/>
    <w:rsid w:val="004038DD"/>
    <w:rsid w:val="0040397A"/>
    <w:rsid w:val="004039C3"/>
    <w:rsid w:val="00403B3F"/>
    <w:rsid w:val="00403D8D"/>
    <w:rsid w:val="004047EA"/>
    <w:rsid w:val="00404D87"/>
    <w:rsid w:val="00404E68"/>
    <w:rsid w:val="00405302"/>
    <w:rsid w:val="00405674"/>
    <w:rsid w:val="00405F7F"/>
    <w:rsid w:val="00406150"/>
    <w:rsid w:val="004064E7"/>
    <w:rsid w:val="00407672"/>
    <w:rsid w:val="004077B7"/>
    <w:rsid w:val="0040790D"/>
    <w:rsid w:val="00407B8F"/>
    <w:rsid w:val="00407BB9"/>
    <w:rsid w:val="00407DD6"/>
    <w:rsid w:val="00407EE8"/>
    <w:rsid w:val="0041075E"/>
    <w:rsid w:val="00410827"/>
    <w:rsid w:val="0041093D"/>
    <w:rsid w:val="00410A74"/>
    <w:rsid w:val="00410D0D"/>
    <w:rsid w:val="00411000"/>
    <w:rsid w:val="00411092"/>
    <w:rsid w:val="00411404"/>
    <w:rsid w:val="00411A2E"/>
    <w:rsid w:val="00411D1A"/>
    <w:rsid w:val="00411DDB"/>
    <w:rsid w:val="0041213F"/>
    <w:rsid w:val="00412297"/>
    <w:rsid w:val="004122E8"/>
    <w:rsid w:val="00412341"/>
    <w:rsid w:val="00412573"/>
    <w:rsid w:val="00412643"/>
    <w:rsid w:val="00412B2C"/>
    <w:rsid w:val="00412D52"/>
    <w:rsid w:val="004131F0"/>
    <w:rsid w:val="004133AF"/>
    <w:rsid w:val="00413505"/>
    <w:rsid w:val="00413818"/>
    <w:rsid w:val="00413DA2"/>
    <w:rsid w:val="00413E88"/>
    <w:rsid w:val="00414281"/>
    <w:rsid w:val="00414B9E"/>
    <w:rsid w:val="00414CF6"/>
    <w:rsid w:val="00414E11"/>
    <w:rsid w:val="00414EDB"/>
    <w:rsid w:val="00415316"/>
    <w:rsid w:val="004154F8"/>
    <w:rsid w:val="004158FC"/>
    <w:rsid w:val="0041594A"/>
    <w:rsid w:val="004159A9"/>
    <w:rsid w:val="00415DFA"/>
    <w:rsid w:val="00416323"/>
    <w:rsid w:val="0041643A"/>
    <w:rsid w:val="0041646E"/>
    <w:rsid w:val="00416622"/>
    <w:rsid w:val="0041696D"/>
    <w:rsid w:val="00416D66"/>
    <w:rsid w:val="00416D72"/>
    <w:rsid w:val="00416EC5"/>
    <w:rsid w:val="0041759D"/>
    <w:rsid w:val="00417AF7"/>
    <w:rsid w:val="00417AF9"/>
    <w:rsid w:val="00417B13"/>
    <w:rsid w:val="00417D97"/>
    <w:rsid w:val="00417F28"/>
    <w:rsid w:val="0042025F"/>
    <w:rsid w:val="004202CC"/>
    <w:rsid w:val="00420589"/>
    <w:rsid w:val="00420724"/>
    <w:rsid w:val="004207CD"/>
    <w:rsid w:val="00420F57"/>
    <w:rsid w:val="00421140"/>
    <w:rsid w:val="004211BA"/>
    <w:rsid w:val="0042128A"/>
    <w:rsid w:val="004212D5"/>
    <w:rsid w:val="00421429"/>
    <w:rsid w:val="004214D1"/>
    <w:rsid w:val="004214F6"/>
    <w:rsid w:val="00421997"/>
    <w:rsid w:val="00421A58"/>
    <w:rsid w:val="00421D16"/>
    <w:rsid w:val="00422085"/>
    <w:rsid w:val="00422382"/>
    <w:rsid w:val="00423160"/>
    <w:rsid w:val="0042344E"/>
    <w:rsid w:val="0042348F"/>
    <w:rsid w:val="004234EF"/>
    <w:rsid w:val="00423FCC"/>
    <w:rsid w:val="00424005"/>
    <w:rsid w:val="0042420A"/>
    <w:rsid w:val="00424332"/>
    <w:rsid w:val="00424434"/>
    <w:rsid w:val="00424728"/>
    <w:rsid w:val="00424798"/>
    <w:rsid w:val="0042499A"/>
    <w:rsid w:val="00424A19"/>
    <w:rsid w:val="00424A4E"/>
    <w:rsid w:val="00424AEE"/>
    <w:rsid w:val="00424B3C"/>
    <w:rsid w:val="00424EB3"/>
    <w:rsid w:val="0042536B"/>
    <w:rsid w:val="004253BA"/>
    <w:rsid w:val="004253DB"/>
    <w:rsid w:val="0042577E"/>
    <w:rsid w:val="00425BD2"/>
    <w:rsid w:val="00425E96"/>
    <w:rsid w:val="00426009"/>
    <w:rsid w:val="0042615B"/>
    <w:rsid w:val="00426227"/>
    <w:rsid w:val="00426301"/>
    <w:rsid w:val="0042630D"/>
    <w:rsid w:val="00426A60"/>
    <w:rsid w:val="00426BFB"/>
    <w:rsid w:val="00426E0D"/>
    <w:rsid w:val="00426E46"/>
    <w:rsid w:val="0042741F"/>
    <w:rsid w:val="00427486"/>
    <w:rsid w:val="00427A51"/>
    <w:rsid w:val="00427C90"/>
    <w:rsid w:val="00427E1D"/>
    <w:rsid w:val="00430A0B"/>
    <w:rsid w:val="00430BF5"/>
    <w:rsid w:val="0043112A"/>
    <w:rsid w:val="0043125B"/>
    <w:rsid w:val="004313BA"/>
    <w:rsid w:val="00431408"/>
    <w:rsid w:val="00431431"/>
    <w:rsid w:val="00431476"/>
    <w:rsid w:val="00431815"/>
    <w:rsid w:val="00432922"/>
    <w:rsid w:val="004329BC"/>
    <w:rsid w:val="00432AB8"/>
    <w:rsid w:val="00433076"/>
    <w:rsid w:val="00433374"/>
    <w:rsid w:val="0043337B"/>
    <w:rsid w:val="004333AA"/>
    <w:rsid w:val="004334BB"/>
    <w:rsid w:val="00433527"/>
    <w:rsid w:val="00433605"/>
    <w:rsid w:val="004336E3"/>
    <w:rsid w:val="00433832"/>
    <w:rsid w:val="0043386F"/>
    <w:rsid w:val="00433B21"/>
    <w:rsid w:val="00433C9F"/>
    <w:rsid w:val="004346D4"/>
    <w:rsid w:val="00434B39"/>
    <w:rsid w:val="00435206"/>
    <w:rsid w:val="00435261"/>
    <w:rsid w:val="004352A4"/>
    <w:rsid w:val="004354CA"/>
    <w:rsid w:val="00435C3F"/>
    <w:rsid w:val="00435F36"/>
    <w:rsid w:val="00435F76"/>
    <w:rsid w:val="00435FD5"/>
    <w:rsid w:val="0043604A"/>
    <w:rsid w:val="0043621E"/>
    <w:rsid w:val="00436238"/>
    <w:rsid w:val="004362F1"/>
    <w:rsid w:val="004363A3"/>
    <w:rsid w:val="00436858"/>
    <w:rsid w:val="00436BA5"/>
    <w:rsid w:val="004372E4"/>
    <w:rsid w:val="004373A3"/>
    <w:rsid w:val="0043751B"/>
    <w:rsid w:val="004375A8"/>
    <w:rsid w:val="004375FB"/>
    <w:rsid w:val="00437655"/>
    <w:rsid w:val="004376AF"/>
    <w:rsid w:val="00437824"/>
    <w:rsid w:val="00437A62"/>
    <w:rsid w:val="00437B45"/>
    <w:rsid w:val="00437D78"/>
    <w:rsid w:val="00437FAD"/>
    <w:rsid w:val="004401E2"/>
    <w:rsid w:val="00440230"/>
    <w:rsid w:val="0044032F"/>
    <w:rsid w:val="004405AB"/>
    <w:rsid w:val="004408E2"/>
    <w:rsid w:val="00440BDF"/>
    <w:rsid w:val="00440E34"/>
    <w:rsid w:val="00441173"/>
    <w:rsid w:val="00441189"/>
    <w:rsid w:val="004411B6"/>
    <w:rsid w:val="0044132D"/>
    <w:rsid w:val="0044167E"/>
    <w:rsid w:val="00441B3A"/>
    <w:rsid w:val="00442238"/>
    <w:rsid w:val="0044259E"/>
    <w:rsid w:val="004425BC"/>
    <w:rsid w:val="00442707"/>
    <w:rsid w:val="0044281A"/>
    <w:rsid w:val="004428E3"/>
    <w:rsid w:val="00442FFA"/>
    <w:rsid w:val="004430DE"/>
    <w:rsid w:val="004430E0"/>
    <w:rsid w:val="00443459"/>
    <w:rsid w:val="00443472"/>
    <w:rsid w:val="00443595"/>
    <w:rsid w:val="00443674"/>
    <w:rsid w:val="004438BD"/>
    <w:rsid w:val="00443C75"/>
    <w:rsid w:val="00444351"/>
    <w:rsid w:val="004446F2"/>
    <w:rsid w:val="004449C3"/>
    <w:rsid w:val="00444A61"/>
    <w:rsid w:val="00444A7B"/>
    <w:rsid w:val="00444E24"/>
    <w:rsid w:val="00444EC3"/>
    <w:rsid w:val="00444ED2"/>
    <w:rsid w:val="00445296"/>
    <w:rsid w:val="00445562"/>
    <w:rsid w:val="00445BDD"/>
    <w:rsid w:val="00445FCA"/>
    <w:rsid w:val="00446768"/>
    <w:rsid w:val="0044697B"/>
    <w:rsid w:val="004469F7"/>
    <w:rsid w:val="00446BE6"/>
    <w:rsid w:val="00446C92"/>
    <w:rsid w:val="00446FA7"/>
    <w:rsid w:val="00447176"/>
    <w:rsid w:val="004471A4"/>
    <w:rsid w:val="0044736E"/>
    <w:rsid w:val="0044750B"/>
    <w:rsid w:val="0044781E"/>
    <w:rsid w:val="004479FE"/>
    <w:rsid w:val="00447D8C"/>
    <w:rsid w:val="00447E1E"/>
    <w:rsid w:val="004501C3"/>
    <w:rsid w:val="0045081E"/>
    <w:rsid w:val="004508F2"/>
    <w:rsid w:val="00450A6C"/>
    <w:rsid w:val="00450ADA"/>
    <w:rsid w:val="00450BA3"/>
    <w:rsid w:val="00450DC2"/>
    <w:rsid w:val="00451018"/>
    <w:rsid w:val="00451235"/>
    <w:rsid w:val="00451334"/>
    <w:rsid w:val="004513CD"/>
    <w:rsid w:val="004517AB"/>
    <w:rsid w:val="00451ACF"/>
    <w:rsid w:val="00451B54"/>
    <w:rsid w:val="00451E19"/>
    <w:rsid w:val="00452B3C"/>
    <w:rsid w:val="00452B81"/>
    <w:rsid w:val="00453289"/>
    <w:rsid w:val="004532EB"/>
    <w:rsid w:val="0045349C"/>
    <w:rsid w:val="00453606"/>
    <w:rsid w:val="00453654"/>
    <w:rsid w:val="004537C6"/>
    <w:rsid w:val="00453886"/>
    <w:rsid w:val="00453E02"/>
    <w:rsid w:val="004542E1"/>
    <w:rsid w:val="004546E1"/>
    <w:rsid w:val="004549D7"/>
    <w:rsid w:val="00454ABF"/>
    <w:rsid w:val="00454C8A"/>
    <w:rsid w:val="0045521E"/>
    <w:rsid w:val="004556B4"/>
    <w:rsid w:val="00455711"/>
    <w:rsid w:val="004557D9"/>
    <w:rsid w:val="00455FAA"/>
    <w:rsid w:val="00456223"/>
    <w:rsid w:val="00456535"/>
    <w:rsid w:val="004565AB"/>
    <w:rsid w:val="004565D1"/>
    <w:rsid w:val="00456631"/>
    <w:rsid w:val="00456645"/>
    <w:rsid w:val="0045686C"/>
    <w:rsid w:val="004574CB"/>
    <w:rsid w:val="00457C6F"/>
    <w:rsid w:val="00457F21"/>
    <w:rsid w:val="00457F3F"/>
    <w:rsid w:val="004601B1"/>
    <w:rsid w:val="004602A4"/>
    <w:rsid w:val="00460F41"/>
    <w:rsid w:val="004612EB"/>
    <w:rsid w:val="00461320"/>
    <w:rsid w:val="0046156C"/>
    <w:rsid w:val="00461A4A"/>
    <w:rsid w:val="0046227C"/>
    <w:rsid w:val="00462298"/>
    <w:rsid w:val="004623D6"/>
    <w:rsid w:val="00462453"/>
    <w:rsid w:val="004625E9"/>
    <w:rsid w:val="00462B4B"/>
    <w:rsid w:val="00462E60"/>
    <w:rsid w:val="00463271"/>
    <w:rsid w:val="00463500"/>
    <w:rsid w:val="0046393E"/>
    <w:rsid w:val="00463ABC"/>
    <w:rsid w:val="00463C36"/>
    <w:rsid w:val="00463D23"/>
    <w:rsid w:val="00463DCA"/>
    <w:rsid w:val="004641DC"/>
    <w:rsid w:val="0046440F"/>
    <w:rsid w:val="004650A8"/>
    <w:rsid w:val="00465531"/>
    <w:rsid w:val="004659E4"/>
    <w:rsid w:val="00465AB7"/>
    <w:rsid w:val="00465AB9"/>
    <w:rsid w:val="00465BEC"/>
    <w:rsid w:val="00465DAA"/>
    <w:rsid w:val="004664D2"/>
    <w:rsid w:val="00466588"/>
    <w:rsid w:val="0046677D"/>
    <w:rsid w:val="00466C72"/>
    <w:rsid w:val="00466C96"/>
    <w:rsid w:val="00466ECB"/>
    <w:rsid w:val="00466FFA"/>
    <w:rsid w:val="0046729D"/>
    <w:rsid w:val="004674B8"/>
    <w:rsid w:val="004674EB"/>
    <w:rsid w:val="00467803"/>
    <w:rsid w:val="00467893"/>
    <w:rsid w:val="004678BB"/>
    <w:rsid w:val="00467BA1"/>
    <w:rsid w:val="004701D9"/>
    <w:rsid w:val="00470558"/>
    <w:rsid w:val="00470689"/>
    <w:rsid w:val="00470699"/>
    <w:rsid w:val="00470888"/>
    <w:rsid w:val="004708F1"/>
    <w:rsid w:val="00470AAE"/>
    <w:rsid w:val="00470C1E"/>
    <w:rsid w:val="00470DA7"/>
    <w:rsid w:val="00470EE2"/>
    <w:rsid w:val="00470F44"/>
    <w:rsid w:val="00470F52"/>
    <w:rsid w:val="00470FCC"/>
    <w:rsid w:val="004715E1"/>
    <w:rsid w:val="0047167A"/>
    <w:rsid w:val="004718E2"/>
    <w:rsid w:val="00471BFF"/>
    <w:rsid w:val="00471F48"/>
    <w:rsid w:val="0047215C"/>
    <w:rsid w:val="0047221D"/>
    <w:rsid w:val="004727BF"/>
    <w:rsid w:val="00472861"/>
    <w:rsid w:val="004728A5"/>
    <w:rsid w:val="00472AD9"/>
    <w:rsid w:val="00472CCD"/>
    <w:rsid w:val="00472FD3"/>
    <w:rsid w:val="004733CD"/>
    <w:rsid w:val="0047380B"/>
    <w:rsid w:val="0047382C"/>
    <w:rsid w:val="00473976"/>
    <w:rsid w:val="00473D4D"/>
    <w:rsid w:val="00474058"/>
    <w:rsid w:val="00474081"/>
    <w:rsid w:val="004743C2"/>
    <w:rsid w:val="00474614"/>
    <w:rsid w:val="00474AF5"/>
    <w:rsid w:val="00474DD2"/>
    <w:rsid w:val="00474E49"/>
    <w:rsid w:val="00474EFF"/>
    <w:rsid w:val="00474F82"/>
    <w:rsid w:val="00474FF0"/>
    <w:rsid w:val="00475092"/>
    <w:rsid w:val="00475278"/>
    <w:rsid w:val="004757A3"/>
    <w:rsid w:val="004758FB"/>
    <w:rsid w:val="00475AB6"/>
    <w:rsid w:val="0047642E"/>
    <w:rsid w:val="00476485"/>
    <w:rsid w:val="00476552"/>
    <w:rsid w:val="00476784"/>
    <w:rsid w:val="00476853"/>
    <w:rsid w:val="004768AF"/>
    <w:rsid w:val="00476A9B"/>
    <w:rsid w:val="00476CC0"/>
    <w:rsid w:val="00476DF1"/>
    <w:rsid w:val="004771E4"/>
    <w:rsid w:val="004771F7"/>
    <w:rsid w:val="00477390"/>
    <w:rsid w:val="0047749E"/>
    <w:rsid w:val="004774E3"/>
    <w:rsid w:val="00477523"/>
    <w:rsid w:val="00477B31"/>
    <w:rsid w:val="00477BE5"/>
    <w:rsid w:val="00477C02"/>
    <w:rsid w:val="00477C10"/>
    <w:rsid w:val="00477CA8"/>
    <w:rsid w:val="00477F82"/>
    <w:rsid w:val="00480146"/>
    <w:rsid w:val="004801B3"/>
    <w:rsid w:val="0048049E"/>
    <w:rsid w:val="00480C57"/>
    <w:rsid w:val="00480CFE"/>
    <w:rsid w:val="00480E22"/>
    <w:rsid w:val="00481299"/>
    <w:rsid w:val="00481501"/>
    <w:rsid w:val="00481521"/>
    <w:rsid w:val="00481562"/>
    <w:rsid w:val="004815B5"/>
    <w:rsid w:val="004815B8"/>
    <w:rsid w:val="00481BE3"/>
    <w:rsid w:val="00481E33"/>
    <w:rsid w:val="00482003"/>
    <w:rsid w:val="0048236B"/>
    <w:rsid w:val="004824D8"/>
    <w:rsid w:val="00482D2E"/>
    <w:rsid w:val="0048348E"/>
    <w:rsid w:val="004836BC"/>
    <w:rsid w:val="00483756"/>
    <w:rsid w:val="004838D1"/>
    <w:rsid w:val="00483BDE"/>
    <w:rsid w:val="00483C46"/>
    <w:rsid w:val="00483CBF"/>
    <w:rsid w:val="0048407A"/>
    <w:rsid w:val="00484107"/>
    <w:rsid w:val="00484120"/>
    <w:rsid w:val="004841B4"/>
    <w:rsid w:val="00484546"/>
    <w:rsid w:val="00484696"/>
    <w:rsid w:val="004847F8"/>
    <w:rsid w:val="004848D6"/>
    <w:rsid w:val="00484AC2"/>
    <w:rsid w:val="00484B28"/>
    <w:rsid w:val="00484C4E"/>
    <w:rsid w:val="00484CD0"/>
    <w:rsid w:val="00484DAD"/>
    <w:rsid w:val="0048520A"/>
    <w:rsid w:val="00485FCD"/>
    <w:rsid w:val="0048626E"/>
    <w:rsid w:val="00486444"/>
    <w:rsid w:val="004867BC"/>
    <w:rsid w:val="00486A60"/>
    <w:rsid w:val="00486AC3"/>
    <w:rsid w:val="00486C34"/>
    <w:rsid w:val="00486CBD"/>
    <w:rsid w:val="0048762F"/>
    <w:rsid w:val="00487864"/>
    <w:rsid w:val="004878A5"/>
    <w:rsid w:val="00487CDB"/>
    <w:rsid w:val="00487DED"/>
    <w:rsid w:val="00490978"/>
    <w:rsid w:val="00490985"/>
    <w:rsid w:val="00490BCC"/>
    <w:rsid w:val="00490CC9"/>
    <w:rsid w:val="00490F57"/>
    <w:rsid w:val="00491238"/>
    <w:rsid w:val="004914D8"/>
    <w:rsid w:val="004916F7"/>
    <w:rsid w:val="004918CF"/>
    <w:rsid w:val="00492093"/>
    <w:rsid w:val="004923CC"/>
    <w:rsid w:val="004923E9"/>
    <w:rsid w:val="0049294C"/>
    <w:rsid w:val="00492A37"/>
    <w:rsid w:val="004933D1"/>
    <w:rsid w:val="004934A4"/>
    <w:rsid w:val="004935FB"/>
    <w:rsid w:val="0049369D"/>
    <w:rsid w:val="0049384B"/>
    <w:rsid w:val="00493E32"/>
    <w:rsid w:val="0049406C"/>
    <w:rsid w:val="004941AB"/>
    <w:rsid w:val="004941B4"/>
    <w:rsid w:val="004941EF"/>
    <w:rsid w:val="00494739"/>
    <w:rsid w:val="00494834"/>
    <w:rsid w:val="004949BF"/>
    <w:rsid w:val="00494CA1"/>
    <w:rsid w:val="00494FD5"/>
    <w:rsid w:val="00495202"/>
    <w:rsid w:val="0049553B"/>
    <w:rsid w:val="0049580D"/>
    <w:rsid w:val="0049599F"/>
    <w:rsid w:val="00495A32"/>
    <w:rsid w:val="00496040"/>
    <w:rsid w:val="004960BB"/>
    <w:rsid w:val="004969B3"/>
    <w:rsid w:val="004969B8"/>
    <w:rsid w:val="00496CA0"/>
    <w:rsid w:val="00497176"/>
    <w:rsid w:val="004973D7"/>
    <w:rsid w:val="00497889"/>
    <w:rsid w:val="00497998"/>
    <w:rsid w:val="00497E1E"/>
    <w:rsid w:val="004A00A3"/>
    <w:rsid w:val="004A00EC"/>
    <w:rsid w:val="004A08FA"/>
    <w:rsid w:val="004A09D3"/>
    <w:rsid w:val="004A0B84"/>
    <w:rsid w:val="004A1154"/>
    <w:rsid w:val="004A1AF3"/>
    <w:rsid w:val="004A1C3D"/>
    <w:rsid w:val="004A25AE"/>
    <w:rsid w:val="004A2697"/>
    <w:rsid w:val="004A2941"/>
    <w:rsid w:val="004A2B2E"/>
    <w:rsid w:val="004A2C0E"/>
    <w:rsid w:val="004A2DAD"/>
    <w:rsid w:val="004A2E74"/>
    <w:rsid w:val="004A3501"/>
    <w:rsid w:val="004A3B74"/>
    <w:rsid w:val="004A4160"/>
    <w:rsid w:val="004A469F"/>
    <w:rsid w:val="004A4C3D"/>
    <w:rsid w:val="004A50DB"/>
    <w:rsid w:val="004A5308"/>
    <w:rsid w:val="004A5577"/>
    <w:rsid w:val="004A55D0"/>
    <w:rsid w:val="004A60CA"/>
    <w:rsid w:val="004A62AC"/>
    <w:rsid w:val="004A6372"/>
    <w:rsid w:val="004A6CAE"/>
    <w:rsid w:val="004A6FEC"/>
    <w:rsid w:val="004A7363"/>
    <w:rsid w:val="004A78E4"/>
    <w:rsid w:val="004A799A"/>
    <w:rsid w:val="004B0231"/>
    <w:rsid w:val="004B0640"/>
    <w:rsid w:val="004B0818"/>
    <w:rsid w:val="004B0922"/>
    <w:rsid w:val="004B0C44"/>
    <w:rsid w:val="004B0CD0"/>
    <w:rsid w:val="004B0FC0"/>
    <w:rsid w:val="004B1635"/>
    <w:rsid w:val="004B181C"/>
    <w:rsid w:val="004B1F16"/>
    <w:rsid w:val="004B27AF"/>
    <w:rsid w:val="004B2967"/>
    <w:rsid w:val="004B2E96"/>
    <w:rsid w:val="004B2F04"/>
    <w:rsid w:val="004B2F3B"/>
    <w:rsid w:val="004B3804"/>
    <w:rsid w:val="004B38C7"/>
    <w:rsid w:val="004B3DF1"/>
    <w:rsid w:val="004B41D8"/>
    <w:rsid w:val="004B4352"/>
    <w:rsid w:val="004B43D9"/>
    <w:rsid w:val="004B43EA"/>
    <w:rsid w:val="004B5143"/>
    <w:rsid w:val="004B53AA"/>
    <w:rsid w:val="004B5733"/>
    <w:rsid w:val="004B57F2"/>
    <w:rsid w:val="004B5A64"/>
    <w:rsid w:val="004B5AD3"/>
    <w:rsid w:val="004B5DDA"/>
    <w:rsid w:val="004B6341"/>
    <w:rsid w:val="004B6827"/>
    <w:rsid w:val="004B6A64"/>
    <w:rsid w:val="004B6A74"/>
    <w:rsid w:val="004B6DC0"/>
    <w:rsid w:val="004B6FE2"/>
    <w:rsid w:val="004B7162"/>
    <w:rsid w:val="004B7169"/>
    <w:rsid w:val="004B722F"/>
    <w:rsid w:val="004B7508"/>
    <w:rsid w:val="004B7576"/>
    <w:rsid w:val="004B766E"/>
    <w:rsid w:val="004B78A7"/>
    <w:rsid w:val="004B793C"/>
    <w:rsid w:val="004C048F"/>
    <w:rsid w:val="004C0537"/>
    <w:rsid w:val="004C067C"/>
    <w:rsid w:val="004C09CA"/>
    <w:rsid w:val="004C0DAC"/>
    <w:rsid w:val="004C105B"/>
    <w:rsid w:val="004C10F2"/>
    <w:rsid w:val="004C1119"/>
    <w:rsid w:val="004C11B7"/>
    <w:rsid w:val="004C12DF"/>
    <w:rsid w:val="004C1512"/>
    <w:rsid w:val="004C1535"/>
    <w:rsid w:val="004C1E8E"/>
    <w:rsid w:val="004C1F1C"/>
    <w:rsid w:val="004C202F"/>
    <w:rsid w:val="004C2473"/>
    <w:rsid w:val="004C263F"/>
    <w:rsid w:val="004C26ED"/>
    <w:rsid w:val="004C2FA1"/>
    <w:rsid w:val="004C371B"/>
    <w:rsid w:val="004C3A0E"/>
    <w:rsid w:val="004C3F96"/>
    <w:rsid w:val="004C4072"/>
    <w:rsid w:val="004C42A6"/>
    <w:rsid w:val="004C43AB"/>
    <w:rsid w:val="004C4479"/>
    <w:rsid w:val="004C4496"/>
    <w:rsid w:val="004C46F9"/>
    <w:rsid w:val="004C4887"/>
    <w:rsid w:val="004C4D6D"/>
    <w:rsid w:val="004C5579"/>
    <w:rsid w:val="004C58B2"/>
    <w:rsid w:val="004C5C83"/>
    <w:rsid w:val="004C5D24"/>
    <w:rsid w:val="004C6047"/>
    <w:rsid w:val="004C6345"/>
    <w:rsid w:val="004C6697"/>
    <w:rsid w:val="004C6A16"/>
    <w:rsid w:val="004C6DCB"/>
    <w:rsid w:val="004C6E58"/>
    <w:rsid w:val="004C6FAD"/>
    <w:rsid w:val="004C7AAD"/>
    <w:rsid w:val="004C7B5E"/>
    <w:rsid w:val="004C7E94"/>
    <w:rsid w:val="004D02E3"/>
    <w:rsid w:val="004D0488"/>
    <w:rsid w:val="004D067F"/>
    <w:rsid w:val="004D098D"/>
    <w:rsid w:val="004D0A3C"/>
    <w:rsid w:val="004D0BB6"/>
    <w:rsid w:val="004D0C48"/>
    <w:rsid w:val="004D0E8F"/>
    <w:rsid w:val="004D11B1"/>
    <w:rsid w:val="004D132B"/>
    <w:rsid w:val="004D141C"/>
    <w:rsid w:val="004D156A"/>
    <w:rsid w:val="004D186B"/>
    <w:rsid w:val="004D1ECC"/>
    <w:rsid w:val="004D22CA"/>
    <w:rsid w:val="004D27CE"/>
    <w:rsid w:val="004D2846"/>
    <w:rsid w:val="004D2C7E"/>
    <w:rsid w:val="004D3021"/>
    <w:rsid w:val="004D314A"/>
    <w:rsid w:val="004D3272"/>
    <w:rsid w:val="004D342B"/>
    <w:rsid w:val="004D37D2"/>
    <w:rsid w:val="004D38C2"/>
    <w:rsid w:val="004D3E5E"/>
    <w:rsid w:val="004D3EFA"/>
    <w:rsid w:val="004D425B"/>
    <w:rsid w:val="004D42BF"/>
    <w:rsid w:val="004D4300"/>
    <w:rsid w:val="004D439F"/>
    <w:rsid w:val="004D43DE"/>
    <w:rsid w:val="004D4531"/>
    <w:rsid w:val="004D45B3"/>
    <w:rsid w:val="004D4931"/>
    <w:rsid w:val="004D49E5"/>
    <w:rsid w:val="004D4FAF"/>
    <w:rsid w:val="004D5245"/>
    <w:rsid w:val="004D55B1"/>
    <w:rsid w:val="004D55B6"/>
    <w:rsid w:val="004D5677"/>
    <w:rsid w:val="004D5681"/>
    <w:rsid w:val="004D58A4"/>
    <w:rsid w:val="004D6240"/>
    <w:rsid w:val="004D6245"/>
    <w:rsid w:val="004D6520"/>
    <w:rsid w:val="004D6724"/>
    <w:rsid w:val="004D6E41"/>
    <w:rsid w:val="004D6E45"/>
    <w:rsid w:val="004D6F4D"/>
    <w:rsid w:val="004D7297"/>
    <w:rsid w:val="004D7D89"/>
    <w:rsid w:val="004D7E9C"/>
    <w:rsid w:val="004D7EAC"/>
    <w:rsid w:val="004E04BE"/>
    <w:rsid w:val="004E06AA"/>
    <w:rsid w:val="004E1240"/>
    <w:rsid w:val="004E1421"/>
    <w:rsid w:val="004E15D6"/>
    <w:rsid w:val="004E167F"/>
    <w:rsid w:val="004E17BB"/>
    <w:rsid w:val="004E1965"/>
    <w:rsid w:val="004E1A2B"/>
    <w:rsid w:val="004E1A83"/>
    <w:rsid w:val="004E1D57"/>
    <w:rsid w:val="004E1DFE"/>
    <w:rsid w:val="004E1F10"/>
    <w:rsid w:val="004E25E2"/>
    <w:rsid w:val="004E26D9"/>
    <w:rsid w:val="004E26E5"/>
    <w:rsid w:val="004E2756"/>
    <w:rsid w:val="004E27A5"/>
    <w:rsid w:val="004E28F5"/>
    <w:rsid w:val="004E29F4"/>
    <w:rsid w:val="004E2D92"/>
    <w:rsid w:val="004E3273"/>
    <w:rsid w:val="004E36EF"/>
    <w:rsid w:val="004E3BB8"/>
    <w:rsid w:val="004E3D50"/>
    <w:rsid w:val="004E3F12"/>
    <w:rsid w:val="004E447C"/>
    <w:rsid w:val="004E4782"/>
    <w:rsid w:val="004E4798"/>
    <w:rsid w:val="004E47CE"/>
    <w:rsid w:val="004E4A79"/>
    <w:rsid w:val="004E4B3A"/>
    <w:rsid w:val="004E4BD1"/>
    <w:rsid w:val="004E4D27"/>
    <w:rsid w:val="004E4DEA"/>
    <w:rsid w:val="004E5393"/>
    <w:rsid w:val="004E551A"/>
    <w:rsid w:val="004E5723"/>
    <w:rsid w:val="004E5948"/>
    <w:rsid w:val="004E5AF9"/>
    <w:rsid w:val="004E5CE8"/>
    <w:rsid w:val="004E5DEB"/>
    <w:rsid w:val="004E64C7"/>
    <w:rsid w:val="004E68D0"/>
    <w:rsid w:val="004E691B"/>
    <w:rsid w:val="004E69DE"/>
    <w:rsid w:val="004E69E4"/>
    <w:rsid w:val="004E6C48"/>
    <w:rsid w:val="004E7BE9"/>
    <w:rsid w:val="004E7CF0"/>
    <w:rsid w:val="004F0481"/>
    <w:rsid w:val="004F04DC"/>
    <w:rsid w:val="004F07CD"/>
    <w:rsid w:val="004F092B"/>
    <w:rsid w:val="004F0C1B"/>
    <w:rsid w:val="004F0F7B"/>
    <w:rsid w:val="004F1056"/>
    <w:rsid w:val="004F1184"/>
    <w:rsid w:val="004F12D5"/>
    <w:rsid w:val="004F1946"/>
    <w:rsid w:val="004F1D25"/>
    <w:rsid w:val="004F24E9"/>
    <w:rsid w:val="004F2DB9"/>
    <w:rsid w:val="004F2E80"/>
    <w:rsid w:val="004F2F10"/>
    <w:rsid w:val="004F311C"/>
    <w:rsid w:val="004F31D5"/>
    <w:rsid w:val="004F3280"/>
    <w:rsid w:val="004F32C3"/>
    <w:rsid w:val="004F32FF"/>
    <w:rsid w:val="004F33E6"/>
    <w:rsid w:val="004F3796"/>
    <w:rsid w:val="004F39E7"/>
    <w:rsid w:val="004F3B2F"/>
    <w:rsid w:val="004F3EBB"/>
    <w:rsid w:val="004F427D"/>
    <w:rsid w:val="004F4413"/>
    <w:rsid w:val="004F447D"/>
    <w:rsid w:val="004F44C9"/>
    <w:rsid w:val="004F456B"/>
    <w:rsid w:val="004F45EA"/>
    <w:rsid w:val="004F461F"/>
    <w:rsid w:val="004F47B4"/>
    <w:rsid w:val="004F493C"/>
    <w:rsid w:val="004F4B58"/>
    <w:rsid w:val="004F4C25"/>
    <w:rsid w:val="004F4D7E"/>
    <w:rsid w:val="004F50FD"/>
    <w:rsid w:val="004F525A"/>
    <w:rsid w:val="004F554D"/>
    <w:rsid w:val="004F55E6"/>
    <w:rsid w:val="004F58A8"/>
    <w:rsid w:val="004F596F"/>
    <w:rsid w:val="004F59FF"/>
    <w:rsid w:val="004F5A04"/>
    <w:rsid w:val="004F6142"/>
    <w:rsid w:val="004F61F9"/>
    <w:rsid w:val="004F622A"/>
    <w:rsid w:val="004F62F1"/>
    <w:rsid w:val="004F6355"/>
    <w:rsid w:val="004F6363"/>
    <w:rsid w:val="004F63D5"/>
    <w:rsid w:val="004F6549"/>
    <w:rsid w:val="004F66F0"/>
    <w:rsid w:val="004F679C"/>
    <w:rsid w:val="004F6C1C"/>
    <w:rsid w:val="004F71FF"/>
    <w:rsid w:val="004F76A0"/>
    <w:rsid w:val="004F76AB"/>
    <w:rsid w:val="004F7B06"/>
    <w:rsid w:val="004F7BDE"/>
    <w:rsid w:val="004F7BE7"/>
    <w:rsid w:val="004F7C09"/>
    <w:rsid w:val="0050000B"/>
    <w:rsid w:val="005002AF"/>
    <w:rsid w:val="0050041C"/>
    <w:rsid w:val="00500430"/>
    <w:rsid w:val="00500B27"/>
    <w:rsid w:val="00500C43"/>
    <w:rsid w:val="005011D8"/>
    <w:rsid w:val="00501480"/>
    <w:rsid w:val="00501592"/>
    <w:rsid w:val="0050195D"/>
    <w:rsid w:val="00501978"/>
    <w:rsid w:val="005022E1"/>
    <w:rsid w:val="005025A3"/>
    <w:rsid w:val="00502749"/>
    <w:rsid w:val="00502833"/>
    <w:rsid w:val="0050290E"/>
    <w:rsid w:val="005029A9"/>
    <w:rsid w:val="00502A59"/>
    <w:rsid w:val="00502AD9"/>
    <w:rsid w:val="00503001"/>
    <w:rsid w:val="0050301F"/>
    <w:rsid w:val="00503099"/>
    <w:rsid w:val="0050334B"/>
    <w:rsid w:val="005033FC"/>
    <w:rsid w:val="00503697"/>
    <w:rsid w:val="00503911"/>
    <w:rsid w:val="00503924"/>
    <w:rsid w:val="00503B4F"/>
    <w:rsid w:val="00503DCF"/>
    <w:rsid w:val="00503FCC"/>
    <w:rsid w:val="00503FF9"/>
    <w:rsid w:val="005040B4"/>
    <w:rsid w:val="00504263"/>
    <w:rsid w:val="0050449D"/>
    <w:rsid w:val="00504544"/>
    <w:rsid w:val="005045B6"/>
    <w:rsid w:val="00504A99"/>
    <w:rsid w:val="00504B0C"/>
    <w:rsid w:val="00504C1F"/>
    <w:rsid w:val="00504D07"/>
    <w:rsid w:val="00504F4F"/>
    <w:rsid w:val="00505612"/>
    <w:rsid w:val="005058D2"/>
    <w:rsid w:val="00505CD5"/>
    <w:rsid w:val="00505DD8"/>
    <w:rsid w:val="0050616E"/>
    <w:rsid w:val="00506268"/>
    <w:rsid w:val="00506651"/>
    <w:rsid w:val="00506E2E"/>
    <w:rsid w:val="00506EA3"/>
    <w:rsid w:val="00507551"/>
    <w:rsid w:val="00507883"/>
    <w:rsid w:val="00507A02"/>
    <w:rsid w:val="00507A57"/>
    <w:rsid w:val="00507C14"/>
    <w:rsid w:val="00507DC4"/>
    <w:rsid w:val="00507F45"/>
    <w:rsid w:val="0051008D"/>
    <w:rsid w:val="0051018E"/>
    <w:rsid w:val="005101BC"/>
    <w:rsid w:val="005104B0"/>
    <w:rsid w:val="005105E8"/>
    <w:rsid w:val="005106FA"/>
    <w:rsid w:val="00510BDD"/>
    <w:rsid w:val="00510C44"/>
    <w:rsid w:val="00510E74"/>
    <w:rsid w:val="005114B9"/>
    <w:rsid w:val="0051169C"/>
    <w:rsid w:val="00511A65"/>
    <w:rsid w:val="00511C82"/>
    <w:rsid w:val="00511D20"/>
    <w:rsid w:val="00511F47"/>
    <w:rsid w:val="005122C9"/>
    <w:rsid w:val="005123ED"/>
    <w:rsid w:val="00512639"/>
    <w:rsid w:val="005129B2"/>
    <w:rsid w:val="00512D3A"/>
    <w:rsid w:val="00512EC8"/>
    <w:rsid w:val="00512F00"/>
    <w:rsid w:val="00513332"/>
    <w:rsid w:val="005138F2"/>
    <w:rsid w:val="00513D52"/>
    <w:rsid w:val="00513F56"/>
    <w:rsid w:val="00513FE1"/>
    <w:rsid w:val="00514441"/>
    <w:rsid w:val="00514682"/>
    <w:rsid w:val="005148AF"/>
    <w:rsid w:val="00514D4E"/>
    <w:rsid w:val="00514F14"/>
    <w:rsid w:val="0051540A"/>
    <w:rsid w:val="005154B6"/>
    <w:rsid w:val="005157FD"/>
    <w:rsid w:val="00515BA2"/>
    <w:rsid w:val="00515C23"/>
    <w:rsid w:val="00515E17"/>
    <w:rsid w:val="005160BB"/>
    <w:rsid w:val="0051617F"/>
    <w:rsid w:val="00516691"/>
    <w:rsid w:val="005168AB"/>
    <w:rsid w:val="00516DC4"/>
    <w:rsid w:val="00516FF4"/>
    <w:rsid w:val="0051705A"/>
    <w:rsid w:val="005174C2"/>
    <w:rsid w:val="0051750D"/>
    <w:rsid w:val="00517529"/>
    <w:rsid w:val="005176E8"/>
    <w:rsid w:val="00517932"/>
    <w:rsid w:val="00517CF5"/>
    <w:rsid w:val="00517D89"/>
    <w:rsid w:val="00517DD5"/>
    <w:rsid w:val="00517FF4"/>
    <w:rsid w:val="00520010"/>
    <w:rsid w:val="0052027B"/>
    <w:rsid w:val="005202A7"/>
    <w:rsid w:val="0052044F"/>
    <w:rsid w:val="005204A4"/>
    <w:rsid w:val="005204DF"/>
    <w:rsid w:val="0052050A"/>
    <w:rsid w:val="005206D3"/>
    <w:rsid w:val="0052084A"/>
    <w:rsid w:val="00520D66"/>
    <w:rsid w:val="00520F62"/>
    <w:rsid w:val="005216F1"/>
    <w:rsid w:val="0052184D"/>
    <w:rsid w:val="005219AE"/>
    <w:rsid w:val="00521DC5"/>
    <w:rsid w:val="00522267"/>
    <w:rsid w:val="005222EB"/>
    <w:rsid w:val="00522421"/>
    <w:rsid w:val="00522604"/>
    <w:rsid w:val="00522698"/>
    <w:rsid w:val="00522814"/>
    <w:rsid w:val="005228B2"/>
    <w:rsid w:val="00522EA5"/>
    <w:rsid w:val="005230A8"/>
    <w:rsid w:val="00523212"/>
    <w:rsid w:val="00523419"/>
    <w:rsid w:val="00523425"/>
    <w:rsid w:val="0052366C"/>
    <w:rsid w:val="00523930"/>
    <w:rsid w:val="00523AB3"/>
    <w:rsid w:val="00523B15"/>
    <w:rsid w:val="00523BC7"/>
    <w:rsid w:val="00523DBF"/>
    <w:rsid w:val="00523E35"/>
    <w:rsid w:val="00523F46"/>
    <w:rsid w:val="00524266"/>
    <w:rsid w:val="005242E5"/>
    <w:rsid w:val="0052437E"/>
    <w:rsid w:val="00524532"/>
    <w:rsid w:val="00524540"/>
    <w:rsid w:val="00524648"/>
    <w:rsid w:val="005248E9"/>
    <w:rsid w:val="00524D7C"/>
    <w:rsid w:val="00524F26"/>
    <w:rsid w:val="00525053"/>
    <w:rsid w:val="005251E6"/>
    <w:rsid w:val="00525434"/>
    <w:rsid w:val="00525592"/>
    <w:rsid w:val="00525610"/>
    <w:rsid w:val="0052582D"/>
    <w:rsid w:val="00525AF9"/>
    <w:rsid w:val="00525B3A"/>
    <w:rsid w:val="0052607A"/>
    <w:rsid w:val="005260EB"/>
    <w:rsid w:val="0052623D"/>
    <w:rsid w:val="005264E0"/>
    <w:rsid w:val="0052662B"/>
    <w:rsid w:val="00526C88"/>
    <w:rsid w:val="00526D59"/>
    <w:rsid w:val="00526ED8"/>
    <w:rsid w:val="0052721E"/>
    <w:rsid w:val="005272B4"/>
    <w:rsid w:val="0052733B"/>
    <w:rsid w:val="005274BA"/>
    <w:rsid w:val="00527996"/>
    <w:rsid w:val="00527A1F"/>
    <w:rsid w:val="00527B79"/>
    <w:rsid w:val="00527FBE"/>
    <w:rsid w:val="0053006D"/>
    <w:rsid w:val="00530363"/>
    <w:rsid w:val="0053059E"/>
    <w:rsid w:val="005307FE"/>
    <w:rsid w:val="005309BA"/>
    <w:rsid w:val="00530BA7"/>
    <w:rsid w:val="00530DD4"/>
    <w:rsid w:val="00530E8A"/>
    <w:rsid w:val="005310EE"/>
    <w:rsid w:val="00531158"/>
    <w:rsid w:val="0053165C"/>
    <w:rsid w:val="00531924"/>
    <w:rsid w:val="00531B0B"/>
    <w:rsid w:val="00531CF3"/>
    <w:rsid w:val="00531E1B"/>
    <w:rsid w:val="00531ED1"/>
    <w:rsid w:val="00531EFB"/>
    <w:rsid w:val="005321E7"/>
    <w:rsid w:val="005323D2"/>
    <w:rsid w:val="00532403"/>
    <w:rsid w:val="00532662"/>
    <w:rsid w:val="00532C3B"/>
    <w:rsid w:val="00532D10"/>
    <w:rsid w:val="00532D2F"/>
    <w:rsid w:val="005330D7"/>
    <w:rsid w:val="00533455"/>
    <w:rsid w:val="00533758"/>
    <w:rsid w:val="005337DE"/>
    <w:rsid w:val="00533801"/>
    <w:rsid w:val="0053390E"/>
    <w:rsid w:val="0053394C"/>
    <w:rsid w:val="00533BC8"/>
    <w:rsid w:val="00533D2A"/>
    <w:rsid w:val="00533F17"/>
    <w:rsid w:val="00533FBA"/>
    <w:rsid w:val="0053407F"/>
    <w:rsid w:val="00534154"/>
    <w:rsid w:val="005341CF"/>
    <w:rsid w:val="0053462C"/>
    <w:rsid w:val="00534938"/>
    <w:rsid w:val="00534A9B"/>
    <w:rsid w:val="00534E47"/>
    <w:rsid w:val="00535356"/>
    <w:rsid w:val="005354B1"/>
    <w:rsid w:val="00535726"/>
    <w:rsid w:val="00535A40"/>
    <w:rsid w:val="00535B38"/>
    <w:rsid w:val="00535B53"/>
    <w:rsid w:val="00535C12"/>
    <w:rsid w:val="00535F42"/>
    <w:rsid w:val="00535F9E"/>
    <w:rsid w:val="0053633A"/>
    <w:rsid w:val="00536414"/>
    <w:rsid w:val="005365E5"/>
    <w:rsid w:val="005368FE"/>
    <w:rsid w:val="00536C19"/>
    <w:rsid w:val="00536CC9"/>
    <w:rsid w:val="00536E08"/>
    <w:rsid w:val="00536E25"/>
    <w:rsid w:val="005370D2"/>
    <w:rsid w:val="005372AA"/>
    <w:rsid w:val="0053761F"/>
    <w:rsid w:val="00537763"/>
    <w:rsid w:val="00537F76"/>
    <w:rsid w:val="005403BE"/>
    <w:rsid w:val="00540899"/>
    <w:rsid w:val="00540B38"/>
    <w:rsid w:val="00540F32"/>
    <w:rsid w:val="00540FC4"/>
    <w:rsid w:val="005419B5"/>
    <w:rsid w:val="00541C3F"/>
    <w:rsid w:val="00541C7C"/>
    <w:rsid w:val="00541E43"/>
    <w:rsid w:val="005422C2"/>
    <w:rsid w:val="0054239B"/>
    <w:rsid w:val="005425AC"/>
    <w:rsid w:val="00542669"/>
    <w:rsid w:val="005426DE"/>
    <w:rsid w:val="005428DE"/>
    <w:rsid w:val="00543194"/>
    <w:rsid w:val="00543603"/>
    <w:rsid w:val="00543A51"/>
    <w:rsid w:val="00543B48"/>
    <w:rsid w:val="00543B69"/>
    <w:rsid w:val="00543BF1"/>
    <w:rsid w:val="00543C68"/>
    <w:rsid w:val="00543E3E"/>
    <w:rsid w:val="00544248"/>
    <w:rsid w:val="005442AD"/>
    <w:rsid w:val="00544632"/>
    <w:rsid w:val="0054483E"/>
    <w:rsid w:val="005450BB"/>
    <w:rsid w:val="005452BD"/>
    <w:rsid w:val="005452F4"/>
    <w:rsid w:val="0054545D"/>
    <w:rsid w:val="0054565D"/>
    <w:rsid w:val="0054579C"/>
    <w:rsid w:val="00545C2D"/>
    <w:rsid w:val="00545D30"/>
    <w:rsid w:val="00545D81"/>
    <w:rsid w:val="00545DA4"/>
    <w:rsid w:val="00546119"/>
    <w:rsid w:val="00546225"/>
    <w:rsid w:val="0054637A"/>
    <w:rsid w:val="005463A3"/>
    <w:rsid w:val="00546697"/>
    <w:rsid w:val="00546CE3"/>
    <w:rsid w:val="00546F74"/>
    <w:rsid w:val="00547031"/>
    <w:rsid w:val="005476F4"/>
    <w:rsid w:val="00547902"/>
    <w:rsid w:val="00547A95"/>
    <w:rsid w:val="00547B8D"/>
    <w:rsid w:val="00547C66"/>
    <w:rsid w:val="00550124"/>
    <w:rsid w:val="00550157"/>
    <w:rsid w:val="005502E1"/>
    <w:rsid w:val="0055058A"/>
    <w:rsid w:val="00550F0B"/>
    <w:rsid w:val="00550FF7"/>
    <w:rsid w:val="00551397"/>
    <w:rsid w:val="005514D7"/>
    <w:rsid w:val="0055197D"/>
    <w:rsid w:val="00551C64"/>
    <w:rsid w:val="00551CEB"/>
    <w:rsid w:val="00551D5E"/>
    <w:rsid w:val="00552077"/>
    <w:rsid w:val="0055209A"/>
    <w:rsid w:val="00552126"/>
    <w:rsid w:val="00552313"/>
    <w:rsid w:val="005523C2"/>
    <w:rsid w:val="00552432"/>
    <w:rsid w:val="005524EB"/>
    <w:rsid w:val="005525D2"/>
    <w:rsid w:val="005525F2"/>
    <w:rsid w:val="005526D2"/>
    <w:rsid w:val="005529D3"/>
    <w:rsid w:val="00552F31"/>
    <w:rsid w:val="0055300E"/>
    <w:rsid w:val="00553526"/>
    <w:rsid w:val="0055352B"/>
    <w:rsid w:val="00553627"/>
    <w:rsid w:val="00553845"/>
    <w:rsid w:val="00553A8C"/>
    <w:rsid w:val="00553B8B"/>
    <w:rsid w:val="00553D08"/>
    <w:rsid w:val="00553DC5"/>
    <w:rsid w:val="00553DC8"/>
    <w:rsid w:val="00553EA8"/>
    <w:rsid w:val="00554031"/>
    <w:rsid w:val="00554192"/>
    <w:rsid w:val="0055430D"/>
    <w:rsid w:val="005545AD"/>
    <w:rsid w:val="0055498F"/>
    <w:rsid w:val="0055499E"/>
    <w:rsid w:val="00554A9A"/>
    <w:rsid w:val="00554C13"/>
    <w:rsid w:val="005553FE"/>
    <w:rsid w:val="00555489"/>
    <w:rsid w:val="00555654"/>
    <w:rsid w:val="00555677"/>
    <w:rsid w:val="0055579C"/>
    <w:rsid w:val="0055594E"/>
    <w:rsid w:val="00555B68"/>
    <w:rsid w:val="00556294"/>
    <w:rsid w:val="005563BC"/>
    <w:rsid w:val="005563CB"/>
    <w:rsid w:val="00556600"/>
    <w:rsid w:val="0055662D"/>
    <w:rsid w:val="00556A97"/>
    <w:rsid w:val="00556BC6"/>
    <w:rsid w:val="00556F06"/>
    <w:rsid w:val="00556FBE"/>
    <w:rsid w:val="00557107"/>
    <w:rsid w:val="00557713"/>
    <w:rsid w:val="005578BB"/>
    <w:rsid w:val="00557A52"/>
    <w:rsid w:val="00557B67"/>
    <w:rsid w:val="0056038F"/>
    <w:rsid w:val="005604DE"/>
    <w:rsid w:val="0056096D"/>
    <w:rsid w:val="00560B6C"/>
    <w:rsid w:val="00560C20"/>
    <w:rsid w:val="00560C37"/>
    <w:rsid w:val="00560EE3"/>
    <w:rsid w:val="00560F0D"/>
    <w:rsid w:val="00561054"/>
    <w:rsid w:val="005610F6"/>
    <w:rsid w:val="0056123D"/>
    <w:rsid w:val="005613CC"/>
    <w:rsid w:val="005619C5"/>
    <w:rsid w:val="00561A0D"/>
    <w:rsid w:val="00561B83"/>
    <w:rsid w:val="00562448"/>
    <w:rsid w:val="00562640"/>
    <w:rsid w:val="0056267B"/>
    <w:rsid w:val="005627A5"/>
    <w:rsid w:val="0056285F"/>
    <w:rsid w:val="00562A84"/>
    <w:rsid w:val="00562D6E"/>
    <w:rsid w:val="00562FBB"/>
    <w:rsid w:val="00563558"/>
    <w:rsid w:val="00563886"/>
    <w:rsid w:val="00563A39"/>
    <w:rsid w:val="00563DD5"/>
    <w:rsid w:val="00563F45"/>
    <w:rsid w:val="005640B3"/>
    <w:rsid w:val="005641C7"/>
    <w:rsid w:val="0056432D"/>
    <w:rsid w:val="005645F7"/>
    <w:rsid w:val="00564EFF"/>
    <w:rsid w:val="00564FEF"/>
    <w:rsid w:val="00565120"/>
    <w:rsid w:val="0056524A"/>
    <w:rsid w:val="00565917"/>
    <w:rsid w:val="005665D7"/>
    <w:rsid w:val="00566740"/>
    <w:rsid w:val="00566A91"/>
    <w:rsid w:val="00566BB8"/>
    <w:rsid w:val="00566BE1"/>
    <w:rsid w:val="00566F3B"/>
    <w:rsid w:val="00566F71"/>
    <w:rsid w:val="00566FDB"/>
    <w:rsid w:val="00567065"/>
    <w:rsid w:val="005670BA"/>
    <w:rsid w:val="005673F1"/>
    <w:rsid w:val="00567F40"/>
    <w:rsid w:val="0057000A"/>
    <w:rsid w:val="00570214"/>
    <w:rsid w:val="0057027F"/>
    <w:rsid w:val="0057094A"/>
    <w:rsid w:val="00570AB7"/>
    <w:rsid w:val="00570D18"/>
    <w:rsid w:val="00570E07"/>
    <w:rsid w:val="00570EC9"/>
    <w:rsid w:val="005710EB"/>
    <w:rsid w:val="005711D7"/>
    <w:rsid w:val="005712C7"/>
    <w:rsid w:val="00571860"/>
    <w:rsid w:val="005719A0"/>
    <w:rsid w:val="00571CE1"/>
    <w:rsid w:val="00571D83"/>
    <w:rsid w:val="00571E48"/>
    <w:rsid w:val="00572016"/>
    <w:rsid w:val="005723E4"/>
    <w:rsid w:val="00572429"/>
    <w:rsid w:val="00572533"/>
    <w:rsid w:val="00572752"/>
    <w:rsid w:val="00572C72"/>
    <w:rsid w:val="00572EA1"/>
    <w:rsid w:val="00572F3C"/>
    <w:rsid w:val="00573117"/>
    <w:rsid w:val="00573812"/>
    <w:rsid w:val="005739A1"/>
    <w:rsid w:val="005739EB"/>
    <w:rsid w:val="00573AF8"/>
    <w:rsid w:val="00573CAA"/>
    <w:rsid w:val="00574040"/>
    <w:rsid w:val="00574121"/>
    <w:rsid w:val="0057426C"/>
    <w:rsid w:val="0057446B"/>
    <w:rsid w:val="005744E5"/>
    <w:rsid w:val="00574949"/>
    <w:rsid w:val="00574B12"/>
    <w:rsid w:val="00574B4E"/>
    <w:rsid w:val="00574C45"/>
    <w:rsid w:val="00574CFD"/>
    <w:rsid w:val="00574F24"/>
    <w:rsid w:val="00574F6F"/>
    <w:rsid w:val="00575079"/>
    <w:rsid w:val="00575186"/>
    <w:rsid w:val="00575841"/>
    <w:rsid w:val="00575A21"/>
    <w:rsid w:val="00575BE5"/>
    <w:rsid w:val="005765AE"/>
    <w:rsid w:val="005765FE"/>
    <w:rsid w:val="00576712"/>
    <w:rsid w:val="00576C85"/>
    <w:rsid w:val="00576D37"/>
    <w:rsid w:val="00576D3A"/>
    <w:rsid w:val="00576DD4"/>
    <w:rsid w:val="0057709A"/>
    <w:rsid w:val="0057724B"/>
    <w:rsid w:val="00577394"/>
    <w:rsid w:val="0057757A"/>
    <w:rsid w:val="005777B5"/>
    <w:rsid w:val="00577D49"/>
    <w:rsid w:val="00577E3F"/>
    <w:rsid w:val="00577E4C"/>
    <w:rsid w:val="00577F38"/>
    <w:rsid w:val="0058015E"/>
    <w:rsid w:val="005801A1"/>
    <w:rsid w:val="005801DC"/>
    <w:rsid w:val="00580265"/>
    <w:rsid w:val="005802AD"/>
    <w:rsid w:val="00580384"/>
    <w:rsid w:val="005806BF"/>
    <w:rsid w:val="00580E36"/>
    <w:rsid w:val="00580F18"/>
    <w:rsid w:val="005811EB"/>
    <w:rsid w:val="005813BE"/>
    <w:rsid w:val="005813C7"/>
    <w:rsid w:val="005817CF"/>
    <w:rsid w:val="00581DEF"/>
    <w:rsid w:val="005820B4"/>
    <w:rsid w:val="005821B6"/>
    <w:rsid w:val="005822A8"/>
    <w:rsid w:val="0058244C"/>
    <w:rsid w:val="00582918"/>
    <w:rsid w:val="00582D9B"/>
    <w:rsid w:val="00583089"/>
    <w:rsid w:val="005830A6"/>
    <w:rsid w:val="005830BC"/>
    <w:rsid w:val="0058317E"/>
    <w:rsid w:val="005831CD"/>
    <w:rsid w:val="00583646"/>
    <w:rsid w:val="005836A3"/>
    <w:rsid w:val="00583A5F"/>
    <w:rsid w:val="00583B5D"/>
    <w:rsid w:val="0058422C"/>
    <w:rsid w:val="005842D6"/>
    <w:rsid w:val="00584576"/>
    <w:rsid w:val="00584630"/>
    <w:rsid w:val="00584735"/>
    <w:rsid w:val="00584945"/>
    <w:rsid w:val="00584BE1"/>
    <w:rsid w:val="00584D72"/>
    <w:rsid w:val="0058506B"/>
    <w:rsid w:val="005852B7"/>
    <w:rsid w:val="0058535D"/>
    <w:rsid w:val="005856F8"/>
    <w:rsid w:val="005857E6"/>
    <w:rsid w:val="005857F8"/>
    <w:rsid w:val="00585874"/>
    <w:rsid w:val="00585BB6"/>
    <w:rsid w:val="00585D36"/>
    <w:rsid w:val="00585ECA"/>
    <w:rsid w:val="00587318"/>
    <w:rsid w:val="0058756C"/>
    <w:rsid w:val="0058779A"/>
    <w:rsid w:val="0058792F"/>
    <w:rsid w:val="005879AA"/>
    <w:rsid w:val="00587A7E"/>
    <w:rsid w:val="00587BB0"/>
    <w:rsid w:val="00587C3B"/>
    <w:rsid w:val="00590107"/>
    <w:rsid w:val="005904A5"/>
    <w:rsid w:val="00590746"/>
    <w:rsid w:val="0059083B"/>
    <w:rsid w:val="00590C5B"/>
    <w:rsid w:val="00590DEB"/>
    <w:rsid w:val="00590F32"/>
    <w:rsid w:val="0059160B"/>
    <w:rsid w:val="00591626"/>
    <w:rsid w:val="0059163C"/>
    <w:rsid w:val="005919AC"/>
    <w:rsid w:val="005919EA"/>
    <w:rsid w:val="00591D89"/>
    <w:rsid w:val="00591F5D"/>
    <w:rsid w:val="00592319"/>
    <w:rsid w:val="005925C6"/>
    <w:rsid w:val="00592778"/>
    <w:rsid w:val="00592818"/>
    <w:rsid w:val="0059290E"/>
    <w:rsid w:val="005929C4"/>
    <w:rsid w:val="00592DCE"/>
    <w:rsid w:val="00592E4E"/>
    <w:rsid w:val="00593092"/>
    <w:rsid w:val="00593292"/>
    <w:rsid w:val="00593303"/>
    <w:rsid w:val="00593547"/>
    <w:rsid w:val="0059366F"/>
    <w:rsid w:val="00594057"/>
    <w:rsid w:val="0059412C"/>
    <w:rsid w:val="00594857"/>
    <w:rsid w:val="0059487C"/>
    <w:rsid w:val="00594ACC"/>
    <w:rsid w:val="00594B3C"/>
    <w:rsid w:val="00594FD4"/>
    <w:rsid w:val="00595718"/>
    <w:rsid w:val="0059583B"/>
    <w:rsid w:val="00595B3C"/>
    <w:rsid w:val="00595F60"/>
    <w:rsid w:val="00596745"/>
    <w:rsid w:val="00596791"/>
    <w:rsid w:val="00596945"/>
    <w:rsid w:val="00596BCC"/>
    <w:rsid w:val="00596D47"/>
    <w:rsid w:val="00596D5D"/>
    <w:rsid w:val="00596DFE"/>
    <w:rsid w:val="00596F12"/>
    <w:rsid w:val="00597313"/>
    <w:rsid w:val="00597923"/>
    <w:rsid w:val="005979C7"/>
    <w:rsid w:val="00597BFE"/>
    <w:rsid w:val="00597C0D"/>
    <w:rsid w:val="00597C24"/>
    <w:rsid w:val="00597DC3"/>
    <w:rsid w:val="005A01A0"/>
    <w:rsid w:val="005A0AC1"/>
    <w:rsid w:val="005A0E3D"/>
    <w:rsid w:val="005A0EE6"/>
    <w:rsid w:val="005A0F08"/>
    <w:rsid w:val="005A0FDC"/>
    <w:rsid w:val="005A1022"/>
    <w:rsid w:val="005A1025"/>
    <w:rsid w:val="005A1100"/>
    <w:rsid w:val="005A16CF"/>
    <w:rsid w:val="005A1823"/>
    <w:rsid w:val="005A1867"/>
    <w:rsid w:val="005A1FFD"/>
    <w:rsid w:val="005A213D"/>
    <w:rsid w:val="005A2258"/>
    <w:rsid w:val="005A2687"/>
    <w:rsid w:val="005A2764"/>
    <w:rsid w:val="005A2870"/>
    <w:rsid w:val="005A2C68"/>
    <w:rsid w:val="005A2E82"/>
    <w:rsid w:val="005A2F75"/>
    <w:rsid w:val="005A32C0"/>
    <w:rsid w:val="005A3352"/>
    <w:rsid w:val="005A397E"/>
    <w:rsid w:val="005A3AF4"/>
    <w:rsid w:val="005A3CF6"/>
    <w:rsid w:val="005A3D94"/>
    <w:rsid w:val="005A3DCD"/>
    <w:rsid w:val="005A3FD4"/>
    <w:rsid w:val="005A417E"/>
    <w:rsid w:val="005A428C"/>
    <w:rsid w:val="005A4538"/>
    <w:rsid w:val="005A4549"/>
    <w:rsid w:val="005A48E6"/>
    <w:rsid w:val="005A4B06"/>
    <w:rsid w:val="005A5078"/>
    <w:rsid w:val="005A5099"/>
    <w:rsid w:val="005A50E6"/>
    <w:rsid w:val="005A5416"/>
    <w:rsid w:val="005A57EE"/>
    <w:rsid w:val="005A5B9A"/>
    <w:rsid w:val="005A5C98"/>
    <w:rsid w:val="005A5D70"/>
    <w:rsid w:val="005A5ED3"/>
    <w:rsid w:val="005A6042"/>
    <w:rsid w:val="005A6164"/>
    <w:rsid w:val="005A61CD"/>
    <w:rsid w:val="005A630B"/>
    <w:rsid w:val="005A63BD"/>
    <w:rsid w:val="005A6469"/>
    <w:rsid w:val="005A650F"/>
    <w:rsid w:val="005A656C"/>
    <w:rsid w:val="005A67E4"/>
    <w:rsid w:val="005A67F7"/>
    <w:rsid w:val="005A6B0C"/>
    <w:rsid w:val="005A6BE4"/>
    <w:rsid w:val="005A6F72"/>
    <w:rsid w:val="005A71AA"/>
    <w:rsid w:val="005A7229"/>
    <w:rsid w:val="005A72BE"/>
    <w:rsid w:val="005A7314"/>
    <w:rsid w:val="005A76CE"/>
    <w:rsid w:val="005A77F0"/>
    <w:rsid w:val="005A78C3"/>
    <w:rsid w:val="005A78F3"/>
    <w:rsid w:val="005A7B48"/>
    <w:rsid w:val="005A7E5E"/>
    <w:rsid w:val="005B0054"/>
    <w:rsid w:val="005B03E9"/>
    <w:rsid w:val="005B09D6"/>
    <w:rsid w:val="005B0BEC"/>
    <w:rsid w:val="005B0C7F"/>
    <w:rsid w:val="005B0C8F"/>
    <w:rsid w:val="005B0CA4"/>
    <w:rsid w:val="005B0E05"/>
    <w:rsid w:val="005B1087"/>
    <w:rsid w:val="005B1598"/>
    <w:rsid w:val="005B15D3"/>
    <w:rsid w:val="005B18A4"/>
    <w:rsid w:val="005B1BCF"/>
    <w:rsid w:val="005B1BD6"/>
    <w:rsid w:val="005B1C1E"/>
    <w:rsid w:val="005B1CF6"/>
    <w:rsid w:val="005B1E1F"/>
    <w:rsid w:val="005B27C6"/>
    <w:rsid w:val="005B295C"/>
    <w:rsid w:val="005B2B1B"/>
    <w:rsid w:val="005B2DFB"/>
    <w:rsid w:val="005B3A3A"/>
    <w:rsid w:val="005B3A5F"/>
    <w:rsid w:val="005B3D06"/>
    <w:rsid w:val="005B3F72"/>
    <w:rsid w:val="005B44D8"/>
    <w:rsid w:val="005B48AF"/>
    <w:rsid w:val="005B4C7F"/>
    <w:rsid w:val="005B4F40"/>
    <w:rsid w:val="005B50BC"/>
    <w:rsid w:val="005B5258"/>
    <w:rsid w:val="005B5291"/>
    <w:rsid w:val="005B5A33"/>
    <w:rsid w:val="005B5D31"/>
    <w:rsid w:val="005B5D79"/>
    <w:rsid w:val="005B5DC7"/>
    <w:rsid w:val="005B5EB5"/>
    <w:rsid w:val="005B626F"/>
    <w:rsid w:val="005B62C9"/>
    <w:rsid w:val="005B636C"/>
    <w:rsid w:val="005B665E"/>
    <w:rsid w:val="005B6A2E"/>
    <w:rsid w:val="005B6B4D"/>
    <w:rsid w:val="005B6D78"/>
    <w:rsid w:val="005B712C"/>
    <w:rsid w:val="005B726B"/>
    <w:rsid w:val="005B7339"/>
    <w:rsid w:val="005B768E"/>
    <w:rsid w:val="005B7ECF"/>
    <w:rsid w:val="005C06A3"/>
    <w:rsid w:val="005C06D8"/>
    <w:rsid w:val="005C07B0"/>
    <w:rsid w:val="005C0840"/>
    <w:rsid w:val="005C08B7"/>
    <w:rsid w:val="005C0A1E"/>
    <w:rsid w:val="005C0BBB"/>
    <w:rsid w:val="005C0F61"/>
    <w:rsid w:val="005C1629"/>
    <w:rsid w:val="005C1905"/>
    <w:rsid w:val="005C1A64"/>
    <w:rsid w:val="005C1D23"/>
    <w:rsid w:val="005C1F25"/>
    <w:rsid w:val="005C2093"/>
    <w:rsid w:val="005C20B5"/>
    <w:rsid w:val="005C249A"/>
    <w:rsid w:val="005C2533"/>
    <w:rsid w:val="005C2BA2"/>
    <w:rsid w:val="005C2D89"/>
    <w:rsid w:val="005C311F"/>
    <w:rsid w:val="005C3435"/>
    <w:rsid w:val="005C3839"/>
    <w:rsid w:val="005C3E68"/>
    <w:rsid w:val="005C3FC1"/>
    <w:rsid w:val="005C42E8"/>
    <w:rsid w:val="005C4A5D"/>
    <w:rsid w:val="005C4B2C"/>
    <w:rsid w:val="005C4BE7"/>
    <w:rsid w:val="005C4D6C"/>
    <w:rsid w:val="005C4DD6"/>
    <w:rsid w:val="005C4ECC"/>
    <w:rsid w:val="005C5014"/>
    <w:rsid w:val="005C52A1"/>
    <w:rsid w:val="005C5308"/>
    <w:rsid w:val="005C53BD"/>
    <w:rsid w:val="005C5538"/>
    <w:rsid w:val="005C556A"/>
    <w:rsid w:val="005C5854"/>
    <w:rsid w:val="005C5A18"/>
    <w:rsid w:val="005C5B40"/>
    <w:rsid w:val="005C5FFE"/>
    <w:rsid w:val="005C6118"/>
    <w:rsid w:val="005C6526"/>
    <w:rsid w:val="005C6651"/>
    <w:rsid w:val="005C678C"/>
    <w:rsid w:val="005C69B2"/>
    <w:rsid w:val="005C6A59"/>
    <w:rsid w:val="005C6B3B"/>
    <w:rsid w:val="005C6E27"/>
    <w:rsid w:val="005C6F9D"/>
    <w:rsid w:val="005C6FA1"/>
    <w:rsid w:val="005C7B13"/>
    <w:rsid w:val="005D0354"/>
    <w:rsid w:val="005D0593"/>
    <w:rsid w:val="005D06EA"/>
    <w:rsid w:val="005D0BF0"/>
    <w:rsid w:val="005D0D7F"/>
    <w:rsid w:val="005D0E19"/>
    <w:rsid w:val="005D0E3F"/>
    <w:rsid w:val="005D1216"/>
    <w:rsid w:val="005D1334"/>
    <w:rsid w:val="005D14D2"/>
    <w:rsid w:val="005D18C3"/>
    <w:rsid w:val="005D19E4"/>
    <w:rsid w:val="005D1AD7"/>
    <w:rsid w:val="005D1AEB"/>
    <w:rsid w:val="005D1BDA"/>
    <w:rsid w:val="005D1C2B"/>
    <w:rsid w:val="005D1FE7"/>
    <w:rsid w:val="005D25C7"/>
    <w:rsid w:val="005D28B4"/>
    <w:rsid w:val="005D29B5"/>
    <w:rsid w:val="005D2CDC"/>
    <w:rsid w:val="005D2CFA"/>
    <w:rsid w:val="005D2D23"/>
    <w:rsid w:val="005D2D45"/>
    <w:rsid w:val="005D3324"/>
    <w:rsid w:val="005D33F3"/>
    <w:rsid w:val="005D34A4"/>
    <w:rsid w:val="005D3828"/>
    <w:rsid w:val="005D3B34"/>
    <w:rsid w:val="005D3CD2"/>
    <w:rsid w:val="005D3FB7"/>
    <w:rsid w:val="005D461E"/>
    <w:rsid w:val="005D4736"/>
    <w:rsid w:val="005D50B7"/>
    <w:rsid w:val="005D50D4"/>
    <w:rsid w:val="005D5597"/>
    <w:rsid w:val="005D5DB3"/>
    <w:rsid w:val="005D5E57"/>
    <w:rsid w:val="005D6025"/>
    <w:rsid w:val="005D613B"/>
    <w:rsid w:val="005D6317"/>
    <w:rsid w:val="005D63BF"/>
    <w:rsid w:val="005D64D0"/>
    <w:rsid w:val="005D65CF"/>
    <w:rsid w:val="005D6871"/>
    <w:rsid w:val="005D69CF"/>
    <w:rsid w:val="005D6A42"/>
    <w:rsid w:val="005D6AE9"/>
    <w:rsid w:val="005D6C12"/>
    <w:rsid w:val="005D6E60"/>
    <w:rsid w:val="005D703F"/>
    <w:rsid w:val="005D704D"/>
    <w:rsid w:val="005D7070"/>
    <w:rsid w:val="005D750C"/>
    <w:rsid w:val="005D77BB"/>
    <w:rsid w:val="005D7D4C"/>
    <w:rsid w:val="005D7D60"/>
    <w:rsid w:val="005D7E3F"/>
    <w:rsid w:val="005E06D5"/>
    <w:rsid w:val="005E0770"/>
    <w:rsid w:val="005E0869"/>
    <w:rsid w:val="005E0C63"/>
    <w:rsid w:val="005E0F73"/>
    <w:rsid w:val="005E0FCA"/>
    <w:rsid w:val="005E13F4"/>
    <w:rsid w:val="005E157F"/>
    <w:rsid w:val="005E164A"/>
    <w:rsid w:val="005E16AC"/>
    <w:rsid w:val="005E180F"/>
    <w:rsid w:val="005E1EEF"/>
    <w:rsid w:val="005E1F01"/>
    <w:rsid w:val="005E1FA4"/>
    <w:rsid w:val="005E2357"/>
    <w:rsid w:val="005E24A3"/>
    <w:rsid w:val="005E256C"/>
    <w:rsid w:val="005E2756"/>
    <w:rsid w:val="005E2BBD"/>
    <w:rsid w:val="005E2DB6"/>
    <w:rsid w:val="005E307A"/>
    <w:rsid w:val="005E3098"/>
    <w:rsid w:val="005E30FB"/>
    <w:rsid w:val="005E364B"/>
    <w:rsid w:val="005E371F"/>
    <w:rsid w:val="005E374F"/>
    <w:rsid w:val="005E3785"/>
    <w:rsid w:val="005E3949"/>
    <w:rsid w:val="005E3A02"/>
    <w:rsid w:val="005E3AA6"/>
    <w:rsid w:val="005E3B9F"/>
    <w:rsid w:val="005E40D7"/>
    <w:rsid w:val="005E412B"/>
    <w:rsid w:val="005E434F"/>
    <w:rsid w:val="005E44B0"/>
    <w:rsid w:val="005E4A2C"/>
    <w:rsid w:val="005E4DC7"/>
    <w:rsid w:val="005E4E9F"/>
    <w:rsid w:val="005E5558"/>
    <w:rsid w:val="005E5681"/>
    <w:rsid w:val="005E579C"/>
    <w:rsid w:val="005E5884"/>
    <w:rsid w:val="005E58AB"/>
    <w:rsid w:val="005E5AA0"/>
    <w:rsid w:val="005E5E18"/>
    <w:rsid w:val="005E6210"/>
    <w:rsid w:val="005E6393"/>
    <w:rsid w:val="005E6504"/>
    <w:rsid w:val="005E679E"/>
    <w:rsid w:val="005E67F8"/>
    <w:rsid w:val="005E6A73"/>
    <w:rsid w:val="005E75FE"/>
    <w:rsid w:val="005F00A5"/>
    <w:rsid w:val="005F0738"/>
    <w:rsid w:val="005F093A"/>
    <w:rsid w:val="005F0F35"/>
    <w:rsid w:val="005F13D0"/>
    <w:rsid w:val="005F1754"/>
    <w:rsid w:val="005F227C"/>
    <w:rsid w:val="005F23FE"/>
    <w:rsid w:val="005F2628"/>
    <w:rsid w:val="005F2799"/>
    <w:rsid w:val="005F2B8E"/>
    <w:rsid w:val="005F2E66"/>
    <w:rsid w:val="005F354D"/>
    <w:rsid w:val="005F3603"/>
    <w:rsid w:val="005F3C15"/>
    <w:rsid w:val="005F3C9D"/>
    <w:rsid w:val="005F41DF"/>
    <w:rsid w:val="005F4737"/>
    <w:rsid w:val="005F481E"/>
    <w:rsid w:val="005F5036"/>
    <w:rsid w:val="005F50FE"/>
    <w:rsid w:val="005F5166"/>
    <w:rsid w:val="005F58F4"/>
    <w:rsid w:val="005F6109"/>
    <w:rsid w:val="005F6339"/>
    <w:rsid w:val="005F657D"/>
    <w:rsid w:val="005F6638"/>
    <w:rsid w:val="005F6739"/>
    <w:rsid w:val="005F6B83"/>
    <w:rsid w:val="005F6E4B"/>
    <w:rsid w:val="005F6EA0"/>
    <w:rsid w:val="005F7104"/>
    <w:rsid w:val="005F7173"/>
    <w:rsid w:val="005F78F3"/>
    <w:rsid w:val="005F79AD"/>
    <w:rsid w:val="005F7C9C"/>
    <w:rsid w:val="005F7F20"/>
    <w:rsid w:val="00600133"/>
    <w:rsid w:val="006001A5"/>
    <w:rsid w:val="006006AA"/>
    <w:rsid w:val="00600886"/>
    <w:rsid w:val="0060093D"/>
    <w:rsid w:val="00600A62"/>
    <w:rsid w:val="00600B06"/>
    <w:rsid w:val="00600D0E"/>
    <w:rsid w:val="0060104B"/>
    <w:rsid w:val="006013F7"/>
    <w:rsid w:val="006016D8"/>
    <w:rsid w:val="00601A71"/>
    <w:rsid w:val="00601A80"/>
    <w:rsid w:val="00602000"/>
    <w:rsid w:val="00602299"/>
    <w:rsid w:val="006022D9"/>
    <w:rsid w:val="00602984"/>
    <w:rsid w:val="006029AE"/>
    <w:rsid w:val="00602C24"/>
    <w:rsid w:val="00602FD0"/>
    <w:rsid w:val="00603364"/>
    <w:rsid w:val="0060338C"/>
    <w:rsid w:val="00603439"/>
    <w:rsid w:val="006034C4"/>
    <w:rsid w:val="00603A3E"/>
    <w:rsid w:val="00603C00"/>
    <w:rsid w:val="00604325"/>
    <w:rsid w:val="006043D4"/>
    <w:rsid w:val="006049EC"/>
    <w:rsid w:val="006049F8"/>
    <w:rsid w:val="00604C68"/>
    <w:rsid w:val="00604D53"/>
    <w:rsid w:val="00604DD9"/>
    <w:rsid w:val="00604EBE"/>
    <w:rsid w:val="0060525B"/>
    <w:rsid w:val="006053DA"/>
    <w:rsid w:val="00605447"/>
    <w:rsid w:val="0060573B"/>
    <w:rsid w:val="00605964"/>
    <w:rsid w:val="00605AD1"/>
    <w:rsid w:val="00605D3D"/>
    <w:rsid w:val="00605D5F"/>
    <w:rsid w:val="00605D79"/>
    <w:rsid w:val="006062AA"/>
    <w:rsid w:val="0060642E"/>
    <w:rsid w:val="006065FB"/>
    <w:rsid w:val="006066AB"/>
    <w:rsid w:val="00606898"/>
    <w:rsid w:val="006068DC"/>
    <w:rsid w:val="006077A3"/>
    <w:rsid w:val="006077DD"/>
    <w:rsid w:val="006079C2"/>
    <w:rsid w:val="00607BBA"/>
    <w:rsid w:val="00607F13"/>
    <w:rsid w:val="00610D90"/>
    <w:rsid w:val="00610D91"/>
    <w:rsid w:val="00610F52"/>
    <w:rsid w:val="006113AA"/>
    <w:rsid w:val="00611406"/>
    <w:rsid w:val="00611E2E"/>
    <w:rsid w:val="00611F7C"/>
    <w:rsid w:val="00612257"/>
    <w:rsid w:val="006122F3"/>
    <w:rsid w:val="0061253A"/>
    <w:rsid w:val="00612583"/>
    <w:rsid w:val="00612AB9"/>
    <w:rsid w:val="00613145"/>
    <w:rsid w:val="006134EF"/>
    <w:rsid w:val="0061403C"/>
    <w:rsid w:val="00614047"/>
    <w:rsid w:val="006142D9"/>
    <w:rsid w:val="00614308"/>
    <w:rsid w:val="006143C2"/>
    <w:rsid w:val="006146B9"/>
    <w:rsid w:val="0061493E"/>
    <w:rsid w:val="00614967"/>
    <w:rsid w:val="006149BA"/>
    <w:rsid w:val="006149C3"/>
    <w:rsid w:val="00615378"/>
    <w:rsid w:val="00615B42"/>
    <w:rsid w:val="00615E5D"/>
    <w:rsid w:val="006165CA"/>
    <w:rsid w:val="006166EC"/>
    <w:rsid w:val="00616755"/>
    <w:rsid w:val="006168A6"/>
    <w:rsid w:val="006172CE"/>
    <w:rsid w:val="00617558"/>
    <w:rsid w:val="006176D0"/>
    <w:rsid w:val="00617741"/>
    <w:rsid w:val="00617955"/>
    <w:rsid w:val="00617D21"/>
    <w:rsid w:val="006200F9"/>
    <w:rsid w:val="006201D1"/>
    <w:rsid w:val="00620327"/>
    <w:rsid w:val="00620676"/>
    <w:rsid w:val="006209B3"/>
    <w:rsid w:val="00620ADA"/>
    <w:rsid w:val="00620BCE"/>
    <w:rsid w:val="00620C23"/>
    <w:rsid w:val="00620DFD"/>
    <w:rsid w:val="00620E70"/>
    <w:rsid w:val="00620EE5"/>
    <w:rsid w:val="00621117"/>
    <w:rsid w:val="006211C0"/>
    <w:rsid w:val="00621834"/>
    <w:rsid w:val="00621BBF"/>
    <w:rsid w:val="00621C25"/>
    <w:rsid w:val="00621C4A"/>
    <w:rsid w:val="00621D12"/>
    <w:rsid w:val="00621DE9"/>
    <w:rsid w:val="00621F40"/>
    <w:rsid w:val="0062204D"/>
    <w:rsid w:val="00622125"/>
    <w:rsid w:val="00622291"/>
    <w:rsid w:val="006224C3"/>
    <w:rsid w:val="00622A37"/>
    <w:rsid w:val="00622B0C"/>
    <w:rsid w:val="00622F31"/>
    <w:rsid w:val="006234F0"/>
    <w:rsid w:val="0062388E"/>
    <w:rsid w:val="00623C10"/>
    <w:rsid w:val="006247BE"/>
    <w:rsid w:val="006247C6"/>
    <w:rsid w:val="0062491F"/>
    <w:rsid w:val="00624A20"/>
    <w:rsid w:val="00625059"/>
    <w:rsid w:val="006252BC"/>
    <w:rsid w:val="0062543E"/>
    <w:rsid w:val="00625793"/>
    <w:rsid w:val="006258F9"/>
    <w:rsid w:val="00625D52"/>
    <w:rsid w:val="00625F76"/>
    <w:rsid w:val="00625FFC"/>
    <w:rsid w:val="006263C0"/>
    <w:rsid w:val="00626643"/>
    <w:rsid w:val="006266BD"/>
    <w:rsid w:val="00626F3B"/>
    <w:rsid w:val="0062707E"/>
    <w:rsid w:val="006271FC"/>
    <w:rsid w:val="006272DF"/>
    <w:rsid w:val="006272E0"/>
    <w:rsid w:val="00627599"/>
    <w:rsid w:val="006275AF"/>
    <w:rsid w:val="0062761F"/>
    <w:rsid w:val="0062774A"/>
    <w:rsid w:val="00627B8D"/>
    <w:rsid w:val="00627ED5"/>
    <w:rsid w:val="00630026"/>
    <w:rsid w:val="006304E0"/>
    <w:rsid w:val="006307B3"/>
    <w:rsid w:val="00630C14"/>
    <w:rsid w:val="00630E0C"/>
    <w:rsid w:val="00630F4E"/>
    <w:rsid w:val="00631268"/>
    <w:rsid w:val="006314ED"/>
    <w:rsid w:val="00631BB6"/>
    <w:rsid w:val="00631CA4"/>
    <w:rsid w:val="0063246E"/>
    <w:rsid w:val="006327A1"/>
    <w:rsid w:val="0063285B"/>
    <w:rsid w:val="00632C1B"/>
    <w:rsid w:val="00632ECA"/>
    <w:rsid w:val="00632F06"/>
    <w:rsid w:val="00632F23"/>
    <w:rsid w:val="006332DA"/>
    <w:rsid w:val="0063370D"/>
    <w:rsid w:val="0063382A"/>
    <w:rsid w:val="00633C68"/>
    <w:rsid w:val="0063412A"/>
    <w:rsid w:val="0063416D"/>
    <w:rsid w:val="006342A3"/>
    <w:rsid w:val="00634399"/>
    <w:rsid w:val="00634429"/>
    <w:rsid w:val="0063443B"/>
    <w:rsid w:val="0063486F"/>
    <w:rsid w:val="00634944"/>
    <w:rsid w:val="00634ABC"/>
    <w:rsid w:val="00635123"/>
    <w:rsid w:val="0063519A"/>
    <w:rsid w:val="00635233"/>
    <w:rsid w:val="0063556F"/>
    <w:rsid w:val="006355E6"/>
    <w:rsid w:val="00635C9F"/>
    <w:rsid w:val="00635CF4"/>
    <w:rsid w:val="00635EA1"/>
    <w:rsid w:val="00635F6A"/>
    <w:rsid w:val="006360DB"/>
    <w:rsid w:val="00636133"/>
    <w:rsid w:val="00636319"/>
    <w:rsid w:val="00636335"/>
    <w:rsid w:val="006365C9"/>
    <w:rsid w:val="00636772"/>
    <w:rsid w:val="006367FF"/>
    <w:rsid w:val="0063696F"/>
    <w:rsid w:val="00636C4F"/>
    <w:rsid w:val="00636D3E"/>
    <w:rsid w:val="00636D3F"/>
    <w:rsid w:val="00636F66"/>
    <w:rsid w:val="006370FD"/>
    <w:rsid w:val="006372EC"/>
    <w:rsid w:val="0063746F"/>
    <w:rsid w:val="00637630"/>
    <w:rsid w:val="0063763B"/>
    <w:rsid w:val="006378C4"/>
    <w:rsid w:val="00637A7B"/>
    <w:rsid w:val="00637C2C"/>
    <w:rsid w:val="00637CEC"/>
    <w:rsid w:val="006402F3"/>
    <w:rsid w:val="0064038E"/>
    <w:rsid w:val="00640438"/>
    <w:rsid w:val="0064097A"/>
    <w:rsid w:val="006412FD"/>
    <w:rsid w:val="006414C2"/>
    <w:rsid w:val="006418D0"/>
    <w:rsid w:val="00641A69"/>
    <w:rsid w:val="00641B17"/>
    <w:rsid w:val="00641EE3"/>
    <w:rsid w:val="00641FAD"/>
    <w:rsid w:val="00641FB5"/>
    <w:rsid w:val="0064220C"/>
    <w:rsid w:val="00642292"/>
    <w:rsid w:val="00642563"/>
    <w:rsid w:val="0064274E"/>
    <w:rsid w:val="00642B89"/>
    <w:rsid w:val="00642C74"/>
    <w:rsid w:val="00642CFB"/>
    <w:rsid w:val="00642D14"/>
    <w:rsid w:val="00642DC4"/>
    <w:rsid w:val="00643080"/>
    <w:rsid w:val="006434A2"/>
    <w:rsid w:val="0064362E"/>
    <w:rsid w:val="0064391C"/>
    <w:rsid w:val="00643A18"/>
    <w:rsid w:val="00643ACA"/>
    <w:rsid w:val="00643F19"/>
    <w:rsid w:val="00644399"/>
    <w:rsid w:val="006443BF"/>
    <w:rsid w:val="0064449A"/>
    <w:rsid w:val="00644853"/>
    <w:rsid w:val="00644CE1"/>
    <w:rsid w:val="00644F65"/>
    <w:rsid w:val="006451A9"/>
    <w:rsid w:val="00645B77"/>
    <w:rsid w:val="00645C83"/>
    <w:rsid w:val="00645EC0"/>
    <w:rsid w:val="00645F93"/>
    <w:rsid w:val="00645FD1"/>
    <w:rsid w:val="0064631E"/>
    <w:rsid w:val="00646516"/>
    <w:rsid w:val="00646738"/>
    <w:rsid w:val="00646787"/>
    <w:rsid w:val="006468C2"/>
    <w:rsid w:val="00646A8F"/>
    <w:rsid w:val="00646F6C"/>
    <w:rsid w:val="00646F8A"/>
    <w:rsid w:val="00646FC5"/>
    <w:rsid w:val="006471E3"/>
    <w:rsid w:val="00647624"/>
    <w:rsid w:val="006479F9"/>
    <w:rsid w:val="00647DCB"/>
    <w:rsid w:val="0065003D"/>
    <w:rsid w:val="00650104"/>
    <w:rsid w:val="00650110"/>
    <w:rsid w:val="006502C5"/>
    <w:rsid w:val="00650327"/>
    <w:rsid w:val="006506EE"/>
    <w:rsid w:val="00650A51"/>
    <w:rsid w:val="00650AC9"/>
    <w:rsid w:val="00650C17"/>
    <w:rsid w:val="00650E39"/>
    <w:rsid w:val="00650E8C"/>
    <w:rsid w:val="006514F4"/>
    <w:rsid w:val="006516C4"/>
    <w:rsid w:val="00651C2E"/>
    <w:rsid w:val="0065268B"/>
    <w:rsid w:val="00652847"/>
    <w:rsid w:val="00652BD3"/>
    <w:rsid w:val="00652D09"/>
    <w:rsid w:val="00652D6B"/>
    <w:rsid w:val="00653016"/>
    <w:rsid w:val="006533EF"/>
    <w:rsid w:val="0065366B"/>
    <w:rsid w:val="0065387A"/>
    <w:rsid w:val="00653E32"/>
    <w:rsid w:val="00654203"/>
    <w:rsid w:val="006542B3"/>
    <w:rsid w:val="006542C2"/>
    <w:rsid w:val="00654CBF"/>
    <w:rsid w:val="00654F36"/>
    <w:rsid w:val="0065525E"/>
    <w:rsid w:val="006555DB"/>
    <w:rsid w:val="00655626"/>
    <w:rsid w:val="00655ADB"/>
    <w:rsid w:val="00655B02"/>
    <w:rsid w:val="00655BF3"/>
    <w:rsid w:val="00655C59"/>
    <w:rsid w:val="00655D6A"/>
    <w:rsid w:val="00655D91"/>
    <w:rsid w:val="00655DB5"/>
    <w:rsid w:val="00655EAA"/>
    <w:rsid w:val="00655F7A"/>
    <w:rsid w:val="00655FC3"/>
    <w:rsid w:val="00656137"/>
    <w:rsid w:val="00656759"/>
    <w:rsid w:val="00656893"/>
    <w:rsid w:val="00656ABA"/>
    <w:rsid w:val="00656B42"/>
    <w:rsid w:val="00656BA4"/>
    <w:rsid w:val="00656DB1"/>
    <w:rsid w:val="00656FB0"/>
    <w:rsid w:val="00657414"/>
    <w:rsid w:val="00657551"/>
    <w:rsid w:val="006575B2"/>
    <w:rsid w:val="00657982"/>
    <w:rsid w:val="00657995"/>
    <w:rsid w:val="00657AD1"/>
    <w:rsid w:val="00657AE7"/>
    <w:rsid w:val="00657B3A"/>
    <w:rsid w:val="006600EA"/>
    <w:rsid w:val="0066080E"/>
    <w:rsid w:val="00660846"/>
    <w:rsid w:val="0066085F"/>
    <w:rsid w:val="00660B44"/>
    <w:rsid w:val="00660C17"/>
    <w:rsid w:val="00660C50"/>
    <w:rsid w:val="00660EB4"/>
    <w:rsid w:val="00660F67"/>
    <w:rsid w:val="00660F92"/>
    <w:rsid w:val="0066104B"/>
    <w:rsid w:val="006610A1"/>
    <w:rsid w:val="006611B1"/>
    <w:rsid w:val="00661430"/>
    <w:rsid w:val="0066181D"/>
    <w:rsid w:val="0066188B"/>
    <w:rsid w:val="00661938"/>
    <w:rsid w:val="0066193F"/>
    <w:rsid w:val="00661BD1"/>
    <w:rsid w:val="00661DD5"/>
    <w:rsid w:val="006621E4"/>
    <w:rsid w:val="00662363"/>
    <w:rsid w:val="006626E9"/>
    <w:rsid w:val="00662CB9"/>
    <w:rsid w:val="00663312"/>
    <w:rsid w:val="00663826"/>
    <w:rsid w:val="00663832"/>
    <w:rsid w:val="00663DB4"/>
    <w:rsid w:val="00663FAD"/>
    <w:rsid w:val="00663FBC"/>
    <w:rsid w:val="00664013"/>
    <w:rsid w:val="00664084"/>
    <w:rsid w:val="00664145"/>
    <w:rsid w:val="0066456D"/>
    <w:rsid w:val="00664875"/>
    <w:rsid w:val="00664926"/>
    <w:rsid w:val="00664C0A"/>
    <w:rsid w:val="00664C67"/>
    <w:rsid w:val="00664EE2"/>
    <w:rsid w:val="00665607"/>
    <w:rsid w:val="0066571C"/>
    <w:rsid w:val="0066577F"/>
    <w:rsid w:val="006657EB"/>
    <w:rsid w:val="006660A3"/>
    <w:rsid w:val="0066635D"/>
    <w:rsid w:val="006663CF"/>
    <w:rsid w:val="0066657A"/>
    <w:rsid w:val="0066668C"/>
    <w:rsid w:val="0066687A"/>
    <w:rsid w:val="006673E3"/>
    <w:rsid w:val="00667567"/>
    <w:rsid w:val="006675E5"/>
    <w:rsid w:val="0066775A"/>
    <w:rsid w:val="00667AF6"/>
    <w:rsid w:val="00667DFC"/>
    <w:rsid w:val="00667FC7"/>
    <w:rsid w:val="006701AD"/>
    <w:rsid w:val="0067027B"/>
    <w:rsid w:val="00670637"/>
    <w:rsid w:val="0067093F"/>
    <w:rsid w:val="006709FA"/>
    <w:rsid w:val="00670BE7"/>
    <w:rsid w:val="00670CB0"/>
    <w:rsid w:val="00670D1E"/>
    <w:rsid w:val="00670D90"/>
    <w:rsid w:val="00670E4B"/>
    <w:rsid w:val="00670F03"/>
    <w:rsid w:val="006714EE"/>
    <w:rsid w:val="006719DC"/>
    <w:rsid w:val="00671B8C"/>
    <w:rsid w:val="00672743"/>
    <w:rsid w:val="006727DC"/>
    <w:rsid w:val="00672ABD"/>
    <w:rsid w:val="006730F0"/>
    <w:rsid w:val="006730F9"/>
    <w:rsid w:val="00673337"/>
    <w:rsid w:val="006735AC"/>
    <w:rsid w:val="00673749"/>
    <w:rsid w:val="00673BBB"/>
    <w:rsid w:val="00673F2C"/>
    <w:rsid w:val="0067426A"/>
    <w:rsid w:val="006743ED"/>
    <w:rsid w:val="006745F5"/>
    <w:rsid w:val="00674CD3"/>
    <w:rsid w:val="00674EB8"/>
    <w:rsid w:val="00675969"/>
    <w:rsid w:val="00675AF6"/>
    <w:rsid w:val="00675F46"/>
    <w:rsid w:val="00676048"/>
    <w:rsid w:val="006762B5"/>
    <w:rsid w:val="006764BC"/>
    <w:rsid w:val="0067659C"/>
    <w:rsid w:val="006769EF"/>
    <w:rsid w:val="00676D93"/>
    <w:rsid w:val="00676E47"/>
    <w:rsid w:val="0067706F"/>
    <w:rsid w:val="0067713D"/>
    <w:rsid w:val="006773B4"/>
    <w:rsid w:val="006773C9"/>
    <w:rsid w:val="006773EF"/>
    <w:rsid w:val="006774E2"/>
    <w:rsid w:val="0067785C"/>
    <w:rsid w:val="00677902"/>
    <w:rsid w:val="00677AB9"/>
    <w:rsid w:val="00677AC8"/>
    <w:rsid w:val="00677C8C"/>
    <w:rsid w:val="00677DD3"/>
    <w:rsid w:val="00680958"/>
    <w:rsid w:val="006809B4"/>
    <w:rsid w:val="00680B17"/>
    <w:rsid w:val="00680E42"/>
    <w:rsid w:val="00681023"/>
    <w:rsid w:val="006812FF"/>
    <w:rsid w:val="00681630"/>
    <w:rsid w:val="006824B4"/>
    <w:rsid w:val="0068269D"/>
    <w:rsid w:val="00682AA0"/>
    <w:rsid w:val="00682D74"/>
    <w:rsid w:val="00682EB4"/>
    <w:rsid w:val="00683082"/>
    <w:rsid w:val="00683107"/>
    <w:rsid w:val="00683446"/>
    <w:rsid w:val="006839A9"/>
    <w:rsid w:val="00683D74"/>
    <w:rsid w:val="006841F8"/>
    <w:rsid w:val="00684337"/>
    <w:rsid w:val="0068435D"/>
    <w:rsid w:val="006843B9"/>
    <w:rsid w:val="00684BD8"/>
    <w:rsid w:val="00685082"/>
    <w:rsid w:val="0068569C"/>
    <w:rsid w:val="00685F9D"/>
    <w:rsid w:val="006868A0"/>
    <w:rsid w:val="006868FA"/>
    <w:rsid w:val="00686B09"/>
    <w:rsid w:val="00687033"/>
    <w:rsid w:val="00687C44"/>
    <w:rsid w:val="00687C8B"/>
    <w:rsid w:val="00687D1D"/>
    <w:rsid w:val="00690093"/>
    <w:rsid w:val="0069029F"/>
    <w:rsid w:val="00690633"/>
    <w:rsid w:val="0069115E"/>
    <w:rsid w:val="00691216"/>
    <w:rsid w:val="00691898"/>
    <w:rsid w:val="00691C19"/>
    <w:rsid w:val="00691C9E"/>
    <w:rsid w:val="00691D61"/>
    <w:rsid w:val="00691E7E"/>
    <w:rsid w:val="00692545"/>
    <w:rsid w:val="0069286E"/>
    <w:rsid w:val="00692D5A"/>
    <w:rsid w:val="00692F91"/>
    <w:rsid w:val="00692FAB"/>
    <w:rsid w:val="00693077"/>
    <w:rsid w:val="00693510"/>
    <w:rsid w:val="00693701"/>
    <w:rsid w:val="006938C3"/>
    <w:rsid w:val="0069391A"/>
    <w:rsid w:val="00693B62"/>
    <w:rsid w:val="0069409C"/>
    <w:rsid w:val="0069495B"/>
    <w:rsid w:val="00694D06"/>
    <w:rsid w:val="00695252"/>
    <w:rsid w:val="00695283"/>
    <w:rsid w:val="006952A0"/>
    <w:rsid w:val="00695546"/>
    <w:rsid w:val="006956F6"/>
    <w:rsid w:val="0069593D"/>
    <w:rsid w:val="00695AFD"/>
    <w:rsid w:val="00695FBC"/>
    <w:rsid w:val="00696026"/>
    <w:rsid w:val="00696A6D"/>
    <w:rsid w:val="00696C45"/>
    <w:rsid w:val="00696E18"/>
    <w:rsid w:val="00696E9F"/>
    <w:rsid w:val="00696EBD"/>
    <w:rsid w:val="006974AA"/>
    <w:rsid w:val="00697F2F"/>
    <w:rsid w:val="006A044F"/>
    <w:rsid w:val="006A0734"/>
    <w:rsid w:val="006A0B47"/>
    <w:rsid w:val="006A113C"/>
    <w:rsid w:val="006A121F"/>
    <w:rsid w:val="006A12C4"/>
    <w:rsid w:val="006A1773"/>
    <w:rsid w:val="006A2179"/>
    <w:rsid w:val="006A25D7"/>
    <w:rsid w:val="006A2712"/>
    <w:rsid w:val="006A2B5C"/>
    <w:rsid w:val="006A2D88"/>
    <w:rsid w:val="006A2E57"/>
    <w:rsid w:val="006A3286"/>
    <w:rsid w:val="006A354D"/>
    <w:rsid w:val="006A384A"/>
    <w:rsid w:val="006A3886"/>
    <w:rsid w:val="006A39CA"/>
    <w:rsid w:val="006A3F30"/>
    <w:rsid w:val="006A4248"/>
    <w:rsid w:val="006A42B2"/>
    <w:rsid w:val="006A4305"/>
    <w:rsid w:val="006A4402"/>
    <w:rsid w:val="006A47E1"/>
    <w:rsid w:val="006A489A"/>
    <w:rsid w:val="006A4C88"/>
    <w:rsid w:val="006A4F8C"/>
    <w:rsid w:val="006A4FF7"/>
    <w:rsid w:val="006A5043"/>
    <w:rsid w:val="006A5081"/>
    <w:rsid w:val="006A586C"/>
    <w:rsid w:val="006A5AC1"/>
    <w:rsid w:val="006A5AD9"/>
    <w:rsid w:val="006A5B11"/>
    <w:rsid w:val="006A5EE0"/>
    <w:rsid w:val="006A66C5"/>
    <w:rsid w:val="006A681E"/>
    <w:rsid w:val="006A6AC7"/>
    <w:rsid w:val="006A6C5A"/>
    <w:rsid w:val="006A7167"/>
    <w:rsid w:val="006A71C3"/>
    <w:rsid w:val="006A75CD"/>
    <w:rsid w:val="006B0221"/>
    <w:rsid w:val="006B02C6"/>
    <w:rsid w:val="006B044C"/>
    <w:rsid w:val="006B0478"/>
    <w:rsid w:val="006B07C1"/>
    <w:rsid w:val="006B0B8B"/>
    <w:rsid w:val="006B0D7E"/>
    <w:rsid w:val="006B0DAB"/>
    <w:rsid w:val="006B107D"/>
    <w:rsid w:val="006B1262"/>
    <w:rsid w:val="006B1409"/>
    <w:rsid w:val="006B1585"/>
    <w:rsid w:val="006B1634"/>
    <w:rsid w:val="006B17C0"/>
    <w:rsid w:val="006B1983"/>
    <w:rsid w:val="006B199C"/>
    <w:rsid w:val="006B1C25"/>
    <w:rsid w:val="006B1D30"/>
    <w:rsid w:val="006B1D45"/>
    <w:rsid w:val="006B1E61"/>
    <w:rsid w:val="006B1E8C"/>
    <w:rsid w:val="006B2176"/>
    <w:rsid w:val="006B2219"/>
    <w:rsid w:val="006B238F"/>
    <w:rsid w:val="006B24FB"/>
    <w:rsid w:val="006B2601"/>
    <w:rsid w:val="006B2730"/>
    <w:rsid w:val="006B2C0D"/>
    <w:rsid w:val="006B33FE"/>
    <w:rsid w:val="006B39CD"/>
    <w:rsid w:val="006B3BEC"/>
    <w:rsid w:val="006B3FDF"/>
    <w:rsid w:val="006B4004"/>
    <w:rsid w:val="006B410F"/>
    <w:rsid w:val="006B4540"/>
    <w:rsid w:val="006B45E2"/>
    <w:rsid w:val="006B4A5B"/>
    <w:rsid w:val="006B4AB8"/>
    <w:rsid w:val="006B4C83"/>
    <w:rsid w:val="006B4DF8"/>
    <w:rsid w:val="006B4F87"/>
    <w:rsid w:val="006B5074"/>
    <w:rsid w:val="006B57C1"/>
    <w:rsid w:val="006B5A58"/>
    <w:rsid w:val="006B5C79"/>
    <w:rsid w:val="006B5CC6"/>
    <w:rsid w:val="006B6110"/>
    <w:rsid w:val="006B6854"/>
    <w:rsid w:val="006B69E1"/>
    <w:rsid w:val="006B6B00"/>
    <w:rsid w:val="006B710F"/>
    <w:rsid w:val="006B720A"/>
    <w:rsid w:val="006B7429"/>
    <w:rsid w:val="006B7534"/>
    <w:rsid w:val="006B769E"/>
    <w:rsid w:val="006B77A5"/>
    <w:rsid w:val="006B7914"/>
    <w:rsid w:val="006B7FCE"/>
    <w:rsid w:val="006C006E"/>
    <w:rsid w:val="006C007B"/>
    <w:rsid w:val="006C0321"/>
    <w:rsid w:val="006C090A"/>
    <w:rsid w:val="006C10B0"/>
    <w:rsid w:val="006C1500"/>
    <w:rsid w:val="006C15C8"/>
    <w:rsid w:val="006C1BC1"/>
    <w:rsid w:val="006C1E01"/>
    <w:rsid w:val="006C1E5B"/>
    <w:rsid w:val="006C2683"/>
    <w:rsid w:val="006C29A5"/>
    <w:rsid w:val="006C2B15"/>
    <w:rsid w:val="006C2E5E"/>
    <w:rsid w:val="006C31A6"/>
    <w:rsid w:val="006C33B5"/>
    <w:rsid w:val="006C35E6"/>
    <w:rsid w:val="006C361A"/>
    <w:rsid w:val="006C364C"/>
    <w:rsid w:val="006C36C1"/>
    <w:rsid w:val="006C37FB"/>
    <w:rsid w:val="006C381F"/>
    <w:rsid w:val="006C39B6"/>
    <w:rsid w:val="006C3DD2"/>
    <w:rsid w:val="006C4113"/>
    <w:rsid w:val="006C4146"/>
    <w:rsid w:val="006C4290"/>
    <w:rsid w:val="006C477F"/>
    <w:rsid w:val="006C494E"/>
    <w:rsid w:val="006C4A0E"/>
    <w:rsid w:val="006C4A35"/>
    <w:rsid w:val="006C4CD3"/>
    <w:rsid w:val="006C50E9"/>
    <w:rsid w:val="006C544F"/>
    <w:rsid w:val="006C56FE"/>
    <w:rsid w:val="006C57E2"/>
    <w:rsid w:val="006C5C34"/>
    <w:rsid w:val="006C5C94"/>
    <w:rsid w:val="006C5CF8"/>
    <w:rsid w:val="006C5E9C"/>
    <w:rsid w:val="006C5EB7"/>
    <w:rsid w:val="006C6813"/>
    <w:rsid w:val="006C68C4"/>
    <w:rsid w:val="006C6C1D"/>
    <w:rsid w:val="006C6E4E"/>
    <w:rsid w:val="006C74C6"/>
    <w:rsid w:val="006C7518"/>
    <w:rsid w:val="006C7B73"/>
    <w:rsid w:val="006C7E93"/>
    <w:rsid w:val="006D0207"/>
    <w:rsid w:val="006D02F0"/>
    <w:rsid w:val="006D0353"/>
    <w:rsid w:val="006D03DB"/>
    <w:rsid w:val="006D0472"/>
    <w:rsid w:val="006D0496"/>
    <w:rsid w:val="006D056A"/>
    <w:rsid w:val="006D05E9"/>
    <w:rsid w:val="006D06A0"/>
    <w:rsid w:val="006D1221"/>
    <w:rsid w:val="006D1A72"/>
    <w:rsid w:val="006D1C4D"/>
    <w:rsid w:val="006D1CC0"/>
    <w:rsid w:val="006D1E49"/>
    <w:rsid w:val="006D1F20"/>
    <w:rsid w:val="006D20A3"/>
    <w:rsid w:val="006D21FA"/>
    <w:rsid w:val="006D22ED"/>
    <w:rsid w:val="006D2BD8"/>
    <w:rsid w:val="006D2BE6"/>
    <w:rsid w:val="006D2C5C"/>
    <w:rsid w:val="006D2C9E"/>
    <w:rsid w:val="006D2E4C"/>
    <w:rsid w:val="006D30A0"/>
    <w:rsid w:val="006D3330"/>
    <w:rsid w:val="006D3354"/>
    <w:rsid w:val="006D358C"/>
    <w:rsid w:val="006D3756"/>
    <w:rsid w:val="006D388D"/>
    <w:rsid w:val="006D393A"/>
    <w:rsid w:val="006D3C8B"/>
    <w:rsid w:val="006D3D44"/>
    <w:rsid w:val="006D45E6"/>
    <w:rsid w:val="006D474F"/>
    <w:rsid w:val="006D4918"/>
    <w:rsid w:val="006D4D05"/>
    <w:rsid w:val="006D4F6D"/>
    <w:rsid w:val="006D523E"/>
    <w:rsid w:val="006D52D1"/>
    <w:rsid w:val="006D553E"/>
    <w:rsid w:val="006D596E"/>
    <w:rsid w:val="006D5CFA"/>
    <w:rsid w:val="006D608E"/>
    <w:rsid w:val="006D6217"/>
    <w:rsid w:val="006D6325"/>
    <w:rsid w:val="006D63E4"/>
    <w:rsid w:val="006D6460"/>
    <w:rsid w:val="006D6530"/>
    <w:rsid w:val="006D6C90"/>
    <w:rsid w:val="006D6F16"/>
    <w:rsid w:val="006D70FB"/>
    <w:rsid w:val="006D741A"/>
    <w:rsid w:val="006D7501"/>
    <w:rsid w:val="006D753C"/>
    <w:rsid w:val="006D76C2"/>
    <w:rsid w:val="006D780F"/>
    <w:rsid w:val="006D7AE5"/>
    <w:rsid w:val="006D7CD0"/>
    <w:rsid w:val="006D7DC6"/>
    <w:rsid w:val="006E03DE"/>
    <w:rsid w:val="006E0667"/>
    <w:rsid w:val="006E0BCB"/>
    <w:rsid w:val="006E0E26"/>
    <w:rsid w:val="006E0F9F"/>
    <w:rsid w:val="006E0FB3"/>
    <w:rsid w:val="006E1005"/>
    <w:rsid w:val="006E1046"/>
    <w:rsid w:val="006E10EC"/>
    <w:rsid w:val="006E150F"/>
    <w:rsid w:val="006E1909"/>
    <w:rsid w:val="006E1F19"/>
    <w:rsid w:val="006E2084"/>
    <w:rsid w:val="006E214E"/>
    <w:rsid w:val="006E22DE"/>
    <w:rsid w:val="006E2545"/>
    <w:rsid w:val="006E2913"/>
    <w:rsid w:val="006E297C"/>
    <w:rsid w:val="006E2A74"/>
    <w:rsid w:val="006E3228"/>
    <w:rsid w:val="006E32D4"/>
    <w:rsid w:val="006E3497"/>
    <w:rsid w:val="006E34FA"/>
    <w:rsid w:val="006E3F26"/>
    <w:rsid w:val="006E4242"/>
    <w:rsid w:val="006E46BD"/>
    <w:rsid w:val="006E49E7"/>
    <w:rsid w:val="006E4B68"/>
    <w:rsid w:val="006E4E2B"/>
    <w:rsid w:val="006E5535"/>
    <w:rsid w:val="006E576C"/>
    <w:rsid w:val="006E59DE"/>
    <w:rsid w:val="006E5D74"/>
    <w:rsid w:val="006E5EED"/>
    <w:rsid w:val="006E67EB"/>
    <w:rsid w:val="006E6A8C"/>
    <w:rsid w:val="006E6C5C"/>
    <w:rsid w:val="006E6D65"/>
    <w:rsid w:val="006E715D"/>
    <w:rsid w:val="006E7B42"/>
    <w:rsid w:val="006E7FC5"/>
    <w:rsid w:val="006F063B"/>
    <w:rsid w:val="006F085B"/>
    <w:rsid w:val="006F08F6"/>
    <w:rsid w:val="006F0950"/>
    <w:rsid w:val="006F0D31"/>
    <w:rsid w:val="006F0E28"/>
    <w:rsid w:val="006F12FA"/>
    <w:rsid w:val="006F17AD"/>
    <w:rsid w:val="006F1CF1"/>
    <w:rsid w:val="006F22D1"/>
    <w:rsid w:val="006F26DA"/>
    <w:rsid w:val="006F277E"/>
    <w:rsid w:val="006F2FEE"/>
    <w:rsid w:val="006F3242"/>
    <w:rsid w:val="006F3570"/>
    <w:rsid w:val="006F3594"/>
    <w:rsid w:val="006F359B"/>
    <w:rsid w:val="006F3AE5"/>
    <w:rsid w:val="006F3E5A"/>
    <w:rsid w:val="006F413E"/>
    <w:rsid w:val="006F4479"/>
    <w:rsid w:val="006F4EC1"/>
    <w:rsid w:val="006F5154"/>
    <w:rsid w:val="006F52A8"/>
    <w:rsid w:val="006F5601"/>
    <w:rsid w:val="006F57EC"/>
    <w:rsid w:val="006F58B0"/>
    <w:rsid w:val="006F58E1"/>
    <w:rsid w:val="006F5B02"/>
    <w:rsid w:val="006F61F5"/>
    <w:rsid w:val="006F6349"/>
    <w:rsid w:val="006F6549"/>
    <w:rsid w:val="006F6807"/>
    <w:rsid w:val="006F6832"/>
    <w:rsid w:val="006F6E96"/>
    <w:rsid w:val="006F7282"/>
    <w:rsid w:val="006F7811"/>
    <w:rsid w:val="006F7D6F"/>
    <w:rsid w:val="006F7EC8"/>
    <w:rsid w:val="00700694"/>
    <w:rsid w:val="0070096D"/>
    <w:rsid w:val="00700D6C"/>
    <w:rsid w:val="00701025"/>
    <w:rsid w:val="007013CD"/>
    <w:rsid w:val="00701472"/>
    <w:rsid w:val="00701651"/>
    <w:rsid w:val="00701A3E"/>
    <w:rsid w:val="00701A64"/>
    <w:rsid w:val="00701FDC"/>
    <w:rsid w:val="00702077"/>
    <w:rsid w:val="007022AC"/>
    <w:rsid w:val="00702528"/>
    <w:rsid w:val="00702A07"/>
    <w:rsid w:val="00702DFE"/>
    <w:rsid w:val="00702E0A"/>
    <w:rsid w:val="00702F0E"/>
    <w:rsid w:val="00702FD0"/>
    <w:rsid w:val="00702FF4"/>
    <w:rsid w:val="0070304B"/>
    <w:rsid w:val="00703380"/>
    <w:rsid w:val="00703727"/>
    <w:rsid w:val="007038B4"/>
    <w:rsid w:val="00703924"/>
    <w:rsid w:val="00703C09"/>
    <w:rsid w:val="00703C0C"/>
    <w:rsid w:val="00703C18"/>
    <w:rsid w:val="00703FFA"/>
    <w:rsid w:val="007040C6"/>
    <w:rsid w:val="007042C3"/>
    <w:rsid w:val="00704384"/>
    <w:rsid w:val="0070453A"/>
    <w:rsid w:val="00704C4A"/>
    <w:rsid w:val="00704CD5"/>
    <w:rsid w:val="00704D77"/>
    <w:rsid w:val="00704DD3"/>
    <w:rsid w:val="00705709"/>
    <w:rsid w:val="00705836"/>
    <w:rsid w:val="00705AF9"/>
    <w:rsid w:val="00706008"/>
    <w:rsid w:val="0070605D"/>
    <w:rsid w:val="00706464"/>
    <w:rsid w:val="00706A60"/>
    <w:rsid w:val="00706BB0"/>
    <w:rsid w:val="00706DB3"/>
    <w:rsid w:val="00706EF2"/>
    <w:rsid w:val="00706FE7"/>
    <w:rsid w:val="007074A0"/>
    <w:rsid w:val="007075C8"/>
    <w:rsid w:val="007075F7"/>
    <w:rsid w:val="0070779C"/>
    <w:rsid w:val="00707975"/>
    <w:rsid w:val="00710046"/>
    <w:rsid w:val="0071006C"/>
    <w:rsid w:val="00710769"/>
    <w:rsid w:val="00710788"/>
    <w:rsid w:val="007107A6"/>
    <w:rsid w:val="007108CF"/>
    <w:rsid w:val="00710AF2"/>
    <w:rsid w:val="00710B27"/>
    <w:rsid w:val="007111F5"/>
    <w:rsid w:val="0071144D"/>
    <w:rsid w:val="00711A02"/>
    <w:rsid w:val="00711BA3"/>
    <w:rsid w:val="00711DA6"/>
    <w:rsid w:val="00711E81"/>
    <w:rsid w:val="00711EF3"/>
    <w:rsid w:val="00712169"/>
    <w:rsid w:val="007125E0"/>
    <w:rsid w:val="007128BC"/>
    <w:rsid w:val="007132CE"/>
    <w:rsid w:val="00713853"/>
    <w:rsid w:val="00713BF9"/>
    <w:rsid w:val="00713D0E"/>
    <w:rsid w:val="00713DAD"/>
    <w:rsid w:val="007140F2"/>
    <w:rsid w:val="00714878"/>
    <w:rsid w:val="00714B6F"/>
    <w:rsid w:val="00714BB9"/>
    <w:rsid w:val="00714D6A"/>
    <w:rsid w:val="00714F8F"/>
    <w:rsid w:val="007153C2"/>
    <w:rsid w:val="0071562A"/>
    <w:rsid w:val="0071574B"/>
    <w:rsid w:val="0071575C"/>
    <w:rsid w:val="00715973"/>
    <w:rsid w:val="00715ED1"/>
    <w:rsid w:val="00715F08"/>
    <w:rsid w:val="00716099"/>
    <w:rsid w:val="0071611A"/>
    <w:rsid w:val="007164F7"/>
    <w:rsid w:val="007165C4"/>
    <w:rsid w:val="0071671D"/>
    <w:rsid w:val="00716B0A"/>
    <w:rsid w:val="00716C64"/>
    <w:rsid w:val="00716CE0"/>
    <w:rsid w:val="00717922"/>
    <w:rsid w:val="00717AF0"/>
    <w:rsid w:val="00717B81"/>
    <w:rsid w:val="00720006"/>
    <w:rsid w:val="00720128"/>
    <w:rsid w:val="007201EA"/>
    <w:rsid w:val="007202FE"/>
    <w:rsid w:val="00720450"/>
    <w:rsid w:val="00720464"/>
    <w:rsid w:val="0072053D"/>
    <w:rsid w:val="0072069A"/>
    <w:rsid w:val="0072094C"/>
    <w:rsid w:val="00720985"/>
    <w:rsid w:val="00720D62"/>
    <w:rsid w:val="00721103"/>
    <w:rsid w:val="007211EB"/>
    <w:rsid w:val="00721298"/>
    <w:rsid w:val="007214E3"/>
    <w:rsid w:val="00721526"/>
    <w:rsid w:val="007216B5"/>
    <w:rsid w:val="00721B0B"/>
    <w:rsid w:val="00721BA5"/>
    <w:rsid w:val="00721C56"/>
    <w:rsid w:val="00721DB4"/>
    <w:rsid w:val="00721E94"/>
    <w:rsid w:val="00722007"/>
    <w:rsid w:val="007221EF"/>
    <w:rsid w:val="00722264"/>
    <w:rsid w:val="007223FF"/>
    <w:rsid w:val="0072259D"/>
    <w:rsid w:val="0072349B"/>
    <w:rsid w:val="0072368B"/>
    <w:rsid w:val="0072384C"/>
    <w:rsid w:val="00723855"/>
    <w:rsid w:val="00723BBA"/>
    <w:rsid w:val="00723DEC"/>
    <w:rsid w:val="00723E9A"/>
    <w:rsid w:val="00723F25"/>
    <w:rsid w:val="00724202"/>
    <w:rsid w:val="00724DB6"/>
    <w:rsid w:val="00724F02"/>
    <w:rsid w:val="007253DD"/>
    <w:rsid w:val="007261F3"/>
    <w:rsid w:val="00726654"/>
    <w:rsid w:val="00726766"/>
    <w:rsid w:val="007267AE"/>
    <w:rsid w:val="00726B81"/>
    <w:rsid w:val="00726BF4"/>
    <w:rsid w:val="00726F8F"/>
    <w:rsid w:val="0072713A"/>
    <w:rsid w:val="007272C1"/>
    <w:rsid w:val="007272C7"/>
    <w:rsid w:val="00727325"/>
    <w:rsid w:val="007274C4"/>
    <w:rsid w:val="00727A5C"/>
    <w:rsid w:val="00727B3D"/>
    <w:rsid w:val="00727B7A"/>
    <w:rsid w:val="00727D2D"/>
    <w:rsid w:val="00727FD1"/>
    <w:rsid w:val="007300C3"/>
    <w:rsid w:val="00730165"/>
    <w:rsid w:val="0073039F"/>
    <w:rsid w:val="007304B5"/>
    <w:rsid w:val="007305C4"/>
    <w:rsid w:val="007305C6"/>
    <w:rsid w:val="00730A7D"/>
    <w:rsid w:val="00730B4A"/>
    <w:rsid w:val="00730E33"/>
    <w:rsid w:val="00731083"/>
    <w:rsid w:val="007310AF"/>
    <w:rsid w:val="007313A9"/>
    <w:rsid w:val="007315CD"/>
    <w:rsid w:val="007315D6"/>
    <w:rsid w:val="0073181B"/>
    <w:rsid w:val="00731C58"/>
    <w:rsid w:val="00731FE5"/>
    <w:rsid w:val="007321FA"/>
    <w:rsid w:val="007322A3"/>
    <w:rsid w:val="00732342"/>
    <w:rsid w:val="00732463"/>
    <w:rsid w:val="00732525"/>
    <w:rsid w:val="00732783"/>
    <w:rsid w:val="00732A98"/>
    <w:rsid w:val="0073323B"/>
    <w:rsid w:val="00733568"/>
    <w:rsid w:val="00733827"/>
    <w:rsid w:val="00733AF0"/>
    <w:rsid w:val="00733B73"/>
    <w:rsid w:val="00733DFE"/>
    <w:rsid w:val="00733FB8"/>
    <w:rsid w:val="007341AD"/>
    <w:rsid w:val="0073471F"/>
    <w:rsid w:val="00734721"/>
    <w:rsid w:val="00734A8E"/>
    <w:rsid w:val="00734CBD"/>
    <w:rsid w:val="00734F08"/>
    <w:rsid w:val="007353FF"/>
    <w:rsid w:val="007354AB"/>
    <w:rsid w:val="00735DEC"/>
    <w:rsid w:val="007360D1"/>
    <w:rsid w:val="007360DC"/>
    <w:rsid w:val="0073612F"/>
    <w:rsid w:val="007364A7"/>
    <w:rsid w:val="0073669B"/>
    <w:rsid w:val="00736D36"/>
    <w:rsid w:val="00736D41"/>
    <w:rsid w:val="00737149"/>
    <w:rsid w:val="007371AA"/>
    <w:rsid w:val="00737AF7"/>
    <w:rsid w:val="00737BD6"/>
    <w:rsid w:val="00737F6C"/>
    <w:rsid w:val="0074005E"/>
    <w:rsid w:val="00740792"/>
    <w:rsid w:val="007407DF"/>
    <w:rsid w:val="00740998"/>
    <w:rsid w:val="00740A12"/>
    <w:rsid w:val="00740DA6"/>
    <w:rsid w:val="00740F82"/>
    <w:rsid w:val="00741241"/>
    <w:rsid w:val="007416CA"/>
    <w:rsid w:val="00741E19"/>
    <w:rsid w:val="00742205"/>
    <w:rsid w:val="007423B6"/>
    <w:rsid w:val="007423BF"/>
    <w:rsid w:val="00742724"/>
    <w:rsid w:val="007428C6"/>
    <w:rsid w:val="007428E7"/>
    <w:rsid w:val="007431CD"/>
    <w:rsid w:val="00743487"/>
    <w:rsid w:val="00743531"/>
    <w:rsid w:val="007437DE"/>
    <w:rsid w:val="0074389F"/>
    <w:rsid w:val="007438C2"/>
    <w:rsid w:val="00743A39"/>
    <w:rsid w:val="00743CC2"/>
    <w:rsid w:val="00744763"/>
    <w:rsid w:val="00744809"/>
    <w:rsid w:val="007448CA"/>
    <w:rsid w:val="007449AC"/>
    <w:rsid w:val="007449FB"/>
    <w:rsid w:val="00744A92"/>
    <w:rsid w:val="00744C14"/>
    <w:rsid w:val="00744C67"/>
    <w:rsid w:val="00744FCC"/>
    <w:rsid w:val="0074507E"/>
    <w:rsid w:val="007450A6"/>
    <w:rsid w:val="0074551E"/>
    <w:rsid w:val="007455A4"/>
    <w:rsid w:val="0074591E"/>
    <w:rsid w:val="00745F21"/>
    <w:rsid w:val="00745FA0"/>
    <w:rsid w:val="0074626F"/>
    <w:rsid w:val="00746405"/>
    <w:rsid w:val="00746535"/>
    <w:rsid w:val="007466A4"/>
    <w:rsid w:val="007466B4"/>
    <w:rsid w:val="007466DD"/>
    <w:rsid w:val="00746C71"/>
    <w:rsid w:val="00746D7B"/>
    <w:rsid w:val="00747150"/>
    <w:rsid w:val="0074746E"/>
    <w:rsid w:val="00747721"/>
    <w:rsid w:val="007478DE"/>
    <w:rsid w:val="00747938"/>
    <w:rsid w:val="00747B67"/>
    <w:rsid w:val="00747C21"/>
    <w:rsid w:val="007500A8"/>
    <w:rsid w:val="00750533"/>
    <w:rsid w:val="00750F5C"/>
    <w:rsid w:val="007511EB"/>
    <w:rsid w:val="00751289"/>
    <w:rsid w:val="00751334"/>
    <w:rsid w:val="007514E3"/>
    <w:rsid w:val="007518AF"/>
    <w:rsid w:val="0075197A"/>
    <w:rsid w:val="00751A04"/>
    <w:rsid w:val="00751A5B"/>
    <w:rsid w:val="00751D2A"/>
    <w:rsid w:val="00751EA6"/>
    <w:rsid w:val="00752818"/>
    <w:rsid w:val="00752A4B"/>
    <w:rsid w:val="00752AC3"/>
    <w:rsid w:val="00752AF9"/>
    <w:rsid w:val="00752B94"/>
    <w:rsid w:val="00752FF5"/>
    <w:rsid w:val="007531FC"/>
    <w:rsid w:val="00753385"/>
    <w:rsid w:val="00753514"/>
    <w:rsid w:val="007535A2"/>
    <w:rsid w:val="00753631"/>
    <w:rsid w:val="00753637"/>
    <w:rsid w:val="007536A9"/>
    <w:rsid w:val="0075374F"/>
    <w:rsid w:val="007537A6"/>
    <w:rsid w:val="0075380B"/>
    <w:rsid w:val="00753B08"/>
    <w:rsid w:val="00753B93"/>
    <w:rsid w:val="00753DC7"/>
    <w:rsid w:val="00753E2B"/>
    <w:rsid w:val="00753ECA"/>
    <w:rsid w:val="0075471E"/>
    <w:rsid w:val="00754AAF"/>
    <w:rsid w:val="00754D8C"/>
    <w:rsid w:val="00754F55"/>
    <w:rsid w:val="007551BB"/>
    <w:rsid w:val="00755244"/>
    <w:rsid w:val="007552AD"/>
    <w:rsid w:val="007558DF"/>
    <w:rsid w:val="007558F6"/>
    <w:rsid w:val="00755C0B"/>
    <w:rsid w:val="00755C7E"/>
    <w:rsid w:val="00755D2E"/>
    <w:rsid w:val="00755D9A"/>
    <w:rsid w:val="00755E53"/>
    <w:rsid w:val="00755F6E"/>
    <w:rsid w:val="00756084"/>
    <w:rsid w:val="0075654A"/>
    <w:rsid w:val="00756565"/>
    <w:rsid w:val="00756606"/>
    <w:rsid w:val="00756920"/>
    <w:rsid w:val="00756A85"/>
    <w:rsid w:val="00756A8D"/>
    <w:rsid w:val="00756BB0"/>
    <w:rsid w:val="00756CEC"/>
    <w:rsid w:val="00756E53"/>
    <w:rsid w:val="00756F80"/>
    <w:rsid w:val="00757142"/>
    <w:rsid w:val="007572A0"/>
    <w:rsid w:val="00757842"/>
    <w:rsid w:val="0075785A"/>
    <w:rsid w:val="00757A14"/>
    <w:rsid w:val="00757A2A"/>
    <w:rsid w:val="00757CF5"/>
    <w:rsid w:val="00757E81"/>
    <w:rsid w:val="00760127"/>
    <w:rsid w:val="00760391"/>
    <w:rsid w:val="00760579"/>
    <w:rsid w:val="0076067B"/>
    <w:rsid w:val="007616D9"/>
    <w:rsid w:val="00761726"/>
    <w:rsid w:val="00761777"/>
    <w:rsid w:val="007618B1"/>
    <w:rsid w:val="00761AA7"/>
    <w:rsid w:val="00761D57"/>
    <w:rsid w:val="007620D7"/>
    <w:rsid w:val="00762269"/>
    <w:rsid w:val="00762290"/>
    <w:rsid w:val="007622FB"/>
    <w:rsid w:val="00762544"/>
    <w:rsid w:val="00762D09"/>
    <w:rsid w:val="00762EEE"/>
    <w:rsid w:val="00763165"/>
    <w:rsid w:val="007634B9"/>
    <w:rsid w:val="007634C7"/>
    <w:rsid w:val="007639D2"/>
    <w:rsid w:val="00763A07"/>
    <w:rsid w:val="00763B09"/>
    <w:rsid w:val="007644A0"/>
    <w:rsid w:val="0076471F"/>
    <w:rsid w:val="0076496F"/>
    <w:rsid w:val="00764E29"/>
    <w:rsid w:val="00764FB4"/>
    <w:rsid w:val="0076506D"/>
    <w:rsid w:val="00765202"/>
    <w:rsid w:val="00765380"/>
    <w:rsid w:val="00765B3C"/>
    <w:rsid w:val="00765B59"/>
    <w:rsid w:val="00765BD7"/>
    <w:rsid w:val="00765F2F"/>
    <w:rsid w:val="00766390"/>
    <w:rsid w:val="00766516"/>
    <w:rsid w:val="007667EA"/>
    <w:rsid w:val="00766884"/>
    <w:rsid w:val="00766F30"/>
    <w:rsid w:val="007671F7"/>
    <w:rsid w:val="00767299"/>
    <w:rsid w:val="0076729B"/>
    <w:rsid w:val="007672A9"/>
    <w:rsid w:val="0076732D"/>
    <w:rsid w:val="0076735B"/>
    <w:rsid w:val="00767595"/>
    <w:rsid w:val="00767A1E"/>
    <w:rsid w:val="00767B55"/>
    <w:rsid w:val="00770029"/>
    <w:rsid w:val="007701A2"/>
    <w:rsid w:val="007702D8"/>
    <w:rsid w:val="0077056F"/>
    <w:rsid w:val="00770589"/>
    <w:rsid w:val="007706A7"/>
    <w:rsid w:val="00770878"/>
    <w:rsid w:val="00770A1E"/>
    <w:rsid w:val="00770ACC"/>
    <w:rsid w:val="00770D09"/>
    <w:rsid w:val="00770D5D"/>
    <w:rsid w:val="00770EBE"/>
    <w:rsid w:val="0077155D"/>
    <w:rsid w:val="00771869"/>
    <w:rsid w:val="00771A01"/>
    <w:rsid w:val="00771A95"/>
    <w:rsid w:val="0077202B"/>
    <w:rsid w:val="0077203D"/>
    <w:rsid w:val="007721C8"/>
    <w:rsid w:val="00772484"/>
    <w:rsid w:val="00772A74"/>
    <w:rsid w:val="007730FE"/>
    <w:rsid w:val="00773245"/>
    <w:rsid w:val="00773AF6"/>
    <w:rsid w:val="00773F86"/>
    <w:rsid w:val="00773F94"/>
    <w:rsid w:val="007741B0"/>
    <w:rsid w:val="007741BF"/>
    <w:rsid w:val="007742EF"/>
    <w:rsid w:val="00774911"/>
    <w:rsid w:val="00774AFC"/>
    <w:rsid w:val="00774BCD"/>
    <w:rsid w:val="007751D3"/>
    <w:rsid w:val="00775304"/>
    <w:rsid w:val="00776056"/>
    <w:rsid w:val="00776108"/>
    <w:rsid w:val="00776460"/>
    <w:rsid w:val="00776469"/>
    <w:rsid w:val="007768A3"/>
    <w:rsid w:val="00776908"/>
    <w:rsid w:val="00776915"/>
    <w:rsid w:val="0077731D"/>
    <w:rsid w:val="007779F4"/>
    <w:rsid w:val="00777B02"/>
    <w:rsid w:val="00777B0B"/>
    <w:rsid w:val="00777B5E"/>
    <w:rsid w:val="00777C18"/>
    <w:rsid w:val="0078043F"/>
    <w:rsid w:val="00780735"/>
    <w:rsid w:val="007807C4"/>
    <w:rsid w:val="00780930"/>
    <w:rsid w:val="00780B78"/>
    <w:rsid w:val="0078115D"/>
    <w:rsid w:val="007811CC"/>
    <w:rsid w:val="007813CD"/>
    <w:rsid w:val="0078140B"/>
    <w:rsid w:val="0078165A"/>
    <w:rsid w:val="00781915"/>
    <w:rsid w:val="00781E93"/>
    <w:rsid w:val="00781EAD"/>
    <w:rsid w:val="00781ED3"/>
    <w:rsid w:val="00782104"/>
    <w:rsid w:val="00782691"/>
    <w:rsid w:val="007827B4"/>
    <w:rsid w:val="007829CE"/>
    <w:rsid w:val="00782A1E"/>
    <w:rsid w:val="00782CE8"/>
    <w:rsid w:val="00782D1D"/>
    <w:rsid w:val="00783256"/>
    <w:rsid w:val="0078338F"/>
    <w:rsid w:val="007834A2"/>
    <w:rsid w:val="007834DC"/>
    <w:rsid w:val="007837E6"/>
    <w:rsid w:val="00783A9E"/>
    <w:rsid w:val="00783C34"/>
    <w:rsid w:val="007847A9"/>
    <w:rsid w:val="0078482E"/>
    <w:rsid w:val="00784DE8"/>
    <w:rsid w:val="00784EC0"/>
    <w:rsid w:val="00784EE0"/>
    <w:rsid w:val="00784FC0"/>
    <w:rsid w:val="00785005"/>
    <w:rsid w:val="00785006"/>
    <w:rsid w:val="0078512B"/>
    <w:rsid w:val="007853D6"/>
    <w:rsid w:val="00785425"/>
    <w:rsid w:val="0078571E"/>
    <w:rsid w:val="00785DB5"/>
    <w:rsid w:val="00786266"/>
    <w:rsid w:val="00786386"/>
    <w:rsid w:val="007866AB"/>
    <w:rsid w:val="00786AB7"/>
    <w:rsid w:val="00786B2E"/>
    <w:rsid w:val="00786B9D"/>
    <w:rsid w:val="00786E59"/>
    <w:rsid w:val="0078709A"/>
    <w:rsid w:val="00787214"/>
    <w:rsid w:val="0078724D"/>
    <w:rsid w:val="00787758"/>
    <w:rsid w:val="00787A85"/>
    <w:rsid w:val="00787AAA"/>
    <w:rsid w:val="00787B62"/>
    <w:rsid w:val="00787B69"/>
    <w:rsid w:val="0079019A"/>
    <w:rsid w:val="007905D1"/>
    <w:rsid w:val="0079064F"/>
    <w:rsid w:val="00790781"/>
    <w:rsid w:val="0079095C"/>
    <w:rsid w:val="00790B4E"/>
    <w:rsid w:val="00790E43"/>
    <w:rsid w:val="007910D5"/>
    <w:rsid w:val="007910F1"/>
    <w:rsid w:val="00791559"/>
    <w:rsid w:val="0079157D"/>
    <w:rsid w:val="007916B2"/>
    <w:rsid w:val="00791A9A"/>
    <w:rsid w:val="00791F28"/>
    <w:rsid w:val="00792345"/>
    <w:rsid w:val="00792395"/>
    <w:rsid w:val="00792438"/>
    <w:rsid w:val="00792834"/>
    <w:rsid w:val="00792900"/>
    <w:rsid w:val="00792C47"/>
    <w:rsid w:val="0079337C"/>
    <w:rsid w:val="007937C1"/>
    <w:rsid w:val="00793DAA"/>
    <w:rsid w:val="00793FF5"/>
    <w:rsid w:val="00794223"/>
    <w:rsid w:val="0079422A"/>
    <w:rsid w:val="007942DF"/>
    <w:rsid w:val="00794489"/>
    <w:rsid w:val="0079473B"/>
    <w:rsid w:val="00794B9C"/>
    <w:rsid w:val="00794C2D"/>
    <w:rsid w:val="00794C51"/>
    <w:rsid w:val="00794D93"/>
    <w:rsid w:val="00794DF6"/>
    <w:rsid w:val="00794F8E"/>
    <w:rsid w:val="00795067"/>
    <w:rsid w:val="00795673"/>
    <w:rsid w:val="00795815"/>
    <w:rsid w:val="0079596D"/>
    <w:rsid w:val="00795DF3"/>
    <w:rsid w:val="00796046"/>
    <w:rsid w:val="007962F7"/>
    <w:rsid w:val="00796498"/>
    <w:rsid w:val="007965A9"/>
    <w:rsid w:val="0079662E"/>
    <w:rsid w:val="00796740"/>
    <w:rsid w:val="00796D00"/>
    <w:rsid w:val="00797275"/>
    <w:rsid w:val="0079731E"/>
    <w:rsid w:val="0079782D"/>
    <w:rsid w:val="007978B9"/>
    <w:rsid w:val="00797B31"/>
    <w:rsid w:val="00797D8C"/>
    <w:rsid w:val="00797F39"/>
    <w:rsid w:val="00797F72"/>
    <w:rsid w:val="00797FC0"/>
    <w:rsid w:val="007A01F3"/>
    <w:rsid w:val="007A0429"/>
    <w:rsid w:val="007A045E"/>
    <w:rsid w:val="007A049A"/>
    <w:rsid w:val="007A07A8"/>
    <w:rsid w:val="007A08D0"/>
    <w:rsid w:val="007A0975"/>
    <w:rsid w:val="007A0995"/>
    <w:rsid w:val="007A0E79"/>
    <w:rsid w:val="007A1439"/>
    <w:rsid w:val="007A2399"/>
    <w:rsid w:val="007A249D"/>
    <w:rsid w:val="007A273C"/>
    <w:rsid w:val="007A2958"/>
    <w:rsid w:val="007A29F4"/>
    <w:rsid w:val="007A2F93"/>
    <w:rsid w:val="007A321A"/>
    <w:rsid w:val="007A3510"/>
    <w:rsid w:val="007A38D2"/>
    <w:rsid w:val="007A38F1"/>
    <w:rsid w:val="007A3C00"/>
    <w:rsid w:val="007A424A"/>
    <w:rsid w:val="007A4591"/>
    <w:rsid w:val="007A47B9"/>
    <w:rsid w:val="007A4875"/>
    <w:rsid w:val="007A4C05"/>
    <w:rsid w:val="007A4C3D"/>
    <w:rsid w:val="007A4F17"/>
    <w:rsid w:val="007A5011"/>
    <w:rsid w:val="007A538A"/>
    <w:rsid w:val="007A5585"/>
    <w:rsid w:val="007A5622"/>
    <w:rsid w:val="007A5677"/>
    <w:rsid w:val="007A576B"/>
    <w:rsid w:val="007A57C6"/>
    <w:rsid w:val="007A594A"/>
    <w:rsid w:val="007A5D0E"/>
    <w:rsid w:val="007A5F4D"/>
    <w:rsid w:val="007A60DC"/>
    <w:rsid w:val="007A6526"/>
    <w:rsid w:val="007A6708"/>
    <w:rsid w:val="007A674D"/>
    <w:rsid w:val="007A6B79"/>
    <w:rsid w:val="007A6C5B"/>
    <w:rsid w:val="007A6D65"/>
    <w:rsid w:val="007A6F35"/>
    <w:rsid w:val="007A764A"/>
    <w:rsid w:val="007A7DFC"/>
    <w:rsid w:val="007B031A"/>
    <w:rsid w:val="007B05E2"/>
    <w:rsid w:val="007B06B7"/>
    <w:rsid w:val="007B082F"/>
    <w:rsid w:val="007B0D62"/>
    <w:rsid w:val="007B15D1"/>
    <w:rsid w:val="007B17AC"/>
    <w:rsid w:val="007B189A"/>
    <w:rsid w:val="007B18A2"/>
    <w:rsid w:val="007B18A3"/>
    <w:rsid w:val="007B1994"/>
    <w:rsid w:val="007B1A25"/>
    <w:rsid w:val="007B1AB3"/>
    <w:rsid w:val="007B1CFC"/>
    <w:rsid w:val="007B1ED6"/>
    <w:rsid w:val="007B1FCC"/>
    <w:rsid w:val="007B2053"/>
    <w:rsid w:val="007B2213"/>
    <w:rsid w:val="007B26EC"/>
    <w:rsid w:val="007B273D"/>
    <w:rsid w:val="007B29B8"/>
    <w:rsid w:val="007B29D6"/>
    <w:rsid w:val="007B2CD6"/>
    <w:rsid w:val="007B2D20"/>
    <w:rsid w:val="007B2D56"/>
    <w:rsid w:val="007B2E2E"/>
    <w:rsid w:val="007B2F0C"/>
    <w:rsid w:val="007B3072"/>
    <w:rsid w:val="007B3154"/>
    <w:rsid w:val="007B3274"/>
    <w:rsid w:val="007B3672"/>
    <w:rsid w:val="007B3956"/>
    <w:rsid w:val="007B3977"/>
    <w:rsid w:val="007B3CF8"/>
    <w:rsid w:val="007B4157"/>
    <w:rsid w:val="007B44B7"/>
    <w:rsid w:val="007B46D4"/>
    <w:rsid w:val="007B472D"/>
    <w:rsid w:val="007B4BC0"/>
    <w:rsid w:val="007B4CFF"/>
    <w:rsid w:val="007B5015"/>
    <w:rsid w:val="007B5DF3"/>
    <w:rsid w:val="007B6324"/>
    <w:rsid w:val="007B63F1"/>
    <w:rsid w:val="007B6477"/>
    <w:rsid w:val="007B6545"/>
    <w:rsid w:val="007B661B"/>
    <w:rsid w:val="007B687D"/>
    <w:rsid w:val="007B6A5E"/>
    <w:rsid w:val="007B6C35"/>
    <w:rsid w:val="007B6DA3"/>
    <w:rsid w:val="007B6F58"/>
    <w:rsid w:val="007B709C"/>
    <w:rsid w:val="007B73DE"/>
    <w:rsid w:val="007B76EA"/>
    <w:rsid w:val="007B772A"/>
    <w:rsid w:val="007B7A67"/>
    <w:rsid w:val="007B7C15"/>
    <w:rsid w:val="007B7CFD"/>
    <w:rsid w:val="007C00D7"/>
    <w:rsid w:val="007C0198"/>
    <w:rsid w:val="007C0200"/>
    <w:rsid w:val="007C02C1"/>
    <w:rsid w:val="007C0446"/>
    <w:rsid w:val="007C05CF"/>
    <w:rsid w:val="007C0690"/>
    <w:rsid w:val="007C06B2"/>
    <w:rsid w:val="007C085C"/>
    <w:rsid w:val="007C09AC"/>
    <w:rsid w:val="007C0DCC"/>
    <w:rsid w:val="007C0F58"/>
    <w:rsid w:val="007C1981"/>
    <w:rsid w:val="007C1A25"/>
    <w:rsid w:val="007C1E4E"/>
    <w:rsid w:val="007C1EA8"/>
    <w:rsid w:val="007C1ED1"/>
    <w:rsid w:val="007C2004"/>
    <w:rsid w:val="007C23BD"/>
    <w:rsid w:val="007C28F8"/>
    <w:rsid w:val="007C2AAC"/>
    <w:rsid w:val="007C2ACA"/>
    <w:rsid w:val="007C334A"/>
    <w:rsid w:val="007C33EB"/>
    <w:rsid w:val="007C3708"/>
    <w:rsid w:val="007C3720"/>
    <w:rsid w:val="007C3A6F"/>
    <w:rsid w:val="007C3D03"/>
    <w:rsid w:val="007C3DA3"/>
    <w:rsid w:val="007C3FF3"/>
    <w:rsid w:val="007C41D1"/>
    <w:rsid w:val="007C437C"/>
    <w:rsid w:val="007C4567"/>
    <w:rsid w:val="007C4686"/>
    <w:rsid w:val="007C468D"/>
    <w:rsid w:val="007C46B1"/>
    <w:rsid w:val="007C4969"/>
    <w:rsid w:val="007C4E2B"/>
    <w:rsid w:val="007C4FC8"/>
    <w:rsid w:val="007C4FD3"/>
    <w:rsid w:val="007C505F"/>
    <w:rsid w:val="007C52F0"/>
    <w:rsid w:val="007C55EC"/>
    <w:rsid w:val="007C5901"/>
    <w:rsid w:val="007C5C09"/>
    <w:rsid w:val="007C5C32"/>
    <w:rsid w:val="007C5D73"/>
    <w:rsid w:val="007C5DA0"/>
    <w:rsid w:val="007C5DEA"/>
    <w:rsid w:val="007C613D"/>
    <w:rsid w:val="007C672A"/>
    <w:rsid w:val="007C6EEC"/>
    <w:rsid w:val="007C706B"/>
    <w:rsid w:val="007C72B0"/>
    <w:rsid w:val="007C772D"/>
    <w:rsid w:val="007C7CC6"/>
    <w:rsid w:val="007C7E4B"/>
    <w:rsid w:val="007C7EA6"/>
    <w:rsid w:val="007C7F4E"/>
    <w:rsid w:val="007C7FF4"/>
    <w:rsid w:val="007D0B15"/>
    <w:rsid w:val="007D0D5E"/>
    <w:rsid w:val="007D1757"/>
    <w:rsid w:val="007D1BDA"/>
    <w:rsid w:val="007D1F0C"/>
    <w:rsid w:val="007D265E"/>
    <w:rsid w:val="007D2983"/>
    <w:rsid w:val="007D29B3"/>
    <w:rsid w:val="007D2B9F"/>
    <w:rsid w:val="007D300A"/>
    <w:rsid w:val="007D32E3"/>
    <w:rsid w:val="007D3473"/>
    <w:rsid w:val="007D379C"/>
    <w:rsid w:val="007D3D8B"/>
    <w:rsid w:val="007D3EF8"/>
    <w:rsid w:val="007D3F1C"/>
    <w:rsid w:val="007D414E"/>
    <w:rsid w:val="007D4824"/>
    <w:rsid w:val="007D483D"/>
    <w:rsid w:val="007D49A0"/>
    <w:rsid w:val="007D4A20"/>
    <w:rsid w:val="007D4BA0"/>
    <w:rsid w:val="007D4C38"/>
    <w:rsid w:val="007D4E2C"/>
    <w:rsid w:val="007D5052"/>
    <w:rsid w:val="007D535F"/>
    <w:rsid w:val="007D5530"/>
    <w:rsid w:val="007D5D1A"/>
    <w:rsid w:val="007D6286"/>
    <w:rsid w:val="007D638E"/>
    <w:rsid w:val="007D65E5"/>
    <w:rsid w:val="007D66D3"/>
    <w:rsid w:val="007D68D4"/>
    <w:rsid w:val="007D69DD"/>
    <w:rsid w:val="007D6C23"/>
    <w:rsid w:val="007D6E4F"/>
    <w:rsid w:val="007D6F68"/>
    <w:rsid w:val="007D72D1"/>
    <w:rsid w:val="007E081B"/>
    <w:rsid w:val="007E0C49"/>
    <w:rsid w:val="007E0C78"/>
    <w:rsid w:val="007E0CCB"/>
    <w:rsid w:val="007E0D51"/>
    <w:rsid w:val="007E0F82"/>
    <w:rsid w:val="007E0FF0"/>
    <w:rsid w:val="007E10EF"/>
    <w:rsid w:val="007E1C3C"/>
    <w:rsid w:val="007E2057"/>
    <w:rsid w:val="007E20C6"/>
    <w:rsid w:val="007E2484"/>
    <w:rsid w:val="007E2AE2"/>
    <w:rsid w:val="007E2ED9"/>
    <w:rsid w:val="007E302C"/>
    <w:rsid w:val="007E3964"/>
    <w:rsid w:val="007E3A16"/>
    <w:rsid w:val="007E3A62"/>
    <w:rsid w:val="007E3B2C"/>
    <w:rsid w:val="007E3CE2"/>
    <w:rsid w:val="007E3DBD"/>
    <w:rsid w:val="007E43D2"/>
    <w:rsid w:val="007E462E"/>
    <w:rsid w:val="007E4681"/>
    <w:rsid w:val="007E473C"/>
    <w:rsid w:val="007E48E4"/>
    <w:rsid w:val="007E4A77"/>
    <w:rsid w:val="007E4C19"/>
    <w:rsid w:val="007E4E44"/>
    <w:rsid w:val="007E5822"/>
    <w:rsid w:val="007E5E07"/>
    <w:rsid w:val="007E5EF8"/>
    <w:rsid w:val="007E5F52"/>
    <w:rsid w:val="007E6111"/>
    <w:rsid w:val="007E649D"/>
    <w:rsid w:val="007E68AE"/>
    <w:rsid w:val="007E6C5E"/>
    <w:rsid w:val="007E6D4C"/>
    <w:rsid w:val="007E6D6F"/>
    <w:rsid w:val="007E6D7A"/>
    <w:rsid w:val="007E7438"/>
    <w:rsid w:val="007E77DA"/>
    <w:rsid w:val="007E79C8"/>
    <w:rsid w:val="007E7FCC"/>
    <w:rsid w:val="007F001A"/>
    <w:rsid w:val="007F03F8"/>
    <w:rsid w:val="007F045E"/>
    <w:rsid w:val="007F07DD"/>
    <w:rsid w:val="007F1315"/>
    <w:rsid w:val="007F185F"/>
    <w:rsid w:val="007F18CA"/>
    <w:rsid w:val="007F1DD5"/>
    <w:rsid w:val="007F2022"/>
    <w:rsid w:val="007F2249"/>
    <w:rsid w:val="007F2355"/>
    <w:rsid w:val="007F2427"/>
    <w:rsid w:val="007F2658"/>
    <w:rsid w:val="007F27CB"/>
    <w:rsid w:val="007F2C0D"/>
    <w:rsid w:val="007F301E"/>
    <w:rsid w:val="007F323B"/>
    <w:rsid w:val="007F369C"/>
    <w:rsid w:val="007F38DF"/>
    <w:rsid w:val="007F3973"/>
    <w:rsid w:val="007F3CC6"/>
    <w:rsid w:val="007F3E43"/>
    <w:rsid w:val="007F408B"/>
    <w:rsid w:val="007F41DF"/>
    <w:rsid w:val="007F43D6"/>
    <w:rsid w:val="007F46EB"/>
    <w:rsid w:val="007F479E"/>
    <w:rsid w:val="007F519F"/>
    <w:rsid w:val="007F59FD"/>
    <w:rsid w:val="007F5CB5"/>
    <w:rsid w:val="007F6071"/>
    <w:rsid w:val="007F6918"/>
    <w:rsid w:val="007F6AD9"/>
    <w:rsid w:val="007F6ECE"/>
    <w:rsid w:val="007F75C3"/>
    <w:rsid w:val="007F77A2"/>
    <w:rsid w:val="007F7887"/>
    <w:rsid w:val="007F7D9F"/>
    <w:rsid w:val="007F7F5A"/>
    <w:rsid w:val="008007C1"/>
    <w:rsid w:val="00800C6A"/>
    <w:rsid w:val="00800F93"/>
    <w:rsid w:val="00800FE2"/>
    <w:rsid w:val="00801373"/>
    <w:rsid w:val="008014C8"/>
    <w:rsid w:val="0080159D"/>
    <w:rsid w:val="008018B0"/>
    <w:rsid w:val="00801934"/>
    <w:rsid w:val="00801E98"/>
    <w:rsid w:val="00802296"/>
    <w:rsid w:val="00802593"/>
    <w:rsid w:val="0080269D"/>
    <w:rsid w:val="00802936"/>
    <w:rsid w:val="0080299F"/>
    <w:rsid w:val="00803403"/>
    <w:rsid w:val="008038DD"/>
    <w:rsid w:val="00803B69"/>
    <w:rsid w:val="00803B7A"/>
    <w:rsid w:val="00803BD9"/>
    <w:rsid w:val="00803D23"/>
    <w:rsid w:val="00803D2D"/>
    <w:rsid w:val="00803DD3"/>
    <w:rsid w:val="008042F1"/>
    <w:rsid w:val="008042F2"/>
    <w:rsid w:val="00804666"/>
    <w:rsid w:val="00804A94"/>
    <w:rsid w:val="008051E1"/>
    <w:rsid w:val="00805489"/>
    <w:rsid w:val="008055E3"/>
    <w:rsid w:val="008057FC"/>
    <w:rsid w:val="008058AD"/>
    <w:rsid w:val="00805A58"/>
    <w:rsid w:val="00805BE1"/>
    <w:rsid w:val="00805F91"/>
    <w:rsid w:val="00806600"/>
    <w:rsid w:val="008069D8"/>
    <w:rsid w:val="00806BB4"/>
    <w:rsid w:val="00806EF4"/>
    <w:rsid w:val="00807012"/>
    <w:rsid w:val="008070E9"/>
    <w:rsid w:val="00807170"/>
    <w:rsid w:val="00807C85"/>
    <w:rsid w:val="00810557"/>
    <w:rsid w:val="008105C8"/>
    <w:rsid w:val="00810940"/>
    <w:rsid w:val="008109CD"/>
    <w:rsid w:val="00810C68"/>
    <w:rsid w:val="00810F92"/>
    <w:rsid w:val="00811643"/>
    <w:rsid w:val="0081197C"/>
    <w:rsid w:val="008119F4"/>
    <w:rsid w:val="00811E97"/>
    <w:rsid w:val="00811FA1"/>
    <w:rsid w:val="0081207A"/>
    <w:rsid w:val="00812927"/>
    <w:rsid w:val="00812D95"/>
    <w:rsid w:val="00812E03"/>
    <w:rsid w:val="00812F55"/>
    <w:rsid w:val="00813836"/>
    <w:rsid w:val="00813B15"/>
    <w:rsid w:val="008141CE"/>
    <w:rsid w:val="008145A8"/>
    <w:rsid w:val="008147FF"/>
    <w:rsid w:val="008149C0"/>
    <w:rsid w:val="00814D2C"/>
    <w:rsid w:val="0081532F"/>
    <w:rsid w:val="0081533C"/>
    <w:rsid w:val="008154CE"/>
    <w:rsid w:val="008155D0"/>
    <w:rsid w:val="00815642"/>
    <w:rsid w:val="0081594D"/>
    <w:rsid w:val="00815A4B"/>
    <w:rsid w:val="00815AF6"/>
    <w:rsid w:val="00815E2D"/>
    <w:rsid w:val="0081605A"/>
    <w:rsid w:val="008164B2"/>
    <w:rsid w:val="008168DE"/>
    <w:rsid w:val="00816A6A"/>
    <w:rsid w:val="00816B58"/>
    <w:rsid w:val="00816D3D"/>
    <w:rsid w:val="00816D86"/>
    <w:rsid w:val="00817268"/>
    <w:rsid w:val="00817306"/>
    <w:rsid w:val="00817308"/>
    <w:rsid w:val="008175CE"/>
    <w:rsid w:val="0081764B"/>
    <w:rsid w:val="00817974"/>
    <w:rsid w:val="00817B3E"/>
    <w:rsid w:val="00817CC0"/>
    <w:rsid w:val="00817E2D"/>
    <w:rsid w:val="008209AB"/>
    <w:rsid w:val="00820A4F"/>
    <w:rsid w:val="00820A5B"/>
    <w:rsid w:val="00821480"/>
    <w:rsid w:val="00821718"/>
    <w:rsid w:val="00821951"/>
    <w:rsid w:val="00821D96"/>
    <w:rsid w:val="008229D9"/>
    <w:rsid w:val="00822A50"/>
    <w:rsid w:val="00822DF9"/>
    <w:rsid w:val="00822E46"/>
    <w:rsid w:val="00822EBC"/>
    <w:rsid w:val="00823105"/>
    <w:rsid w:val="008231A4"/>
    <w:rsid w:val="00823284"/>
    <w:rsid w:val="008238A5"/>
    <w:rsid w:val="00823A80"/>
    <w:rsid w:val="00823AED"/>
    <w:rsid w:val="00824108"/>
    <w:rsid w:val="0082448C"/>
    <w:rsid w:val="008245E5"/>
    <w:rsid w:val="0082491A"/>
    <w:rsid w:val="00824D82"/>
    <w:rsid w:val="008250D9"/>
    <w:rsid w:val="008255B0"/>
    <w:rsid w:val="00825976"/>
    <w:rsid w:val="00825BA4"/>
    <w:rsid w:val="00825BBA"/>
    <w:rsid w:val="00825C6D"/>
    <w:rsid w:val="00825E7D"/>
    <w:rsid w:val="008261F6"/>
    <w:rsid w:val="0082625D"/>
    <w:rsid w:val="0082675D"/>
    <w:rsid w:val="00826806"/>
    <w:rsid w:val="0082681D"/>
    <w:rsid w:val="00826920"/>
    <w:rsid w:val="00826B69"/>
    <w:rsid w:val="0082725E"/>
    <w:rsid w:val="008272AC"/>
    <w:rsid w:val="008273DA"/>
    <w:rsid w:val="00827714"/>
    <w:rsid w:val="00827B79"/>
    <w:rsid w:val="00827CE4"/>
    <w:rsid w:val="00830612"/>
    <w:rsid w:val="00830779"/>
    <w:rsid w:val="00830C77"/>
    <w:rsid w:val="00830D22"/>
    <w:rsid w:val="00830D90"/>
    <w:rsid w:val="00830E93"/>
    <w:rsid w:val="00830F4C"/>
    <w:rsid w:val="00831164"/>
    <w:rsid w:val="00831486"/>
    <w:rsid w:val="0083161E"/>
    <w:rsid w:val="0083196A"/>
    <w:rsid w:val="00831CFE"/>
    <w:rsid w:val="008320EF"/>
    <w:rsid w:val="00832157"/>
    <w:rsid w:val="00832550"/>
    <w:rsid w:val="00832ADE"/>
    <w:rsid w:val="00832DB7"/>
    <w:rsid w:val="0083320B"/>
    <w:rsid w:val="00833531"/>
    <w:rsid w:val="00833694"/>
    <w:rsid w:val="0083370D"/>
    <w:rsid w:val="00833803"/>
    <w:rsid w:val="00833852"/>
    <w:rsid w:val="00833E3F"/>
    <w:rsid w:val="008340A8"/>
    <w:rsid w:val="0083437D"/>
    <w:rsid w:val="008344B4"/>
    <w:rsid w:val="008344E8"/>
    <w:rsid w:val="00834609"/>
    <w:rsid w:val="008346B0"/>
    <w:rsid w:val="0083470C"/>
    <w:rsid w:val="00834AD4"/>
    <w:rsid w:val="00834C1D"/>
    <w:rsid w:val="00835561"/>
    <w:rsid w:val="0083562A"/>
    <w:rsid w:val="00835730"/>
    <w:rsid w:val="00835BA9"/>
    <w:rsid w:val="00835C43"/>
    <w:rsid w:val="00836014"/>
    <w:rsid w:val="008362A5"/>
    <w:rsid w:val="008362CF"/>
    <w:rsid w:val="00836664"/>
    <w:rsid w:val="008368D0"/>
    <w:rsid w:val="00836B31"/>
    <w:rsid w:val="0083741B"/>
    <w:rsid w:val="008378FB"/>
    <w:rsid w:val="00837A2B"/>
    <w:rsid w:val="008403DE"/>
    <w:rsid w:val="00840483"/>
    <w:rsid w:val="00840A73"/>
    <w:rsid w:val="00840DC6"/>
    <w:rsid w:val="00840EAD"/>
    <w:rsid w:val="00840EF8"/>
    <w:rsid w:val="00840F0F"/>
    <w:rsid w:val="008413F3"/>
    <w:rsid w:val="00841571"/>
    <w:rsid w:val="00841AE7"/>
    <w:rsid w:val="00841DD3"/>
    <w:rsid w:val="008420C9"/>
    <w:rsid w:val="008424C4"/>
    <w:rsid w:val="008428B4"/>
    <w:rsid w:val="00842A29"/>
    <w:rsid w:val="00842C34"/>
    <w:rsid w:val="00842D4B"/>
    <w:rsid w:val="00842FB6"/>
    <w:rsid w:val="0084310F"/>
    <w:rsid w:val="008432B1"/>
    <w:rsid w:val="008433C9"/>
    <w:rsid w:val="00843458"/>
    <w:rsid w:val="00843593"/>
    <w:rsid w:val="00843939"/>
    <w:rsid w:val="0084429C"/>
    <w:rsid w:val="008447CA"/>
    <w:rsid w:val="00844950"/>
    <w:rsid w:val="00844B9A"/>
    <w:rsid w:val="00845058"/>
    <w:rsid w:val="0084511D"/>
    <w:rsid w:val="0084523F"/>
    <w:rsid w:val="00845B3B"/>
    <w:rsid w:val="00845BEA"/>
    <w:rsid w:val="0084640A"/>
    <w:rsid w:val="00846801"/>
    <w:rsid w:val="00846F4E"/>
    <w:rsid w:val="00847106"/>
    <w:rsid w:val="0084735D"/>
    <w:rsid w:val="00847CAF"/>
    <w:rsid w:val="00847EB9"/>
    <w:rsid w:val="00847F34"/>
    <w:rsid w:val="0085004F"/>
    <w:rsid w:val="00850317"/>
    <w:rsid w:val="008507BC"/>
    <w:rsid w:val="00850959"/>
    <w:rsid w:val="00850FA9"/>
    <w:rsid w:val="00851394"/>
    <w:rsid w:val="0085155F"/>
    <w:rsid w:val="00851886"/>
    <w:rsid w:val="00852044"/>
    <w:rsid w:val="00852217"/>
    <w:rsid w:val="00852258"/>
    <w:rsid w:val="008525F7"/>
    <w:rsid w:val="008528A3"/>
    <w:rsid w:val="00852C32"/>
    <w:rsid w:val="00852E95"/>
    <w:rsid w:val="0085308E"/>
    <w:rsid w:val="008532BA"/>
    <w:rsid w:val="008533F8"/>
    <w:rsid w:val="0085398A"/>
    <w:rsid w:val="00853A39"/>
    <w:rsid w:val="00853B38"/>
    <w:rsid w:val="00853B71"/>
    <w:rsid w:val="00853BDF"/>
    <w:rsid w:val="00853BF7"/>
    <w:rsid w:val="00853DDF"/>
    <w:rsid w:val="00853E68"/>
    <w:rsid w:val="00854085"/>
    <w:rsid w:val="008543FD"/>
    <w:rsid w:val="0085478A"/>
    <w:rsid w:val="00854BE8"/>
    <w:rsid w:val="00854FC5"/>
    <w:rsid w:val="0085527E"/>
    <w:rsid w:val="008555D7"/>
    <w:rsid w:val="0085571E"/>
    <w:rsid w:val="008558C0"/>
    <w:rsid w:val="00855B01"/>
    <w:rsid w:val="00855C09"/>
    <w:rsid w:val="00855EF0"/>
    <w:rsid w:val="00855F7A"/>
    <w:rsid w:val="00855F86"/>
    <w:rsid w:val="00856210"/>
    <w:rsid w:val="0085640B"/>
    <w:rsid w:val="00856540"/>
    <w:rsid w:val="00856881"/>
    <w:rsid w:val="00856B71"/>
    <w:rsid w:val="00856D02"/>
    <w:rsid w:val="00857360"/>
    <w:rsid w:val="008574F2"/>
    <w:rsid w:val="008576CC"/>
    <w:rsid w:val="0085786D"/>
    <w:rsid w:val="00857C69"/>
    <w:rsid w:val="00857DE0"/>
    <w:rsid w:val="008604EF"/>
    <w:rsid w:val="00860536"/>
    <w:rsid w:val="0086078B"/>
    <w:rsid w:val="00860920"/>
    <w:rsid w:val="0086098A"/>
    <w:rsid w:val="0086109E"/>
    <w:rsid w:val="00861113"/>
    <w:rsid w:val="00861819"/>
    <w:rsid w:val="00861D1A"/>
    <w:rsid w:val="00862101"/>
    <w:rsid w:val="00862112"/>
    <w:rsid w:val="008625E8"/>
    <w:rsid w:val="0086263D"/>
    <w:rsid w:val="0086276C"/>
    <w:rsid w:val="00862954"/>
    <w:rsid w:val="00862F2D"/>
    <w:rsid w:val="00862FE7"/>
    <w:rsid w:val="0086314F"/>
    <w:rsid w:val="00863217"/>
    <w:rsid w:val="008633AE"/>
    <w:rsid w:val="00863829"/>
    <w:rsid w:val="008639B6"/>
    <w:rsid w:val="00863ACF"/>
    <w:rsid w:val="00863BB8"/>
    <w:rsid w:val="00863CF0"/>
    <w:rsid w:val="00863D10"/>
    <w:rsid w:val="00863E40"/>
    <w:rsid w:val="00863E84"/>
    <w:rsid w:val="00864360"/>
    <w:rsid w:val="00864A84"/>
    <w:rsid w:val="00864AF6"/>
    <w:rsid w:val="00864D9F"/>
    <w:rsid w:val="0086505A"/>
    <w:rsid w:val="00865088"/>
    <w:rsid w:val="008650D1"/>
    <w:rsid w:val="008653F7"/>
    <w:rsid w:val="00865C5A"/>
    <w:rsid w:val="00865D97"/>
    <w:rsid w:val="00865E22"/>
    <w:rsid w:val="00865FB6"/>
    <w:rsid w:val="0086615E"/>
    <w:rsid w:val="00866647"/>
    <w:rsid w:val="0086675C"/>
    <w:rsid w:val="008667FE"/>
    <w:rsid w:val="00866831"/>
    <w:rsid w:val="00866A60"/>
    <w:rsid w:val="00866BB0"/>
    <w:rsid w:val="00866C84"/>
    <w:rsid w:val="00866CB5"/>
    <w:rsid w:val="00866D35"/>
    <w:rsid w:val="00866EB3"/>
    <w:rsid w:val="00866EF5"/>
    <w:rsid w:val="00866F70"/>
    <w:rsid w:val="0086781A"/>
    <w:rsid w:val="00867B27"/>
    <w:rsid w:val="00867BB6"/>
    <w:rsid w:val="00867D06"/>
    <w:rsid w:val="00867F99"/>
    <w:rsid w:val="00867FBD"/>
    <w:rsid w:val="00870025"/>
    <w:rsid w:val="0087064A"/>
    <w:rsid w:val="0087090D"/>
    <w:rsid w:val="00870B25"/>
    <w:rsid w:val="00870B6F"/>
    <w:rsid w:val="00870C91"/>
    <w:rsid w:val="00870CA7"/>
    <w:rsid w:val="00871364"/>
    <w:rsid w:val="00871379"/>
    <w:rsid w:val="008713A3"/>
    <w:rsid w:val="0087160C"/>
    <w:rsid w:val="00871823"/>
    <w:rsid w:val="008718D7"/>
    <w:rsid w:val="00872091"/>
    <w:rsid w:val="0087235E"/>
    <w:rsid w:val="0087264F"/>
    <w:rsid w:val="00872949"/>
    <w:rsid w:val="008730FD"/>
    <w:rsid w:val="00873347"/>
    <w:rsid w:val="0087346A"/>
    <w:rsid w:val="00873489"/>
    <w:rsid w:val="0087403E"/>
    <w:rsid w:val="0087442C"/>
    <w:rsid w:val="0087452A"/>
    <w:rsid w:val="0087490C"/>
    <w:rsid w:val="0087499A"/>
    <w:rsid w:val="008749F5"/>
    <w:rsid w:val="00874A2B"/>
    <w:rsid w:val="00874C91"/>
    <w:rsid w:val="00874F45"/>
    <w:rsid w:val="008756A4"/>
    <w:rsid w:val="008757A7"/>
    <w:rsid w:val="008758D2"/>
    <w:rsid w:val="00875D02"/>
    <w:rsid w:val="0087608E"/>
    <w:rsid w:val="0087629A"/>
    <w:rsid w:val="00876349"/>
    <w:rsid w:val="00876785"/>
    <w:rsid w:val="008768CF"/>
    <w:rsid w:val="0087694D"/>
    <w:rsid w:val="00876BFF"/>
    <w:rsid w:val="00876E00"/>
    <w:rsid w:val="008770D2"/>
    <w:rsid w:val="008772EC"/>
    <w:rsid w:val="008772F8"/>
    <w:rsid w:val="0087773B"/>
    <w:rsid w:val="00877BC5"/>
    <w:rsid w:val="00877F10"/>
    <w:rsid w:val="0088042D"/>
    <w:rsid w:val="0088071A"/>
    <w:rsid w:val="0088078F"/>
    <w:rsid w:val="008808E0"/>
    <w:rsid w:val="008808F8"/>
    <w:rsid w:val="00880A6F"/>
    <w:rsid w:val="00881031"/>
    <w:rsid w:val="008812F3"/>
    <w:rsid w:val="00881557"/>
    <w:rsid w:val="008815AC"/>
    <w:rsid w:val="0088185B"/>
    <w:rsid w:val="00881952"/>
    <w:rsid w:val="00881B4E"/>
    <w:rsid w:val="00881FF8"/>
    <w:rsid w:val="008823C1"/>
    <w:rsid w:val="0088243E"/>
    <w:rsid w:val="00882706"/>
    <w:rsid w:val="008827DC"/>
    <w:rsid w:val="008829DE"/>
    <w:rsid w:val="00882C05"/>
    <w:rsid w:val="00882D43"/>
    <w:rsid w:val="00882D64"/>
    <w:rsid w:val="00882DD7"/>
    <w:rsid w:val="00882F9D"/>
    <w:rsid w:val="008830AD"/>
    <w:rsid w:val="00883290"/>
    <w:rsid w:val="0088344F"/>
    <w:rsid w:val="008835DD"/>
    <w:rsid w:val="00883608"/>
    <w:rsid w:val="008836AD"/>
    <w:rsid w:val="008836C3"/>
    <w:rsid w:val="00883706"/>
    <w:rsid w:val="008838C9"/>
    <w:rsid w:val="008839FD"/>
    <w:rsid w:val="00883AE6"/>
    <w:rsid w:val="00883C24"/>
    <w:rsid w:val="00883F95"/>
    <w:rsid w:val="00883FF7"/>
    <w:rsid w:val="0088407B"/>
    <w:rsid w:val="00884427"/>
    <w:rsid w:val="00884567"/>
    <w:rsid w:val="008845AD"/>
    <w:rsid w:val="0088476F"/>
    <w:rsid w:val="00884986"/>
    <w:rsid w:val="00884F48"/>
    <w:rsid w:val="0088537D"/>
    <w:rsid w:val="00885655"/>
    <w:rsid w:val="008856AD"/>
    <w:rsid w:val="00885D1E"/>
    <w:rsid w:val="00885DAC"/>
    <w:rsid w:val="00885E78"/>
    <w:rsid w:val="00885F18"/>
    <w:rsid w:val="00886153"/>
    <w:rsid w:val="00886237"/>
    <w:rsid w:val="00886625"/>
    <w:rsid w:val="0088674F"/>
    <w:rsid w:val="00886864"/>
    <w:rsid w:val="00886AA1"/>
    <w:rsid w:val="00886C57"/>
    <w:rsid w:val="00886D29"/>
    <w:rsid w:val="00886EDA"/>
    <w:rsid w:val="008873AA"/>
    <w:rsid w:val="00887505"/>
    <w:rsid w:val="008875C6"/>
    <w:rsid w:val="00887647"/>
    <w:rsid w:val="0088764D"/>
    <w:rsid w:val="00887973"/>
    <w:rsid w:val="00887A18"/>
    <w:rsid w:val="00887D9B"/>
    <w:rsid w:val="00887F2E"/>
    <w:rsid w:val="008901D2"/>
    <w:rsid w:val="0089043E"/>
    <w:rsid w:val="00890827"/>
    <w:rsid w:val="008909FB"/>
    <w:rsid w:val="00890A36"/>
    <w:rsid w:val="00890ABA"/>
    <w:rsid w:val="00890ACF"/>
    <w:rsid w:val="00890B2C"/>
    <w:rsid w:val="00890F99"/>
    <w:rsid w:val="0089143F"/>
    <w:rsid w:val="008917A2"/>
    <w:rsid w:val="0089193D"/>
    <w:rsid w:val="00891CE5"/>
    <w:rsid w:val="00891D18"/>
    <w:rsid w:val="00891D21"/>
    <w:rsid w:val="00891DF8"/>
    <w:rsid w:val="0089226C"/>
    <w:rsid w:val="008923A9"/>
    <w:rsid w:val="008925CD"/>
    <w:rsid w:val="0089260D"/>
    <w:rsid w:val="00892C5E"/>
    <w:rsid w:val="008934D2"/>
    <w:rsid w:val="00893707"/>
    <w:rsid w:val="00893D93"/>
    <w:rsid w:val="00894323"/>
    <w:rsid w:val="0089434D"/>
    <w:rsid w:val="0089442C"/>
    <w:rsid w:val="00894620"/>
    <w:rsid w:val="008947D8"/>
    <w:rsid w:val="00894D93"/>
    <w:rsid w:val="00894D9E"/>
    <w:rsid w:val="00894E6F"/>
    <w:rsid w:val="0089542C"/>
    <w:rsid w:val="00895509"/>
    <w:rsid w:val="008956B3"/>
    <w:rsid w:val="0089594F"/>
    <w:rsid w:val="00895BD7"/>
    <w:rsid w:val="00895D03"/>
    <w:rsid w:val="008964B1"/>
    <w:rsid w:val="008965A3"/>
    <w:rsid w:val="008966F8"/>
    <w:rsid w:val="008968FB"/>
    <w:rsid w:val="00896AF5"/>
    <w:rsid w:val="00896E89"/>
    <w:rsid w:val="00896F05"/>
    <w:rsid w:val="008972B6"/>
    <w:rsid w:val="00897589"/>
    <w:rsid w:val="00897716"/>
    <w:rsid w:val="0089774C"/>
    <w:rsid w:val="00897913"/>
    <w:rsid w:val="00897B9D"/>
    <w:rsid w:val="00897F9E"/>
    <w:rsid w:val="008A03B6"/>
    <w:rsid w:val="008A07CC"/>
    <w:rsid w:val="008A090B"/>
    <w:rsid w:val="008A10F3"/>
    <w:rsid w:val="008A1146"/>
    <w:rsid w:val="008A11FD"/>
    <w:rsid w:val="008A1369"/>
    <w:rsid w:val="008A1473"/>
    <w:rsid w:val="008A1890"/>
    <w:rsid w:val="008A1B34"/>
    <w:rsid w:val="008A25EA"/>
    <w:rsid w:val="008A27D0"/>
    <w:rsid w:val="008A2833"/>
    <w:rsid w:val="008A28E4"/>
    <w:rsid w:val="008A2924"/>
    <w:rsid w:val="008A2A65"/>
    <w:rsid w:val="008A2EC2"/>
    <w:rsid w:val="008A317E"/>
    <w:rsid w:val="008A32CC"/>
    <w:rsid w:val="008A33EE"/>
    <w:rsid w:val="008A3441"/>
    <w:rsid w:val="008A381E"/>
    <w:rsid w:val="008A3C0D"/>
    <w:rsid w:val="008A3D1E"/>
    <w:rsid w:val="008A414A"/>
    <w:rsid w:val="008A4BF5"/>
    <w:rsid w:val="008A4C39"/>
    <w:rsid w:val="008A4C76"/>
    <w:rsid w:val="008A4C94"/>
    <w:rsid w:val="008A5326"/>
    <w:rsid w:val="008A5814"/>
    <w:rsid w:val="008A5AB9"/>
    <w:rsid w:val="008A5B16"/>
    <w:rsid w:val="008A5D4D"/>
    <w:rsid w:val="008A5F56"/>
    <w:rsid w:val="008A609D"/>
    <w:rsid w:val="008A6AD0"/>
    <w:rsid w:val="008A6AD3"/>
    <w:rsid w:val="008A6B71"/>
    <w:rsid w:val="008A6F74"/>
    <w:rsid w:val="008A729B"/>
    <w:rsid w:val="008A7808"/>
    <w:rsid w:val="008A7A82"/>
    <w:rsid w:val="008A7C1F"/>
    <w:rsid w:val="008A7EBF"/>
    <w:rsid w:val="008A7F29"/>
    <w:rsid w:val="008B005E"/>
    <w:rsid w:val="008B051C"/>
    <w:rsid w:val="008B058F"/>
    <w:rsid w:val="008B0688"/>
    <w:rsid w:val="008B0A9C"/>
    <w:rsid w:val="008B0B9D"/>
    <w:rsid w:val="008B0C67"/>
    <w:rsid w:val="008B0D3D"/>
    <w:rsid w:val="008B132E"/>
    <w:rsid w:val="008B150B"/>
    <w:rsid w:val="008B1AE6"/>
    <w:rsid w:val="008B1F05"/>
    <w:rsid w:val="008B1F1D"/>
    <w:rsid w:val="008B1F24"/>
    <w:rsid w:val="008B20DA"/>
    <w:rsid w:val="008B2292"/>
    <w:rsid w:val="008B27B7"/>
    <w:rsid w:val="008B285E"/>
    <w:rsid w:val="008B2ACF"/>
    <w:rsid w:val="008B30E3"/>
    <w:rsid w:val="008B30F5"/>
    <w:rsid w:val="008B36F1"/>
    <w:rsid w:val="008B391F"/>
    <w:rsid w:val="008B3BAA"/>
    <w:rsid w:val="008B3D0A"/>
    <w:rsid w:val="008B41E0"/>
    <w:rsid w:val="008B43E2"/>
    <w:rsid w:val="008B454C"/>
    <w:rsid w:val="008B45B8"/>
    <w:rsid w:val="008B4620"/>
    <w:rsid w:val="008B4A5C"/>
    <w:rsid w:val="008B5067"/>
    <w:rsid w:val="008B5350"/>
    <w:rsid w:val="008B5AE1"/>
    <w:rsid w:val="008B5B9B"/>
    <w:rsid w:val="008B5DFB"/>
    <w:rsid w:val="008B68AB"/>
    <w:rsid w:val="008B6F4C"/>
    <w:rsid w:val="008B6FA4"/>
    <w:rsid w:val="008B722A"/>
    <w:rsid w:val="008B7626"/>
    <w:rsid w:val="008B786B"/>
    <w:rsid w:val="008B790E"/>
    <w:rsid w:val="008C0520"/>
    <w:rsid w:val="008C0B6F"/>
    <w:rsid w:val="008C0BE6"/>
    <w:rsid w:val="008C0C44"/>
    <w:rsid w:val="008C0C68"/>
    <w:rsid w:val="008C0EB9"/>
    <w:rsid w:val="008C105F"/>
    <w:rsid w:val="008C106A"/>
    <w:rsid w:val="008C1154"/>
    <w:rsid w:val="008C14C7"/>
    <w:rsid w:val="008C1695"/>
    <w:rsid w:val="008C205A"/>
    <w:rsid w:val="008C219C"/>
    <w:rsid w:val="008C21EB"/>
    <w:rsid w:val="008C239B"/>
    <w:rsid w:val="008C2427"/>
    <w:rsid w:val="008C249C"/>
    <w:rsid w:val="008C2633"/>
    <w:rsid w:val="008C2A3F"/>
    <w:rsid w:val="008C2A6D"/>
    <w:rsid w:val="008C2D9D"/>
    <w:rsid w:val="008C3115"/>
    <w:rsid w:val="008C3626"/>
    <w:rsid w:val="008C47C2"/>
    <w:rsid w:val="008C4B86"/>
    <w:rsid w:val="008C4E82"/>
    <w:rsid w:val="008C5311"/>
    <w:rsid w:val="008C53A7"/>
    <w:rsid w:val="008C5A11"/>
    <w:rsid w:val="008C5B30"/>
    <w:rsid w:val="008C5C2B"/>
    <w:rsid w:val="008C5CFB"/>
    <w:rsid w:val="008C6007"/>
    <w:rsid w:val="008C62C6"/>
    <w:rsid w:val="008C63DC"/>
    <w:rsid w:val="008C6611"/>
    <w:rsid w:val="008C67AF"/>
    <w:rsid w:val="008C6861"/>
    <w:rsid w:val="008C6CCB"/>
    <w:rsid w:val="008C6EED"/>
    <w:rsid w:val="008C75EA"/>
    <w:rsid w:val="008C7B03"/>
    <w:rsid w:val="008C7B1B"/>
    <w:rsid w:val="008D015B"/>
    <w:rsid w:val="008D06AE"/>
    <w:rsid w:val="008D0915"/>
    <w:rsid w:val="008D0BB5"/>
    <w:rsid w:val="008D1311"/>
    <w:rsid w:val="008D15A8"/>
    <w:rsid w:val="008D1672"/>
    <w:rsid w:val="008D188D"/>
    <w:rsid w:val="008D1A50"/>
    <w:rsid w:val="008D1C79"/>
    <w:rsid w:val="008D2303"/>
    <w:rsid w:val="008D28CB"/>
    <w:rsid w:val="008D29BC"/>
    <w:rsid w:val="008D2B0D"/>
    <w:rsid w:val="008D2E2C"/>
    <w:rsid w:val="008D2F33"/>
    <w:rsid w:val="008D30C2"/>
    <w:rsid w:val="008D3137"/>
    <w:rsid w:val="008D328B"/>
    <w:rsid w:val="008D3382"/>
    <w:rsid w:val="008D3534"/>
    <w:rsid w:val="008D357E"/>
    <w:rsid w:val="008D368B"/>
    <w:rsid w:val="008D37C1"/>
    <w:rsid w:val="008D37CE"/>
    <w:rsid w:val="008D3A6A"/>
    <w:rsid w:val="008D3F08"/>
    <w:rsid w:val="008D3FC9"/>
    <w:rsid w:val="008D409A"/>
    <w:rsid w:val="008D426A"/>
    <w:rsid w:val="008D465E"/>
    <w:rsid w:val="008D4695"/>
    <w:rsid w:val="008D4B0F"/>
    <w:rsid w:val="008D4BC8"/>
    <w:rsid w:val="008D4D32"/>
    <w:rsid w:val="008D5239"/>
    <w:rsid w:val="008D5390"/>
    <w:rsid w:val="008D5393"/>
    <w:rsid w:val="008D5572"/>
    <w:rsid w:val="008D56FD"/>
    <w:rsid w:val="008D5723"/>
    <w:rsid w:val="008D5ADF"/>
    <w:rsid w:val="008D5AFB"/>
    <w:rsid w:val="008D62A1"/>
    <w:rsid w:val="008D6683"/>
    <w:rsid w:val="008D6A30"/>
    <w:rsid w:val="008D6E9E"/>
    <w:rsid w:val="008D6F5E"/>
    <w:rsid w:val="008D70B1"/>
    <w:rsid w:val="008D727A"/>
    <w:rsid w:val="008D72D5"/>
    <w:rsid w:val="008D76F4"/>
    <w:rsid w:val="008D7805"/>
    <w:rsid w:val="008D7850"/>
    <w:rsid w:val="008D7BF0"/>
    <w:rsid w:val="008D7DCD"/>
    <w:rsid w:val="008E035C"/>
    <w:rsid w:val="008E03A1"/>
    <w:rsid w:val="008E0689"/>
    <w:rsid w:val="008E0938"/>
    <w:rsid w:val="008E0F5A"/>
    <w:rsid w:val="008E120A"/>
    <w:rsid w:val="008E128C"/>
    <w:rsid w:val="008E135D"/>
    <w:rsid w:val="008E1659"/>
    <w:rsid w:val="008E1971"/>
    <w:rsid w:val="008E1DE3"/>
    <w:rsid w:val="008E1DF3"/>
    <w:rsid w:val="008E21E5"/>
    <w:rsid w:val="008E22E4"/>
    <w:rsid w:val="008E289E"/>
    <w:rsid w:val="008E299F"/>
    <w:rsid w:val="008E29F8"/>
    <w:rsid w:val="008E3200"/>
    <w:rsid w:val="008E3A0E"/>
    <w:rsid w:val="008E3E39"/>
    <w:rsid w:val="008E4541"/>
    <w:rsid w:val="008E46CD"/>
    <w:rsid w:val="008E48C6"/>
    <w:rsid w:val="008E4A17"/>
    <w:rsid w:val="008E4B34"/>
    <w:rsid w:val="008E5591"/>
    <w:rsid w:val="008E56FD"/>
    <w:rsid w:val="008E5BA9"/>
    <w:rsid w:val="008E5C1E"/>
    <w:rsid w:val="008E5E2C"/>
    <w:rsid w:val="008E65D2"/>
    <w:rsid w:val="008E6C7E"/>
    <w:rsid w:val="008E6C9E"/>
    <w:rsid w:val="008E755A"/>
    <w:rsid w:val="008E7A2A"/>
    <w:rsid w:val="008E7B53"/>
    <w:rsid w:val="008E7D0D"/>
    <w:rsid w:val="008E7D54"/>
    <w:rsid w:val="008E7DBC"/>
    <w:rsid w:val="008F0091"/>
    <w:rsid w:val="008F00F7"/>
    <w:rsid w:val="008F01F6"/>
    <w:rsid w:val="008F06F4"/>
    <w:rsid w:val="008F088B"/>
    <w:rsid w:val="008F094D"/>
    <w:rsid w:val="008F0CF4"/>
    <w:rsid w:val="008F10DA"/>
    <w:rsid w:val="008F1230"/>
    <w:rsid w:val="008F12B4"/>
    <w:rsid w:val="008F16AD"/>
    <w:rsid w:val="008F1787"/>
    <w:rsid w:val="008F1B78"/>
    <w:rsid w:val="008F1D1E"/>
    <w:rsid w:val="008F21AE"/>
    <w:rsid w:val="008F22CF"/>
    <w:rsid w:val="008F2564"/>
    <w:rsid w:val="008F2B25"/>
    <w:rsid w:val="008F3023"/>
    <w:rsid w:val="008F30CA"/>
    <w:rsid w:val="008F3167"/>
    <w:rsid w:val="008F3244"/>
    <w:rsid w:val="008F3731"/>
    <w:rsid w:val="008F38C9"/>
    <w:rsid w:val="008F38D8"/>
    <w:rsid w:val="008F393C"/>
    <w:rsid w:val="008F3D0D"/>
    <w:rsid w:val="008F3E61"/>
    <w:rsid w:val="008F3EE7"/>
    <w:rsid w:val="008F4350"/>
    <w:rsid w:val="008F442F"/>
    <w:rsid w:val="008F458C"/>
    <w:rsid w:val="008F4F3E"/>
    <w:rsid w:val="008F51AD"/>
    <w:rsid w:val="008F53D2"/>
    <w:rsid w:val="008F5A5D"/>
    <w:rsid w:val="008F5D7F"/>
    <w:rsid w:val="008F5EEA"/>
    <w:rsid w:val="008F5FC0"/>
    <w:rsid w:val="008F61BE"/>
    <w:rsid w:val="008F622B"/>
    <w:rsid w:val="008F634F"/>
    <w:rsid w:val="008F63CC"/>
    <w:rsid w:val="008F6658"/>
    <w:rsid w:val="008F6BE9"/>
    <w:rsid w:val="008F6C52"/>
    <w:rsid w:val="008F6CBD"/>
    <w:rsid w:val="008F6E66"/>
    <w:rsid w:val="008F6ECE"/>
    <w:rsid w:val="008F7505"/>
    <w:rsid w:val="008F7775"/>
    <w:rsid w:val="008F7941"/>
    <w:rsid w:val="008F7CB1"/>
    <w:rsid w:val="009002BB"/>
    <w:rsid w:val="00900706"/>
    <w:rsid w:val="009007E3"/>
    <w:rsid w:val="00900FDC"/>
    <w:rsid w:val="009010CA"/>
    <w:rsid w:val="00901504"/>
    <w:rsid w:val="009017E9"/>
    <w:rsid w:val="0090188E"/>
    <w:rsid w:val="00901BD2"/>
    <w:rsid w:val="00901CA6"/>
    <w:rsid w:val="00901CED"/>
    <w:rsid w:val="00901D8A"/>
    <w:rsid w:val="00901E18"/>
    <w:rsid w:val="00901EFA"/>
    <w:rsid w:val="0090244E"/>
    <w:rsid w:val="009024C9"/>
    <w:rsid w:val="0090275F"/>
    <w:rsid w:val="009032B8"/>
    <w:rsid w:val="009033F9"/>
    <w:rsid w:val="0090362E"/>
    <w:rsid w:val="0090371C"/>
    <w:rsid w:val="00903757"/>
    <w:rsid w:val="00903853"/>
    <w:rsid w:val="009038B0"/>
    <w:rsid w:val="00903964"/>
    <w:rsid w:val="009039A0"/>
    <w:rsid w:val="00903BE3"/>
    <w:rsid w:val="00903C16"/>
    <w:rsid w:val="00903CF0"/>
    <w:rsid w:val="00903E42"/>
    <w:rsid w:val="009047CB"/>
    <w:rsid w:val="00904CC7"/>
    <w:rsid w:val="00904F83"/>
    <w:rsid w:val="00905086"/>
    <w:rsid w:val="00905278"/>
    <w:rsid w:val="009052F3"/>
    <w:rsid w:val="009055D1"/>
    <w:rsid w:val="00905A79"/>
    <w:rsid w:val="00905D34"/>
    <w:rsid w:val="00905E3D"/>
    <w:rsid w:val="00906143"/>
    <w:rsid w:val="00906301"/>
    <w:rsid w:val="0090645D"/>
    <w:rsid w:val="00906506"/>
    <w:rsid w:val="00906589"/>
    <w:rsid w:val="00906677"/>
    <w:rsid w:val="0090670D"/>
    <w:rsid w:val="009068E3"/>
    <w:rsid w:val="00906A7B"/>
    <w:rsid w:val="00906C92"/>
    <w:rsid w:val="009071FC"/>
    <w:rsid w:val="009073A1"/>
    <w:rsid w:val="00907425"/>
    <w:rsid w:val="00907984"/>
    <w:rsid w:val="00907986"/>
    <w:rsid w:val="00907B03"/>
    <w:rsid w:val="00907D13"/>
    <w:rsid w:val="00907E21"/>
    <w:rsid w:val="00910158"/>
    <w:rsid w:val="009101AF"/>
    <w:rsid w:val="009103B9"/>
    <w:rsid w:val="00910687"/>
    <w:rsid w:val="00910930"/>
    <w:rsid w:val="00910D01"/>
    <w:rsid w:val="009111EF"/>
    <w:rsid w:val="0091167E"/>
    <w:rsid w:val="00911745"/>
    <w:rsid w:val="00911D06"/>
    <w:rsid w:val="00911E43"/>
    <w:rsid w:val="00911F64"/>
    <w:rsid w:val="009120A3"/>
    <w:rsid w:val="0091249C"/>
    <w:rsid w:val="00912715"/>
    <w:rsid w:val="00912B83"/>
    <w:rsid w:val="00912BDD"/>
    <w:rsid w:val="00912CCE"/>
    <w:rsid w:val="00912E3A"/>
    <w:rsid w:val="0091333A"/>
    <w:rsid w:val="0091333B"/>
    <w:rsid w:val="009135DF"/>
    <w:rsid w:val="00913654"/>
    <w:rsid w:val="0091386E"/>
    <w:rsid w:val="009139C8"/>
    <w:rsid w:val="009139F3"/>
    <w:rsid w:val="00913A37"/>
    <w:rsid w:val="00913FF5"/>
    <w:rsid w:val="0091402E"/>
    <w:rsid w:val="00914243"/>
    <w:rsid w:val="00914420"/>
    <w:rsid w:val="0091444B"/>
    <w:rsid w:val="00914A21"/>
    <w:rsid w:val="00914C4A"/>
    <w:rsid w:val="00914C64"/>
    <w:rsid w:val="00914E3F"/>
    <w:rsid w:val="00914F3D"/>
    <w:rsid w:val="009152C7"/>
    <w:rsid w:val="00915741"/>
    <w:rsid w:val="0091584E"/>
    <w:rsid w:val="009160A3"/>
    <w:rsid w:val="009164EB"/>
    <w:rsid w:val="00916DFF"/>
    <w:rsid w:val="00916E41"/>
    <w:rsid w:val="00917077"/>
    <w:rsid w:val="009171D9"/>
    <w:rsid w:val="009176F3"/>
    <w:rsid w:val="009178BC"/>
    <w:rsid w:val="00917B87"/>
    <w:rsid w:val="00917DAD"/>
    <w:rsid w:val="00917FAF"/>
    <w:rsid w:val="00920097"/>
    <w:rsid w:val="009205C8"/>
    <w:rsid w:val="0092097B"/>
    <w:rsid w:val="00920AC1"/>
    <w:rsid w:val="00920C89"/>
    <w:rsid w:val="00920CA7"/>
    <w:rsid w:val="009212CA"/>
    <w:rsid w:val="00921B5A"/>
    <w:rsid w:val="00921B82"/>
    <w:rsid w:val="00921B87"/>
    <w:rsid w:val="00921E48"/>
    <w:rsid w:val="00921E6B"/>
    <w:rsid w:val="00921E86"/>
    <w:rsid w:val="00922555"/>
    <w:rsid w:val="009227A5"/>
    <w:rsid w:val="00922CF5"/>
    <w:rsid w:val="00922EF7"/>
    <w:rsid w:val="00923025"/>
    <w:rsid w:val="009232A2"/>
    <w:rsid w:val="0092342D"/>
    <w:rsid w:val="00923973"/>
    <w:rsid w:val="00923A71"/>
    <w:rsid w:val="00923DDD"/>
    <w:rsid w:val="00923E61"/>
    <w:rsid w:val="0092408E"/>
    <w:rsid w:val="0092462C"/>
    <w:rsid w:val="00924649"/>
    <w:rsid w:val="009247F6"/>
    <w:rsid w:val="0092486D"/>
    <w:rsid w:val="00924B95"/>
    <w:rsid w:val="00924DFC"/>
    <w:rsid w:val="00924FF7"/>
    <w:rsid w:val="009253F5"/>
    <w:rsid w:val="009254B9"/>
    <w:rsid w:val="00925525"/>
    <w:rsid w:val="00925953"/>
    <w:rsid w:val="009259FA"/>
    <w:rsid w:val="00925A2C"/>
    <w:rsid w:val="00925C6E"/>
    <w:rsid w:val="00925E87"/>
    <w:rsid w:val="00925F1B"/>
    <w:rsid w:val="009265B2"/>
    <w:rsid w:val="00926941"/>
    <w:rsid w:val="00926A56"/>
    <w:rsid w:val="00926AB2"/>
    <w:rsid w:val="00926AD9"/>
    <w:rsid w:val="00926B4A"/>
    <w:rsid w:val="00926D60"/>
    <w:rsid w:val="00926DF3"/>
    <w:rsid w:val="00927386"/>
    <w:rsid w:val="00927895"/>
    <w:rsid w:val="009278FB"/>
    <w:rsid w:val="00927AB2"/>
    <w:rsid w:val="00927B7A"/>
    <w:rsid w:val="00927C84"/>
    <w:rsid w:val="00927DD2"/>
    <w:rsid w:val="0093005A"/>
    <w:rsid w:val="00930837"/>
    <w:rsid w:val="00930C00"/>
    <w:rsid w:val="00930D64"/>
    <w:rsid w:val="00930EAF"/>
    <w:rsid w:val="00931025"/>
    <w:rsid w:val="009310FE"/>
    <w:rsid w:val="009311C9"/>
    <w:rsid w:val="00931500"/>
    <w:rsid w:val="009315B8"/>
    <w:rsid w:val="009316CD"/>
    <w:rsid w:val="00931961"/>
    <w:rsid w:val="009319F1"/>
    <w:rsid w:val="00931B26"/>
    <w:rsid w:val="00931C02"/>
    <w:rsid w:val="00931C3D"/>
    <w:rsid w:val="00931CC9"/>
    <w:rsid w:val="00931D99"/>
    <w:rsid w:val="00931DB0"/>
    <w:rsid w:val="00931DE4"/>
    <w:rsid w:val="00932280"/>
    <w:rsid w:val="009323B1"/>
    <w:rsid w:val="0093294A"/>
    <w:rsid w:val="00932CEF"/>
    <w:rsid w:val="00932E37"/>
    <w:rsid w:val="00932F0A"/>
    <w:rsid w:val="00933129"/>
    <w:rsid w:val="00933BBC"/>
    <w:rsid w:val="00933C1A"/>
    <w:rsid w:val="00933DA1"/>
    <w:rsid w:val="00934256"/>
    <w:rsid w:val="00934684"/>
    <w:rsid w:val="00934862"/>
    <w:rsid w:val="00934B05"/>
    <w:rsid w:val="00935A55"/>
    <w:rsid w:val="00935AD2"/>
    <w:rsid w:val="009366D3"/>
    <w:rsid w:val="0093695E"/>
    <w:rsid w:val="00936A0A"/>
    <w:rsid w:val="00936AD9"/>
    <w:rsid w:val="00936C43"/>
    <w:rsid w:val="009373B7"/>
    <w:rsid w:val="0093751E"/>
    <w:rsid w:val="00937842"/>
    <w:rsid w:val="00937958"/>
    <w:rsid w:val="00937C4E"/>
    <w:rsid w:val="00940C23"/>
    <w:rsid w:val="00940ED7"/>
    <w:rsid w:val="009411FB"/>
    <w:rsid w:val="00941217"/>
    <w:rsid w:val="00941329"/>
    <w:rsid w:val="0094148F"/>
    <w:rsid w:val="0094159B"/>
    <w:rsid w:val="009415DA"/>
    <w:rsid w:val="00941809"/>
    <w:rsid w:val="00941969"/>
    <w:rsid w:val="00941DCE"/>
    <w:rsid w:val="00941FF5"/>
    <w:rsid w:val="0094275E"/>
    <w:rsid w:val="00942E40"/>
    <w:rsid w:val="00943225"/>
    <w:rsid w:val="00943244"/>
    <w:rsid w:val="0094346A"/>
    <w:rsid w:val="00943669"/>
    <w:rsid w:val="009439F6"/>
    <w:rsid w:val="00943E37"/>
    <w:rsid w:val="0094413F"/>
    <w:rsid w:val="0094435C"/>
    <w:rsid w:val="009446E5"/>
    <w:rsid w:val="009448CE"/>
    <w:rsid w:val="00944994"/>
    <w:rsid w:val="00944D51"/>
    <w:rsid w:val="00944E91"/>
    <w:rsid w:val="009456C6"/>
    <w:rsid w:val="009456ED"/>
    <w:rsid w:val="00945B2C"/>
    <w:rsid w:val="00945D45"/>
    <w:rsid w:val="00946176"/>
    <w:rsid w:val="009467AB"/>
    <w:rsid w:val="00946BEC"/>
    <w:rsid w:val="0094724E"/>
    <w:rsid w:val="009473E0"/>
    <w:rsid w:val="00947687"/>
    <w:rsid w:val="009476EF"/>
    <w:rsid w:val="00947AA8"/>
    <w:rsid w:val="00947AFC"/>
    <w:rsid w:val="00947B4F"/>
    <w:rsid w:val="00947C72"/>
    <w:rsid w:val="00947C9E"/>
    <w:rsid w:val="00947E2D"/>
    <w:rsid w:val="00947EDF"/>
    <w:rsid w:val="0095018E"/>
    <w:rsid w:val="009504D3"/>
    <w:rsid w:val="0095054D"/>
    <w:rsid w:val="0095088E"/>
    <w:rsid w:val="00950915"/>
    <w:rsid w:val="00950A22"/>
    <w:rsid w:val="00950C53"/>
    <w:rsid w:val="00950F9F"/>
    <w:rsid w:val="0095144C"/>
    <w:rsid w:val="009514DC"/>
    <w:rsid w:val="009514EF"/>
    <w:rsid w:val="009515F4"/>
    <w:rsid w:val="00951887"/>
    <w:rsid w:val="00951F4E"/>
    <w:rsid w:val="0095224C"/>
    <w:rsid w:val="009522B7"/>
    <w:rsid w:val="009522C0"/>
    <w:rsid w:val="0095237A"/>
    <w:rsid w:val="00952410"/>
    <w:rsid w:val="009525ED"/>
    <w:rsid w:val="009526EA"/>
    <w:rsid w:val="00952722"/>
    <w:rsid w:val="009528CB"/>
    <w:rsid w:val="00952A0D"/>
    <w:rsid w:val="00952AE0"/>
    <w:rsid w:val="00952C05"/>
    <w:rsid w:val="0095304B"/>
    <w:rsid w:val="00953816"/>
    <w:rsid w:val="009538E3"/>
    <w:rsid w:val="009539BB"/>
    <w:rsid w:val="009546FC"/>
    <w:rsid w:val="00954A45"/>
    <w:rsid w:val="00954DB5"/>
    <w:rsid w:val="00954EE7"/>
    <w:rsid w:val="0095550D"/>
    <w:rsid w:val="0095555A"/>
    <w:rsid w:val="009555CE"/>
    <w:rsid w:val="009559A2"/>
    <w:rsid w:val="0095616D"/>
    <w:rsid w:val="009563C1"/>
    <w:rsid w:val="00956A0C"/>
    <w:rsid w:val="00957177"/>
    <w:rsid w:val="009577EB"/>
    <w:rsid w:val="009578A0"/>
    <w:rsid w:val="009579C4"/>
    <w:rsid w:val="009579FD"/>
    <w:rsid w:val="00957B34"/>
    <w:rsid w:val="009604E3"/>
    <w:rsid w:val="009605BA"/>
    <w:rsid w:val="0096064A"/>
    <w:rsid w:val="00960926"/>
    <w:rsid w:val="009609E9"/>
    <w:rsid w:val="00960EB3"/>
    <w:rsid w:val="0096138B"/>
    <w:rsid w:val="0096148E"/>
    <w:rsid w:val="00961B97"/>
    <w:rsid w:val="00961C2C"/>
    <w:rsid w:val="00961D05"/>
    <w:rsid w:val="009624E4"/>
    <w:rsid w:val="009625F4"/>
    <w:rsid w:val="00962735"/>
    <w:rsid w:val="0096278F"/>
    <w:rsid w:val="009628F6"/>
    <w:rsid w:val="00962C22"/>
    <w:rsid w:val="00962C64"/>
    <w:rsid w:val="00962D07"/>
    <w:rsid w:val="00962EA5"/>
    <w:rsid w:val="00962FFC"/>
    <w:rsid w:val="00963126"/>
    <w:rsid w:val="009633B5"/>
    <w:rsid w:val="00963726"/>
    <w:rsid w:val="0096393B"/>
    <w:rsid w:val="00963BC0"/>
    <w:rsid w:val="009643F9"/>
    <w:rsid w:val="009646D8"/>
    <w:rsid w:val="00964740"/>
    <w:rsid w:val="00964CA6"/>
    <w:rsid w:val="00964E4B"/>
    <w:rsid w:val="00965319"/>
    <w:rsid w:val="00965386"/>
    <w:rsid w:val="00965870"/>
    <w:rsid w:val="00965A7A"/>
    <w:rsid w:val="00965DF1"/>
    <w:rsid w:val="00965E73"/>
    <w:rsid w:val="00966062"/>
    <w:rsid w:val="0096618F"/>
    <w:rsid w:val="00966853"/>
    <w:rsid w:val="00966DAC"/>
    <w:rsid w:val="0096702A"/>
    <w:rsid w:val="00967044"/>
    <w:rsid w:val="0096707E"/>
    <w:rsid w:val="00967632"/>
    <w:rsid w:val="00967941"/>
    <w:rsid w:val="00967C90"/>
    <w:rsid w:val="00967EF0"/>
    <w:rsid w:val="0097004B"/>
    <w:rsid w:val="009703C1"/>
    <w:rsid w:val="009703CF"/>
    <w:rsid w:val="00970518"/>
    <w:rsid w:val="0097055F"/>
    <w:rsid w:val="00970679"/>
    <w:rsid w:val="00970A33"/>
    <w:rsid w:val="00970ABE"/>
    <w:rsid w:val="00970C6D"/>
    <w:rsid w:val="00970C95"/>
    <w:rsid w:val="00970D34"/>
    <w:rsid w:val="00971284"/>
    <w:rsid w:val="0097132C"/>
    <w:rsid w:val="009719E2"/>
    <w:rsid w:val="00971ACF"/>
    <w:rsid w:val="00971BCD"/>
    <w:rsid w:val="00971CB1"/>
    <w:rsid w:val="00972110"/>
    <w:rsid w:val="009726AA"/>
    <w:rsid w:val="00972A81"/>
    <w:rsid w:val="00972CC0"/>
    <w:rsid w:val="009732CE"/>
    <w:rsid w:val="00973894"/>
    <w:rsid w:val="009738FF"/>
    <w:rsid w:val="009739B7"/>
    <w:rsid w:val="00973A46"/>
    <w:rsid w:val="00973AAE"/>
    <w:rsid w:val="00973D0E"/>
    <w:rsid w:val="0097418D"/>
    <w:rsid w:val="009743B3"/>
    <w:rsid w:val="0097450A"/>
    <w:rsid w:val="0097463B"/>
    <w:rsid w:val="009749C6"/>
    <w:rsid w:val="00974B20"/>
    <w:rsid w:val="00974C8C"/>
    <w:rsid w:val="00974CD7"/>
    <w:rsid w:val="0097582C"/>
    <w:rsid w:val="009759AD"/>
    <w:rsid w:val="00975B6B"/>
    <w:rsid w:val="00975CDC"/>
    <w:rsid w:val="00976053"/>
    <w:rsid w:val="00976449"/>
    <w:rsid w:val="009766A6"/>
    <w:rsid w:val="009769BF"/>
    <w:rsid w:val="00976B10"/>
    <w:rsid w:val="00976ED5"/>
    <w:rsid w:val="009771B8"/>
    <w:rsid w:val="009772EE"/>
    <w:rsid w:val="0097746A"/>
    <w:rsid w:val="009775B9"/>
    <w:rsid w:val="009777ED"/>
    <w:rsid w:val="00977960"/>
    <w:rsid w:val="00977A53"/>
    <w:rsid w:val="00977B19"/>
    <w:rsid w:val="00977DE4"/>
    <w:rsid w:val="0098017A"/>
    <w:rsid w:val="0098056F"/>
    <w:rsid w:val="0098092D"/>
    <w:rsid w:val="00980946"/>
    <w:rsid w:val="009809A5"/>
    <w:rsid w:val="00980E9C"/>
    <w:rsid w:val="009810C1"/>
    <w:rsid w:val="00981320"/>
    <w:rsid w:val="00981A20"/>
    <w:rsid w:val="00981BAF"/>
    <w:rsid w:val="00981FDE"/>
    <w:rsid w:val="009821C3"/>
    <w:rsid w:val="009821EC"/>
    <w:rsid w:val="0098232E"/>
    <w:rsid w:val="0098248C"/>
    <w:rsid w:val="00982612"/>
    <w:rsid w:val="00982852"/>
    <w:rsid w:val="009830F1"/>
    <w:rsid w:val="0098315A"/>
    <w:rsid w:val="0098360D"/>
    <w:rsid w:val="009839E2"/>
    <w:rsid w:val="00983B95"/>
    <w:rsid w:val="00983C17"/>
    <w:rsid w:val="009840B7"/>
    <w:rsid w:val="009840CA"/>
    <w:rsid w:val="00984D4A"/>
    <w:rsid w:val="00984DC8"/>
    <w:rsid w:val="00985324"/>
    <w:rsid w:val="00985482"/>
    <w:rsid w:val="00985627"/>
    <w:rsid w:val="009856D7"/>
    <w:rsid w:val="0098625E"/>
    <w:rsid w:val="00986368"/>
    <w:rsid w:val="0098638E"/>
    <w:rsid w:val="009863A4"/>
    <w:rsid w:val="009865C9"/>
    <w:rsid w:val="00986B7D"/>
    <w:rsid w:val="00986F3E"/>
    <w:rsid w:val="0098746D"/>
    <w:rsid w:val="009876B1"/>
    <w:rsid w:val="00987B51"/>
    <w:rsid w:val="00987CD3"/>
    <w:rsid w:val="00990079"/>
    <w:rsid w:val="009902B3"/>
    <w:rsid w:val="00990395"/>
    <w:rsid w:val="009904A4"/>
    <w:rsid w:val="009904FE"/>
    <w:rsid w:val="00990508"/>
    <w:rsid w:val="00990A63"/>
    <w:rsid w:val="00990B7A"/>
    <w:rsid w:val="00990C59"/>
    <w:rsid w:val="00990CA8"/>
    <w:rsid w:val="00990E77"/>
    <w:rsid w:val="009912A6"/>
    <w:rsid w:val="009915E6"/>
    <w:rsid w:val="00991698"/>
    <w:rsid w:val="009918F2"/>
    <w:rsid w:val="00991CEB"/>
    <w:rsid w:val="00991D37"/>
    <w:rsid w:val="009924B8"/>
    <w:rsid w:val="0099278F"/>
    <w:rsid w:val="009928B3"/>
    <w:rsid w:val="00993112"/>
    <w:rsid w:val="0099323B"/>
    <w:rsid w:val="0099352C"/>
    <w:rsid w:val="0099390B"/>
    <w:rsid w:val="00993A0B"/>
    <w:rsid w:val="00993AA0"/>
    <w:rsid w:val="00993D31"/>
    <w:rsid w:val="00993E2C"/>
    <w:rsid w:val="00994607"/>
    <w:rsid w:val="009949CD"/>
    <w:rsid w:val="00994A68"/>
    <w:rsid w:val="00994B77"/>
    <w:rsid w:val="00994E72"/>
    <w:rsid w:val="00995058"/>
    <w:rsid w:val="00995106"/>
    <w:rsid w:val="00995C00"/>
    <w:rsid w:val="00995CAC"/>
    <w:rsid w:val="00995D6F"/>
    <w:rsid w:val="00996372"/>
    <w:rsid w:val="009964A2"/>
    <w:rsid w:val="0099661D"/>
    <w:rsid w:val="00996686"/>
    <w:rsid w:val="0099671C"/>
    <w:rsid w:val="009967B8"/>
    <w:rsid w:val="009967E7"/>
    <w:rsid w:val="00996890"/>
    <w:rsid w:val="00996A11"/>
    <w:rsid w:val="009971AA"/>
    <w:rsid w:val="009972FB"/>
    <w:rsid w:val="0099753D"/>
    <w:rsid w:val="00997ABC"/>
    <w:rsid w:val="00997FF2"/>
    <w:rsid w:val="009A0159"/>
    <w:rsid w:val="009A0674"/>
    <w:rsid w:val="009A06CD"/>
    <w:rsid w:val="009A08C7"/>
    <w:rsid w:val="009A0CE8"/>
    <w:rsid w:val="009A1232"/>
    <w:rsid w:val="009A1333"/>
    <w:rsid w:val="009A16C9"/>
    <w:rsid w:val="009A18BD"/>
    <w:rsid w:val="009A18C7"/>
    <w:rsid w:val="009A2168"/>
    <w:rsid w:val="009A23AE"/>
    <w:rsid w:val="009A2416"/>
    <w:rsid w:val="009A25AE"/>
    <w:rsid w:val="009A25B9"/>
    <w:rsid w:val="009A29D1"/>
    <w:rsid w:val="009A2BED"/>
    <w:rsid w:val="009A2C46"/>
    <w:rsid w:val="009A2C8A"/>
    <w:rsid w:val="009A2DC1"/>
    <w:rsid w:val="009A2FDE"/>
    <w:rsid w:val="009A322F"/>
    <w:rsid w:val="009A33F7"/>
    <w:rsid w:val="009A342C"/>
    <w:rsid w:val="009A3F7F"/>
    <w:rsid w:val="009A3F96"/>
    <w:rsid w:val="009A4112"/>
    <w:rsid w:val="009A4810"/>
    <w:rsid w:val="009A4AFA"/>
    <w:rsid w:val="009A4F62"/>
    <w:rsid w:val="009A502F"/>
    <w:rsid w:val="009A5218"/>
    <w:rsid w:val="009A5242"/>
    <w:rsid w:val="009A528D"/>
    <w:rsid w:val="009A52B9"/>
    <w:rsid w:val="009A53CD"/>
    <w:rsid w:val="009A5872"/>
    <w:rsid w:val="009A5876"/>
    <w:rsid w:val="009A5F51"/>
    <w:rsid w:val="009A6515"/>
    <w:rsid w:val="009A6A8E"/>
    <w:rsid w:val="009A6B9A"/>
    <w:rsid w:val="009A6BC6"/>
    <w:rsid w:val="009A71F8"/>
    <w:rsid w:val="009A734A"/>
    <w:rsid w:val="009A7351"/>
    <w:rsid w:val="009A7706"/>
    <w:rsid w:val="009A773E"/>
    <w:rsid w:val="009A791F"/>
    <w:rsid w:val="009A7B22"/>
    <w:rsid w:val="009A7FF9"/>
    <w:rsid w:val="009B071C"/>
    <w:rsid w:val="009B0954"/>
    <w:rsid w:val="009B0CB6"/>
    <w:rsid w:val="009B0E13"/>
    <w:rsid w:val="009B0F8E"/>
    <w:rsid w:val="009B12D9"/>
    <w:rsid w:val="009B1582"/>
    <w:rsid w:val="009B1983"/>
    <w:rsid w:val="009B1A28"/>
    <w:rsid w:val="009B1A53"/>
    <w:rsid w:val="009B1BBE"/>
    <w:rsid w:val="009B1DB2"/>
    <w:rsid w:val="009B208C"/>
    <w:rsid w:val="009B267A"/>
    <w:rsid w:val="009B2765"/>
    <w:rsid w:val="009B276F"/>
    <w:rsid w:val="009B2A59"/>
    <w:rsid w:val="009B2BAA"/>
    <w:rsid w:val="009B2D8A"/>
    <w:rsid w:val="009B31AC"/>
    <w:rsid w:val="009B3775"/>
    <w:rsid w:val="009B37E9"/>
    <w:rsid w:val="009B3893"/>
    <w:rsid w:val="009B3E99"/>
    <w:rsid w:val="009B416E"/>
    <w:rsid w:val="009B4B85"/>
    <w:rsid w:val="009B5049"/>
    <w:rsid w:val="009B512E"/>
    <w:rsid w:val="009B5393"/>
    <w:rsid w:val="009B57A8"/>
    <w:rsid w:val="009B5AEF"/>
    <w:rsid w:val="009B5FEF"/>
    <w:rsid w:val="009B606B"/>
    <w:rsid w:val="009B610C"/>
    <w:rsid w:val="009B644B"/>
    <w:rsid w:val="009B6931"/>
    <w:rsid w:val="009B69FB"/>
    <w:rsid w:val="009B6CEA"/>
    <w:rsid w:val="009B709E"/>
    <w:rsid w:val="009B71C4"/>
    <w:rsid w:val="009B7260"/>
    <w:rsid w:val="009B76C4"/>
    <w:rsid w:val="009B7C1E"/>
    <w:rsid w:val="009B7EB5"/>
    <w:rsid w:val="009B7ED6"/>
    <w:rsid w:val="009C010E"/>
    <w:rsid w:val="009C02DB"/>
    <w:rsid w:val="009C02EE"/>
    <w:rsid w:val="009C06B8"/>
    <w:rsid w:val="009C08F2"/>
    <w:rsid w:val="009C0AC7"/>
    <w:rsid w:val="009C0BAB"/>
    <w:rsid w:val="009C0CAD"/>
    <w:rsid w:val="009C0D36"/>
    <w:rsid w:val="009C0D58"/>
    <w:rsid w:val="009C0FCD"/>
    <w:rsid w:val="009C0FFA"/>
    <w:rsid w:val="009C1285"/>
    <w:rsid w:val="009C16C5"/>
    <w:rsid w:val="009C1700"/>
    <w:rsid w:val="009C1A15"/>
    <w:rsid w:val="009C1A73"/>
    <w:rsid w:val="009C1DCD"/>
    <w:rsid w:val="009C1E61"/>
    <w:rsid w:val="009C1FC0"/>
    <w:rsid w:val="009C20F7"/>
    <w:rsid w:val="009C224E"/>
    <w:rsid w:val="009C22E8"/>
    <w:rsid w:val="009C23F6"/>
    <w:rsid w:val="009C26E4"/>
    <w:rsid w:val="009C2892"/>
    <w:rsid w:val="009C2916"/>
    <w:rsid w:val="009C2AB7"/>
    <w:rsid w:val="009C2C07"/>
    <w:rsid w:val="009C2E26"/>
    <w:rsid w:val="009C2EA2"/>
    <w:rsid w:val="009C30C5"/>
    <w:rsid w:val="009C352C"/>
    <w:rsid w:val="009C3B4E"/>
    <w:rsid w:val="009C3CC9"/>
    <w:rsid w:val="009C3F96"/>
    <w:rsid w:val="009C4091"/>
    <w:rsid w:val="009C4159"/>
    <w:rsid w:val="009C46BF"/>
    <w:rsid w:val="009C4A08"/>
    <w:rsid w:val="009C4B11"/>
    <w:rsid w:val="009C4B6B"/>
    <w:rsid w:val="009C4D8D"/>
    <w:rsid w:val="009C4E0D"/>
    <w:rsid w:val="009C56A7"/>
    <w:rsid w:val="009C56C5"/>
    <w:rsid w:val="009C5B12"/>
    <w:rsid w:val="009C5DB7"/>
    <w:rsid w:val="009C5F10"/>
    <w:rsid w:val="009C6641"/>
    <w:rsid w:val="009C6DD6"/>
    <w:rsid w:val="009C6F7B"/>
    <w:rsid w:val="009C72B8"/>
    <w:rsid w:val="009C7361"/>
    <w:rsid w:val="009C7482"/>
    <w:rsid w:val="009C76DB"/>
    <w:rsid w:val="009C7701"/>
    <w:rsid w:val="009C7CD1"/>
    <w:rsid w:val="009C7DBC"/>
    <w:rsid w:val="009D04E7"/>
    <w:rsid w:val="009D0597"/>
    <w:rsid w:val="009D07C1"/>
    <w:rsid w:val="009D0842"/>
    <w:rsid w:val="009D0BBB"/>
    <w:rsid w:val="009D1011"/>
    <w:rsid w:val="009D1300"/>
    <w:rsid w:val="009D162B"/>
    <w:rsid w:val="009D1F2C"/>
    <w:rsid w:val="009D24E2"/>
    <w:rsid w:val="009D2A91"/>
    <w:rsid w:val="009D2AB9"/>
    <w:rsid w:val="009D2E7B"/>
    <w:rsid w:val="009D2F73"/>
    <w:rsid w:val="009D31F8"/>
    <w:rsid w:val="009D3258"/>
    <w:rsid w:val="009D325C"/>
    <w:rsid w:val="009D3361"/>
    <w:rsid w:val="009D3894"/>
    <w:rsid w:val="009D3AE0"/>
    <w:rsid w:val="009D3E67"/>
    <w:rsid w:val="009D4188"/>
    <w:rsid w:val="009D43D5"/>
    <w:rsid w:val="009D44C6"/>
    <w:rsid w:val="009D511C"/>
    <w:rsid w:val="009D580A"/>
    <w:rsid w:val="009D5BE9"/>
    <w:rsid w:val="009D5F5D"/>
    <w:rsid w:val="009D6507"/>
    <w:rsid w:val="009D6911"/>
    <w:rsid w:val="009D6B16"/>
    <w:rsid w:val="009D6E51"/>
    <w:rsid w:val="009D728B"/>
    <w:rsid w:val="009D7382"/>
    <w:rsid w:val="009D7424"/>
    <w:rsid w:val="009D74C2"/>
    <w:rsid w:val="009D74C8"/>
    <w:rsid w:val="009D7683"/>
    <w:rsid w:val="009D7AB2"/>
    <w:rsid w:val="009E02F2"/>
    <w:rsid w:val="009E0A73"/>
    <w:rsid w:val="009E0B65"/>
    <w:rsid w:val="009E0EC8"/>
    <w:rsid w:val="009E0FF5"/>
    <w:rsid w:val="009E10B7"/>
    <w:rsid w:val="009E127E"/>
    <w:rsid w:val="009E1282"/>
    <w:rsid w:val="009E13B6"/>
    <w:rsid w:val="009E155E"/>
    <w:rsid w:val="009E164E"/>
    <w:rsid w:val="009E165E"/>
    <w:rsid w:val="009E19DC"/>
    <w:rsid w:val="009E1AF5"/>
    <w:rsid w:val="009E1CA5"/>
    <w:rsid w:val="009E1F04"/>
    <w:rsid w:val="009E2225"/>
    <w:rsid w:val="009E22B8"/>
    <w:rsid w:val="009E230B"/>
    <w:rsid w:val="009E2619"/>
    <w:rsid w:val="009E2824"/>
    <w:rsid w:val="009E2BE3"/>
    <w:rsid w:val="009E2DED"/>
    <w:rsid w:val="009E2E7A"/>
    <w:rsid w:val="009E3031"/>
    <w:rsid w:val="009E31A6"/>
    <w:rsid w:val="009E33CB"/>
    <w:rsid w:val="009E3504"/>
    <w:rsid w:val="009E3523"/>
    <w:rsid w:val="009E358D"/>
    <w:rsid w:val="009E3B4C"/>
    <w:rsid w:val="009E3D30"/>
    <w:rsid w:val="009E488C"/>
    <w:rsid w:val="009E534A"/>
    <w:rsid w:val="009E5543"/>
    <w:rsid w:val="009E57B7"/>
    <w:rsid w:val="009E5937"/>
    <w:rsid w:val="009E5A8B"/>
    <w:rsid w:val="009E5B61"/>
    <w:rsid w:val="009E5D37"/>
    <w:rsid w:val="009E5EA1"/>
    <w:rsid w:val="009E612E"/>
    <w:rsid w:val="009E638F"/>
    <w:rsid w:val="009E67A3"/>
    <w:rsid w:val="009E67B8"/>
    <w:rsid w:val="009E68AD"/>
    <w:rsid w:val="009E6F20"/>
    <w:rsid w:val="009E7319"/>
    <w:rsid w:val="009E7901"/>
    <w:rsid w:val="009E79A0"/>
    <w:rsid w:val="009E79EB"/>
    <w:rsid w:val="009E7AFC"/>
    <w:rsid w:val="009E7BD6"/>
    <w:rsid w:val="009E7C4A"/>
    <w:rsid w:val="009E7E1C"/>
    <w:rsid w:val="009F0067"/>
    <w:rsid w:val="009F01CB"/>
    <w:rsid w:val="009F0241"/>
    <w:rsid w:val="009F071D"/>
    <w:rsid w:val="009F0AA6"/>
    <w:rsid w:val="009F0B24"/>
    <w:rsid w:val="009F0DC6"/>
    <w:rsid w:val="009F10AF"/>
    <w:rsid w:val="009F1275"/>
    <w:rsid w:val="009F132B"/>
    <w:rsid w:val="009F1445"/>
    <w:rsid w:val="009F16DC"/>
    <w:rsid w:val="009F191A"/>
    <w:rsid w:val="009F1E17"/>
    <w:rsid w:val="009F1E24"/>
    <w:rsid w:val="009F1E72"/>
    <w:rsid w:val="009F23D0"/>
    <w:rsid w:val="009F2FC6"/>
    <w:rsid w:val="009F35A6"/>
    <w:rsid w:val="009F38F3"/>
    <w:rsid w:val="009F3BE3"/>
    <w:rsid w:val="009F3E3A"/>
    <w:rsid w:val="009F401B"/>
    <w:rsid w:val="009F44BD"/>
    <w:rsid w:val="009F46AE"/>
    <w:rsid w:val="009F4ED7"/>
    <w:rsid w:val="009F4F9C"/>
    <w:rsid w:val="009F5150"/>
    <w:rsid w:val="009F5171"/>
    <w:rsid w:val="009F5657"/>
    <w:rsid w:val="009F5726"/>
    <w:rsid w:val="009F5825"/>
    <w:rsid w:val="009F5AA4"/>
    <w:rsid w:val="009F5C93"/>
    <w:rsid w:val="009F5CD3"/>
    <w:rsid w:val="009F5DD1"/>
    <w:rsid w:val="009F5E6B"/>
    <w:rsid w:val="009F609A"/>
    <w:rsid w:val="009F65AA"/>
    <w:rsid w:val="009F667C"/>
    <w:rsid w:val="009F67A0"/>
    <w:rsid w:val="009F687F"/>
    <w:rsid w:val="009F68F0"/>
    <w:rsid w:val="009F6F3B"/>
    <w:rsid w:val="009F6F78"/>
    <w:rsid w:val="009F70A8"/>
    <w:rsid w:val="009F7407"/>
    <w:rsid w:val="009F7606"/>
    <w:rsid w:val="009F7824"/>
    <w:rsid w:val="009F7C0B"/>
    <w:rsid w:val="009F7DA4"/>
    <w:rsid w:val="00A00295"/>
    <w:rsid w:val="00A00296"/>
    <w:rsid w:val="00A00626"/>
    <w:rsid w:val="00A00A4B"/>
    <w:rsid w:val="00A00B6D"/>
    <w:rsid w:val="00A010E0"/>
    <w:rsid w:val="00A01447"/>
    <w:rsid w:val="00A0144A"/>
    <w:rsid w:val="00A016A9"/>
    <w:rsid w:val="00A016D2"/>
    <w:rsid w:val="00A01DAB"/>
    <w:rsid w:val="00A01EAF"/>
    <w:rsid w:val="00A020E2"/>
    <w:rsid w:val="00A021FA"/>
    <w:rsid w:val="00A02654"/>
    <w:rsid w:val="00A028F5"/>
    <w:rsid w:val="00A02BBF"/>
    <w:rsid w:val="00A02C3C"/>
    <w:rsid w:val="00A02C51"/>
    <w:rsid w:val="00A02D48"/>
    <w:rsid w:val="00A03343"/>
    <w:rsid w:val="00A03A7A"/>
    <w:rsid w:val="00A03D31"/>
    <w:rsid w:val="00A03D51"/>
    <w:rsid w:val="00A041BC"/>
    <w:rsid w:val="00A0462C"/>
    <w:rsid w:val="00A04657"/>
    <w:rsid w:val="00A04749"/>
    <w:rsid w:val="00A0483F"/>
    <w:rsid w:val="00A04A6D"/>
    <w:rsid w:val="00A04C16"/>
    <w:rsid w:val="00A05362"/>
    <w:rsid w:val="00A053AD"/>
    <w:rsid w:val="00A0581E"/>
    <w:rsid w:val="00A05924"/>
    <w:rsid w:val="00A05A03"/>
    <w:rsid w:val="00A05BA1"/>
    <w:rsid w:val="00A05C69"/>
    <w:rsid w:val="00A05D57"/>
    <w:rsid w:val="00A05F7C"/>
    <w:rsid w:val="00A061A1"/>
    <w:rsid w:val="00A0634A"/>
    <w:rsid w:val="00A063C0"/>
    <w:rsid w:val="00A0640A"/>
    <w:rsid w:val="00A06509"/>
    <w:rsid w:val="00A06EE5"/>
    <w:rsid w:val="00A07405"/>
    <w:rsid w:val="00A075CD"/>
    <w:rsid w:val="00A0790D"/>
    <w:rsid w:val="00A07CFE"/>
    <w:rsid w:val="00A07D95"/>
    <w:rsid w:val="00A102A5"/>
    <w:rsid w:val="00A102C8"/>
    <w:rsid w:val="00A102D9"/>
    <w:rsid w:val="00A106C4"/>
    <w:rsid w:val="00A108FE"/>
    <w:rsid w:val="00A10A98"/>
    <w:rsid w:val="00A10F22"/>
    <w:rsid w:val="00A1172C"/>
    <w:rsid w:val="00A11974"/>
    <w:rsid w:val="00A119E8"/>
    <w:rsid w:val="00A11ABC"/>
    <w:rsid w:val="00A11B30"/>
    <w:rsid w:val="00A12189"/>
    <w:rsid w:val="00A12207"/>
    <w:rsid w:val="00A122E3"/>
    <w:rsid w:val="00A1236B"/>
    <w:rsid w:val="00A126F7"/>
    <w:rsid w:val="00A1292F"/>
    <w:rsid w:val="00A12BE4"/>
    <w:rsid w:val="00A12F0F"/>
    <w:rsid w:val="00A133CC"/>
    <w:rsid w:val="00A13431"/>
    <w:rsid w:val="00A134E7"/>
    <w:rsid w:val="00A13C31"/>
    <w:rsid w:val="00A1435C"/>
    <w:rsid w:val="00A143BD"/>
    <w:rsid w:val="00A14509"/>
    <w:rsid w:val="00A14928"/>
    <w:rsid w:val="00A14A5B"/>
    <w:rsid w:val="00A14E0C"/>
    <w:rsid w:val="00A14FF9"/>
    <w:rsid w:val="00A15335"/>
    <w:rsid w:val="00A153A8"/>
    <w:rsid w:val="00A15560"/>
    <w:rsid w:val="00A15649"/>
    <w:rsid w:val="00A156E2"/>
    <w:rsid w:val="00A15978"/>
    <w:rsid w:val="00A159E4"/>
    <w:rsid w:val="00A15BB5"/>
    <w:rsid w:val="00A15FE8"/>
    <w:rsid w:val="00A162BA"/>
    <w:rsid w:val="00A16353"/>
    <w:rsid w:val="00A1643F"/>
    <w:rsid w:val="00A164F7"/>
    <w:rsid w:val="00A16513"/>
    <w:rsid w:val="00A1694B"/>
    <w:rsid w:val="00A16CBB"/>
    <w:rsid w:val="00A16CEF"/>
    <w:rsid w:val="00A1744D"/>
    <w:rsid w:val="00A1745C"/>
    <w:rsid w:val="00A174A5"/>
    <w:rsid w:val="00A17611"/>
    <w:rsid w:val="00A176D8"/>
    <w:rsid w:val="00A17885"/>
    <w:rsid w:val="00A17955"/>
    <w:rsid w:val="00A17AC6"/>
    <w:rsid w:val="00A17C54"/>
    <w:rsid w:val="00A17CF9"/>
    <w:rsid w:val="00A20468"/>
    <w:rsid w:val="00A2049A"/>
    <w:rsid w:val="00A20564"/>
    <w:rsid w:val="00A208CB"/>
    <w:rsid w:val="00A2095F"/>
    <w:rsid w:val="00A209B4"/>
    <w:rsid w:val="00A20DA3"/>
    <w:rsid w:val="00A20DC2"/>
    <w:rsid w:val="00A20FCE"/>
    <w:rsid w:val="00A211B0"/>
    <w:rsid w:val="00A2124E"/>
    <w:rsid w:val="00A2147C"/>
    <w:rsid w:val="00A214E4"/>
    <w:rsid w:val="00A2174A"/>
    <w:rsid w:val="00A217B4"/>
    <w:rsid w:val="00A21A6D"/>
    <w:rsid w:val="00A21E61"/>
    <w:rsid w:val="00A21E9F"/>
    <w:rsid w:val="00A220A8"/>
    <w:rsid w:val="00A222B9"/>
    <w:rsid w:val="00A2233D"/>
    <w:rsid w:val="00A223DE"/>
    <w:rsid w:val="00A225F6"/>
    <w:rsid w:val="00A22E1F"/>
    <w:rsid w:val="00A22EE8"/>
    <w:rsid w:val="00A22F57"/>
    <w:rsid w:val="00A22FC1"/>
    <w:rsid w:val="00A2332B"/>
    <w:rsid w:val="00A235AE"/>
    <w:rsid w:val="00A23754"/>
    <w:rsid w:val="00A237C0"/>
    <w:rsid w:val="00A23851"/>
    <w:rsid w:val="00A23CCD"/>
    <w:rsid w:val="00A23D08"/>
    <w:rsid w:val="00A23D19"/>
    <w:rsid w:val="00A24473"/>
    <w:rsid w:val="00A24B5B"/>
    <w:rsid w:val="00A24C22"/>
    <w:rsid w:val="00A24C38"/>
    <w:rsid w:val="00A2511B"/>
    <w:rsid w:val="00A2574C"/>
    <w:rsid w:val="00A25F36"/>
    <w:rsid w:val="00A2615D"/>
    <w:rsid w:val="00A26245"/>
    <w:rsid w:val="00A26374"/>
    <w:rsid w:val="00A26941"/>
    <w:rsid w:val="00A26B8A"/>
    <w:rsid w:val="00A27641"/>
    <w:rsid w:val="00A27A45"/>
    <w:rsid w:val="00A27AEA"/>
    <w:rsid w:val="00A30092"/>
    <w:rsid w:val="00A301C2"/>
    <w:rsid w:val="00A301D1"/>
    <w:rsid w:val="00A30585"/>
    <w:rsid w:val="00A3060F"/>
    <w:rsid w:val="00A30859"/>
    <w:rsid w:val="00A30A70"/>
    <w:rsid w:val="00A30BF8"/>
    <w:rsid w:val="00A31328"/>
    <w:rsid w:val="00A313DC"/>
    <w:rsid w:val="00A316EB"/>
    <w:rsid w:val="00A318FB"/>
    <w:rsid w:val="00A3197E"/>
    <w:rsid w:val="00A319DD"/>
    <w:rsid w:val="00A31AF5"/>
    <w:rsid w:val="00A32004"/>
    <w:rsid w:val="00A32074"/>
    <w:rsid w:val="00A323D0"/>
    <w:rsid w:val="00A32975"/>
    <w:rsid w:val="00A32E61"/>
    <w:rsid w:val="00A33881"/>
    <w:rsid w:val="00A33953"/>
    <w:rsid w:val="00A341A4"/>
    <w:rsid w:val="00A342CB"/>
    <w:rsid w:val="00A343A2"/>
    <w:rsid w:val="00A344D4"/>
    <w:rsid w:val="00A344DA"/>
    <w:rsid w:val="00A34619"/>
    <w:rsid w:val="00A3480A"/>
    <w:rsid w:val="00A34CD0"/>
    <w:rsid w:val="00A34E9A"/>
    <w:rsid w:val="00A34EF7"/>
    <w:rsid w:val="00A35024"/>
    <w:rsid w:val="00A3516D"/>
    <w:rsid w:val="00A35369"/>
    <w:rsid w:val="00A35538"/>
    <w:rsid w:val="00A35644"/>
    <w:rsid w:val="00A35646"/>
    <w:rsid w:val="00A35A32"/>
    <w:rsid w:val="00A35AAE"/>
    <w:rsid w:val="00A35E53"/>
    <w:rsid w:val="00A361C3"/>
    <w:rsid w:val="00A365DD"/>
    <w:rsid w:val="00A366CB"/>
    <w:rsid w:val="00A368BD"/>
    <w:rsid w:val="00A36A1F"/>
    <w:rsid w:val="00A36B4D"/>
    <w:rsid w:val="00A36B66"/>
    <w:rsid w:val="00A36EA5"/>
    <w:rsid w:val="00A36F2D"/>
    <w:rsid w:val="00A370C6"/>
    <w:rsid w:val="00A37415"/>
    <w:rsid w:val="00A375EA"/>
    <w:rsid w:val="00A378F6"/>
    <w:rsid w:val="00A379AB"/>
    <w:rsid w:val="00A37C13"/>
    <w:rsid w:val="00A37C82"/>
    <w:rsid w:val="00A37CBB"/>
    <w:rsid w:val="00A37CE5"/>
    <w:rsid w:val="00A37E25"/>
    <w:rsid w:val="00A37E8A"/>
    <w:rsid w:val="00A37F50"/>
    <w:rsid w:val="00A37F8A"/>
    <w:rsid w:val="00A4011C"/>
    <w:rsid w:val="00A40147"/>
    <w:rsid w:val="00A405C4"/>
    <w:rsid w:val="00A40B60"/>
    <w:rsid w:val="00A40CF7"/>
    <w:rsid w:val="00A40D41"/>
    <w:rsid w:val="00A41402"/>
    <w:rsid w:val="00A41671"/>
    <w:rsid w:val="00A416FB"/>
    <w:rsid w:val="00A416FF"/>
    <w:rsid w:val="00A4180D"/>
    <w:rsid w:val="00A41C9E"/>
    <w:rsid w:val="00A42095"/>
    <w:rsid w:val="00A421DB"/>
    <w:rsid w:val="00A42754"/>
    <w:rsid w:val="00A42795"/>
    <w:rsid w:val="00A4297C"/>
    <w:rsid w:val="00A42F73"/>
    <w:rsid w:val="00A43098"/>
    <w:rsid w:val="00A430DC"/>
    <w:rsid w:val="00A43770"/>
    <w:rsid w:val="00A43955"/>
    <w:rsid w:val="00A43C3A"/>
    <w:rsid w:val="00A43D54"/>
    <w:rsid w:val="00A4457C"/>
    <w:rsid w:val="00A446B0"/>
    <w:rsid w:val="00A44F01"/>
    <w:rsid w:val="00A454AA"/>
    <w:rsid w:val="00A4556F"/>
    <w:rsid w:val="00A4568D"/>
    <w:rsid w:val="00A4578F"/>
    <w:rsid w:val="00A45936"/>
    <w:rsid w:val="00A45D15"/>
    <w:rsid w:val="00A45FF8"/>
    <w:rsid w:val="00A46079"/>
    <w:rsid w:val="00A4635B"/>
    <w:rsid w:val="00A46773"/>
    <w:rsid w:val="00A46843"/>
    <w:rsid w:val="00A46901"/>
    <w:rsid w:val="00A46A42"/>
    <w:rsid w:val="00A46D38"/>
    <w:rsid w:val="00A46F0A"/>
    <w:rsid w:val="00A46FBE"/>
    <w:rsid w:val="00A46FC3"/>
    <w:rsid w:val="00A4709B"/>
    <w:rsid w:val="00A47333"/>
    <w:rsid w:val="00A4739E"/>
    <w:rsid w:val="00A4779A"/>
    <w:rsid w:val="00A47A07"/>
    <w:rsid w:val="00A47B58"/>
    <w:rsid w:val="00A47C27"/>
    <w:rsid w:val="00A47C91"/>
    <w:rsid w:val="00A47D21"/>
    <w:rsid w:val="00A47DC7"/>
    <w:rsid w:val="00A47F5E"/>
    <w:rsid w:val="00A50342"/>
    <w:rsid w:val="00A50472"/>
    <w:rsid w:val="00A50551"/>
    <w:rsid w:val="00A508A6"/>
    <w:rsid w:val="00A50AED"/>
    <w:rsid w:val="00A50B3F"/>
    <w:rsid w:val="00A511A6"/>
    <w:rsid w:val="00A513FB"/>
    <w:rsid w:val="00A51510"/>
    <w:rsid w:val="00A51648"/>
    <w:rsid w:val="00A517C5"/>
    <w:rsid w:val="00A519B2"/>
    <w:rsid w:val="00A51A34"/>
    <w:rsid w:val="00A51DE8"/>
    <w:rsid w:val="00A51F4E"/>
    <w:rsid w:val="00A51F64"/>
    <w:rsid w:val="00A52051"/>
    <w:rsid w:val="00A52BE1"/>
    <w:rsid w:val="00A52C04"/>
    <w:rsid w:val="00A52C32"/>
    <w:rsid w:val="00A52D95"/>
    <w:rsid w:val="00A52D98"/>
    <w:rsid w:val="00A536F9"/>
    <w:rsid w:val="00A537F0"/>
    <w:rsid w:val="00A53828"/>
    <w:rsid w:val="00A538FC"/>
    <w:rsid w:val="00A539E6"/>
    <w:rsid w:val="00A53E1A"/>
    <w:rsid w:val="00A53F85"/>
    <w:rsid w:val="00A54029"/>
    <w:rsid w:val="00A5441C"/>
    <w:rsid w:val="00A545ED"/>
    <w:rsid w:val="00A54686"/>
    <w:rsid w:val="00A54B3F"/>
    <w:rsid w:val="00A54B54"/>
    <w:rsid w:val="00A54BBF"/>
    <w:rsid w:val="00A54DE2"/>
    <w:rsid w:val="00A54E2A"/>
    <w:rsid w:val="00A54F80"/>
    <w:rsid w:val="00A55051"/>
    <w:rsid w:val="00A55104"/>
    <w:rsid w:val="00A552DE"/>
    <w:rsid w:val="00A555C7"/>
    <w:rsid w:val="00A55908"/>
    <w:rsid w:val="00A55D61"/>
    <w:rsid w:val="00A5628A"/>
    <w:rsid w:val="00A56306"/>
    <w:rsid w:val="00A56D0C"/>
    <w:rsid w:val="00A5713E"/>
    <w:rsid w:val="00A574FF"/>
    <w:rsid w:val="00A57527"/>
    <w:rsid w:val="00A575FF"/>
    <w:rsid w:val="00A5766E"/>
    <w:rsid w:val="00A576A5"/>
    <w:rsid w:val="00A576D6"/>
    <w:rsid w:val="00A5773A"/>
    <w:rsid w:val="00A57A0A"/>
    <w:rsid w:val="00A57E66"/>
    <w:rsid w:val="00A57E9F"/>
    <w:rsid w:val="00A57F72"/>
    <w:rsid w:val="00A601F9"/>
    <w:rsid w:val="00A60350"/>
    <w:rsid w:val="00A6043C"/>
    <w:rsid w:val="00A60586"/>
    <w:rsid w:val="00A607D0"/>
    <w:rsid w:val="00A60B07"/>
    <w:rsid w:val="00A60D4F"/>
    <w:rsid w:val="00A612D9"/>
    <w:rsid w:val="00A6151B"/>
    <w:rsid w:val="00A61BF6"/>
    <w:rsid w:val="00A61E2E"/>
    <w:rsid w:val="00A61F39"/>
    <w:rsid w:val="00A6202F"/>
    <w:rsid w:val="00A62043"/>
    <w:rsid w:val="00A62D98"/>
    <w:rsid w:val="00A62F5B"/>
    <w:rsid w:val="00A632AB"/>
    <w:rsid w:val="00A6362A"/>
    <w:rsid w:val="00A63BBD"/>
    <w:rsid w:val="00A63BEC"/>
    <w:rsid w:val="00A63EBD"/>
    <w:rsid w:val="00A642DE"/>
    <w:rsid w:val="00A6454B"/>
    <w:rsid w:val="00A64597"/>
    <w:rsid w:val="00A646BC"/>
    <w:rsid w:val="00A64966"/>
    <w:rsid w:val="00A64AEC"/>
    <w:rsid w:val="00A65085"/>
    <w:rsid w:val="00A6543D"/>
    <w:rsid w:val="00A65566"/>
    <w:rsid w:val="00A65C29"/>
    <w:rsid w:val="00A65D9D"/>
    <w:rsid w:val="00A65EFB"/>
    <w:rsid w:val="00A663F4"/>
    <w:rsid w:val="00A669AF"/>
    <w:rsid w:val="00A66B81"/>
    <w:rsid w:val="00A66BD2"/>
    <w:rsid w:val="00A66D47"/>
    <w:rsid w:val="00A66E5D"/>
    <w:rsid w:val="00A670E2"/>
    <w:rsid w:val="00A673D5"/>
    <w:rsid w:val="00A67913"/>
    <w:rsid w:val="00A67ADF"/>
    <w:rsid w:val="00A67B56"/>
    <w:rsid w:val="00A67CAE"/>
    <w:rsid w:val="00A700CD"/>
    <w:rsid w:val="00A7037A"/>
    <w:rsid w:val="00A70B20"/>
    <w:rsid w:val="00A70B63"/>
    <w:rsid w:val="00A70E9B"/>
    <w:rsid w:val="00A70F54"/>
    <w:rsid w:val="00A70F98"/>
    <w:rsid w:val="00A70FB2"/>
    <w:rsid w:val="00A710F7"/>
    <w:rsid w:val="00A71170"/>
    <w:rsid w:val="00A714FA"/>
    <w:rsid w:val="00A71A51"/>
    <w:rsid w:val="00A7219D"/>
    <w:rsid w:val="00A723C2"/>
    <w:rsid w:val="00A72A83"/>
    <w:rsid w:val="00A72B15"/>
    <w:rsid w:val="00A72B2B"/>
    <w:rsid w:val="00A72E2C"/>
    <w:rsid w:val="00A73CD2"/>
    <w:rsid w:val="00A73D31"/>
    <w:rsid w:val="00A73FCD"/>
    <w:rsid w:val="00A7433E"/>
    <w:rsid w:val="00A7437C"/>
    <w:rsid w:val="00A747E5"/>
    <w:rsid w:val="00A74DE7"/>
    <w:rsid w:val="00A74F05"/>
    <w:rsid w:val="00A7533B"/>
    <w:rsid w:val="00A754EA"/>
    <w:rsid w:val="00A75689"/>
    <w:rsid w:val="00A75A61"/>
    <w:rsid w:val="00A75CDA"/>
    <w:rsid w:val="00A75F53"/>
    <w:rsid w:val="00A76082"/>
    <w:rsid w:val="00A76208"/>
    <w:rsid w:val="00A76382"/>
    <w:rsid w:val="00A7650D"/>
    <w:rsid w:val="00A77166"/>
    <w:rsid w:val="00A77352"/>
    <w:rsid w:val="00A773E4"/>
    <w:rsid w:val="00A77550"/>
    <w:rsid w:val="00A77832"/>
    <w:rsid w:val="00A77991"/>
    <w:rsid w:val="00A77C0B"/>
    <w:rsid w:val="00A77C1D"/>
    <w:rsid w:val="00A803E0"/>
    <w:rsid w:val="00A80815"/>
    <w:rsid w:val="00A808D8"/>
    <w:rsid w:val="00A80C1D"/>
    <w:rsid w:val="00A80D4A"/>
    <w:rsid w:val="00A81086"/>
    <w:rsid w:val="00A8140B"/>
    <w:rsid w:val="00A815EE"/>
    <w:rsid w:val="00A816AC"/>
    <w:rsid w:val="00A81990"/>
    <w:rsid w:val="00A819CD"/>
    <w:rsid w:val="00A819F4"/>
    <w:rsid w:val="00A81B1B"/>
    <w:rsid w:val="00A81C2B"/>
    <w:rsid w:val="00A81DEC"/>
    <w:rsid w:val="00A81EBE"/>
    <w:rsid w:val="00A81FB0"/>
    <w:rsid w:val="00A820E4"/>
    <w:rsid w:val="00A82144"/>
    <w:rsid w:val="00A82343"/>
    <w:rsid w:val="00A828A9"/>
    <w:rsid w:val="00A82CD6"/>
    <w:rsid w:val="00A82F7F"/>
    <w:rsid w:val="00A83187"/>
    <w:rsid w:val="00A835CE"/>
    <w:rsid w:val="00A83A17"/>
    <w:rsid w:val="00A83C41"/>
    <w:rsid w:val="00A83CFB"/>
    <w:rsid w:val="00A83F30"/>
    <w:rsid w:val="00A8410E"/>
    <w:rsid w:val="00A84413"/>
    <w:rsid w:val="00A846E4"/>
    <w:rsid w:val="00A846EC"/>
    <w:rsid w:val="00A8483C"/>
    <w:rsid w:val="00A85129"/>
    <w:rsid w:val="00A8520E"/>
    <w:rsid w:val="00A85689"/>
    <w:rsid w:val="00A856F6"/>
    <w:rsid w:val="00A8591E"/>
    <w:rsid w:val="00A86989"/>
    <w:rsid w:val="00A872C5"/>
    <w:rsid w:val="00A872D6"/>
    <w:rsid w:val="00A875CF"/>
    <w:rsid w:val="00A87814"/>
    <w:rsid w:val="00A87AD1"/>
    <w:rsid w:val="00A87BE6"/>
    <w:rsid w:val="00A87DEE"/>
    <w:rsid w:val="00A87EB2"/>
    <w:rsid w:val="00A87FED"/>
    <w:rsid w:val="00A90819"/>
    <w:rsid w:val="00A90B5F"/>
    <w:rsid w:val="00A90F69"/>
    <w:rsid w:val="00A91028"/>
    <w:rsid w:val="00A915AA"/>
    <w:rsid w:val="00A91624"/>
    <w:rsid w:val="00A91676"/>
    <w:rsid w:val="00A91CE7"/>
    <w:rsid w:val="00A91F31"/>
    <w:rsid w:val="00A924D6"/>
    <w:rsid w:val="00A9285C"/>
    <w:rsid w:val="00A92B3E"/>
    <w:rsid w:val="00A93099"/>
    <w:rsid w:val="00A93102"/>
    <w:rsid w:val="00A93423"/>
    <w:rsid w:val="00A93625"/>
    <w:rsid w:val="00A93A1F"/>
    <w:rsid w:val="00A93AC1"/>
    <w:rsid w:val="00A93EF1"/>
    <w:rsid w:val="00A94000"/>
    <w:rsid w:val="00A941E3"/>
    <w:rsid w:val="00A9486E"/>
    <w:rsid w:val="00A949FA"/>
    <w:rsid w:val="00A94AC9"/>
    <w:rsid w:val="00A950FA"/>
    <w:rsid w:val="00A95335"/>
    <w:rsid w:val="00A95984"/>
    <w:rsid w:val="00A9625D"/>
    <w:rsid w:val="00A9633A"/>
    <w:rsid w:val="00A96374"/>
    <w:rsid w:val="00A963DF"/>
    <w:rsid w:val="00A9643F"/>
    <w:rsid w:val="00A9658B"/>
    <w:rsid w:val="00A96672"/>
    <w:rsid w:val="00A96A53"/>
    <w:rsid w:val="00A96B76"/>
    <w:rsid w:val="00A96F3E"/>
    <w:rsid w:val="00A973CA"/>
    <w:rsid w:val="00A9757A"/>
    <w:rsid w:val="00A97671"/>
    <w:rsid w:val="00A9780E"/>
    <w:rsid w:val="00A97B7D"/>
    <w:rsid w:val="00A97B8B"/>
    <w:rsid w:val="00A97E0B"/>
    <w:rsid w:val="00A97E4D"/>
    <w:rsid w:val="00A97F84"/>
    <w:rsid w:val="00AA0023"/>
    <w:rsid w:val="00AA0040"/>
    <w:rsid w:val="00AA0198"/>
    <w:rsid w:val="00AA0333"/>
    <w:rsid w:val="00AA0720"/>
    <w:rsid w:val="00AA0FD6"/>
    <w:rsid w:val="00AA0FDD"/>
    <w:rsid w:val="00AA109D"/>
    <w:rsid w:val="00AA1187"/>
    <w:rsid w:val="00AA12CB"/>
    <w:rsid w:val="00AA1450"/>
    <w:rsid w:val="00AA15ED"/>
    <w:rsid w:val="00AA1D51"/>
    <w:rsid w:val="00AA1E3C"/>
    <w:rsid w:val="00AA2084"/>
    <w:rsid w:val="00AA213D"/>
    <w:rsid w:val="00AA2531"/>
    <w:rsid w:val="00AA29A4"/>
    <w:rsid w:val="00AA2A9B"/>
    <w:rsid w:val="00AA2B8C"/>
    <w:rsid w:val="00AA2D48"/>
    <w:rsid w:val="00AA2D9B"/>
    <w:rsid w:val="00AA2E71"/>
    <w:rsid w:val="00AA2EB6"/>
    <w:rsid w:val="00AA319D"/>
    <w:rsid w:val="00AA31A0"/>
    <w:rsid w:val="00AA3638"/>
    <w:rsid w:val="00AA37AC"/>
    <w:rsid w:val="00AA3961"/>
    <w:rsid w:val="00AA396E"/>
    <w:rsid w:val="00AA3CFC"/>
    <w:rsid w:val="00AA3D01"/>
    <w:rsid w:val="00AA4301"/>
    <w:rsid w:val="00AA4349"/>
    <w:rsid w:val="00AA45E5"/>
    <w:rsid w:val="00AA473D"/>
    <w:rsid w:val="00AA4ED7"/>
    <w:rsid w:val="00AA50CC"/>
    <w:rsid w:val="00AA53A5"/>
    <w:rsid w:val="00AA5484"/>
    <w:rsid w:val="00AA5503"/>
    <w:rsid w:val="00AA5E0A"/>
    <w:rsid w:val="00AA6051"/>
    <w:rsid w:val="00AA6741"/>
    <w:rsid w:val="00AA68C6"/>
    <w:rsid w:val="00AA6CC2"/>
    <w:rsid w:val="00AA6D04"/>
    <w:rsid w:val="00AA6F6C"/>
    <w:rsid w:val="00AA7264"/>
    <w:rsid w:val="00AA732F"/>
    <w:rsid w:val="00AA74A3"/>
    <w:rsid w:val="00AA7A43"/>
    <w:rsid w:val="00AB00A9"/>
    <w:rsid w:val="00AB074E"/>
    <w:rsid w:val="00AB0A9E"/>
    <w:rsid w:val="00AB0D16"/>
    <w:rsid w:val="00AB133C"/>
    <w:rsid w:val="00AB1370"/>
    <w:rsid w:val="00AB1375"/>
    <w:rsid w:val="00AB1485"/>
    <w:rsid w:val="00AB1691"/>
    <w:rsid w:val="00AB1CDB"/>
    <w:rsid w:val="00AB1F52"/>
    <w:rsid w:val="00AB2410"/>
    <w:rsid w:val="00AB2464"/>
    <w:rsid w:val="00AB2550"/>
    <w:rsid w:val="00AB26E4"/>
    <w:rsid w:val="00AB26FB"/>
    <w:rsid w:val="00AB2C4C"/>
    <w:rsid w:val="00AB2CB7"/>
    <w:rsid w:val="00AB2EE7"/>
    <w:rsid w:val="00AB2F4C"/>
    <w:rsid w:val="00AB3270"/>
    <w:rsid w:val="00AB33C0"/>
    <w:rsid w:val="00AB344E"/>
    <w:rsid w:val="00AB344F"/>
    <w:rsid w:val="00AB3891"/>
    <w:rsid w:val="00AB3D66"/>
    <w:rsid w:val="00AB410D"/>
    <w:rsid w:val="00AB41D4"/>
    <w:rsid w:val="00AB430D"/>
    <w:rsid w:val="00AB437C"/>
    <w:rsid w:val="00AB43B3"/>
    <w:rsid w:val="00AB44DA"/>
    <w:rsid w:val="00AB45A4"/>
    <w:rsid w:val="00AB47BA"/>
    <w:rsid w:val="00AB4B37"/>
    <w:rsid w:val="00AB4EDC"/>
    <w:rsid w:val="00AB5087"/>
    <w:rsid w:val="00AB54AB"/>
    <w:rsid w:val="00AB58A9"/>
    <w:rsid w:val="00AB5C9F"/>
    <w:rsid w:val="00AB609E"/>
    <w:rsid w:val="00AB6106"/>
    <w:rsid w:val="00AB696F"/>
    <w:rsid w:val="00AB6A06"/>
    <w:rsid w:val="00AB6AE1"/>
    <w:rsid w:val="00AB6BA3"/>
    <w:rsid w:val="00AB6BB6"/>
    <w:rsid w:val="00AB6C80"/>
    <w:rsid w:val="00AB746E"/>
    <w:rsid w:val="00AB7482"/>
    <w:rsid w:val="00AB7704"/>
    <w:rsid w:val="00AB7A74"/>
    <w:rsid w:val="00AC0496"/>
    <w:rsid w:val="00AC0665"/>
    <w:rsid w:val="00AC07F4"/>
    <w:rsid w:val="00AC119F"/>
    <w:rsid w:val="00AC125A"/>
    <w:rsid w:val="00AC1A74"/>
    <w:rsid w:val="00AC1D9D"/>
    <w:rsid w:val="00AC2034"/>
    <w:rsid w:val="00AC24F1"/>
    <w:rsid w:val="00AC2844"/>
    <w:rsid w:val="00AC2BE6"/>
    <w:rsid w:val="00AC310C"/>
    <w:rsid w:val="00AC3554"/>
    <w:rsid w:val="00AC376A"/>
    <w:rsid w:val="00AC3788"/>
    <w:rsid w:val="00AC3A2F"/>
    <w:rsid w:val="00AC3EC6"/>
    <w:rsid w:val="00AC4B82"/>
    <w:rsid w:val="00AC4D0F"/>
    <w:rsid w:val="00AC4DD5"/>
    <w:rsid w:val="00AC5067"/>
    <w:rsid w:val="00AC573D"/>
    <w:rsid w:val="00AC57C1"/>
    <w:rsid w:val="00AC57FF"/>
    <w:rsid w:val="00AC5856"/>
    <w:rsid w:val="00AC5A17"/>
    <w:rsid w:val="00AC5F13"/>
    <w:rsid w:val="00AC61D2"/>
    <w:rsid w:val="00AC663F"/>
    <w:rsid w:val="00AC69AC"/>
    <w:rsid w:val="00AC69D1"/>
    <w:rsid w:val="00AC6A7D"/>
    <w:rsid w:val="00AC6BC6"/>
    <w:rsid w:val="00AC6D6C"/>
    <w:rsid w:val="00AC6F34"/>
    <w:rsid w:val="00AC7041"/>
    <w:rsid w:val="00AC70D1"/>
    <w:rsid w:val="00AC7145"/>
    <w:rsid w:val="00AC7290"/>
    <w:rsid w:val="00AC7408"/>
    <w:rsid w:val="00AC7553"/>
    <w:rsid w:val="00AC7FAA"/>
    <w:rsid w:val="00AD0306"/>
    <w:rsid w:val="00AD06CA"/>
    <w:rsid w:val="00AD0957"/>
    <w:rsid w:val="00AD0BA6"/>
    <w:rsid w:val="00AD0C6D"/>
    <w:rsid w:val="00AD0CA4"/>
    <w:rsid w:val="00AD11A9"/>
    <w:rsid w:val="00AD1255"/>
    <w:rsid w:val="00AD129B"/>
    <w:rsid w:val="00AD14FD"/>
    <w:rsid w:val="00AD165F"/>
    <w:rsid w:val="00AD1940"/>
    <w:rsid w:val="00AD19E5"/>
    <w:rsid w:val="00AD1C29"/>
    <w:rsid w:val="00AD1EF2"/>
    <w:rsid w:val="00AD2721"/>
    <w:rsid w:val="00AD2BF6"/>
    <w:rsid w:val="00AD2CAD"/>
    <w:rsid w:val="00AD2E06"/>
    <w:rsid w:val="00AD2EF7"/>
    <w:rsid w:val="00AD31F3"/>
    <w:rsid w:val="00AD3446"/>
    <w:rsid w:val="00AD3628"/>
    <w:rsid w:val="00AD369E"/>
    <w:rsid w:val="00AD386A"/>
    <w:rsid w:val="00AD39A9"/>
    <w:rsid w:val="00AD3A50"/>
    <w:rsid w:val="00AD3A66"/>
    <w:rsid w:val="00AD3AC9"/>
    <w:rsid w:val="00AD3BFD"/>
    <w:rsid w:val="00AD3DF5"/>
    <w:rsid w:val="00AD3FCC"/>
    <w:rsid w:val="00AD44DA"/>
    <w:rsid w:val="00AD4E6C"/>
    <w:rsid w:val="00AD5075"/>
    <w:rsid w:val="00AD533D"/>
    <w:rsid w:val="00AD54F7"/>
    <w:rsid w:val="00AD5581"/>
    <w:rsid w:val="00AD5C3D"/>
    <w:rsid w:val="00AD5D0B"/>
    <w:rsid w:val="00AD5F01"/>
    <w:rsid w:val="00AD5FFD"/>
    <w:rsid w:val="00AD6660"/>
    <w:rsid w:val="00AD6837"/>
    <w:rsid w:val="00AD69E9"/>
    <w:rsid w:val="00AD73B1"/>
    <w:rsid w:val="00AD73BD"/>
    <w:rsid w:val="00AD775E"/>
    <w:rsid w:val="00AD7872"/>
    <w:rsid w:val="00AD79B2"/>
    <w:rsid w:val="00AD7C1C"/>
    <w:rsid w:val="00AD7DDC"/>
    <w:rsid w:val="00AD7EEA"/>
    <w:rsid w:val="00AD7F68"/>
    <w:rsid w:val="00AE0049"/>
    <w:rsid w:val="00AE0071"/>
    <w:rsid w:val="00AE0A00"/>
    <w:rsid w:val="00AE0DBD"/>
    <w:rsid w:val="00AE1618"/>
    <w:rsid w:val="00AE1C83"/>
    <w:rsid w:val="00AE1CE2"/>
    <w:rsid w:val="00AE1E20"/>
    <w:rsid w:val="00AE1EB3"/>
    <w:rsid w:val="00AE1FE2"/>
    <w:rsid w:val="00AE238C"/>
    <w:rsid w:val="00AE2606"/>
    <w:rsid w:val="00AE2987"/>
    <w:rsid w:val="00AE2BA6"/>
    <w:rsid w:val="00AE2D03"/>
    <w:rsid w:val="00AE3229"/>
    <w:rsid w:val="00AE3434"/>
    <w:rsid w:val="00AE3699"/>
    <w:rsid w:val="00AE3745"/>
    <w:rsid w:val="00AE37F9"/>
    <w:rsid w:val="00AE3D4B"/>
    <w:rsid w:val="00AE3DB0"/>
    <w:rsid w:val="00AE3E2D"/>
    <w:rsid w:val="00AE3FDC"/>
    <w:rsid w:val="00AE4022"/>
    <w:rsid w:val="00AE41AE"/>
    <w:rsid w:val="00AE4419"/>
    <w:rsid w:val="00AE4725"/>
    <w:rsid w:val="00AE474E"/>
    <w:rsid w:val="00AE4837"/>
    <w:rsid w:val="00AE4B0A"/>
    <w:rsid w:val="00AE4EBF"/>
    <w:rsid w:val="00AE513F"/>
    <w:rsid w:val="00AE52AB"/>
    <w:rsid w:val="00AE52F3"/>
    <w:rsid w:val="00AE5330"/>
    <w:rsid w:val="00AE5953"/>
    <w:rsid w:val="00AE5A03"/>
    <w:rsid w:val="00AE5D3F"/>
    <w:rsid w:val="00AE6054"/>
    <w:rsid w:val="00AE6BEB"/>
    <w:rsid w:val="00AE7160"/>
    <w:rsid w:val="00AE71D5"/>
    <w:rsid w:val="00AE7544"/>
    <w:rsid w:val="00AE75F6"/>
    <w:rsid w:val="00AE7AEF"/>
    <w:rsid w:val="00AF0398"/>
    <w:rsid w:val="00AF04AB"/>
    <w:rsid w:val="00AF0692"/>
    <w:rsid w:val="00AF0798"/>
    <w:rsid w:val="00AF0898"/>
    <w:rsid w:val="00AF09CE"/>
    <w:rsid w:val="00AF0B79"/>
    <w:rsid w:val="00AF0F7F"/>
    <w:rsid w:val="00AF0FE0"/>
    <w:rsid w:val="00AF1067"/>
    <w:rsid w:val="00AF133A"/>
    <w:rsid w:val="00AF1526"/>
    <w:rsid w:val="00AF1536"/>
    <w:rsid w:val="00AF173C"/>
    <w:rsid w:val="00AF1853"/>
    <w:rsid w:val="00AF1FEA"/>
    <w:rsid w:val="00AF1FFA"/>
    <w:rsid w:val="00AF2165"/>
    <w:rsid w:val="00AF222F"/>
    <w:rsid w:val="00AF2670"/>
    <w:rsid w:val="00AF268C"/>
    <w:rsid w:val="00AF26EF"/>
    <w:rsid w:val="00AF2757"/>
    <w:rsid w:val="00AF2DDC"/>
    <w:rsid w:val="00AF332C"/>
    <w:rsid w:val="00AF3B10"/>
    <w:rsid w:val="00AF3CDA"/>
    <w:rsid w:val="00AF3F72"/>
    <w:rsid w:val="00AF3FA5"/>
    <w:rsid w:val="00AF402D"/>
    <w:rsid w:val="00AF40A5"/>
    <w:rsid w:val="00AF4FD3"/>
    <w:rsid w:val="00AF51B4"/>
    <w:rsid w:val="00AF530E"/>
    <w:rsid w:val="00AF537F"/>
    <w:rsid w:val="00AF57CA"/>
    <w:rsid w:val="00AF5837"/>
    <w:rsid w:val="00AF5AC8"/>
    <w:rsid w:val="00AF5B93"/>
    <w:rsid w:val="00AF5BA3"/>
    <w:rsid w:val="00AF5DE4"/>
    <w:rsid w:val="00AF61A7"/>
    <w:rsid w:val="00AF63F2"/>
    <w:rsid w:val="00AF642B"/>
    <w:rsid w:val="00AF6A99"/>
    <w:rsid w:val="00AF6C2E"/>
    <w:rsid w:val="00AF732E"/>
    <w:rsid w:val="00AF7616"/>
    <w:rsid w:val="00AF786A"/>
    <w:rsid w:val="00AF78D6"/>
    <w:rsid w:val="00B00053"/>
    <w:rsid w:val="00B00310"/>
    <w:rsid w:val="00B003C3"/>
    <w:rsid w:val="00B00445"/>
    <w:rsid w:val="00B00C84"/>
    <w:rsid w:val="00B00D6B"/>
    <w:rsid w:val="00B00D9A"/>
    <w:rsid w:val="00B010F5"/>
    <w:rsid w:val="00B015C4"/>
    <w:rsid w:val="00B016A8"/>
    <w:rsid w:val="00B019E3"/>
    <w:rsid w:val="00B01B89"/>
    <w:rsid w:val="00B02296"/>
    <w:rsid w:val="00B0290C"/>
    <w:rsid w:val="00B029DC"/>
    <w:rsid w:val="00B02B6F"/>
    <w:rsid w:val="00B02D48"/>
    <w:rsid w:val="00B02E84"/>
    <w:rsid w:val="00B02F8B"/>
    <w:rsid w:val="00B03140"/>
    <w:rsid w:val="00B0336D"/>
    <w:rsid w:val="00B033FC"/>
    <w:rsid w:val="00B03524"/>
    <w:rsid w:val="00B037F7"/>
    <w:rsid w:val="00B03EF1"/>
    <w:rsid w:val="00B04241"/>
    <w:rsid w:val="00B04371"/>
    <w:rsid w:val="00B0443E"/>
    <w:rsid w:val="00B0471F"/>
    <w:rsid w:val="00B04747"/>
    <w:rsid w:val="00B047EC"/>
    <w:rsid w:val="00B0492B"/>
    <w:rsid w:val="00B04D68"/>
    <w:rsid w:val="00B05107"/>
    <w:rsid w:val="00B05121"/>
    <w:rsid w:val="00B05655"/>
    <w:rsid w:val="00B0571D"/>
    <w:rsid w:val="00B059D6"/>
    <w:rsid w:val="00B05ACA"/>
    <w:rsid w:val="00B05BF5"/>
    <w:rsid w:val="00B06012"/>
    <w:rsid w:val="00B0610D"/>
    <w:rsid w:val="00B06590"/>
    <w:rsid w:val="00B065DD"/>
    <w:rsid w:val="00B06938"/>
    <w:rsid w:val="00B06952"/>
    <w:rsid w:val="00B06A69"/>
    <w:rsid w:val="00B07420"/>
    <w:rsid w:val="00B079F5"/>
    <w:rsid w:val="00B07BCA"/>
    <w:rsid w:val="00B07EB8"/>
    <w:rsid w:val="00B07F18"/>
    <w:rsid w:val="00B1069D"/>
    <w:rsid w:val="00B108FD"/>
    <w:rsid w:val="00B10D88"/>
    <w:rsid w:val="00B10E26"/>
    <w:rsid w:val="00B11137"/>
    <w:rsid w:val="00B11173"/>
    <w:rsid w:val="00B11594"/>
    <w:rsid w:val="00B115A2"/>
    <w:rsid w:val="00B118D8"/>
    <w:rsid w:val="00B11940"/>
    <w:rsid w:val="00B11D9F"/>
    <w:rsid w:val="00B1268F"/>
    <w:rsid w:val="00B1273C"/>
    <w:rsid w:val="00B1287B"/>
    <w:rsid w:val="00B12B1C"/>
    <w:rsid w:val="00B12B4D"/>
    <w:rsid w:val="00B12C8E"/>
    <w:rsid w:val="00B12D49"/>
    <w:rsid w:val="00B13119"/>
    <w:rsid w:val="00B13293"/>
    <w:rsid w:val="00B13344"/>
    <w:rsid w:val="00B137B8"/>
    <w:rsid w:val="00B139E2"/>
    <w:rsid w:val="00B13ABD"/>
    <w:rsid w:val="00B13F6E"/>
    <w:rsid w:val="00B14170"/>
    <w:rsid w:val="00B14B75"/>
    <w:rsid w:val="00B14E3D"/>
    <w:rsid w:val="00B14F88"/>
    <w:rsid w:val="00B15146"/>
    <w:rsid w:val="00B156DD"/>
    <w:rsid w:val="00B158CB"/>
    <w:rsid w:val="00B15B54"/>
    <w:rsid w:val="00B1606E"/>
    <w:rsid w:val="00B161B1"/>
    <w:rsid w:val="00B161DC"/>
    <w:rsid w:val="00B16441"/>
    <w:rsid w:val="00B16591"/>
    <w:rsid w:val="00B16762"/>
    <w:rsid w:val="00B173AD"/>
    <w:rsid w:val="00B1759D"/>
    <w:rsid w:val="00B17709"/>
    <w:rsid w:val="00B1796F"/>
    <w:rsid w:val="00B17E4B"/>
    <w:rsid w:val="00B208E4"/>
    <w:rsid w:val="00B212AD"/>
    <w:rsid w:val="00B212EF"/>
    <w:rsid w:val="00B2130B"/>
    <w:rsid w:val="00B2146D"/>
    <w:rsid w:val="00B21B85"/>
    <w:rsid w:val="00B21E52"/>
    <w:rsid w:val="00B21ED7"/>
    <w:rsid w:val="00B22454"/>
    <w:rsid w:val="00B22838"/>
    <w:rsid w:val="00B22CBD"/>
    <w:rsid w:val="00B22CF3"/>
    <w:rsid w:val="00B22D5A"/>
    <w:rsid w:val="00B230EA"/>
    <w:rsid w:val="00B231F9"/>
    <w:rsid w:val="00B233E9"/>
    <w:rsid w:val="00B23A31"/>
    <w:rsid w:val="00B23A37"/>
    <w:rsid w:val="00B23B83"/>
    <w:rsid w:val="00B23E97"/>
    <w:rsid w:val="00B23ED1"/>
    <w:rsid w:val="00B24098"/>
    <w:rsid w:val="00B245AB"/>
    <w:rsid w:val="00B24635"/>
    <w:rsid w:val="00B24674"/>
    <w:rsid w:val="00B24868"/>
    <w:rsid w:val="00B249E5"/>
    <w:rsid w:val="00B24B8A"/>
    <w:rsid w:val="00B24EF4"/>
    <w:rsid w:val="00B251BD"/>
    <w:rsid w:val="00B253FC"/>
    <w:rsid w:val="00B25496"/>
    <w:rsid w:val="00B25665"/>
    <w:rsid w:val="00B25976"/>
    <w:rsid w:val="00B25AA7"/>
    <w:rsid w:val="00B25AC0"/>
    <w:rsid w:val="00B25BDD"/>
    <w:rsid w:val="00B25F39"/>
    <w:rsid w:val="00B260C0"/>
    <w:rsid w:val="00B261EF"/>
    <w:rsid w:val="00B26598"/>
    <w:rsid w:val="00B26A06"/>
    <w:rsid w:val="00B26D34"/>
    <w:rsid w:val="00B275CD"/>
    <w:rsid w:val="00B27613"/>
    <w:rsid w:val="00B27B89"/>
    <w:rsid w:val="00B27FCD"/>
    <w:rsid w:val="00B302A2"/>
    <w:rsid w:val="00B3033C"/>
    <w:rsid w:val="00B305D9"/>
    <w:rsid w:val="00B30878"/>
    <w:rsid w:val="00B30974"/>
    <w:rsid w:val="00B30D72"/>
    <w:rsid w:val="00B318D9"/>
    <w:rsid w:val="00B31926"/>
    <w:rsid w:val="00B31942"/>
    <w:rsid w:val="00B31F28"/>
    <w:rsid w:val="00B32558"/>
    <w:rsid w:val="00B32B08"/>
    <w:rsid w:val="00B32BF0"/>
    <w:rsid w:val="00B330AD"/>
    <w:rsid w:val="00B3313A"/>
    <w:rsid w:val="00B3317A"/>
    <w:rsid w:val="00B3339E"/>
    <w:rsid w:val="00B333FD"/>
    <w:rsid w:val="00B33586"/>
    <w:rsid w:val="00B335C2"/>
    <w:rsid w:val="00B337D9"/>
    <w:rsid w:val="00B33D95"/>
    <w:rsid w:val="00B33F51"/>
    <w:rsid w:val="00B342FE"/>
    <w:rsid w:val="00B349CB"/>
    <w:rsid w:val="00B34B8D"/>
    <w:rsid w:val="00B3594B"/>
    <w:rsid w:val="00B35EDE"/>
    <w:rsid w:val="00B36070"/>
    <w:rsid w:val="00B363D5"/>
    <w:rsid w:val="00B36A70"/>
    <w:rsid w:val="00B36EB3"/>
    <w:rsid w:val="00B37145"/>
    <w:rsid w:val="00B371FA"/>
    <w:rsid w:val="00B37533"/>
    <w:rsid w:val="00B37799"/>
    <w:rsid w:val="00B377A9"/>
    <w:rsid w:val="00B379C3"/>
    <w:rsid w:val="00B37B5A"/>
    <w:rsid w:val="00B37C94"/>
    <w:rsid w:val="00B37CBC"/>
    <w:rsid w:val="00B37EFF"/>
    <w:rsid w:val="00B37FB7"/>
    <w:rsid w:val="00B37FEC"/>
    <w:rsid w:val="00B40359"/>
    <w:rsid w:val="00B4036D"/>
    <w:rsid w:val="00B4038C"/>
    <w:rsid w:val="00B40C11"/>
    <w:rsid w:val="00B40F1A"/>
    <w:rsid w:val="00B41177"/>
    <w:rsid w:val="00B41226"/>
    <w:rsid w:val="00B41504"/>
    <w:rsid w:val="00B4156A"/>
    <w:rsid w:val="00B415F9"/>
    <w:rsid w:val="00B417BF"/>
    <w:rsid w:val="00B41CEA"/>
    <w:rsid w:val="00B41F92"/>
    <w:rsid w:val="00B41FA7"/>
    <w:rsid w:val="00B42176"/>
    <w:rsid w:val="00B42284"/>
    <w:rsid w:val="00B42303"/>
    <w:rsid w:val="00B42516"/>
    <w:rsid w:val="00B429CF"/>
    <w:rsid w:val="00B42C45"/>
    <w:rsid w:val="00B42D35"/>
    <w:rsid w:val="00B4300E"/>
    <w:rsid w:val="00B43144"/>
    <w:rsid w:val="00B43185"/>
    <w:rsid w:val="00B4336D"/>
    <w:rsid w:val="00B43436"/>
    <w:rsid w:val="00B434A5"/>
    <w:rsid w:val="00B434BE"/>
    <w:rsid w:val="00B4358E"/>
    <w:rsid w:val="00B4361D"/>
    <w:rsid w:val="00B4364B"/>
    <w:rsid w:val="00B437B8"/>
    <w:rsid w:val="00B43BC2"/>
    <w:rsid w:val="00B43D85"/>
    <w:rsid w:val="00B44059"/>
    <w:rsid w:val="00B445A4"/>
    <w:rsid w:val="00B449FF"/>
    <w:rsid w:val="00B44A32"/>
    <w:rsid w:val="00B44AC3"/>
    <w:rsid w:val="00B44F26"/>
    <w:rsid w:val="00B450CB"/>
    <w:rsid w:val="00B4546B"/>
    <w:rsid w:val="00B45888"/>
    <w:rsid w:val="00B45F90"/>
    <w:rsid w:val="00B460EB"/>
    <w:rsid w:val="00B463D6"/>
    <w:rsid w:val="00B464A2"/>
    <w:rsid w:val="00B464B6"/>
    <w:rsid w:val="00B46580"/>
    <w:rsid w:val="00B4659C"/>
    <w:rsid w:val="00B4663B"/>
    <w:rsid w:val="00B4663D"/>
    <w:rsid w:val="00B46684"/>
    <w:rsid w:val="00B46797"/>
    <w:rsid w:val="00B468AF"/>
    <w:rsid w:val="00B46A3A"/>
    <w:rsid w:val="00B46A4A"/>
    <w:rsid w:val="00B46C4B"/>
    <w:rsid w:val="00B472C4"/>
    <w:rsid w:val="00B474F1"/>
    <w:rsid w:val="00B476DB"/>
    <w:rsid w:val="00B476E7"/>
    <w:rsid w:val="00B47888"/>
    <w:rsid w:val="00B50037"/>
    <w:rsid w:val="00B50447"/>
    <w:rsid w:val="00B50492"/>
    <w:rsid w:val="00B5059D"/>
    <w:rsid w:val="00B50A99"/>
    <w:rsid w:val="00B5117A"/>
    <w:rsid w:val="00B51288"/>
    <w:rsid w:val="00B512DA"/>
    <w:rsid w:val="00B512FB"/>
    <w:rsid w:val="00B513D7"/>
    <w:rsid w:val="00B51641"/>
    <w:rsid w:val="00B516B6"/>
    <w:rsid w:val="00B518E6"/>
    <w:rsid w:val="00B5197C"/>
    <w:rsid w:val="00B51F23"/>
    <w:rsid w:val="00B5209D"/>
    <w:rsid w:val="00B520DE"/>
    <w:rsid w:val="00B5212B"/>
    <w:rsid w:val="00B5216F"/>
    <w:rsid w:val="00B5218E"/>
    <w:rsid w:val="00B52675"/>
    <w:rsid w:val="00B526BF"/>
    <w:rsid w:val="00B5272A"/>
    <w:rsid w:val="00B532A7"/>
    <w:rsid w:val="00B533A0"/>
    <w:rsid w:val="00B53FE2"/>
    <w:rsid w:val="00B54143"/>
    <w:rsid w:val="00B543FC"/>
    <w:rsid w:val="00B5450D"/>
    <w:rsid w:val="00B5487A"/>
    <w:rsid w:val="00B54946"/>
    <w:rsid w:val="00B54AD9"/>
    <w:rsid w:val="00B552AF"/>
    <w:rsid w:val="00B5579F"/>
    <w:rsid w:val="00B55892"/>
    <w:rsid w:val="00B55906"/>
    <w:rsid w:val="00B5605D"/>
    <w:rsid w:val="00B562B1"/>
    <w:rsid w:val="00B56337"/>
    <w:rsid w:val="00B56497"/>
    <w:rsid w:val="00B5665D"/>
    <w:rsid w:val="00B567B7"/>
    <w:rsid w:val="00B56BC7"/>
    <w:rsid w:val="00B56C15"/>
    <w:rsid w:val="00B56C2D"/>
    <w:rsid w:val="00B56FC2"/>
    <w:rsid w:val="00B5735F"/>
    <w:rsid w:val="00B57790"/>
    <w:rsid w:val="00B57909"/>
    <w:rsid w:val="00B57C73"/>
    <w:rsid w:val="00B603C9"/>
    <w:rsid w:val="00B60601"/>
    <w:rsid w:val="00B6079E"/>
    <w:rsid w:val="00B60B67"/>
    <w:rsid w:val="00B60C1B"/>
    <w:rsid w:val="00B610CB"/>
    <w:rsid w:val="00B61473"/>
    <w:rsid w:val="00B61A60"/>
    <w:rsid w:val="00B61A9C"/>
    <w:rsid w:val="00B61B40"/>
    <w:rsid w:val="00B61BD8"/>
    <w:rsid w:val="00B61CA1"/>
    <w:rsid w:val="00B61F48"/>
    <w:rsid w:val="00B61FBC"/>
    <w:rsid w:val="00B623C6"/>
    <w:rsid w:val="00B62AB6"/>
    <w:rsid w:val="00B62BF4"/>
    <w:rsid w:val="00B62D74"/>
    <w:rsid w:val="00B62F0C"/>
    <w:rsid w:val="00B6326B"/>
    <w:rsid w:val="00B634A6"/>
    <w:rsid w:val="00B6352E"/>
    <w:rsid w:val="00B63975"/>
    <w:rsid w:val="00B63CC4"/>
    <w:rsid w:val="00B63E98"/>
    <w:rsid w:val="00B63EB4"/>
    <w:rsid w:val="00B64291"/>
    <w:rsid w:val="00B642B6"/>
    <w:rsid w:val="00B653E1"/>
    <w:rsid w:val="00B6560A"/>
    <w:rsid w:val="00B656A4"/>
    <w:rsid w:val="00B65B8D"/>
    <w:rsid w:val="00B65DD5"/>
    <w:rsid w:val="00B65E3F"/>
    <w:rsid w:val="00B65F50"/>
    <w:rsid w:val="00B65FFF"/>
    <w:rsid w:val="00B660E7"/>
    <w:rsid w:val="00B66544"/>
    <w:rsid w:val="00B666D4"/>
    <w:rsid w:val="00B667DE"/>
    <w:rsid w:val="00B66980"/>
    <w:rsid w:val="00B66A54"/>
    <w:rsid w:val="00B66C3A"/>
    <w:rsid w:val="00B66EBC"/>
    <w:rsid w:val="00B66EDF"/>
    <w:rsid w:val="00B670B6"/>
    <w:rsid w:val="00B67106"/>
    <w:rsid w:val="00B6739D"/>
    <w:rsid w:val="00B6750F"/>
    <w:rsid w:val="00B679EB"/>
    <w:rsid w:val="00B67A69"/>
    <w:rsid w:val="00B67B4A"/>
    <w:rsid w:val="00B67E9D"/>
    <w:rsid w:val="00B7020F"/>
    <w:rsid w:val="00B70220"/>
    <w:rsid w:val="00B70372"/>
    <w:rsid w:val="00B704F8"/>
    <w:rsid w:val="00B70529"/>
    <w:rsid w:val="00B707D4"/>
    <w:rsid w:val="00B708B0"/>
    <w:rsid w:val="00B709A5"/>
    <w:rsid w:val="00B70C0E"/>
    <w:rsid w:val="00B7121E"/>
    <w:rsid w:val="00B71283"/>
    <w:rsid w:val="00B7157F"/>
    <w:rsid w:val="00B71951"/>
    <w:rsid w:val="00B71A72"/>
    <w:rsid w:val="00B71A84"/>
    <w:rsid w:val="00B71ACA"/>
    <w:rsid w:val="00B71ACF"/>
    <w:rsid w:val="00B71CB8"/>
    <w:rsid w:val="00B71D69"/>
    <w:rsid w:val="00B71DA2"/>
    <w:rsid w:val="00B71FD1"/>
    <w:rsid w:val="00B7207C"/>
    <w:rsid w:val="00B722E4"/>
    <w:rsid w:val="00B723DC"/>
    <w:rsid w:val="00B72597"/>
    <w:rsid w:val="00B72688"/>
    <w:rsid w:val="00B728BC"/>
    <w:rsid w:val="00B72A42"/>
    <w:rsid w:val="00B72CA4"/>
    <w:rsid w:val="00B72D44"/>
    <w:rsid w:val="00B72D4B"/>
    <w:rsid w:val="00B72F95"/>
    <w:rsid w:val="00B731E2"/>
    <w:rsid w:val="00B7367B"/>
    <w:rsid w:val="00B736EE"/>
    <w:rsid w:val="00B739AB"/>
    <w:rsid w:val="00B73B87"/>
    <w:rsid w:val="00B73C3A"/>
    <w:rsid w:val="00B74306"/>
    <w:rsid w:val="00B74423"/>
    <w:rsid w:val="00B74554"/>
    <w:rsid w:val="00B74666"/>
    <w:rsid w:val="00B749E4"/>
    <w:rsid w:val="00B74AC8"/>
    <w:rsid w:val="00B74B59"/>
    <w:rsid w:val="00B74C1C"/>
    <w:rsid w:val="00B74E14"/>
    <w:rsid w:val="00B74FD2"/>
    <w:rsid w:val="00B7510C"/>
    <w:rsid w:val="00B755FF"/>
    <w:rsid w:val="00B7585E"/>
    <w:rsid w:val="00B75FBF"/>
    <w:rsid w:val="00B762C8"/>
    <w:rsid w:val="00B766EA"/>
    <w:rsid w:val="00B76D11"/>
    <w:rsid w:val="00B77472"/>
    <w:rsid w:val="00B7780B"/>
    <w:rsid w:val="00B77C23"/>
    <w:rsid w:val="00B77C35"/>
    <w:rsid w:val="00B800BF"/>
    <w:rsid w:val="00B802E3"/>
    <w:rsid w:val="00B8039E"/>
    <w:rsid w:val="00B80444"/>
    <w:rsid w:val="00B80923"/>
    <w:rsid w:val="00B80EFF"/>
    <w:rsid w:val="00B81038"/>
    <w:rsid w:val="00B810AE"/>
    <w:rsid w:val="00B81936"/>
    <w:rsid w:val="00B81F53"/>
    <w:rsid w:val="00B82013"/>
    <w:rsid w:val="00B8251A"/>
    <w:rsid w:val="00B82CC7"/>
    <w:rsid w:val="00B82F00"/>
    <w:rsid w:val="00B831A6"/>
    <w:rsid w:val="00B837E2"/>
    <w:rsid w:val="00B839F2"/>
    <w:rsid w:val="00B83BB8"/>
    <w:rsid w:val="00B83C31"/>
    <w:rsid w:val="00B83D67"/>
    <w:rsid w:val="00B84263"/>
    <w:rsid w:val="00B843A1"/>
    <w:rsid w:val="00B847F1"/>
    <w:rsid w:val="00B84CB5"/>
    <w:rsid w:val="00B84CFF"/>
    <w:rsid w:val="00B84F71"/>
    <w:rsid w:val="00B8510F"/>
    <w:rsid w:val="00B85490"/>
    <w:rsid w:val="00B854D2"/>
    <w:rsid w:val="00B8552B"/>
    <w:rsid w:val="00B85C6A"/>
    <w:rsid w:val="00B85D02"/>
    <w:rsid w:val="00B85E7D"/>
    <w:rsid w:val="00B85FE0"/>
    <w:rsid w:val="00B86109"/>
    <w:rsid w:val="00B8643B"/>
    <w:rsid w:val="00B86B0A"/>
    <w:rsid w:val="00B86D43"/>
    <w:rsid w:val="00B86EB1"/>
    <w:rsid w:val="00B87582"/>
    <w:rsid w:val="00B87813"/>
    <w:rsid w:val="00B87926"/>
    <w:rsid w:val="00B87B32"/>
    <w:rsid w:val="00B87FF0"/>
    <w:rsid w:val="00B900CB"/>
    <w:rsid w:val="00B903EE"/>
    <w:rsid w:val="00B90528"/>
    <w:rsid w:val="00B908E9"/>
    <w:rsid w:val="00B90942"/>
    <w:rsid w:val="00B90CA0"/>
    <w:rsid w:val="00B90EF8"/>
    <w:rsid w:val="00B91268"/>
    <w:rsid w:val="00B918BE"/>
    <w:rsid w:val="00B91C16"/>
    <w:rsid w:val="00B91C77"/>
    <w:rsid w:val="00B91E98"/>
    <w:rsid w:val="00B91FD3"/>
    <w:rsid w:val="00B92490"/>
    <w:rsid w:val="00B927EB"/>
    <w:rsid w:val="00B928CC"/>
    <w:rsid w:val="00B9299C"/>
    <w:rsid w:val="00B93211"/>
    <w:rsid w:val="00B934AF"/>
    <w:rsid w:val="00B93950"/>
    <w:rsid w:val="00B9397D"/>
    <w:rsid w:val="00B93BC0"/>
    <w:rsid w:val="00B941CD"/>
    <w:rsid w:val="00B947EA"/>
    <w:rsid w:val="00B948CA"/>
    <w:rsid w:val="00B94CCF"/>
    <w:rsid w:val="00B94D99"/>
    <w:rsid w:val="00B950BA"/>
    <w:rsid w:val="00B951A4"/>
    <w:rsid w:val="00B95BF4"/>
    <w:rsid w:val="00B95E36"/>
    <w:rsid w:val="00B9612C"/>
    <w:rsid w:val="00B96480"/>
    <w:rsid w:val="00B96947"/>
    <w:rsid w:val="00B96952"/>
    <w:rsid w:val="00B96BBB"/>
    <w:rsid w:val="00B96D0A"/>
    <w:rsid w:val="00B96DC1"/>
    <w:rsid w:val="00B9742D"/>
    <w:rsid w:val="00B97891"/>
    <w:rsid w:val="00B978E9"/>
    <w:rsid w:val="00B97B52"/>
    <w:rsid w:val="00BA0768"/>
    <w:rsid w:val="00BA083E"/>
    <w:rsid w:val="00BA098D"/>
    <w:rsid w:val="00BA0992"/>
    <w:rsid w:val="00BA0F30"/>
    <w:rsid w:val="00BA0F3E"/>
    <w:rsid w:val="00BA0FCD"/>
    <w:rsid w:val="00BA134D"/>
    <w:rsid w:val="00BA13A9"/>
    <w:rsid w:val="00BA15AE"/>
    <w:rsid w:val="00BA189B"/>
    <w:rsid w:val="00BA198A"/>
    <w:rsid w:val="00BA1BB4"/>
    <w:rsid w:val="00BA1D9B"/>
    <w:rsid w:val="00BA1E15"/>
    <w:rsid w:val="00BA21DE"/>
    <w:rsid w:val="00BA2453"/>
    <w:rsid w:val="00BA2931"/>
    <w:rsid w:val="00BA2ADC"/>
    <w:rsid w:val="00BA2CB2"/>
    <w:rsid w:val="00BA2E9C"/>
    <w:rsid w:val="00BA2EA5"/>
    <w:rsid w:val="00BA2FD4"/>
    <w:rsid w:val="00BA3918"/>
    <w:rsid w:val="00BA3F77"/>
    <w:rsid w:val="00BA3FB0"/>
    <w:rsid w:val="00BA41AB"/>
    <w:rsid w:val="00BA4365"/>
    <w:rsid w:val="00BA4794"/>
    <w:rsid w:val="00BA4997"/>
    <w:rsid w:val="00BA49FA"/>
    <w:rsid w:val="00BA4EA7"/>
    <w:rsid w:val="00BA4EAF"/>
    <w:rsid w:val="00BA5044"/>
    <w:rsid w:val="00BA516D"/>
    <w:rsid w:val="00BA5366"/>
    <w:rsid w:val="00BA5B95"/>
    <w:rsid w:val="00BA5D31"/>
    <w:rsid w:val="00BA5D3D"/>
    <w:rsid w:val="00BA63B5"/>
    <w:rsid w:val="00BA6F60"/>
    <w:rsid w:val="00BA6FA6"/>
    <w:rsid w:val="00BA7176"/>
    <w:rsid w:val="00BA7272"/>
    <w:rsid w:val="00BA73C6"/>
    <w:rsid w:val="00BA7916"/>
    <w:rsid w:val="00BA7918"/>
    <w:rsid w:val="00BA791A"/>
    <w:rsid w:val="00BA7ACC"/>
    <w:rsid w:val="00BA7BAE"/>
    <w:rsid w:val="00BA7FCB"/>
    <w:rsid w:val="00BB0309"/>
    <w:rsid w:val="00BB0394"/>
    <w:rsid w:val="00BB05C0"/>
    <w:rsid w:val="00BB09DD"/>
    <w:rsid w:val="00BB0B36"/>
    <w:rsid w:val="00BB117B"/>
    <w:rsid w:val="00BB1180"/>
    <w:rsid w:val="00BB1838"/>
    <w:rsid w:val="00BB1B1A"/>
    <w:rsid w:val="00BB1BAD"/>
    <w:rsid w:val="00BB1D41"/>
    <w:rsid w:val="00BB29C3"/>
    <w:rsid w:val="00BB29CB"/>
    <w:rsid w:val="00BB2BFC"/>
    <w:rsid w:val="00BB2DCF"/>
    <w:rsid w:val="00BB33E5"/>
    <w:rsid w:val="00BB34E5"/>
    <w:rsid w:val="00BB3989"/>
    <w:rsid w:val="00BB408E"/>
    <w:rsid w:val="00BB4325"/>
    <w:rsid w:val="00BB46A9"/>
    <w:rsid w:val="00BB46BE"/>
    <w:rsid w:val="00BB4724"/>
    <w:rsid w:val="00BB4843"/>
    <w:rsid w:val="00BB4943"/>
    <w:rsid w:val="00BB4A56"/>
    <w:rsid w:val="00BB503F"/>
    <w:rsid w:val="00BB50BD"/>
    <w:rsid w:val="00BB54D7"/>
    <w:rsid w:val="00BB5A8C"/>
    <w:rsid w:val="00BB5B91"/>
    <w:rsid w:val="00BB5C55"/>
    <w:rsid w:val="00BB5CB2"/>
    <w:rsid w:val="00BB5FFB"/>
    <w:rsid w:val="00BB6063"/>
    <w:rsid w:val="00BB6075"/>
    <w:rsid w:val="00BB6082"/>
    <w:rsid w:val="00BB653D"/>
    <w:rsid w:val="00BB674B"/>
    <w:rsid w:val="00BB6990"/>
    <w:rsid w:val="00BB6F30"/>
    <w:rsid w:val="00BB710E"/>
    <w:rsid w:val="00BB7157"/>
    <w:rsid w:val="00BB791A"/>
    <w:rsid w:val="00BB79D9"/>
    <w:rsid w:val="00BB7C13"/>
    <w:rsid w:val="00BC0068"/>
    <w:rsid w:val="00BC0104"/>
    <w:rsid w:val="00BC0916"/>
    <w:rsid w:val="00BC0A4F"/>
    <w:rsid w:val="00BC0EB2"/>
    <w:rsid w:val="00BC1476"/>
    <w:rsid w:val="00BC160B"/>
    <w:rsid w:val="00BC160D"/>
    <w:rsid w:val="00BC18FA"/>
    <w:rsid w:val="00BC1935"/>
    <w:rsid w:val="00BC1992"/>
    <w:rsid w:val="00BC1CC1"/>
    <w:rsid w:val="00BC217C"/>
    <w:rsid w:val="00BC2356"/>
    <w:rsid w:val="00BC238E"/>
    <w:rsid w:val="00BC23B2"/>
    <w:rsid w:val="00BC2408"/>
    <w:rsid w:val="00BC25AC"/>
    <w:rsid w:val="00BC2799"/>
    <w:rsid w:val="00BC28AE"/>
    <w:rsid w:val="00BC28DE"/>
    <w:rsid w:val="00BC2910"/>
    <w:rsid w:val="00BC2E0B"/>
    <w:rsid w:val="00BC2F68"/>
    <w:rsid w:val="00BC3149"/>
    <w:rsid w:val="00BC34C3"/>
    <w:rsid w:val="00BC3CE9"/>
    <w:rsid w:val="00BC3D7B"/>
    <w:rsid w:val="00BC4341"/>
    <w:rsid w:val="00BC4681"/>
    <w:rsid w:val="00BC4CF6"/>
    <w:rsid w:val="00BC4DE3"/>
    <w:rsid w:val="00BC4E53"/>
    <w:rsid w:val="00BC5390"/>
    <w:rsid w:val="00BC5974"/>
    <w:rsid w:val="00BC5B5C"/>
    <w:rsid w:val="00BC5BAB"/>
    <w:rsid w:val="00BC602C"/>
    <w:rsid w:val="00BC6119"/>
    <w:rsid w:val="00BC6418"/>
    <w:rsid w:val="00BC6A13"/>
    <w:rsid w:val="00BC6C7E"/>
    <w:rsid w:val="00BC6F10"/>
    <w:rsid w:val="00BD03A6"/>
    <w:rsid w:val="00BD0480"/>
    <w:rsid w:val="00BD0589"/>
    <w:rsid w:val="00BD07DA"/>
    <w:rsid w:val="00BD0A7F"/>
    <w:rsid w:val="00BD0AD6"/>
    <w:rsid w:val="00BD0B16"/>
    <w:rsid w:val="00BD0D28"/>
    <w:rsid w:val="00BD0E46"/>
    <w:rsid w:val="00BD107D"/>
    <w:rsid w:val="00BD1992"/>
    <w:rsid w:val="00BD1A6F"/>
    <w:rsid w:val="00BD1B36"/>
    <w:rsid w:val="00BD1B62"/>
    <w:rsid w:val="00BD1B6D"/>
    <w:rsid w:val="00BD1C98"/>
    <w:rsid w:val="00BD1EE5"/>
    <w:rsid w:val="00BD24BC"/>
    <w:rsid w:val="00BD2A3E"/>
    <w:rsid w:val="00BD2E1A"/>
    <w:rsid w:val="00BD3133"/>
    <w:rsid w:val="00BD3B52"/>
    <w:rsid w:val="00BD3FB5"/>
    <w:rsid w:val="00BD4146"/>
    <w:rsid w:val="00BD4664"/>
    <w:rsid w:val="00BD4819"/>
    <w:rsid w:val="00BD4A5F"/>
    <w:rsid w:val="00BD4C7B"/>
    <w:rsid w:val="00BD4D26"/>
    <w:rsid w:val="00BD4D56"/>
    <w:rsid w:val="00BD4DA5"/>
    <w:rsid w:val="00BD5486"/>
    <w:rsid w:val="00BD54F4"/>
    <w:rsid w:val="00BD6179"/>
    <w:rsid w:val="00BD61EF"/>
    <w:rsid w:val="00BD668B"/>
    <w:rsid w:val="00BD6780"/>
    <w:rsid w:val="00BD692A"/>
    <w:rsid w:val="00BD69DF"/>
    <w:rsid w:val="00BD6B44"/>
    <w:rsid w:val="00BD6B6B"/>
    <w:rsid w:val="00BD6B95"/>
    <w:rsid w:val="00BD6C00"/>
    <w:rsid w:val="00BD6D66"/>
    <w:rsid w:val="00BD6D91"/>
    <w:rsid w:val="00BD74D6"/>
    <w:rsid w:val="00BD757C"/>
    <w:rsid w:val="00BD7626"/>
    <w:rsid w:val="00BD775A"/>
    <w:rsid w:val="00BD77B0"/>
    <w:rsid w:val="00BD799F"/>
    <w:rsid w:val="00BD7A1D"/>
    <w:rsid w:val="00BE0092"/>
    <w:rsid w:val="00BE0184"/>
    <w:rsid w:val="00BE021E"/>
    <w:rsid w:val="00BE0584"/>
    <w:rsid w:val="00BE059D"/>
    <w:rsid w:val="00BE069E"/>
    <w:rsid w:val="00BE0B40"/>
    <w:rsid w:val="00BE0C3F"/>
    <w:rsid w:val="00BE0CA9"/>
    <w:rsid w:val="00BE0FD2"/>
    <w:rsid w:val="00BE127B"/>
    <w:rsid w:val="00BE16F7"/>
    <w:rsid w:val="00BE1AA6"/>
    <w:rsid w:val="00BE1C21"/>
    <w:rsid w:val="00BE1CA5"/>
    <w:rsid w:val="00BE226D"/>
    <w:rsid w:val="00BE235B"/>
    <w:rsid w:val="00BE244E"/>
    <w:rsid w:val="00BE24A0"/>
    <w:rsid w:val="00BE2689"/>
    <w:rsid w:val="00BE26BE"/>
    <w:rsid w:val="00BE29AC"/>
    <w:rsid w:val="00BE2AF5"/>
    <w:rsid w:val="00BE2D41"/>
    <w:rsid w:val="00BE32CE"/>
    <w:rsid w:val="00BE34BF"/>
    <w:rsid w:val="00BE34E2"/>
    <w:rsid w:val="00BE3620"/>
    <w:rsid w:val="00BE3BDB"/>
    <w:rsid w:val="00BE3DAE"/>
    <w:rsid w:val="00BE409C"/>
    <w:rsid w:val="00BE4B00"/>
    <w:rsid w:val="00BE4C2D"/>
    <w:rsid w:val="00BE4FA4"/>
    <w:rsid w:val="00BE537F"/>
    <w:rsid w:val="00BE549E"/>
    <w:rsid w:val="00BE54FE"/>
    <w:rsid w:val="00BE5AAD"/>
    <w:rsid w:val="00BE5F4C"/>
    <w:rsid w:val="00BE60D3"/>
    <w:rsid w:val="00BE60FF"/>
    <w:rsid w:val="00BE6286"/>
    <w:rsid w:val="00BE6366"/>
    <w:rsid w:val="00BE65EC"/>
    <w:rsid w:val="00BE68F9"/>
    <w:rsid w:val="00BE6DEF"/>
    <w:rsid w:val="00BE7031"/>
    <w:rsid w:val="00BE71D3"/>
    <w:rsid w:val="00BE74B3"/>
    <w:rsid w:val="00BE7E6C"/>
    <w:rsid w:val="00BF046E"/>
    <w:rsid w:val="00BF0651"/>
    <w:rsid w:val="00BF076C"/>
    <w:rsid w:val="00BF08DD"/>
    <w:rsid w:val="00BF0986"/>
    <w:rsid w:val="00BF0BA9"/>
    <w:rsid w:val="00BF1008"/>
    <w:rsid w:val="00BF1034"/>
    <w:rsid w:val="00BF12D9"/>
    <w:rsid w:val="00BF19EA"/>
    <w:rsid w:val="00BF1C48"/>
    <w:rsid w:val="00BF1EE2"/>
    <w:rsid w:val="00BF2044"/>
    <w:rsid w:val="00BF2282"/>
    <w:rsid w:val="00BF2500"/>
    <w:rsid w:val="00BF2516"/>
    <w:rsid w:val="00BF26CF"/>
    <w:rsid w:val="00BF26F7"/>
    <w:rsid w:val="00BF2932"/>
    <w:rsid w:val="00BF2AE3"/>
    <w:rsid w:val="00BF2F41"/>
    <w:rsid w:val="00BF3394"/>
    <w:rsid w:val="00BF36F4"/>
    <w:rsid w:val="00BF3878"/>
    <w:rsid w:val="00BF39CA"/>
    <w:rsid w:val="00BF3C3F"/>
    <w:rsid w:val="00BF3C76"/>
    <w:rsid w:val="00BF42B0"/>
    <w:rsid w:val="00BF48AE"/>
    <w:rsid w:val="00BF4966"/>
    <w:rsid w:val="00BF49F1"/>
    <w:rsid w:val="00BF4BBB"/>
    <w:rsid w:val="00BF52F5"/>
    <w:rsid w:val="00BF53FE"/>
    <w:rsid w:val="00BF56CF"/>
    <w:rsid w:val="00BF5786"/>
    <w:rsid w:val="00BF58E5"/>
    <w:rsid w:val="00BF5961"/>
    <w:rsid w:val="00BF5E69"/>
    <w:rsid w:val="00BF60FF"/>
    <w:rsid w:val="00BF6223"/>
    <w:rsid w:val="00BF622F"/>
    <w:rsid w:val="00BF62BA"/>
    <w:rsid w:val="00BF63B5"/>
    <w:rsid w:val="00BF6742"/>
    <w:rsid w:val="00BF6803"/>
    <w:rsid w:val="00BF68D7"/>
    <w:rsid w:val="00BF6A71"/>
    <w:rsid w:val="00BF7362"/>
    <w:rsid w:val="00BF7463"/>
    <w:rsid w:val="00BF7520"/>
    <w:rsid w:val="00BF78F8"/>
    <w:rsid w:val="00BF7CBF"/>
    <w:rsid w:val="00C00013"/>
    <w:rsid w:val="00C00099"/>
    <w:rsid w:val="00C000C3"/>
    <w:rsid w:val="00C001A2"/>
    <w:rsid w:val="00C00286"/>
    <w:rsid w:val="00C0038E"/>
    <w:rsid w:val="00C0038F"/>
    <w:rsid w:val="00C0066E"/>
    <w:rsid w:val="00C0068F"/>
    <w:rsid w:val="00C00D61"/>
    <w:rsid w:val="00C010E6"/>
    <w:rsid w:val="00C01683"/>
    <w:rsid w:val="00C017E6"/>
    <w:rsid w:val="00C0184F"/>
    <w:rsid w:val="00C01C39"/>
    <w:rsid w:val="00C01F9B"/>
    <w:rsid w:val="00C01FD8"/>
    <w:rsid w:val="00C026C3"/>
    <w:rsid w:val="00C02765"/>
    <w:rsid w:val="00C028E3"/>
    <w:rsid w:val="00C02A5E"/>
    <w:rsid w:val="00C02BDB"/>
    <w:rsid w:val="00C02F4D"/>
    <w:rsid w:val="00C031B0"/>
    <w:rsid w:val="00C0320F"/>
    <w:rsid w:val="00C032EB"/>
    <w:rsid w:val="00C035CA"/>
    <w:rsid w:val="00C0365B"/>
    <w:rsid w:val="00C03798"/>
    <w:rsid w:val="00C03CBA"/>
    <w:rsid w:val="00C03DDB"/>
    <w:rsid w:val="00C0477D"/>
    <w:rsid w:val="00C047A1"/>
    <w:rsid w:val="00C04914"/>
    <w:rsid w:val="00C04ABE"/>
    <w:rsid w:val="00C04CB8"/>
    <w:rsid w:val="00C0504A"/>
    <w:rsid w:val="00C052BA"/>
    <w:rsid w:val="00C0547F"/>
    <w:rsid w:val="00C059E1"/>
    <w:rsid w:val="00C05A83"/>
    <w:rsid w:val="00C05F09"/>
    <w:rsid w:val="00C05F77"/>
    <w:rsid w:val="00C0606A"/>
    <w:rsid w:val="00C06271"/>
    <w:rsid w:val="00C06296"/>
    <w:rsid w:val="00C0632B"/>
    <w:rsid w:val="00C064A5"/>
    <w:rsid w:val="00C066EE"/>
    <w:rsid w:val="00C068DD"/>
    <w:rsid w:val="00C0698B"/>
    <w:rsid w:val="00C06B15"/>
    <w:rsid w:val="00C06F10"/>
    <w:rsid w:val="00C076F8"/>
    <w:rsid w:val="00C07708"/>
    <w:rsid w:val="00C07902"/>
    <w:rsid w:val="00C07A23"/>
    <w:rsid w:val="00C07C3C"/>
    <w:rsid w:val="00C07EC4"/>
    <w:rsid w:val="00C104C6"/>
    <w:rsid w:val="00C1075D"/>
    <w:rsid w:val="00C107E6"/>
    <w:rsid w:val="00C10C1C"/>
    <w:rsid w:val="00C10E99"/>
    <w:rsid w:val="00C1103E"/>
    <w:rsid w:val="00C1107E"/>
    <w:rsid w:val="00C110C7"/>
    <w:rsid w:val="00C1127E"/>
    <w:rsid w:val="00C11522"/>
    <w:rsid w:val="00C115F5"/>
    <w:rsid w:val="00C11BAD"/>
    <w:rsid w:val="00C12052"/>
    <w:rsid w:val="00C120D5"/>
    <w:rsid w:val="00C124F7"/>
    <w:rsid w:val="00C12665"/>
    <w:rsid w:val="00C12822"/>
    <w:rsid w:val="00C13335"/>
    <w:rsid w:val="00C133AC"/>
    <w:rsid w:val="00C13565"/>
    <w:rsid w:val="00C1381F"/>
    <w:rsid w:val="00C1391A"/>
    <w:rsid w:val="00C13A42"/>
    <w:rsid w:val="00C13A46"/>
    <w:rsid w:val="00C13B36"/>
    <w:rsid w:val="00C13CD6"/>
    <w:rsid w:val="00C13D70"/>
    <w:rsid w:val="00C13E36"/>
    <w:rsid w:val="00C14146"/>
    <w:rsid w:val="00C14EF3"/>
    <w:rsid w:val="00C14F89"/>
    <w:rsid w:val="00C1511F"/>
    <w:rsid w:val="00C15830"/>
    <w:rsid w:val="00C159AE"/>
    <w:rsid w:val="00C15E96"/>
    <w:rsid w:val="00C1604D"/>
    <w:rsid w:val="00C16141"/>
    <w:rsid w:val="00C16175"/>
    <w:rsid w:val="00C161F3"/>
    <w:rsid w:val="00C16566"/>
    <w:rsid w:val="00C16688"/>
    <w:rsid w:val="00C16971"/>
    <w:rsid w:val="00C169B1"/>
    <w:rsid w:val="00C16D0D"/>
    <w:rsid w:val="00C175FC"/>
    <w:rsid w:val="00C1777E"/>
    <w:rsid w:val="00C1787E"/>
    <w:rsid w:val="00C17A71"/>
    <w:rsid w:val="00C17AFA"/>
    <w:rsid w:val="00C17BE9"/>
    <w:rsid w:val="00C17CC8"/>
    <w:rsid w:val="00C200A0"/>
    <w:rsid w:val="00C200F2"/>
    <w:rsid w:val="00C203ED"/>
    <w:rsid w:val="00C204E7"/>
    <w:rsid w:val="00C20574"/>
    <w:rsid w:val="00C2057C"/>
    <w:rsid w:val="00C20806"/>
    <w:rsid w:val="00C20AC6"/>
    <w:rsid w:val="00C217CE"/>
    <w:rsid w:val="00C21E25"/>
    <w:rsid w:val="00C21F7B"/>
    <w:rsid w:val="00C21FB2"/>
    <w:rsid w:val="00C223BF"/>
    <w:rsid w:val="00C229BF"/>
    <w:rsid w:val="00C231C5"/>
    <w:rsid w:val="00C23297"/>
    <w:rsid w:val="00C2341C"/>
    <w:rsid w:val="00C23C74"/>
    <w:rsid w:val="00C23C7A"/>
    <w:rsid w:val="00C23D78"/>
    <w:rsid w:val="00C23E8D"/>
    <w:rsid w:val="00C23F65"/>
    <w:rsid w:val="00C24209"/>
    <w:rsid w:val="00C243F1"/>
    <w:rsid w:val="00C24529"/>
    <w:rsid w:val="00C245A9"/>
    <w:rsid w:val="00C245D3"/>
    <w:rsid w:val="00C2462D"/>
    <w:rsid w:val="00C24677"/>
    <w:rsid w:val="00C2469B"/>
    <w:rsid w:val="00C246A0"/>
    <w:rsid w:val="00C24AD0"/>
    <w:rsid w:val="00C24F68"/>
    <w:rsid w:val="00C24F9B"/>
    <w:rsid w:val="00C2522D"/>
    <w:rsid w:val="00C2541E"/>
    <w:rsid w:val="00C25448"/>
    <w:rsid w:val="00C2587E"/>
    <w:rsid w:val="00C2592B"/>
    <w:rsid w:val="00C259E7"/>
    <w:rsid w:val="00C26221"/>
    <w:rsid w:val="00C2642E"/>
    <w:rsid w:val="00C2651D"/>
    <w:rsid w:val="00C267BC"/>
    <w:rsid w:val="00C267EA"/>
    <w:rsid w:val="00C26894"/>
    <w:rsid w:val="00C268DA"/>
    <w:rsid w:val="00C26998"/>
    <w:rsid w:val="00C26C53"/>
    <w:rsid w:val="00C26C92"/>
    <w:rsid w:val="00C26DC2"/>
    <w:rsid w:val="00C26DF7"/>
    <w:rsid w:val="00C26E62"/>
    <w:rsid w:val="00C270F2"/>
    <w:rsid w:val="00C271E9"/>
    <w:rsid w:val="00C273C8"/>
    <w:rsid w:val="00C274B8"/>
    <w:rsid w:val="00C27515"/>
    <w:rsid w:val="00C276B4"/>
    <w:rsid w:val="00C279E6"/>
    <w:rsid w:val="00C27C60"/>
    <w:rsid w:val="00C27CA5"/>
    <w:rsid w:val="00C30004"/>
    <w:rsid w:val="00C3058C"/>
    <w:rsid w:val="00C3071C"/>
    <w:rsid w:val="00C310B4"/>
    <w:rsid w:val="00C31369"/>
    <w:rsid w:val="00C315E2"/>
    <w:rsid w:val="00C3164F"/>
    <w:rsid w:val="00C31B8F"/>
    <w:rsid w:val="00C31CF2"/>
    <w:rsid w:val="00C32110"/>
    <w:rsid w:val="00C3247F"/>
    <w:rsid w:val="00C32A1E"/>
    <w:rsid w:val="00C32A3D"/>
    <w:rsid w:val="00C32FE9"/>
    <w:rsid w:val="00C33304"/>
    <w:rsid w:val="00C334CD"/>
    <w:rsid w:val="00C33EF2"/>
    <w:rsid w:val="00C34241"/>
    <w:rsid w:val="00C3426D"/>
    <w:rsid w:val="00C344ED"/>
    <w:rsid w:val="00C3451C"/>
    <w:rsid w:val="00C3472F"/>
    <w:rsid w:val="00C349A4"/>
    <w:rsid w:val="00C349C4"/>
    <w:rsid w:val="00C34A36"/>
    <w:rsid w:val="00C34DCD"/>
    <w:rsid w:val="00C350EA"/>
    <w:rsid w:val="00C353C7"/>
    <w:rsid w:val="00C353F7"/>
    <w:rsid w:val="00C355C6"/>
    <w:rsid w:val="00C35934"/>
    <w:rsid w:val="00C35A08"/>
    <w:rsid w:val="00C35BF3"/>
    <w:rsid w:val="00C35C91"/>
    <w:rsid w:val="00C35D0A"/>
    <w:rsid w:val="00C35DEE"/>
    <w:rsid w:val="00C35F74"/>
    <w:rsid w:val="00C3606A"/>
    <w:rsid w:val="00C3657B"/>
    <w:rsid w:val="00C36689"/>
    <w:rsid w:val="00C366FB"/>
    <w:rsid w:val="00C3681B"/>
    <w:rsid w:val="00C3690E"/>
    <w:rsid w:val="00C36A14"/>
    <w:rsid w:val="00C36A74"/>
    <w:rsid w:val="00C3727D"/>
    <w:rsid w:val="00C37565"/>
    <w:rsid w:val="00C379E2"/>
    <w:rsid w:val="00C402D3"/>
    <w:rsid w:val="00C4034A"/>
    <w:rsid w:val="00C40407"/>
    <w:rsid w:val="00C41127"/>
    <w:rsid w:val="00C416EB"/>
    <w:rsid w:val="00C41799"/>
    <w:rsid w:val="00C419EA"/>
    <w:rsid w:val="00C41B3A"/>
    <w:rsid w:val="00C41B99"/>
    <w:rsid w:val="00C41F42"/>
    <w:rsid w:val="00C42253"/>
    <w:rsid w:val="00C4258E"/>
    <w:rsid w:val="00C42F3C"/>
    <w:rsid w:val="00C434A0"/>
    <w:rsid w:val="00C43927"/>
    <w:rsid w:val="00C4392E"/>
    <w:rsid w:val="00C43954"/>
    <w:rsid w:val="00C43C4A"/>
    <w:rsid w:val="00C43DFE"/>
    <w:rsid w:val="00C43FDD"/>
    <w:rsid w:val="00C44281"/>
    <w:rsid w:val="00C4435B"/>
    <w:rsid w:val="00C4450C"/>
    <w:rsid w:val="00C4454A"/>
    <w:rsid w:val="00C445D1"/>
    <w:rsid w:val="00C44B03"/>
    <w:rsid w:val="00C44C07"/>
    <w:rsid w:val="00C44F9F"/>
    <w:rsid w:val="00C4505A"/>
    <w:rsid w:val="00C451D0"/>
    <w:rsid w:val="00C4544F"/>
    <w:rsid w:val="00C45974"/>
    <w:rsid w:val="00C45C10"/>
    <w:rsid w:val="00C45C95"/>
    <w:rsid w:val="00C45E7E"/>
    <w:rsid w:val="00C4604F"/>
    <w:rsid w:val="00C46152"/>
    <w:rsid w:val="00C461EB"/>
    <w:rsid w:val="00C469D3"/>
    <w:rsid w:val="00C46A16"/>
    <w:rsid w:val="00C46C2B"/>
    <w:rsid w:val="00C46C54"/>
    <w:rsid w:val="00C4702C"/>
    <w:rsid w:val="00C472CD"/>
    <w:rsid w:val="00C47881"/>
    <w:rsid w:val="00C47931"/>
    <w:rsid w:val="00C4799E"/>
    <w:rsid w:val="00C479C1"/>
    <w:rsid w:val="00C50169"/>
    <w:rsid w:val="00C504E9"/>
    <w:rsid w:val="00C506C0"/>
    <w:rsid w:val="00C507CD"/>
    <w:rsid w:val="00C50F0C"/>
    <w:rsid w:val="00C518C9"/>
    <w:rsid w:val="00C5227E"/>
    <w:rsid w:val="00C52388"/>
    <w:rsid w:val="00C5274D"/>
    <w:rsid w:val="00C52A5F"/>
    <w:rsid w:val="00C52D52"/>
    <w:rsid w:val="00C53065"/>
    <w:rsid w:val="00C531EE"/>
    <w:rsid w:val="00C531F4"/>
    <w:rsid w:val="00C536E3"/>
    <w:rsid w:val="00C539F8"/>
    <w:rsid w:val="00C53C18"/>
    <w:rsid w:val="00C53EC2"/>
    <w:rsid w:val="00C53F4A"/>
    <w:rsid w:val="00C54261"/>
    <w:rsid w:val="00C547B8"/>
    <w:rsid w:val="00C549A3"/>
    <w:rsid w:val="00C54E42"/>
    <w:rsid w:val="00C54F33"/>
    <w:rsid w:val="00C5502F"/>
    <w:rsid w:val="00C553EB"/>
    <w:rsid w:val="00C5544D"/>
    <w:rsid w:val="00C5567A"/>
    <w:rsid w:val="00C559B4"/>
    <w:rsid w:val="00C55A1F"/>
    <w:rsid w:val="00C55A2C"/>
    <w:rsid w:val="00C55ACF"/>
    <w:rsid w:val="00C55AFE"/>
    <w:rsid w:val="00C55CC9"/>
    <w:rsid w:val="00C55D00"/>
    <w:rsid w:val="00C55D55"/>
    <w:rsid w:val="00C55E7F"/>
    <w:rsid w:val="00C55ED1"/>
    <w:rsid w:val="00C55ED9"/>
    <w:rsid w:val="00C560AA"/>
    <w:rsid w:val="00C562E0"/>
    <w:rsid w:val="00C56EFC"/>
    <w:rsid w:val="00C57594"/>
    <w:rsid w:val="00C577EB"/>
    <w:rsid w:val="00C57A68"/>
    <w:rsid w:val="00C57A9D"/>
    <w:rsid w:val="00C60095"/>
    <w:rsid w:val="00C600BA"/>
    <w:rsid w:val="00C60184"/>
    <w:rsid w:val="00C601D3"/>
    <w:rsid w:val="00C60313"/>
    <w:rsid w:val="00C60676"/>
    <w:rsid w:val="00C60AAA"/>
    <w:rsid w:val="00C60B1C"/>
    <w:rsid w:val="00C60BBD"/>
    <w:rsid w:val="00C61057"/>
    <w:rsid w:val="00C61203"/>
    <w:rsid w:val="00C6121D"/>
    <w:rsid w:val="00C6147F"/>
    <w:rsid w:val="00C614F5"/>
    <w:rsid w:val="00C61571"/>
    <w:rsid w:val="00C615E3"/>
    <w:rsid w:val="00C61863"/>
    <w:rsid w:val="00C61A3D"/>
    <w:rsid w:val="00C61E44"/>
    <w:rsid w:val="00C61EEC"/>
    <w:rsid w:val="00C61F69"/>
    <w:rsid w:val="00C6252D"/>
    <w:rsid w:val="00C62A2F"/>
    <w:rsid w:val="00C62AA8"/>
    <w:rsid w:val="00C62B4A"/>
    <w:rsid w:val="00C62DEE"/>
    <w:rsid w:val="00C632DE"/>
    <w:rsid w:val="00C63CC4"/>
    <w:rsid w:val="00C63F80"/>
    <w:rsid w:val="00C648AD"/>
    <w:rsid w:val="00C648F7"/>
    <w:rsid w:val="00C64A0A"/>
    <w:rsid w:val="00C65708"/>
    <w:rsid w:val="00C65F2B"/>
    <w:rsid w:val="00C66092"/>
    <w:rsid w:val="00C665D0"/>
    <w:rsid w:val="00C66DC8"/>
    <w:rsid w:val="00C6749F"/>
    <w:rsid w:val="00C676DB"/>
    <w:rsid w:val="00C67D69"/>
    <w:rsid w:val="00C67F62"/>
    <w:rsid w:val="00C703F4"/>
    <w:rsid w:val="00C70597"/>
    <w:rsid w:val="00C7093C"/>
    <w:rsid w:val="00C70AF1"/>
    <w:rsid w:val="00C70D80"/>
    <w:rsid w:val="00C70EAC"/>
    <w:rsid w:val="00C70FF1"/>
    <w:rsid w:val="00C71091"/>
    <w:rsid w:val="00C71203"/>
    <w:rsid w:val="00C71403"/>
    <w:rsid w:val="00C71541"/>
    <w:rsid w:val="00C71796"/>
    <w:rsid w:val="00C717FC"/>
    <w:rsid w:val="00C719CC"/>
    <w:rsid w:val="00C71D0D"/>
    <w:rsid w:val="00C71D6A"/>
    <w:rsid w:val="00C722FC"/>
    <w:rsid w:val="00C7231F"/>
    <w:rsid w:val="00C72558"/>
    <w:rsid w:val="00C7261D"/>
    <w:rsid w:val="00C726D5"/>
    <w:rsid w:val="00C72B52"/>
    <w:rsid w:val="00C72C0F"/>
    <w:rsid w:val="00C72D5B"/>
    <w:rsid w:val="00C73027"/>
    <w:rsid w:val="00C73147"/>
    <w:rsid w:val="00C73197"/>
    <w:rsid w:val="00C740BA"/>
    <w:rsid w:val="00C742C9"/>
    <w:rsid w:val="00C74680"/>
    <w:rsid w:val="00C74880"/>
    <w:rsid w:val="00C748BB"/>
    <w:rsid w:val="00C74C1B"/>
    <w:rsid w:val="00C751B0"/>
    <w:rsid w:val="00C751C2"/>
    <w:rsid w:val="00C758EE"/>
    <w:rsid w:val="00C75A0C"/>
    <w:rsid w:val="00C75C32"/>
    <w:rsid w:val="00C7659B"/>
    <w:rsid w:val="00C76D9F"/>
    <w:rsid w:val="00C77030"/>
    <w:rsid w:val="00C772BC"/>
    <w:rsid w:val="00C772C7"/>
    <w:rsid w:val="00C772FD"/>
    <w:rsid w:val="00C77A1D"/>
    <w:rsid w:val="00C77BA1"/>
    <w:rsid w:val="00C77CE4"/>
    <w:rsid w:val="00C77D26"/>
    <w:rsid w:val="00C77FA2"/>
    <w:rsid w:val="00C8013F"/>
    <w:rsid w:val="00C801C5"/>
    <w:rsid w:val="00C803BF"/>
    <w:rsid w:val="00C805F4"/>
    <w:rsid w:val="00C8067F"/>
    <w:rsid w:val="00C81007"/>
    <w:rsid w:val="00C81107"/>
    <w:rsid w:val="00C8128B"/>
    <w:rsid w:val="00C81320"/>
    <w:rsid w:val="00C81576"/>
    <w:rsid w:val="00C816D9"/>
    <w:rsid w:val="00C81779"/>
    <w:rsid w:val="00C81806"/>
    <w:rsid w:val="00C8183E"/>
    <w:rsid w:val="00C81F29"/>
    <w:rsid w:val="00C81FBC"/>
    <w:rsid w:val="00C82040"/>
    <w:rsid w:val="00C820CA"/>
    <w:rsid w:val="00C82144"/>
    <w:rsid w:val="00C8231E"/>
    <w:rsid w:val="00C825ED"/>
    <w:rsid w:val="00C82BDD"/>
    <w:rsid w:val="00C82C59"/>
    <w:rsid w:val="00C82CEB"/>
    <w:rsid w:val="00C83084"/>
    <w:rsid w:val="00C8347C"/>
    <w:rsid w:val="00C837DE"/>
    <w:rsid w:val="00C8385D"/>
    <w:rsid w:val="00C838DE"/>
    <w:rsid w:val="00C83DEB"/>
    <w:rsid w:val="00C83E45"/>
    <w:rsid w:val="00C83E8E"/>
    <w:rsid w:val="00C83F97"/>
    <w:rsid w:val="00C840C3"/>
    <w:rsid w:val="00C843EB"/>
    <w:rsid w:val="00C84545"/>
    <w:rsid w:val="00C84632"/>
    <w:rsid w:val="00C849ED"/>
    <w:rsid w:val="00C84A87"/>
    <w:rsid w:val="00C84D27"/>
    <w:rsid w:val="00C84DAE"/>
    <w:rsid w:val="00C84FAD"/>
    <w:rsid w:val="00C85110"/>
    <w:rsid w:val="00C85710"/>
    <w:rsid w:val="00C8588E"/>
    <w:rsid w:val="00C859F9"/>
    <w:rsid w:val="00C85B3E"/>
    <w:rsid w:val="00C85CB7"/>
    <w:rsid w:val="00C85D1A"/>
    <w:rsid w:val="00C86412"/>
    <w:rsid w:val="00C86AE5"/>
    <w:rsid w:val="00C874C6"/>
    <w:rsid w:val="00C87556"/>
    <w:rsid w:val="00C876B5"/>
    <w:rsid w:val="00C8787E"/>
    <w:rsid w:val="00C87918"/>
    <w:rsid w:val="00C87A15"/>
    <w:rsid w:val="00C90061"/>
    <w:rsid w:val="00C9039D"/>
    <w:rsid w:val="00C9040A"/>
    <w:rsid w:val="00C90545"/>
    <w:rsid w:val="00C905A9"/>
    <w:rsid w:val="00C9076B"/>
    <w:rsid w:val="00C90995"/>
    <w:rsid w:val="00C90A9D"/>
    <w:rsid w:val="00C90C2B"/>
    <w:rsid w:val="00C90EA0"/>
    <w:rsid w:val="00C90EA8"/>
    <w:rsid w:val="00C90F90"/>
    <w:rsid w:val="00C91425"/>
    <w:rsid w:val="00C914E6"/>
    <w:rsid w:val="00C9153A"/>
    <w:rsid w:val="00C91734"/>
    <w:rsid w:val="00C918FD"/>
    <w:rsid w:val="00C91C72"/>
    <w:rsid w:val="00C91E6B"/>
    <w:rsid w:val="00C91F9A"/>
    <w:rsid w:val="00C922D6"/>
    <w:rsid w:val="00C92345"/>
    <w:rsid w:val="00C92916"/>
    <w:rsid w:val="00C929D8"/>
    <w:rsid w:val="00C9321D"/>
    <w:rsid w:val="00C93335"/>
    <w:rsid w:val="00C93591"/>
    <w:rsid w:val="00C93961"/>
    <w:rsid w:val="00C93A92"/>
    <w:rsid w:val="00C93B2D"/>
    <w:rsid w:val="00C93BBA"/>
    <w:rsid w:val="00C93CD4"/>
    <w:rsid w:val="00C93E37"/>
    <w:rsid w:val="00C94124"/>
    <w:rsid w:val="00C94187"/>
    <w:rsid w:val="00C9449E"/>
    <w:rsid w:val="00C944CB"/>
    <w:rsid w:val="00C947DC"/>
    <w:rsid w:val="00C947F2"/>
    <w:rsid w:val="00C95043"/>
    <w:rsid w:val="00C9580F"/>
    <w:rsid w:val="00C95858"/>
    <w:rsid w:val="00C9585D"/>
    <w:rsid w:val="00C95948"/>
    <w:rsid w:val="00C95ADC"/>
    <w:rsid w:val="00C9688D"/>
    <w:rsid w:val="00C96DAD"/>
    <w:rsid w:val="00C974E5"/>
    <w:rsid w:val="00C975D8"/>
    <w:rsid w:val="00C97A0B"/>
    <w:rsid w:val="00C97DE9"/>
    <w:rsid w:val="00C97EBD"/>
    <w:rsid w:val="00CA0771"/>
    <w:rsid w:val="00CA077F"/>
    <w:rsid w:val="00CA0811"/>
    <w:rsid w:val="00CA08BE"/>
    <w:rsid w:val="00CA0F22"/>
    <w:rsid w:val="00CA1509"/>
    <w:rsid w:val="00CA16FA"/>
    <w:rsid w:val="00CA1D0D"/>
    <w:rsid w:val="00CA1E3E"/>
    <w:rsid w:val="00CA1E84"/>
    <w:rsid w:val="00CA2022"/>
    <w:rsid w:val="00CA2088"/>
    <w:rsid w:val="00CA2141"/>
    <w:rsid w:val="00CA2352"/>
    <w:rsid w:val="00CA2540"/>
    <w:rsid w:val="00CA25A8"/>
    <w:rsid w:val="00CA2957"/>
    <w:rsid w:val="00CA2B64"/>
    <w:rsid w:val="00CA3076"/>
    <w:rsid w:val="00CA33F2"/>
    <w:rsid w:val="00CA3416"/>
    <w:rsid w:val="00CA34B7"/>
    <w:rsid w:val="00CA359A"/>
    <w:rsid w:val="00CA3648"/>
    <w:rsid w:val="00CA3966"/>
    <w:rsid w:val="00CA3971"/>
    <w:rsid w:val="00CA3C2D"/>
    <w:rsid w:val="00CA3C83"/>
    <w:rsid w:val="00CA3EB0"/>
    <w:rsid w:val="00CA3F7F"/>
    <w:rsid w:val="00CA4185"/>
    <w:rsid w:val="00CA4484"/>
    <w:rsid w:val="00CA4857"/>
    <w:rsid w:val="00CA485B"/>
    <w:rsid w:val="00CA4925"/>
    <w:rsid w:val="00CA4F1D"/>
    <w:rsid w:val="00CA4F41"/>
    <w:rsid w:val="00CA51D9"/>
    <w:rsid w:val="00CA52FF"/>
    <w:rsid w:val="00CA5459"/>
    <w:rsid w:val="00CA59A8"/>
    <w:rsid w:val="00CA5C1F"/>
    <w:rsid w:val="00CA60F3"/>
    <w:rsid w:val="00CA6199"/>
    <w:rsid w:val="00CA654F"/>
    <w:rsid w:val="00CA6C38"/>
    <w:rsid w:val="00CA6E3C"/>
    <w:rsid w:val="00CA70C8"/>
    <w:rsid w:val="00CA70E8"/>
    <w:rsid w:val="00CA71F0"/>
    <w:rsid w:val="00CA72A5"/>
    <w:rsid w:val="00CA7325"/>
    <w:rsid w:val="00CA7456"/>
    <w:rsid w:val="00CA74C6"/>
    <w:rsid w:val="00CA7999"/>
    <w:rsid w:val="00CA7C08"/>
    <w:rsid w:val="00CA7FB0"/>
    <w:rsid w:val="00CB02C0"/>
    <w:rsid w:val="00CB0376"/>
    <w:rsid w:val="00CB0861"/>
    <w:rsid w:val="00CB08EC"/>
    <w:rsid w:val="00CB0A9F"/>
    <w:rsid w:val="00CB0B66"/>
    <w:rsid w:val="00CB0EE4"/>
    <w:rsid w:val="00CB13EC"/>
    <w:rsid w:val="00CB1573"/>
    <w:rsid w:val="00CB15B2"/>
    <w:rsid w:val="00CB169B"/>
    <w:rsid w:val="00CB1AD7"/>
    <w:rsid w:val="00CB2133"/>
    <w:rsid w:val="00CB222E"/>
    <w:rsid w:val="00CB2352"/>
    <w:rsid w:val="00CB2368"/>
    <w:rsid w:val="00CB27AA"/>
    <w:rsid w:val="00CB289F"/>
    <w:rsid w:val="00CB29B5"/>
    <w:rsid w:val="00CB301D"/>
    <w:rsid w:val="00CB3059"/>
    <w:rsid w:val="00CB3147"/>
    <w:rsid w:val="00CB3765"/>
    <w:rsid w:val="00CB393E"/>
    <w:rsid w:val="00CB3F7F"/>
    <w:rsid w:val="00CB3F80"/>
    <w:rsid w:val="00CB403A"/>
    <w:rsid w:val="00CB4043"/>
    <w:rsid w:val="00CB4431"/>
    <w:rsid w:val="00CB4599"/>
    <w:rsid w:val="00CB4906"/>
    <w:rsid w:val="00CB5102"/>
    <w:rsid w:val="00CB5265"/>
    <w:rsid w:val="00CB59BB"/>
    <w:rsid w:val="00CB5B0F"/>
    <w:rsid w:val="00CB5C6D"/>
    <w:rsid w:val="00CB6040"/>
    <w:rsid w:val="00CB64A6"/>
    <w:rsid w:val="00CB6539"/>
    <w:rsid w:val="00CB66F6"/>
    <w:rsid w:val="00CB6C4F"/>
    <w:rsid w:val="00CB6D75"/>
    <w:rsid w:val="00CB6D85"/>
    <w:rsid w:val="00CB75BC"/>
    <w:rsid w:val="00CB7721"/>
    <w:rsid w:val="00CB7CE0"/>
    <w:rsid w:val="00CC02EF"/>
    <w:rsid w:val="00CC02FD"/>
    <w:rsid w:val="00CC0504"/>
    <w:rsid w:val="00CC0945"/>
    <w:rsid w:val="00CC0CC5"/>
    <w:rsid w:val="00CC0E1E"/>
    <w:rsid w:val="00CC1BCE"/>
    <w:rsid w:val="00CC1D6D"/>
    <w:rsid w:val="00CC1DAA"/>
    <w:rsid w:val="00CC1E7A"/>
    <w:rsid w:val="00CC24E7"/>
    <w:rsid w:val="00CC25F2"/>
    <w:rsid w:val="00CC2667"/>
    <w:rsid w:val="00CC2720"/>
    <w:rsid w:val="00CC362C"/>
    <w:rsid w:val="00CC37E6"/>
    <w:rsid w:val="00CC3AD9"/>
    <w:rsid w:val="00CC3B71"/>
    <w:rsid w:val="00CC409D"/>
    <w:rsid w:val="00CC41B0"/>
    <w:rsid w:val="00CC42C3"/>
    <w:rsid w:val="00CC4737"/>
    <w:rsid w:val="00CC477B"/>
    <w:rsid w:val="00CC4871"/>
    <w:rsid w:val="00CC4CDC"/>
    <w:rsid w:val="00CC4EB4"/>
    <w:rsid w:val="00CC4F96"/>
    <w:rsid w:val="00CC4FB1"/>
    <w:rsid w:val="00CC4FEF"/>
    <w:rsid w:val="00CC5101"/>
    <w:rsid w:val="00CC52D0"/>
    <w:rsid w:val="00CC5304"/>
    <w:rsid w:val="00CC55BB"/>
    <w:rsid w:val="00CC5980"/>
    <w:rsid w:val="00CC59C0"/>
    <w:rsid w:val="00CC5CBF"/>
    <w:rsid w:val="00CC5DE8"/>
    <w:rsid w:val="00CC5E47"/>
    <w:rsid w:val="00CC62D8"/>
    <w:rsid w:val="00CC684C"/>
    <w:rsid w:val="00CC69ED"/>
    <w:rsid w:val="00CC69EF"/>
    <w:rsid w:val="00CC6A1C"/>
    <w:rsid w:val="00CC6C1B"/>
    <w:rsid w:val="00CC72F8"/>
    <w:rsid w:val="00CC76D9"/>
    <w:rsid w:val="00CC7955"/>
    <w:rsid w:val="00CD04AD"/>
    <w:rsid w:val="00CD06F6"/>
    <w:rsid w:val="00CD0769"/>
    <w:rsid w:val="00CD0C33"/>
    <w:rsid w:val="00CD0E3F"/>
    <w:rsid w:val="00CD0F1E"/>
    <w:rsid w:val="00CD1276"/>
    <w:rsid w:val="00CD1602"/>
    <w:rsid w:val="00CD1771"/>
    <w:rsid w:val="00CD17CF"/>
    <w:rsid w:val="00CD1EF2"/>
    <w:rsid w:val="00CD1F7E"/>
    <w:rsid w:val="00CD204A"/>
    <w:rsid w:val="00CD25F0"/>
    <w:rsid w:val="00CD2749"/>
    <w:rsid w:val="00CD29EE"/>
    <w:rsid w:val="00CD2A9A"/>
    <w:rsid w:val="00CD2B11"/>
    <w:rsid w:val="00CD2F1C"/>
    <w:rsid w:val="00CD3050"/>
    <w:rsid w:val="00CD3151"/>
    <w:rsid w:val="00CD3278"/>
    <w:rsid w:val="00CD3330"/>
    <w:rsid w:val="00CD33CE"/>
    <w:rsid w:val="00CD37F4"/>
    <w:rsid w:val="00CD3AF3"/>
    <w:rsid w:val="00CD3BB8"/>
    <w:rsid w:val="00CD3E02"/>
    <w:rsid w:val="00CD3E7E"/>
    <w:rsid w:val="00CD42D7"/>
    <w:rsid w:val="00CD4521"/>
    <w:rsid w:val="00CD48F3"/>
    <w:rsid w:val="00CD4C2E"/>
    <w:rsid w:val="00CD4C4C"/>
    <w:rsid w:val="00CD4E4E"/>
    <w:rsid w:val="00CD5107"/>
    <w:rsid w:val="00CD593B"/>
    <w:rsid w:val="00CD595A"/>
    <w:rsid w:val="00CD597B"/>
    <w:rsid w:val="00CD5993"/>
    <w:rsid w:val="00CD5A07"/>
    <w:rsid w:val="00CD5CD3"/>
    <w:rsid w:val="00CD5DE5"/>
    <w:rsid w:val="00CD6179"/>
    <w:rsid w:val="00CD6328"/>
    <w:rsid w:val="00CD6526"/>
    <w:rsid w:val="00CD66BC"/>
    <w:rsid w:val="00CD6871"/>
    <w:rsid w:val="00CD6D61"/>
    <w:rsid w:val="00CD738C"/>
    <w:rsid w:val="00CD7789"/>
    <w:rsid w:val="00CD7D5C"/>
    <w:rsid w:val="00CD7D69"/>
    <w:rsid w:val="00CE02E3"/>
    <w:rsid w:val="00CE03B2"/>
    <w:rsid w:val="00CE0761"/>
    <w:rsid w:val="00CE07C7"/>
    <w:rsid w:val="00CE1163"/>
    <w:rsid w:val="00CE1221"/>
    <w:rsid w:val="00CE124E"/>
    <w:rsid w:val="00CE129F"/>
    <w:rsid w:val="00CE136B"/>
    <w:rsid w:val="00CE155E"/>
    <w:rsid w:val="00CE1671"/>
    <w:rsid w:val="00CE16B6"/>
    <w:rsid w:val="00CE17E3"/>
    <w:rsid w:val="00CE1B99"/>
    <w:rsid w:val="00CE200E"/>
    <w:rsid w:val="00CE2293"/>
    <w:rsid w:val="00CE266B"/>
    <w:rsid w:val="00CE2877"/>
    <w:rsid w:val="00CE2ACD"/>
    <w:rsid w:val="00CE2F23"/>
    <w:rsid w:val="00CE3538"/>
    <w:rsid w:val="00CE35EE"/>
    <w:rsid w:val="00CE3B6B"/>
    <w:rsid w:val="00CE3B84"/>
    <w:rsid w:val="00CE3F5A"/>
    <w:rsid w:val="00CE3FAD"/>
    <w:rsid w:val="00CE4120"/>
    <w:rsid w:val="00CE442B"/>
    <w:rsid w:val="00CE46E4"/>
    <w:rsid w:val="00CE4CD7"/>
    <w:rsid w:val="00CE4FA1"/>
    <w:rsid w:val="00CE5028"/>
    <w:rsid w:val="00CE5CDB"/>
    <w:rsid w:val="00CE5E57"/>
    <w:rsid w:val="00CE64FC"/>
    <w:rsid w:val="00CE6692"/>
    <w:rsid w:val="00CE67C8"/>
    <w:rsid w:val="00CE680D"/>
    <w:rsid w:val="00CE6DC2"/>
    <w:rsid w:val="00CE6E73"/>
    <w:rsid w:val="00CE7251"/>
    <w:rsid w:val="00CE78E6"/>
    <w:rsid w:val="00CE7B14"/>
    <w:rsid w:val="00CF004E"/>
    <w:rsid w:val="00CF0294"/>
    <w:rsid w:val="00CF04E1"/>
    <w:rsid w:val="00CF0501"/>
    <w:rsid w:val="00CF065E"/>
    <w:rsid w:val="00CF0BD7"/>
    <w:rsid w:val="00CF0DF4"/>
    <w:rsid w:val="00CF138F"/>
    <w:rsid w:val="00CF1588"/>
    <w:rsid w:val="00CF1AA6"/>
    <w:rsid w:val="00CF1BE2"/>
    <w:rsid w:val="00CF1C0F"/>
    <w:rsid w:val="00CF1DDD"/>
    <w:rsid w:val="00CF20A7"/>
    <w:rsid w:val="00CF216C"/>
    <w:rsid w:val="00CF228C"/>
    <w:rsid w:val="00CF22F6"/>
    <w:rsid w:val="00CF28D1"/>
    <w:rsid w:val="00CF2973"/>
    <w:rsid w:val="00CF2B16"/>
    <w:rsid w:val="00CF2D43"/>
    <w:rsid w:val="00CF319D"/>
    <w:rsid w:val="00CF3941"/>
    <w:rsid w:val="00CF39C1"/>
    <w:rsid w:val="00CF40CC"/>
    <w:rsid w:val="00CF469E"/>
    <w:rsid w:val="00CF4796"/>
    <w:rsid w:val="00CF4AC4"/>
    <w:rsid w:val="00CF4B39"/>
    <w:rsid w:val="00CF51C0"/>
    <w:rsid w:val="00CF560B"/>
    <w:rsid w:val="00CF58BA"/>
    <w:rsid w:val="00CF593C"/>
    <w:rsid w:val="00CF5BD9"/>
    <w:rsid w:val="00CF5E9B"/>
    <w:rsid w:val="00CF635B"/>
    <w:rsid w:val="00CF645A"/>
    <w:rsid w:val="00CF64CB"/>
    <w:rsid w:val="00CF67E3"/>
    <w:rsid w:val="00CF6AA1"/>
    <w:rsid w:val="00CF6CF3"/>
    <w:rsid w:val="00CF6E97"/>
    <w:rsid w:val="00CF6F4F"/>
    <w:rsid w:val="00CF73BD"/>
    <w:rsid w:val="00CF7427"/>
    <w:rsid w:val="00CF74D7"/>
    <w:rsid w:val="00CF758A"/>
    <w:rsid w:val="00CF7620"/>
    <w:rsid w:val="00CF76D0"/>
    <w:rsid w:val="00CF7831"/>
    <w:rsid w:val="00CF7C08"/>
    <w:rsid w:val="00CF7C41"/>
    <w:rsid w:val="00CF7EBC"/>
    <w:rsid w:val="00D000A4"/>
    <w:rsid w:val="00D0022E"/>
    <w:rsid w:val="00D00323"/>
    <w:rsid w:val="00D0038B"/>
    <w:rsid w:val="00D0049C"/>
    <w:rsid w:val="00D009A6"/>
    <w:rsid w:val="00D00A5A"/>
    <w:rsid w:val="00D00B89"/>
    <w:rsid w:val="00D0107E"/>
    <w:rsid w:val="00D0133E"/>
    <w:rsid w:val="00D01363"/>
    <w:rsid w:val="00D016FB"/>
    <w:rsid w:val="00D019AD"/>
    <w:rsid w:val="00D01A7D"/>
    <w:rsid w:val="00D01E88"/>
    <w:rsid w:val="00D01FED"/>
    <w:rsid w:val="00D02090"/>
    <w:rsid w:val="00D026E9"/>
    <w:rsid w:val="00D02E37"/>
    <w:rsid w:val="00D02E54"/>
    <w:rsid w:val="00D02FF8"/>
    <w:rsid w:val="00D03229"/>
    <w:rsid w:val="00D032FE"/>
    <w:rsid w:val="00D03CE8"/>
    <w:rsid w:val="00D03F9C"/>
    <w:rsid w:val="00D0427E"/>
    <w:rsid w:val="00D0449C"/>
    <w:rsid w:val="00D0457A"/>
    <w:rsid w:val="00D046D2"/>
    <w:rsid w:val="00D0486F"/>
    <w:rsid w:val="00D04BA8"/>
    <w:rsid w:val="00D04E1D"/>
    <w:rsid w:val="00D05036"/>
    <w:rsid w:val="00D054D7"/>
    <w:rsid w:val="00D055BC"/>
    <w:rsid w:val="00D0561C"/>
    <w:rsid w:val="00D059D2"/>
    <w:rsid w:val="00D05E89"/>
    <w:rsid w:val="00D061B2"/>
    <w:rsid w:val="00D06298"/>
    <w:rsid w:val="00D06E08"/>
    <w:rsid w:val="00D07052"/>
    <w:rsid w:val="00D07294"/>
    <w:rsid w:val="00D0761F"/>
    <w:rsid w:val="00D07A73"/>
    <w:rsid w:val="00D07D74"/>
    <w:rsid w:val="00D07F35"/>
    <w:rsid w:val="00D1015F"/>
    <w:rsid w:val="00D10177"/>
    <w:rsid w:val="00D102C9"/>
    <w:rsid w:val="00D10356"/>
    <w:rsid w:val="00D104C0"/>
    <w:rsid w:val="00D10D92"/>
    <w:rsid w:val="00D10E18"/>
    <w:rsid w:val="00D1158B"/>
    <w:rsid w:val="00D115EB"/>
    <w:rsid w:val="00D11617"/>
    <w:rsid w:val="00D11659"/>
    <w:rsid w:val="00D116B0"/>
    <w:rsid w:val="00D11E5E"/>
    <w:rsid w:val="00D11E7F"/>
    <w:rsid w:val="00D11F20"/>
    <w:rsid w:val="00D123F1"/>
    <w:rsid w:val="00D12663"/>
    <w:rsid w:val="00D12C66"/>
    <w:rsid w:val="00D12DB2"/>
    <w:rsid w:val="00D13048"/>
    <w:rsid w:val="00D13227"/>
    <w:rsid w:val="00D1337D"/>
    <w:rsid w:val="00D133A7"/>
    <w:rsid w:val="00D134EB"/>
    <w:rsid w:val="00D13A09"/>
    <w:rsid w:val="00D13A5B"/>
    <w:rsid w:val="00D13D47"/>
    <w:rsid w:val="00D14160"/>
    <w:rsid w:val="00D147B5"/>
    <w:rsid w:val="00D14915"/>
    <w:rsid w:val="00D149DD"/>
    <w:rsid w:val="00D14A4B"/>
    <w:rsid w:val="00D14B51"/>
    <w:rsid w:val="00D14CAA"/>
    <w:rsid w:val="00D14F92"/>
    <w:rsid w:val="00D1519C"/>
    <w:rsid w:val="00D152FE"/>
    <w:rsid w:val="00D15747"/>
    <w:rsid w:val="00D15AB4"/>
    <w:rsid w:val="00D15C0D"/>
    <w:rsid w:val="00D160FF"/>
    <w:rsid w:val="00D164B0"/>
    <w:rsid w:val="00D1655C"/>
    <w:rsid w:val="00D1658D"/>
    <w:rsid w:val="00D16A40"/>
    <w:rsid w:val="00D16A50"/>
    <w:rsid w:val="00D16D34"/>
    <w:rsid w:val="00D16EBA"/>
    <w:rsid w:val="00D1723E"/>
    <w:rsid w:val="00D179A9"/>
    <w:rsid w:val="00D17B46"/>
    <w:rsid w:val="00D20371"/>
    <w:rsid w:val="00D205A3"/>
    <w:rsid w:val="00D2083E"/>
    <w:rsid w:val="00D2095C"/>
    <w:rsid w:val="00D20AD1"/>
    <w:rsid w:val="00D213A1"/>
    <w:rsid w:val="00D21418"/>
    <w:rsid w:val="00D21698"/>
    <w:rsid w:val="00D21849"/>
    <w:rsid w:val="00D21997"/>
    <w:rsid w:val="00D219B8"/>
    <w:rsid w:val="00D21BEC"/>
    <w:rsid w:val="00D21EC7"/>
    <w:rsid w:val="00D22060"/>
    <w:rsid w:val="00D2217D"/>
    <w:rsid w:val="00D2232E"/>
    <w:rsid w:val="00D22443"/>
    <w:rsid w:val="00D22563"/>
    <w:rsid w:val="00D22783"/>
    <w:rsid w:val="00D22834"/>
    <w:rsid w:val="00D22A1C"/>
    <w:rsid w:val="00D22A81"/>
    <w:rsid w:val="00D22E3F"/>
    <w:rsid w:val="00D2307F"/>
    <w:rsid w:val="00D233D8"/>
    <w:rsid w:val="00D2340F"/>
    <w:rsid w:val="00D237E3"/>
    <w:rsid w:val="00D23A25"/>
    <w:rsid w:val="00D23CC8"/>
    <w:rsid w:val="00D2413B"/>
    <w:rsid w:val="00D24817"/>
    <w:rsid w:val="00D24858"/>
    <w:rsid w:val="00D2495B"/>
    <w:rsid w:val="00D24B12"/>
    <w:rsid w:val="00D24BAD"/>
    <w:rsid w:val="00D24C56"/>
    <w:rsid w:val="00D24E9D"/>
    <w:rsid w:val="00D24FBE"/>
    <w:rsid w:val="00D2551F"/>
    <w:rsid w:val="00D255C6"/>
    <w:rsid w:val="00D25A6C"/>
    <w:rsid w:val="00D25B46"/>
    <w:rsid w:val="00D25D5E"/>
    <w:rsid w:val="00D25E2D"/>
    <w:rsid w:val="00D26278"/>
    <w:rsid w:val="00D263AF"/>
    <w:rsid w:val="00D265D2"/>
    <w:rsid w:val="00D26769"/>
    <w:rsid w:val="00D26A21"/>
    <w:rsid w:val="00D26A83"/>
    <w:rsid w:val="00D272CD"/>
    <w:rsid w:val="00D272D5"/>
    <w:rsid w:val="00D27371"/>
    <w:rsid w:val="00D277C8"/>
    <w:rsid w:val="00D27986"/>
    <w:rsid w:val="00D27E6C"/>
    <w:rsid w:val="00D27E84"/>
    <w:rsid w:val="00D27FF3"/>
    <w:rsid w:val="00D3006E"/>
    <w:rsid w:val="00D30400"/>
    <w:rsid w:val="00D3088F"/>
    <w:rsid w:val="00D30994"/>
    <w:rsid w:val="00D30B8C"/>
    <w:rsid w:val="00D30BC4"/>
    <w:rsid w:val="00D30DB6"/>
    <w:rsid w:val="00D30FED"/>
    <w:rsid w:val="00D31078"/>
    <w:rsid w:val="00D313DF"/>
    <w:rsid w:val="00D3141E"/>
    <w:rsid w:val="00D315C4"/>
    <w:rsid w:val="00D319D0"/>
    <w:rsid w:val="00D31B9B"/>
    <w:rsid w:val="00D31DAD"/>
    <w:rsid w:val="00D320C9"/>
    <w:rsid w:val="00D321C7"/>
    <w:rsid w:val="00D32547"/>
    <w:rsid w:val="00D32753"/>
    <w:rsid w:val="00D32814"/>
    <w:rsid w:val="00D328EE"/>
    <w:rsid w:val="00D32A40"/>
    <w:rsid w:val="00D32AC0"/>
    <w:rsid w:val="00D32B56"/>
    <w:rsid w:val="00D32CDF"/>
    <w:rsid w:val="00D32F82"/>
    <w:rsid w:val="00D332EE"/>
    <w:rsid w:val="00D333E3"/>
    <w:rsid w:val="00D33A33"/>
    <w:rsid w:val="00D33B98"/>
    <w:rsid w:val="00D33BB0"/>
    <w:rsid w:val="00D33CA6"/>
    <w:rsid w:val="00D3441C"/>
    <w:rsid w:val="00D34434"/>
    <w:rsid w:val="00D3454E"/>
    <w:rsid w:val="00D3459D"/>
    <w:rsid w:val="00D345DD"/>
    <w:rsid w:val="00D3472D"/>
    <w:rsid w:val="00D3489A"/>
    <w:rsid w:val="00D348E3"/>
    <w:rsid w:val="00D351DC"/>
    <w:rsid w:val="00D35578"/>
    <w:rsid w:val="00D35649"/>
    <w:rsid w:val="00D35706"/>
    <w:rsid w:val="00D35B10"/>
    <w:rsid w:val="00D35B2E"/>
    <w:rsid w:val="00D35C29"/>
    <w:rsid w:val="00D35CB0"/>
    <w:rsid w:val="00D35DB8"/>
    <w:rsid w:val="00D35F06"/>
    <w:rsid w:val="00D3602A"/>
    <w:rsid w:val="00D360F2"/>
    <w:rsid w:val="00D3643A"/>
    <w:rsid w:val="00D3648D"/>
    <w:rsid w:val="00D36915"/>
    <w:rsid w:val="00D36A9A"/>
    <w:rsid w:val="00D36CA5"/>
    <w:rsid w:val="00D37074"/>
    <w:rsid w:val="00D370B6"/>
    <w:rsid w:val="00D371B3"/>
    <w:rsid w:val="00D378C3"/>
    <w:rsid w:val="00D37AAF"/>
    <w:rsid w:val="00D37B95"/>
    <w:rsid w:val="00D37D4C"/>
    <w:rsid w:val="00D37D57"/>
    <w:rsid w:val="00D37E7F"/>
    <w:rsid w:val="00D40216"/>
    <w:rsid w:val="00D404EF"/>
    <w:rsid w:val="00D40A83"/>
    <w:rsid w:val="00D40BC7"/>
    <w:rsid w:val="00D40CB9"/>
    <w:rsid w:val="00D40DD6"/>
    <w:rsid w:val="00D40FCB"/>
    <w:rsid w:val="00D41395"/>
    <w:rsid w:val="00D419A9"/>
    <w:rsid w:val="00D41D14"/>
    <w:rsid w:val="00D41D54"/>
    <w:rsid w:val="00D42182"/>
    <w:rsid w:val="00D42680"/>
    <w:rsid w:val="00D4276A"/>
    <w:rsid w:val="00D427BE"/>
    <w:rsid w:val="00D429D9"/>
    <w:rsid w:val="00D43019"/>
    <w:rsid w:val="00D432EF"/>
    <w:rsid w:val="00D435B7"/>
    <w:rsid w:val="00D4361E"/>
    <w:rsid w:val="00D43C7D"/>
    <w:rsid w:val="00D43C89"/>
    <w:rsid w:val="00D43DAF"/>
    <w:rsid w:val="00D43F13"/>
    <w:rsid w:val="00D43F2D"/>
    <w:rsid w:val="00D44180"/>
    <w:rsid w:val="00D4454B"/>
    <w:rsid w:val="00D448AC"/>
    <w:rsid w:val="00D448AD"/>
    <w:rsid w:val="00D4491D"/>
    <w:rsid w:val="00D449A6"/>
    <w:rsid w:val="00D44A1C"/>
    <w:rsid w:val="00D44B66"/>
    <w:rsid w:val="00D44B6A"/>
    <w:rsid w:val="00D44FCA"/>
    <w:rsid w:val="00D451D8"/>
    <w:rsid w:val="00D45207"/>
    <w:rsid w:val="00D45425"/>
    <w:rsid w:val="00D455C1"/>
    <w:rsid w:val="00D45C53"/>
    <w:rsid w:val="00D45D45"/>
    <w:rsid w:val="00D45E46"/>
    <w:rsid w:val="00D461C1"/>
    <w:rsid w:val="00D46249"/>
    <w:rsid w:val="00D464CA"/>
    <w:rsid w:val="00D4684A"/>
    <w:rsid w:val="00D468C9"/>
    <w:rsid w:val="00D4699C"/>
    <w:rsid w:val="00D46C13"/>
    <w:rsid w:val="00D4738F"/>
    <w:rsid w:val="00D477E8"/>
    <w:rsid w:val="00D4794B"/>
    <w:rsid w:val="00D47AEB"/>
    <w:rsid w:val="00D47B41"/>
    <w:rsid w:val="00D47BDB"/>
    <w:rsid w:val="00D47C43"/>
    <w:rsid w:val="00D50158"/>
    <w:rsid w:val="00D50576"/>
    <w:rsid w:val="00D505C4"/>
    <w:rsid w:val="00D50664"/>
    <w:rsid w:val="00D506BC"/>
    <w:rsid w:val="00D507FB"/>
    <w:rsid w:val="00D50E2C"/>
    <w:rsid w:val="00D51316"/>
    <w:rsid w:val="00D5131B"/>
    <w:rsid w:val="00D513CD"/>
    <w:rsid w:val="00D51802"/>
    <w:rsid w:val="00D519DD"/>
    <w:rsid w:val="00D51A58"/>
    <w:rsid w:val="00D51D8B"/>
    <w:rsid w:val="00D51E53"/>
    <w:rsid w:val="00D51EDF"/>
    <w:rsid w:val="00D51F88"/>
    <w:rsid w:val="00D5250E"/>
    <w:rsid w:val="00D52543"/>
    <w:rsid w:val="00D5257F"/>
    <w:rsid w:val="00D525FF"/>
    <w:rsid w:val="00D52612"/>
    <w:rsid w:val="00D52818"/>
    <w:rsid w:val="00D52968"/>
    <w:rsid w:val="00D52AAC"/>
    <w:rsid w:val="00D52C13"/>
    <w:rsid w:val="00D53172"/>
    <w:rsid w:val="00D531B1"/>
    <w:rsid w:val="00D53797"/>
    <w:rsid w:val="00D53954"/>
    <w:rsid w:val="00D53A2C"/>
    <w:rsid w:val="00D53E5C"/>
    <w:rsid w:val="00D541FF"/>
    <w:rsid w:val="00D5443A"/>
    <w:rsid w:val="00D5488D"/>
    <w:rsid w:val="00D54CD5"/>
    <w:rsid w:val="00D54EC4"/>
    <w:rsid w:val="00D55320"/>
    <w:rsid w:val="00D55708"/>
    <w:rsid w:val="00D559AB"/>
    <w:rsid w:val="00D55BAA"/>
    <w:rsid w:val="00D55C66"/>
    <w:rsid w:val="00D55C7A"/>
    <w:rsid w:val="00D55D45"/>
    <w:rsid w:val="00D55E07"/>
    <w:rsid w:val="00D55E72"/>
    <w:rsid w:val="00D55EF4"/>
    <w:rsid w:val="00D56736"/>
    <w:rsid w:val="00D56C0E"/>
    <w:rsid w:val="00D56ED5"/>
    <w:rsid w:val="00D571B0"/>
    <w:rsid w:val="00D571F1"/>
    <w:rsid w:val="00D577F3"/>
    <w:rsid w:val="00D57E45"/>
    <w:rsid w:val="00D601CF"/>
    <w:rsid w:val="00D605C5"/>
    <w:rsid w:val="00D60718"/>
    <w:rsid w:val="00D60736"/>
    <w:rsid w:val="00D607ED"/>
    <w:rsid w:val="00D60D3E"/>
    <w:rsid w:val="00D60D9A"/>
    <w:rsid w:val="00D60E9F"/>
    <w:rsid w:val="00D61622"/>
    <w:rsid w:val="00D61DBE"/>
    <w:rsid w:val="00D61F90"/>
    <w:rsid w:val="00D61FF9"/>
    <w:rsid w:val="00D626EA"/>
    <w:rsid w:val="00D629C8"/>
    <w:rsid w:val="00D629CB"/>
    <w:rsid w:val="00D62EDE"/>
    <w:rsid w:val="00D62EFE"/>
    <w:rsid w:val="00D639E7"/>
    <w:rsid w:val="00D63BD6"/>
    <w:rsid w:val="00D63BE6"/>
    <w:rsid w:val="00D63D84"/>
    <w:rsid w:val="00D63EAA"/>
    <w:rsid w:val="00D6412F"/>
    <w:rsid w:val="00D64799"/>
    <w:rsid w:val="00D64A84"/>
    <w:rsid w:val="00D64AA1"/>
    <w:rsid w:val="00D64D79"/>
    <w:rsid w:val="00D64D7D"/>
    <w:rsid w:val="00D64EBE"/>
    <w:rsid w:val="00D65221"/>
    <w:rsid w:val="00D65266"/>
    <w:rsid w:val="00D65359"/>
    <w:rsid w:val="00D65742"/>
    <w:rsid w:val="00D65751"/>
    <w:rsid w:val="00D658AA"/>
    <w:rsid w:val="00D65A88"/>
    <w:rsid w:val="00D65B34"/>
    <w:rsid w:val="00D65F0C"/>
    <w:rsid w:val="00D65F4E"/>
    <w:rsid w:val="00D66100"/>
    <w:rsid w:val="00D661DB"/>
    <w:rsid w:val="00D661F3"/>
    <w:rsid w:val="00D664A9"/>
    <w:rsid w:val="00D66588"/>
    <w:rsid w:val="00D666C0"/>
    <w:rsid w:val="00D667C4"/>
    <w:rsid w:val="00D66B6A"/>
    <w:rsid w:val="00D66DA2"/>
    <w:rsid w:val="00D66F7C"/>
    <w:rsid w:val="00D67187"/>
    <w:rsid w:val="00D671F7"/>
    <w:rsid w:val="00D67E85"/>
    <w:rsid w:val="00D67F74"/>
    <w:rsid w:val="00D7017D"/>
    <w:rsid w:val="00D707FD"/>
    <w:rsid w:val="00D70A80"/>
    <w:rsid w:val="00D70C5D"/>
    <w:rsid w:val="00D70DD0"/>
    <w:rsid w:val="00D70FAB"/>
    <w:rsid w:val="00D7107D"/>
    <w:rsid w:val="00D71477"/>
    <w:rsid w:val="00D71577"/>
    <w:rsid w:val="00D716F7"/>
    <w:rsid w:val="00D7181C"/>
    <w:rsid w:val="00D71924"/>
    <w:rsid w:val="00D71E79"/>
    <w:rsid w:val="00D71F62"/>
    <w:rsid w:val="00D72066"/>
    <w:rsid w:val="00D72776"/>
    <w:rsid w:val="00D728C8"/>
    <w:rsid w:val="00D72BFA"/>
    <w:rsid w:val="00D72DA6"/>
    <w:rsid w:val="00D72DB7"/>
    <w:rsid w:val="00D730CA"/>
    <w:rsid w:val="00D732CB"/>
    <w:rsid w:val="00D7332C"/>
    <w:rsid w:val="00D7362F"/>
    <w:rsid w:val="00D73674"/>
    <w:rsid w:val="00D73682"/>
    <w:rsid w:val="00D73E91"/>
    <w:rsid w:val="00D73F46"/>
    <w:rsid w:val="00D73F71"/>
    <w:rsid w:val="00D73FCA"/>
    <w:rsid w:val="00D74137"/>
    <w:rsid w:val="00D742FB"/>
    <w:rsid w:val="00D7441F"/>
    <w:rsid w:val="00D7457E"/>
    <w:rsid w:val="00D74744"/>
    <w:rsid w:val="00D74777"/>
    <w:rsid w:val="00D74945"/>
    <w:rsid w:val="00D74E5E"/>
    <w:rsid w:val="00D74E82"/>
    <w:rsid w:val="00D750A0"/>
    <w:rsid w:val="00D7511E"/>
    <w:rsid w:val="00D752B5"/>
    <w:rsid w:val="00D758C5"/>
    <w:rsid w:val="00D758DE"/>
    <w:rsid w:val="00D7590E"/>
    <w:rsid w:val="00D76128"/>
    <w:rsid w:val="00D762B4"/>
    <w:rsid w:val="00D7681C"/>
    <w:rsid w:val="00D769E5"/>
    <w:rsid w:val="00D76D76"/>
    <w:rsid w:val="00D76FDD"/>
    <w:rsid w:val="00D7729E"/>
    <w:rsid w:val="00D772B9"/>
    <w:rsid w:val="00D775D2"/>
    <w:rsid w:val="00D77D29"/>
    <w:rsid w:val="00D77D61"/>
    <w:rsid w:val="00D77EA9"/>
    <w:rsid w:val="00D77ED7"/>
    <w:rsid w:val="00D77F35"/>
    <w:rsid w:val="00D80169"/>
    <w:rsid w:val="00D80431"/>
    <w:rsid w:val="00D804DD"/>
    <w:rsid w:val="00D80597"/>
    <w:rsid w:val="00D80687"/>
    <w:rsid w:val="00D807FB"/>
    <w:rsid w:val="00D80807"/>
    <w:rsid w:val="00D8087A"/>
    <w:rsid w:val="00D809A6"/>
    <w:rsid w:val="00D80A05"/>
    <w:rsid w:val="00D80ADF"/>
    <w:rsid w:val="00D81244"/>
    <w:rsid w:val="00D81327"/>
    <w:rsid w:val="00D81384"/>
    <w:rsid w:val="00D81966"/>
    <w:rsid w:val="00D81B9C"/>
    <w:rsid w:val="00D823C3"/>
    <w:rsid w:val="00D83230"/>
    <w:rsid w:val="00D83511"/>
    <w:rsid w:val="00D8389B"/>
    <w:rsid w:val="00D83A8F"/>
    <w:rsid w:val="00D83CAD"/>
    <w:rsid w:val="00D83F9A"/>
    <w:rsid w:val="00D84108"/>
    <w:rsid w:val="00D842D1"/>
    <w:rsid w:val="00D842F0"/>
    <w:rsid w:val="00D8453E"/>
    <w:rsid w:val="00D84661"/>
    <w:rsid w:val="00D84C43"/>
    <w:rsid w:val="00D84E8A"/>
    <w:rsid w:val="00D84F00"/>
    <w:rsid w:val="00D84F95"/>
    <w:rsid w:val="00D852CB"/>
    <w:rsid w:val="00D85403"/>
    <w:rsid w:val="00D85500"/>
    <w:rsid w:val="00D85B3B"/>
    <w:rsid w:val="00D861FE"/>
    <w:rsid w:val="00D86AB7"/>
    <w:rsid w:val="00D86B43"/>
    <w:rsid w:val="00D86B65"/>
    <w:rsid w:val="00D86CAD"/>
    <w:rsid w:val="00D870ED"/>
    <w:rsid w:val="00D87D82"/>
    <w:rsid w:val="00D87DCE"/>
    <w:rsid w:val="00D90B51"/>
    <w:rsid w:val="00D90CE9"/>
    <w:rsid w:val="00D90F3C"/>
    <w:rsid w:val="00D90FA2"/>
    <w:rsid w:val="00D9100D"/>
    <w:rsid w:val="00D915B9"/>
    <w:rsid w:val="00D919C0"/>
    <w:rsid w:val="00D92164"/>
    <w:rsid w:val="00D921B2"/>
    <w:rsid w:val="00D9288B"/>
    <w:rsid w:val="00D93524"/>
    <w:rsid w:val="00D93799"/>
    <w:rsid w:val="00D9389A"/>
    <w:rsid w:val="00D93B14"/>
    <w:rsid w:val="00D93FAE"/>
    <w:rsid w:val="00D941DA"/>
    <w:rsid w:val="00D94223"/>
    <w:rsid w:val="00D94386"/>
    <w:rsid w:val="00D94C8B"/>
    <w:rsid w:val="00D951F6"/>
    <w:rsid w:val="00D9545D"/>
    <w:rsid w:val="00D95DE1"/>
    <w:rsid w:val="00D95F41"/>
    <w:rsid w:val="00D963E4"/>
    <w:rsid w:val="00D9658F"/>
    <w:rsid w:val="00D969D7"/>
    <w:rsid w:val="00D96AF2"/>
    <w:rsid w:val="00D96FB4"/>
    <w:rsid w:val="00D97C7B"/>
    <w:rsid w:val="00D97F6F"/>
    <w:rsid w:val="00D97FDB"/>
    <w:rsid w:val="00D97FE8"/>
    <w:rsid w:val="00DA07AF"/>
    <w:rsid w:val="00DA083E"/>
    <w:rsid w:val="00DA08DC"/>
    <w:rsid w:val="00DA0932"/>
    <w:rsid w:val="00DA0D27"/>
    <w:rsid w:val="00DA0EC1"/>
    <w:rsid w:val="00DA0EEC"/>
    <w:rsid w:val="00DA1263"/>
    <w:rsid w:val="00DA1564"/>
    <w:rsid w:val="00DA15D0"/>
    <w:rsid w:val="00DA1676"/>
    <w:rsid w:val="00DA253D"/>
    <w:rsid w:val="00DA256B"/>
    <w:rsid w:val="00DA256C"/>
    <w:rsid w:val="00DA28C3"/>
    <w:rsid w:val="00DA2F1E"/>
    <w:rsid w:val="00DA2FE1"/>
    <w:rsid w:val="00DA309A"/>
    <w:rsid w:val="00DA311D"/>
    <w:rsid w:val="00DA320C"/>
    <w:rsid w:val="00DA3AC0"/>
    <w:rsid w:val="00DA3F51"/>
    <w:rsid w:val="00DA4727"/>
    <w:rsid w:val="00DA4C02"/>
    <w:rsid w:val="00DA4DC0"/>
    <w:rsid w:val="00DA4DF4"/>
    <w:rsid w:val="00DA4E8F"/>
    <w:rsid w:val="00DA4F20"/>
    <w:rsid w:val="00DA5083"/>
    <w:rsid w:val="00DA509A"/>
    <w:rsid w:val="00DA54B1"/>
    <w:rsid w:val="00DA5524"/>
    <w:rsid w:val="00DA5654"/>
    <w:rsid w:val="00DA565A"/>
    <w:rsid w:val="00DA5F4B"/>
    <w:rsid w:val="00DA610A"/>
    <w:rsid w:val="00DA6A4A"/>
    <w:rsid w:val="00DA6A4B"/>
    <w:rsid w:val="00DA6F7D"/>
    <w:rsid w:val="00DA6F9E"/>
    <w:rsid w:val="00DA6FCA"/>
    <w:rsid w:val="00DA7083"/>
    <w:rsid w:val="00DA7253"/>
    <w:rsid w:val="00DA748E"/>
    <w:rsid w:val="00DA781D"/>
    <w:rsid w:val="00DA7C31"/>
    <w:rsid w:val="00DA7C69"/>
    <w:rsid w:val="00DB02AC"/>
    <w:rsid w:val="00DB0386"/>
    <w:rsid w:val="00DB058F"/>
    <w:rsid w:val="00DB0CB7"/>
    <w:rsid w:val="00DB0D8D"/>
    <w:rsid w:val="00DB10BC"/>
    <w:rsid w:val="00DB11BA"/>
    <w:rsid w:val="00DB1675"/>
    <w:rsid w:val="00DB185D"/>
    <w:rsid w:val="00DB1B21"/>
    <w:rsid w:val="00DB1B66"/>
    <w:rsid w:val="00DB1BCA"/>
    <w:rsid w:val="00DB2188"/>
    <w:rsid w:val="00DB2237"/>
    <w:rsid w:val="00DB22A8"/>
    <w:rsid w:val="00DB2477"/>
    <w:rsid w:val="00DB2E16"/>
    <w:rsid w:val="00DB3602"/>
    <w:rsid w:val="00DB3608"/>
    <w:rsid w:val="00DB3752"/>
    <w:rsid w:val="00DB383E"/>
    <w:rsid w:val="00DB3873"/>
    <w:rsid w:val="00DB3E82"/>
    <w:rsid w:val="00DB4071"/>
    <w:rsid w:val="00DB40BE"/>
    <w:rsid w:val="00DB411D"/>
    <w:rsid w:val="00DB415A"/>
    <w:rsid w:val="00DB448C"/>
    <w:rsid w:val="00DB44FB"/>
    <w:rsid w:val="00DB46E1"/>
    <w:rsid w:val="00DB477C"/>
    <w:rsid w:val="00DB4814"/>
    <w:rsid w:val="00DB4B37"/>
    <w:rsid w:val="00DB4BD3"/>
    <w:rsid w:val="00DB4C9B"/>
    <w:rsid w:val="00DB53CA"/>
    <w:rsid w:val="00DB54DC"/>
    <w:rsid w:val="00DB56BC"/>
    <w:rsid w:val="00DB57B5"/>
    <w:rsid w:val="00DB5C11"/>
    <w:rsid w:val="00DB61FA"/>
    <w:rsid w:val="00DB658A"/>
    <w:rsid w:val="00DB6B54"/>
    <w:rsid w:val="00DB6DC4"/>
    <w:rsid w:val="00DB7079"/>
    <w:rsid w:val="00DB722F"/>
    <w:rsid w:val="00DB72AF"/>
    <w:rsid w:val="00DB7429"/>
    <w:rsid w:val="00DB7772"/>
    <w:rsid w:val="00DB78E8"/>
    <w:rsid w:val="00DB7A4D"/>
    <w:rsid w:val="00DB7A57"/>
    <w:rsid w:val="00DB7C10"/>
    <w:rsid w:val="00DB7CD0"/>
    <w:rsid w:val="00DC0033"/>
    <w:rsid w:val="00DC029C"/>
    <w:rsid w:val="00DC0362"/>
    <w:rsid w:val="00DC0578"/>
    <w:rsid w:val="00DC093E"/>
    <w:rsid w:val="00DC0CF4"/>
    <w:rsid w:val="00DC0D3E"/>
    <w:rsid w:val="00DC0D79"/>
    <w:rsid w:val="00DC1AEA"/>
    <w:rsid w:val="00DC1DA1"/>
    <w:rsid w:val="00DC1F9B"/>
    <w:rsid w:val="00DC229A"/>
    <w:rsid w:val="00DC230F"/>
    <w:rsid w:val="00DC2389"/>
    <w:rsid w:val="00DC25DE"/>
    <w:rsid w:val="00DC26D9"/>
    <w:rsid w:val="00DC2899"/>
    <w:rsid w:val="00DC2A5A"/>
    <w:rsid w:val="00DC2CAE"/>
    <w:rsid w:val="00DC2E0E"/>
    <w:rsid w:val="00DC302C"/>
    <w:rsid w:val="00DC30E3"/>
    <w:rsid w:val="00DC32BD"/>
    <w:rsid w:val="00DC3758"/>
    <w:rsid w:val="00DC37CF"/>
    <w:rsid w:val="00DC39F6"/>
    <w:rsid w:val="00DC3BAD"/>
    <w:rsid w:val="00DC3CAF"/>
    <w:rsid w:val="00DC4138"/>
    <w:rsid w:val="00DC425F"/>
    <w:rsid w:val="00DC4476"/>
    <w:rsid w:val="00DC4597"/>
    <w:rsid w:val="00DC48CE"/>
    <w:rsid w:val="00DC49B6"/>
    <w:rsid w:val="00DC4B41"/>
    <w:rsid w:val="00DC4D68"/>
    <w:rsid w:val="00DC4E6C"/>
    <w:rsid w:val="00DC52FD"/>
    <w:rsid w:val="00DC55C2"/>
    <w:rsid w:val="00DC5956"/>
    <w:rsid w:val="00DC5AB8"/>
    <w:rsid w:val="00DC5BE5"/>
    <w:rsid w:val="00DC5D7B"/>
    <w:rsid w:val="00DC685E"/>
    <w:rsid w:val="00DC6A72"/>
    <w:rsid w:val="00DC6CA4"/>
    <w:rsid w:val="00DC732A"/>
    <w:rsid w:val="00DC7528"/>
    <w:rsid w:val="00DC767A"/>
    <w:rsid w:val="00DC7AEC"/>
    <w:rsid w:val="00DC7B14"/>
    <w:rsid w:val="00DC7EB8"/>
    <w:rsid w:val="00DD003E"/>
    <w:rsid w:val="00DD0351"/>
    <w:rsid w:val="00DD0407"/>
    <w:rsid w:val="00DD0695"/>
    <w:rsid w:val="00DD07EE"/>
    <w:rsid w:val="00DD0A6B"/>
    <w:rsid w:val="00DD0D88"/>
    <w:rsid w:val="00DD181E"/>
    <w:rsid w:val="00DD1824"/>
    <w:rsid w:val="00DD1D29"/>
    <w:rsid w:val="00DD201A"/>
    <w:rsid w:val="00DD2185"/>
    <w:rsid w:val="00DD2794"/>
    <w:rsid w:val="00DD2AD5"/>
    <w:rsid w:val="00DD2B0D"/>
    <w:rsid w:val="00DD2E4C"/>
    <w:rsid w:val="00DD2EF4"/>
    <w:rsid w:val="00DD331A"/>
    <w:rsid w:val="00DD3CFC"/>
    <w:rsid w:val="00DD3D0B"/>
    <w:rsid w:val="00DD3D22"/>
    <w:rsid w:val="00DD3D8A"/>
    <w:rsid w:val="00DD4032"/>
    <w:rsid w:val="00DD4569"/>
    <w:rsid w:val="00DD469F"/>
    <w:rsid w:val="00DD46BB"/>
    <w:rsid w:val="00DD4835"/>
    <w:rsid w:val="00DD483F"/>
    <w:rsid w:val="00DD4CFE"/>
    <w:rsid w:val="00DD4ED0"/>
    <w:rsid w:val="00DD4F16"/>
    <w:rsid w:val="00DD50A1"/>
    <w:rsid w:val="00DD5157"/>
    <w:rsid w:val="00DD5158"/>
    <w:rsid w:val="00DD523B"/>
    <w:rsid w:val="00DD5291"/>
    <w:rsid w:val="00DD5316"/>
    <w:rsid w:val="00DD5515"/>
    <w:rsid w:val="00DD585A"/>
    <w:rsid w:val="00DD5C59"/>
    <w:rsid w:val="00DD5C85"/>
    <w:rsid w:val="00DD5D71"/>
    <w:rsid w:val="00DD5FA2"/>
    <w:rsid w:val="00DD60D0"/>
    <w:rsid w:val="00DD60EB"/>
    <w:rsid w:val="00DD64D1"/>
    <w:rsid w:val="00DD671D"/>
    <w:rsid w:val="00DD6D14"/>
    <w:rsid w:val="00DD703F"/>
    <w:rsid w:val="00DD72AA"/>
    <w:rsid w:val="00DD76C4"/>
    <w:rsid w:val="00DD783A"/>
    <w:rsid w:val="00DD7917"/>
    <w:rsid w:val="00DD7923"/>
    <w:rsid w:val="00DD7977"/>
    <w:rsid w:val="00DD7B9A"/>
    <w:rsid w:val="00DD7BFC"/>
    <w:rsid w:val="00DD7E3E"/>
    <w:rsid w:val="00DD7EC7"/>
    <w:rsid w:val="00DE00A0"/>
    <w:rsid w:val="00DE0593"/>
    <w:rsid w:val="00DE0658"/>
    <w:rsid w:val="00DE0E64"/>
    <w:rsid w:val="00DE115E"/>
    <w:rsid w:val="00DE11CF"/>
    <w:rsid w:val="00DE17EE"/>
    <w:rsid w:val="00DE19FE"/>
    <w:rsid w:val="00DE1CD9"/>
    <w:rsid w:val="00DE226F"/>
    <w:rsid w:val="00DE2795"/>
    <w:rsid w:val="00DE2801"/>
    <w:rsid w:val="00DE2994"/>
    <w:rsid w:val="00DE2B6F"/>
    <w:rsid w:val="00DE2DA4"/>
    <w:rsid w:val="00DE31B7"/>
    <w:rsid w:val="00DE3335"/>
    <w:rsid w:val="00DE346E"/>
    <w:rsid w:val="00DE391D"/>
    <w:rsid w:val="00DE3A9D"/>
    <w:rsid w:val="00DE3CD3"/>
    <w:rsid w:val="00DE3D36"/>
    <w:rsid w:val="00DE4045"/>
    <w:rsid w:val="00DE42F2"/>
    <w:rsid w:val="00DE43D2"/>
    <w:rsid w:val="00DE4577"/>
    <w:rsid w:val="00DE5069"/>
    <w:rsid w:val="00DE57D7"/>
    <w:rsid w:val="00DE5AA9"/>
    <w:rsid w:val="00DE5C5F"/>
    <w:rsid w:val="00DE5F64"/>
    <w:rsid w:val="00DE6066"/>
    <w:rsid w:val="00DE616F"/>
    <w:rsid w:val="00DE61DF"/>
    <w:rsid w:val="00DE63FE"/>
    <w:rsid w:val="00DE646F"/>
    <w:rsid w:val="00DE6986"/>
    <w:rsid w:val="00DE6A3B"/>
    <w:rsid w:val="00DE6CC8"/>
    <w:rsid w:val="00DE6FD6"/>
    <w:rsid w:val="00DE70EA"/>
    <w:rsid w:val="00DE7197"/>
    <w:rsid w:val="00DE71D4"/>
    <w:rsid w:val="00DE7452"/>
    <w:rsid w:val="00DE780F"/>
    <w:rsid w:val="00DE78FB"/>
    <w:rsid w:val="00DE7984"/>
    <w:rsid w:val="00DE79B1"/>
    <w:rsid w:val="00DF003D"/>
    <w:rsid w:val="00DF01ED"/>
    <w:rsid w:val="00DF0483"/>
    <w:rsid w:val="00DF0827"/>
    <w:rsid w:val="00DF0932"/>
    <w:rsid w:val="00DF0B12"/>
    <w:rsid w:val="00DF0C6A"/>
    <w:rsid w:val="00DF0D30"/>
    <w:rsid w:val="00DF106F"/>
    <w:rsid w:val="00DF122F"/>
    <w:rsid w:val="00DF137B"/>
    <w:rsid w:val="00DF18DB"/>
    <w:rsid w:val="00DF1AD7"/>
    <w:rsid w:val="00DF1B42"/>
    <w:rsid w:val="00DF1BB1"/>
    <w:rsid w:val="00DF1FD9"/>
    <w:rsid w:val="00DF2477"/>
    <w:rsid w:val="00DF255F"/>
    <w:rsid w:val="00DF26D5"/>
    <w:rsid w:val="00DF29FA"/>
    <w:rsid w:val="00DF29FE"/>
    <w:rsid w:val="00DF2FAD"/>
    <w:rsid w:val="00DF309E"/>
    <w:rsid w:val="00DF3712"/>
    <w:rsid w:val="00DF388E"/>
    <w:rsid w:val="00DF389D"/>
    <w:rsid w:val="00DF3EE6"/>
    <w:rsid w:val="00DF3F57"/>
    <w:rsid w:val="00DF408C"/>
    <w:rsid w:val="00DF4178"/>
    <w:rsid w:val="00DF4335"/>
    <w:rsid w:val="00DF45FB"/>
    <w:rsid w:val="00DF4691"/>
    <w:rsid w:val="00DF475C"/>
    <w:rsid w:val="00DF49A1"/>
    <w:rsid w:val="00DF4D9D"/>
    <w:rsid w:val="00DF4FBA"/>
    <w:rsid w:val="00DF517A"/>
    <w:rsid w:val="00DF57B1"/>
    <w:rsid w:val="00DF588D"/>
    <w:rsid w:val="00DF5CD2"/>
    <w:rsid w:val="00DF5D0F"/>
    <w:rsid w:val="00DF6159"/>
    <w:rsid w:val="00DF61E7"/>
    <w:rsid w:val="00DF634E"/>
    <w:rsid w:val="00DF64B2"/>
    <w:rsid w:val="00DF6797"/>
    <w:rsid w:val="00DF68E0"/>
    <w:rsid w:val="00DF697B"/>
    <w:rsid w:val="00DF6C93"/>
    <w:rsid w:val="00DF6E74"/>
    <w:rsid w:val="00DF6F49"/>
    <w:rsid w:val="00DF70F7"/>
    <w:rsid w:val="00DF710E"/>
    <w:rsid w:val="00DF7185"/>
    <w:rsid w:val="00DF73C8"/>
    <w:rsid w:val="00DF7700"/>
    <w:rsid w:val="00DF79B1"/>
    <w:rsid w:val="00DF7B26"/>
    <w:rsid w:val="00DF7F2D"/>
    <w:rsid w:val="00E00652"/>
    <w:rsid w:val="00E010E0"/>
    <w:rsid w:val="00E012C3"/>
    <w:rsid w:val="00E014DC"/>
    <w:rsid w:val="00E02350"/>
    <w:rsid w:val="00E02759"/>
    <w:rsid w:val="00E028D3"/>
    <w:rsid w:val="00E02F34"/>
    <w:rsid w:val="00E0313C"/>
    <w:rsid w:val="00E03203"/>
    <w:rsid w:val="00E0336D"/>
    <w:rsid w:val="00E03381"/>
    <w:rsid w:val="00E035B4"/>
    <w:rsid w:val="00E03A03"/>
    <w:rsid w:val="00E03A75"/>
    <w:rsid w:val="00E03B59"/>
    <w:rsid w:val="00E03D29"/>
    <w:rsid w:val="00E03FBA"/>
    <w:rsid w:val="00E04096"/>
    <w:rsid w:val="00E04293"/>
    <w:rsid w:val="00E04313"/>
    <w:rsid w:val="00E043CE"/>
    <w:rsid w:val="00E04614"/>
    <w:rsid w:val="00E048FA"/>
    <w:rsid w:val="00E04985"/>
    <w:rsid w:val="00E04CA6"/>
    <w:rsid w:val="00E04CAB"/>
    <w:rsid w:val="00E05016"/>
    <w:rsid w:val="00E0529A"/>
    <w:rsid w:val="00E054E0"/>
    <w:rsid w:val="00E055F4"/>
    <w:rsid w:val="00E05685"/>
    <w:rsid w:val="00E0574F"/>
    <w:rsid w:val="00E0607C"/>
    <w:rsid w:val="00E063F3"/>
    <w:rsid w:val="00E0658E"/>
    <w:rsid w:val="00E0675F"/>
    <w:rsid w:val="00E067AF"/>
    <w:rsid w:val="00E0697E"/>
    <w:rsid w:val="00E06A72"/>
    <w:rsid w:val="00E06D58"/>
    <w:rsid w:val="00E06DA1"/>
    <w:rsid w:val="00E06FAC"/>
    <w:rsid w:val="00E07706"/>
    <w:rsid w:val="00E07891"/>
    <w:rsid w:val="00E07B48"/>
    <w:rsid w:val="00E07EC3"/>
    <w:rsid w:val="00E10020"/>
    <w:rsid w:val="00E10047"/>
    <w:rsid w:val="00E10708"/>
    <w:rsid w:val="00E10846"/>
    <w:rsid w:val="00E10922"/>
    <w:rsid w:val="00E10D08"/>
    <w:rsid w:val="00E10E95"/>
    <w:rsid w:val="00E1125C"/>
    <w:rsid w:val="00E114C9"/>
    <w:rsid w:val="00E115F2"/>
    <w:rsid w:val="00E11B51"/>
    <w:rsid w:val="00E11B66"/>
    <w:rsid w:val="00E11EF2"/>
    <w:rsid w:val="00E12121"/>
    <w:rsid w:val="00E12132"/>
    <w:rsid w:val="00E123C7"/>
    <w:rsid w:val="00E126C7"/>
    <w:rsid w:val="00E12853"/>
    <w:rsid w:val="00E1291A"/>
    <w:rsid w:val="00E12A65"/>
    <w:rsid w:val="00E12B90"/>
    <w:rsid w:val="00E12FD6"/>
    <w:rsid w:val="00E1302A"/>
    <w:rsid w:val="00E133DF"/>
    <w:rsid w:val="00E13607"/>
    <w:rsid w:val="00E13837"/>
    <w:rsid w:val="00E13910"/>
    <w:rsid w:val="00E13AA6"/>
    <w:rsid w:val="00E13D9E"/>
    <w:rsid w:val="00E14032"/>
    <w:rsid w:val="00E14201"/>
    <w:rsid w:val="00E144D7"/>
    <w:rsid w:val="00E144F9"/>
    <w:rsid w:val="00E14CFA"/>
    <w:rsid w:val="00E14F5C"/>
    <w:rsid w:val="00E150DB"/>
    <w:rsid w:val="00E1521B"/>
    <w:rsid w:val="00E1560C"/>
    <w:rsid w:val="00E156E6"/>
    <w:rsid w:val="00E157D5"/>
    <w:rsid w:val="00E15A53"/>
    <w:rsid w:val="00E15D1C"/>
    <w:rsid w:val="00E16079"/>
    <w:rsid w:val="00E16247"/>
    <w:rsid w:val="00E1629E"/>
    <w:rsid w:val="00E162AB"/>
    <w:rsid w:val="00E16339"/>
    <w:rsid w:val="00E1661B"/>
    <w:rsid w:val="00E16706"/>
    <w:rsid w:val="00E167A1"/>
    <w:rsid w:val="00E1692D"/>
    <w:rsid w:val="00E16B40"/>
    <w:rsid w:val="00E16B46"/>
    <w:rsid w:val="00E16B74"/>
    <w:rsid w:val="00E16C45"/>
    <w:rsid w:val="00E16C67"/>
    <w:rsid w:val="00E176BC"/>
    <w:rsid w:val="00E17949"/>
    <w:rsid w:val="00E17FF7"/>
    <w:rsid w:val="00E20021"/>
    <w:rsid w:val="00E20924"/>
    <w:rsid w:val="00E20D5A"/>
    <w:rsid w:val="00E20F02"/>
    <w:rsid w:val="00E20F29"/>
    <w:rsid w:val="00E21073"/>
    <w:rsid w:val="00E2124D"/>
    <w:rsid w:val="00E21475"/>
    <w:rsid w:val="00E21C19"/>
    <w:rsid w:val="00E21DCB"/>
    <w:rsid w:val="00E22019"/>
    <w:rsid w:val="00E22685"/>
    <w:rsid w:val="00E226F5"/>
    <w:rsid w:val="00E229EC"/>
    <w:rsid w:val="00E22A93"/>
    <w:rsid w:val="00E22DB6"/>
    <w:rsid w:val="00E22E6C"/>
    <w:rsid w:val="00E23041"/>
    <w:rsid w:val="00E2340F"/>
    <w:rsid w:val="00E23AFF"/>
    <w:rsid w:val="00E23F6C"/>
    <w:rsid w:val="00E242D3"/>
    <w:rsid w:val="00E24373"/>
    <w:rsid w:val="00E24504"/>
    <w:rsid w:val="00E24680"/>
    <w:rsid w:val="00E24725"/>
    <w:rsid w:val="00E24901"/>
    <w:rsid w:val="00E2497A"/>
    <w:rsid w:val="00E24A65"/>
    <w:rsid w:val="00E2515B"/>
    <w:rsid w:val="00E2524E"/>
    <w:rsid w:val="00E253D7"/>
    <w:rsid w:val="00E259B9"/>
    <w:rsid w:val="00E25E76"/>
    <w:rsid w:val="00E25F17"/>
    <w:rsid w:val="00E26080"/>
    <w:rsid w:val="00E2619F"/>
    <w:rsid w:val="00E2636C"/>
    <w:rsid w:val="00E2673A"/>
    <w:rsid w:val="00E26A24"/>
    <w:rsid w:val="00E26CC3"/>
    <w:rsid w:val="00E27210"/>
    <w:rsid w:val="00E27520"/>
    <w:rsid w:val="00E2769F"/>
    <w:rsid w:val="00E27AE4"/>
    <w:rsid w:val="00E27C2F"/>
    <w:rsid w:val="00E3002D"/>
    <w:rsid w:val="00E3005E"/>
    <w:rsid w:val="00E303B9"/>
    <w:rsid w:val="00E3047F"/>
    <w:rsid w:val="00E30520"/>
    <w:rsid w:val="00E30864"/>
    <w:rsid w:val="00E30935"/>
    <w:rsid w:val="00E30D08"/>
    <w:rsid w:val="00E3107E"/>
    <w:rsid w:val="00E3114A"/>
    <w:rsid w:val="00E3139E"/>
    <w:rsid w:val="00E315A7"/>
    <w:rsid w:val="00E315E5"/>
    <w:rsid w:val="00E31796"/>
    <w:rsid w:val="00E3181F"/>
    <w:rsid w:val="00E31E46"/>
    <w:rsid w:val="00E31EAF"/>
    <w:rsid w:val="00E31F3C"/>
    <w:rsid w:val="00E3200C"/>
    <w:rsid w:val="00E3217D"/>
    <w:rsid w:val="00E32188"/>
    <w:rsid w:val="00E323B8"/>
    <w:rsid w:val="00E329FB"/>
    <w:rsid w:val="00E32A2C"/>
    <w:rsid w:val="00E32AD0"/>
    <w:rsid w:val="00E32B09"/>
    <w:rsid w:val="00E3364E"/>
    <w:rsid w:val="00E33896"/>
    <w:rsid w:val="00E33A9A"/>
    <w:rsid w:val="00E348F9"/>
    <w:rsid w:val="00E34933"/>
    <w:rsid w:val="00E3496E"/>
    <w:rsid w:val="00E34A5D"/>
    <w:rsid w:val="00E34CE4"/>
    <w:rsid w:val="00E34DE6"/>
    <w:rsid w:val="00E34F3B"/>
    <w:rsid w:val="00E3530E"/>
    <w:rsid w:val="00E355E9"/>
    <w:rsid w:val="00E3580E"/>
    <w:rsid w:val="00E3583A"/>
    <w:rsid w:val="00E35890"/>
    <w:rsid w:val="00E35BBA"/>
    <w:rsid w:val="00E360C7"/>
    <w:rsid w:val="00E361AF"/>
    <w:rsid w:val="00E3627C"/>
    <w:rsid w:val="00E36281"/>
    <w:rsid w:val="00E365D7"/>
    <w:rsid w:val="00E36704"/>
    <w:rsid w:val="00E36914"/>
    <w:rsid w:val="00E371D6"/>
    <w:rsid w:val="00E372E3"/>
    <w:rsid w:val="00E3734C"/>
    <w:rsid w:val="00E373DC"/>
    <w:rsid w:val="00E3740B"/>
    <w:rsid w:val="00E376DA"/>
    <w:rsid w:val="00E3774E"/>
    <w:rsid w:val="00E37C56"/>
    <w:rsid w:val="00E37CC2"/>
    <w:rsid w:val="00E37F0F"/>
    <w:rsid w:val="00E40990"/>
    <w:rsid w:val="00E40F5A"/>
    <w:rsid w:val="00E41193"/>
    <w:rsid w:val="00E414C2"/>
    <w:rsid w:val="00E41997"/>
    <w:rsid w:val="00E41D87"/>
    <w:rsid w:val="00E41DB6"/>
    <w:rsid w:val="00E42072"/>
    <w:rsid w:val="00E42534"/>
    <w:rsid w:val="00E42635"/>
    <w:rsid w:val="00E42654"/>
    <w:rsid w:val="00E42A3B"/>
    <w:rsid w:val="00E43019"/>
    <w:rsid w:val="00E43198"/>
    <w:rsid w:val="00E43241"/>
    <w:rsid w:val="00E43319"/>
    <w:rsid w:val="00E433DE"/>
    <w:rsid w:val="00E4368F"/>
    <w:rsid w:val="00E4373C"/>
    <w:rsid w:val="00E43788"/>
    <w:rsid w:val="00E43809"/>
    <w:rsid w:val="00E43844"/>
    <w:rsid w:val="00E43AD4"/>
    <w:rsid w:val="00E43B0B"/>
    <w:rsid w:val="00E440BE"/>
    <w:rsid w:val="00E44551"/>
    <w:rsid w:val="00E44837"/>
    <w:rsid w:val="00E449D9"/>
    <w:rsid w:val="00E45059"/>
    <w:rsid w:val="00E451B2"/>
    <w:rsid w:val="00E45281"/>
    <w:rsid w:val="00E456A5"/>
    <w:rsid w:val="00E45BAE"/>
    <w:rsid w:val="00E45CD6"/>
    <w:rsid w:val="00E45D7B"/>
    <w:rsid w:val="00E45FF9"/>
    <w:rsid w:val="00E4640C"/>
    <w:rsid w:val="00E4679D"/>
    <w:rsid w:val="00E467A0"/>
    <w:rsid w:val="00E46F6A"/>
    <w:rsid w:val="00E4706F"/>
    <w:rsid w:val="00E474D4"/>
    <w:rsid w:val="00E475D3"/>
    <w:rsid w:val="00E47698"/>
    <w:rsid w:val="00E47ADD"/>
    <w:rsid w:val="00E47AEA"/>
    <w:rsid w:val="00E47D85"/>
    <w:rsid w:val="00E5021C"/>
    <w:rsid w:val="00E50348"/>
    <w:rsid w:val="00E50536"/>
    <w:rsid w:val="00E50A09"/>
    <w:rsid w:val="00E50B2E"/>
    <w:rsid w:val="00E50F79"/>
    <w:rsid w:val="00E50F9B"/>
    <w:rsid w:val="00E512A7"/>
    <w:rsid w:val="00E51597"/>
    <w:rsid w:val="00E5192F"/>
    <w:rsid w:val="00E51AD7"/>
    <w:rsid w:val="00E52050"/>
    <w:rsid w:val="00E520FA"/>
    <w:rsid w:val="00E52607"/>
    <w:rsid w:val="00E52887"/>
    <w:rsid w:val="00E52A7E"/>
    <w:rsid w:val="00E52D16"/>
    <w:rsid w:val="00E52E8A"/>
    <w:rsid w:val="00E52EFB"/>
    <w:rsid w:val="00E53278"/>
    <w:rsid w:val="00E537EC"/>
    <w:rsid w:val="00E53A48"/>
    <w:rsid w:val="00E5405A"/>
    <w:rsid w:val="00E5447F"/>
    <w:rsid w:val="00E54676"/>
    <w:rsid w:val="00E548D6"/>
    <w:rsid w:val="00E54A8C"/>
    <w:rsid w:val="00E54B10"/>
    <w:rsid w:val="00E54D19"/>
    <w:rsid w:val="00E54F92"/>
    <w:rsid w:val="00E55146"/>
    <w:rsid w:val="00E55383"/>
    <w:rsid w:val="00E554C1"/>
    <w:rsid w:val="00E55510"/>
    <w:rsid w:val="00E55A60"/>
    <w:rsid w:val="00E55D02"/>
    <w:rsid w:val="00E55D4F"/>
    <w:rsid w:val="00E56572"/>
    <w:rsid w:val="00E568F2"/>
    <w:rsid w:val="00E56BB8"/>
    <w:rsid w:val="00E57194"/>
    <w:rsid w:val="00E572C7"/>
    <w:rsid w:val="00E57DC6"/>
    <w:rsid w:val="00E60498"/>
    <w:rsid w:val="00E60C5A"/>
    <w:rsid w:val="00E60C70"/>
    <w:rsid w:val="00E6101E"/>
    <w:rsid w:val="00E61401"/>
    <w:rsid w:val="00E6181A"/>
    <w:rsid w:val="00E61973"/>
    <w:rsid w:val="00E61AD8"/>
    <w:rsid w:val="00E61B66"/>
    <w:rsid w:val="00E62271"/>
    <w:rsid w:val="00E6232E"/>
    <w:rsid w:val="00E623D7"/>
    <w:rsid w:val="00E62D93"/>
    <w:rsid w:val="00E63135"/>
    <w:rsid w:val="00E631C6"/>
    <w:rsid w:val="00E634D7"/>
    <w:rsid w:val="00E6435D"/>
    <w:rsid w:val="00E644DE"/>
    <w:rsid w:val="00E6454E"/>
    <w:rsid w:val="00E64A1D"/>
    <w:rsid w:val="00E64A47"/>
    <w:rsid w:val="00E64BB1"/>
    <w:rsid w:val="00E6558E"/>
    <w:rsid w:val="00E65829"/>
    <w:rsid w:val="00E6599A"/>
    <w:rsid w:val="00E65CF9"/>
    <w:rsid w:val="00E65D7F"/>
    <w:rsid w:val="00E662AF"/>
    <w:rsid w:val="00E6658C"/>
    <w:rsid w:val="00E66C69"/>
    <w:rsid w:val="00E66E94"/>
    <w:rsid w:val="00E67720"/>
    <w:rsid w:val="00E679DF"/>
    <w:rsid w:val="00E67A82"/>
    <w:rsid w:val="00E67B78"/>
    <w:rsid w:val="00E67D41"/>
    <w:rsid w:val="00E701DE"/>
    <w:rsid w:val="00E7027F"/>
    <w:rsid w:val="00E7040A"/>
    <w:rsid w:val="00E70609"/>
    <w:rsid w:val="00E70646"/>
    <w:rsid w:val="00E70724"/>
    <w:rsid w:val="00E70CBB"/>
    <w:rsid w:val="00E70DD2"/>
    <w:rsid w:val="00E70DFC"/>
    <w:rsid w:val="00E71226"/>
    <w:rsid w:val="00E71402"/>
    <w:rsid w:val="00E716FD"/>
    <w:rsid w:val="00E718E6"/>
    <w:rsid w:val="00E71A78"/>
    <w:rsid w:val="00E71C99"/>
    <w:rsid w:val="00E72378"/>
    <w:rsid w:val="00E72A31"/>
    <w:rsid w:val="00E72B63"/>
    <w:rsid w:val="00E72B82"/>
    <w:rsid w:val="00E72BFB"/>
    <w:rsid w:val="00E72CC2"/>
    <w:rsid w:val="00E73099"/>
    <w:rsid w:val="00E733A1"/>
    <w:rsid w:val="00E737C1"/>
    <w:rsid w:val="00E737F1"/>
    <w:rsid w:val="00E73B70"/>
    <w:rsid w:val="00E73B7E"/>
    <w:rsid w:val="00E73C08"/>
    <w:rsid w:val="00E73C2B"/>
    <w:rsid w:val="00E73E61"/>
    <w:rsid w:val="00E74516"/>
    <w:rsid w:val="00E74AF9"/>
    <w:rsid w:val="00E74CB8"/>
    <w:rsid w:val="00E74E93"/>
    <w:rsid w:val="00E75098"/>
    <w:rsid w:val="00E7511D"/>
    <w:rsid w:val="00E752E2"/>
    <w:rsid w:val="00E7538F"/>
    <w:rsid w:val="00E7567C"/>
    <w:rsid w:val="00E7569A"/>
    <w:rsid w:val="00E75746"/>
    <w:rsid w:val="00E75777"/>
    <w:rsid w:val="00E7583C"/>
    <w:rsid w:val="00E7596E"/>
    <w:rsid w:val="00E75D86"/>
    <w:rsid w:val="00E75E5F"/>
    <w:rsid w:val="00E75F37"/>
    <w:rsid w:val="00E7605A"/>
    <w:rsid w:val="00E76320"/>
    <w:rsid w:val="00E76657"/>
    <w:rsid w:val="00E7670C"/>
    <w:rsid w:val="00E7673E"/>
    <w:rsid w:val="00E76961"/>
    <w:rsid w:val="00E769AB"/>
    <w:rsid w:val="00E76AF2"/>
    <w:rsid w:val="00E76B2A"/>
    <w:rsid w:val="00E76C9F"/>
    <w:rsid w:val="00E76FCB"/>
    <w:rsid w:val="00E7724C"/>
    <w:rsid w:val="00E77526"/>
    <w:rsid w:val="00E77D06"/>
    <w:rsid w:val="00E80005"/>
    <w:rsid w:val="00E801F5"/>
    <w:rsid w:val="00E80838"/>
    <w:rsid w:val="00E80985"/>
    <w:rsid w:val="00E81016"/>
    <w:rsid w:val="00E81085"/>
    <w:rsid w:val="00E811CB"/>
    <w:rsid w:val="00E81390"/>
    <w:rsid w:val="00E818C4"/>
    <w:rsid w:val="00E81E82"/>
    <w:rsid w:val="00E81F1E"/>
    <w:rsid w:val="00E81FE4"/>
    <w:rsid w:val="00E82384"/>
    <w:rsid w:val="00E825E0"/>
    <w:rsid w:val="00E8265D"/>
    <w:rsid w:val="00E828AA"/>
    <w:rsid w:val="00E829B8"/>
    <w:rsid w:val="00E82A39"/>
    <w:rsid w:val="00E82AE6"/>
    <w:rsid w:val="00E82B23"/>
    <w:rsid w:val="00E82EE2"/>
    <w:rsid w:val="00E82FE2"/>
    <w:rsid w:val="00E8307F"/>
    <w:rsid w:val="00E8312F"/>
    <w:rsid w:val="00E8358F"/>
    <w:rsid w:val="00E8364E"/>
    <w:rsid w:val="00E83BEE"/>
    <w:rsid w:val="00E841F9"/>
    <w:rsid w:val="00E84489"/>
    <w:rsid w:val="00E847AF"/>
    <w:rsid w:val="00E847C5"/>
    <w:rsid w:val="00E849AB"/>
    <w:rsid w:val="00E85118"/>
    <w:rsid w:val="00E8561A"/>
    <w:rsid w:val="00E856E8"/>
    <w:rsid w:val="00E85C1D"/>
    <w:rsid w:val="00E85C69"/>
    <w:rsid w:val="00E85CBB"/>
    <w:rsid w:val="00E85DC2"/>
    <w:rsid w:val="00E85DE2"/>
    <w:rsid w:val="00E86274"/>
    <w:rsid w:val="00E863B6"/>
    <w:rsid w:val="00E86634"/>
    <w:rsid w:val="00E86718"/>
    <w:rsid w:val="00E868AD"/>
    <w:rsid w:val="00E868C9"/>
    <w:rsid w:val="00E86C00"/>
    <w:rsid w:val="00E86EBB"/>
    <w:rsid w:val="00E86EC5"/>
    <w:rsid w:val="00E86F81"/>
    <w:rsid w:val="00E87437"/>
    <w:rsid w:val="00E874B3"/>
    <w:rsid w:val="00E87515"/>
    <w:rsid w:val="00E8781E"/>
    <w:rsid w:val="00E87994"/>
    <w:rsid w:val="00E87A39"/>
    <w:rsid w:val="00E87EB2"/>
    <w:rsid w:val="00E87F0F"/>
    <w:rsid w:val="00E90115"/>
    <w:rsid w:val="00E90439"/>
    <w:rsid w:val="00E908DE"/>
    <w:rsid w:val="00E90A57"/>
    <w:rsid w:val="00E90BB9"/>
    <w:rsid w:val="00E9162E"/>
    <w:rsid w:val="00E91B72"/>
    <w:rsid w:val="00E91C91"/>
    <w:rsid w:val="00E91D92"/>
    <w:rsid w:val="00E91E58"/>
    <w:rsid w:val="00E92199"/>
    <w:rsid w:val="00E9227C"/>
    <w:rsid w:val="00E92378"/>
    <w:rsid w:val="00E9243F"/>
    <w:rsid w:val="00E92629"/>
    <w:rsid w:val="00E927CE"/>
    <w:rsid w:val="00E929C5"/>
    <w:rsid w:val="00E92C9F"/>
    <w:rsid w:val="00E92DCB"/>
    <w:rsid w:val="00E937A5"/>
    <w:rsid w:val="00E937B5"/>
    <w:rsid w:val="00E937C7"/>
    <w:rsid w:val="00E9397D"/>
    <w:rsid w:val="00E93E20"/>
    <w:rsid w:val="00E94916"/>
    <w:rsid w:val="00E94C99"/>
    <w:rsid w:val="00E94E14"/>
    <w:rsid w:val="00E94F6F"/>
    <w:rsid w:val="00E95680"/>
    <w:rsid w:val="00E95A2C"/>
    <w:rsid w:val="00E95DF0"/>
    <w:rsid w:val="00E95E68"/>
    <w:rsid w:val="00E95E78"/>
    <w:rsid w:val="00E9611E"/>
    <w:rsid w:val="00E96190"/>
    <w:rsid w:val="00E96459"/>
    <w:rsid w:val="00E96551"/>
    <w:rsid w:val="00E965EC"/>
    <w:rsid w:val="00E96612"/>
    <w:rsid w:val="00E96656"/>
    <w:rsid w:val="00E968C9"/>
    <w:rsid w:val="00E969C8"/>
    <w:rsid w:val="00E969DE"/>
    <w:rsid w:val="00E96AA7"/>
    <w:rsid w:val="00E96AE7"/>
    <w:rsid w:val="00E96B67"/>
    <w:rsid w:val="00E96F58"/>
    <w:rsid w:val="00E97446"/>
    <w:rsid w:val="00E9748D"/>
    <w:rsid w:val="00E974E3"/>
    <w:rsid w:val="00E97530"/>
    <w:rsid w:val="00E977C4"/>
    <w:rsid w:val="00EA0080"/>
    <w:rsid w:val="00EA02B1"/>
    <w:rsid w:val="00EA089E"/>
    <w:rsid w:val="00EA0BD2"/>
    <w:rsid w:val="00EA0BE1"/>
    <w:rsid w:val="00EA0DE8"/>
    <w:rsid w:val="00EA1605"/>
    <w:rsid w:val="00EA1719"/>
    <w:rsid w:val="00EA1753"/>
    <w:rsid w:val="00EA1759"/>
    <w:rsid w:val="00EA184F"/>
    <w:rsid w:val="00EA18F7"/>
    <w:rsid w:val="00EA1B5C"/>
    <w:rsid w:val="00EA1C5B"/>
    <w:rsid w:val="00EA1FC7"/>
    <w:rsid w:val="00EA2130"/>
    <w:rsid w:val="00EA215E"/>
    <w:rsid w:val="00EA21C6"/>
    <w:rsid w:val="00EA2767"/>
    <w:rsid w:val="00EA2EE4"/>
    <w:rsid w:val="00EA31D1"/>
    <w:rsid w:val="00EA370A"/>
    <w:rsid w:val="00EA3917"/>
    <w:rsid w:val="00EA3BE4"/>
    <w:rsid w:val="00EA4312"/>
    <w:rsid w:val="00EA4368"/>
    <w:rsid w:val="00EA44BA"/>
    <w:rsid w:val="00EA467A"/>
    <w:rsid w:val="00EA4713"/>
    <w:rsid w:val="00EA4CFD"/>
    <w:rsid w:val="00EA4DE6"/>
    <w:rsid w:val="00EA5120"/>
    <w:rsid w:val="00EA514F"/>
    <w:rsid w:val="00EA528E"/>
    <w:rsid w:val="00EA52DE"/>
    <w:rsid w:val="00EA55EA"/>
    <w:rsid w:val="00EA5C66"/>
    <w:rsid w:val="00EA5ED5"/>
    <w:rsid w:val="00EA61E4"/>
    <w:rsid w:val="00EA621C"/>
    <w:rsid w:val="00EA63F4"/>
    <w:rsid w:val="00EA64EA"/>
    <w:rsid w:val="00EA65C6"/>
    <w:rsid w:val="00EA690D"/>
    <w:rsid w:val="00EA6999"/>
    <w:rsid w:val="00EA6A87"/>
    <w:rsid w:val="00EA7338"/>
    <w:rsid w:val="00EA75AD"/>
    <w:rsid w:val="00EA79AE"/>
    <w:rsid w:val="00EA7A83"/>
    <w:rsid w:val="00EB0413"/>
    <w:rsid w:val="00EB0801"/>
    <w:rsid w:val="00EB1125"/>
    <w:rsid w:val="00EB114B"/>
    <w:rsid w:val="00EB127C"/>
    <w:rsid w:val="00EB1540"/>
    <w:rsid w:val="00EB169B"/>
    <w:rsid w:val="00EB1BE6"/>
    <w:rsid w:val="00EB1D95"/>
    <w:rsid w:val="00EB1FD8"/>
    <w:rsid w:val="00EB203E"/>
    <w:rsid w:val="00EB2296"/>
    <w:rsid w:val="00EB2302"/>
    <w:rsid w:val="00EB25DB"/>
    <w:rsid w:val="00EB260A"/>
    <w:rsid w:val="00EB2620"/>
    <w:rsid w:val="00EB2685"/>
    <w:rsid w:val="00EB268D"/>
    <w:rsid w:val="00EB2763"/>
    <w:rsid w:val="00EB2AF9"/>
    <w:rsid w:val="00EB2B27"/>
    <w:rsid w:val="00EB2BF6"/>
    <w:rsid w:val="00EB3067"/>
    <w:rsid w:val="00EB32FF"/>
    <w:rsid w:val="00EB37E5"/>
    <w:rsid w:val="00EB3A1E"/>
    <w:rsid w:val="00EB3B65"/>
    <w:rsid w:val="00EB3C27"/>
    <w:rsid w:val="00EB4110"/>
    <w:rsid w:val="00EB4479"/>
    <w:rsid w:val="00EB4E57"/>
    <w:rsid w:val="00EB50C0"/>
    <w:rsid w:val="00EB5210"/>
    <w:rsid w:val="00EB531C"/>
    <w:rsid w:val="00EB5A81"/>
    <w:rsid w:val="00EB5E62"/>
    <w:rsid w:val="00EB6170"/>
    <w:rsid w:val="00EB6259"/>
    <w:rsid w:val="00EB6854"/>
    <w:rsid w:val="00EB6C00"/>
    <w:rsid w:val="00EB713B"/>
    <w:rsid w:val="00EB7222"/>
    <w:rsid w:val="00EB72EB"/>
    <w:rsid w:val="00EB7370"/>
    <w:rsid w:val="00EB7494"/>
    <w:rsid w:val="00EC01BD"/>
    <w:rsid w:val="00EC042B"/>
    <w:rsid w:val="00EC0748"/>
    <w:rsid w:val="00EC089D"/>
    <w:rsid w:val="00EC0C92"/>
    <w:rsid w:val="00EC0E58"/>
    <w:rsid w:val="00EC0E9F"/>
    <w:rsid w:val="00EC0EE9"/>
    <w:rsid w:val="00EC1149"/>
    <w:rsid w:val="00EC128F"/>
    <w:rsid w:val="00EC12B8"/>
    <w:rsid w:val="00EC1685"/>
    <w:rsid w:val="00EC1974"/>
    <w:rsid w:val="00EC1D2B"/>
    <w:rsid w:val="00EC204A"/>
    <w:rsid w:val="00EC2695"/>
    <w:rsid w:val="00EC2AF1"/>
    <w:rsid w:val="00EC3395"/>
    <w:rsid w:val="00EC372A"/>
    <w:rsid w:val="00EC388A"/>
    <w:rsid w:val="00EC3BF7"/>
    <w:rsid w:val="00EC3D47"/>
    <w:rsid w:val="00EC3DD6"/>
    <w:rsid w:val="00EC418B"/>
    <w:rsid w:val="00EC42DB"/>
    <w:rsid w:val="00EC43AC"/>
    <w:rsid w:val="00EC46A1"/>
    <w:rsid w:val="00EC4942"/>
    <w:rsid w:val="00EC49A8"/>
    <w:rsid w:val="00EC4BB2"/>
    <w:rsid w:val="00EC4CC7"/>
    <w:rsid w:val="00EC4ECD"/>
    <w:rsid w:val="00EC5036"/>
    <w:rsid w:val="00EC57A9"/>
    <w:rsid w:val="00EC5AE7"/>
    <w:rsid w:val="00EC5BF6"/>
    <w:rsid w:val="00EC5C87"/>
    <w:rsid w:val="00EC5D41"/>
    <w:rsid w:val="00EC5D53"/>
    <w:rsid w:val="00EC5DD2"/>
    <w:rsid w:val="00EC5DFE"/>
    <w:rsid w:val="00EC5F05"/>
    <w:rsid w:val="00EC60F4"/>
    <w:rsid w:val="00EC61CB"/>
    <w:rsid w:val="00EC623F"/>
    <w:rsid w:val="00EC6282"/>
    <w:rsid w:val="00EC6343"/>
    <w:rsid w:val="00EC637D"/>
    <w:rsid w:val="00EC6391"/>
    <w:rsid w:val="00EC63A7"/>
    <w:rsid w:val="00EC7139"/>
    <w:rsid w:val="00EC7583"/>
    <w:rsid w:val="00EC7ADB"/>
    <w:rsid w:val="00EC7AF3"/>
    <w:rsid w:val="00EC7D14"/>
    <w:rsid w:val="00EC7F40"/>
    <w:rsid w:val="00ED0424"/>
    <w:rsid w:val="00ED054A"/>
    <w:rsid w:val="00ED0784"/>
    <w:rsid w:val="00ED0838"/>
    <w:rsid w:val="00ED0A29"/>
    <w:rsid w:val="00ED0AE5"/>
    <w:rsid w:val="00ED0B72"/>
    <w:rsid w:val="00ED1489"/>
    <w:rsid w:val="00ED14F8"/>
    <w:rsid w:val="00ED1744"/>
    <w:rsid w:val="00ED179C"/>
    <w:rsid w:val="00ED19B0"/>
    <w:rsid w:val="00ED1A4B"/>
    <w:rsid w:val="00ED1AEF"/>
    <w:rsid w:val="00ED1B14"/>
    <w:rsid w:val="00ED1BC2"/>
    <w:rsid w:val="00ED213B"/>
    <w:rsid w:val="00ED221A"/>
    <w:rsid w:val="00ED222B"/>
    <w:rsid w:val="00ED2444"/>
    <w:rsid w:val="00ED2603"/>
    <w:rsid w:val="00ED2A95"/>
    <w:rsid w:val="00ED2BF3"/>
    <w:rsid w:val="00ED2F27"/>
    <w:rsid w:val="00ED3175"/>
    <w:rsid w:val="00ED394D"/>
    <w:rsid w:val="00ED3A7A"/>
    <w:rsid w:val="00ED3D24"/>
    <w:rsid w:val="00ED3D38"/>
    <w:rsid w:val="00ED3D41"/>
    <w:rsid w:val="00ED3F23"/>
    <w:rsid w:val="00ED3FDD"/>
    <w:rsid w:val="00ED412A"/>
    <w:rsid w:val="00ED481B"/>
    <w:rsid w:val="00ED562D"/>
    <w:rsid w:val="00ED5B12"/>
    <w:rsid w:val="00ED64B0"/>
    <w:rsid w:val="00ED65D4"/>
    <w:rsid w:val="00ED6766"/>
    <w:rsid w:val="00ED69D3"/>
    <w:rsid w:val="00ED6B58"/>
    <w:rsid w:val="00ED6C90"/>
    <w:rsid w:val="00ED6CC3"/>
    <w:rsid w:val="00ED6CF2"/>
    <w:rsid w:val="00ED70FF"/>
    <w:rsid w:val="00ED717C"/>
    <w:rsid w:val="00ED725E"/>
    <w:rsid w:val="00ED77AB"/>
    <w:rsid w:val="00ED7865"/>
    <w:rsid w:val="00ED7DFB"/>
    <w:rsid w:val="00ED7E49"/>
    <w:rsid w:val="00EE0237"/>
    <w:rsid w:val="00EE04A8"/>
    <w:rsid w:val="00EE0632"/>
    <w:rsid w:val="00EE0797"/>
    <w:rsid w:val="00EE0A2B"/>
    <w:rsid w:val="00EE0E8C"/>
    <w:rsid w:val="00EE0EE5"/>
    <w:rsid w:val="00EE0F69"/>
    <w:rsid w:val="00EE13F8"/>
    <w:rsid w:val="00EE1486"/>
    <w:rsid w:val="00EE158B"/>
    <w:rsid w:val="00EE15DA"/>
    <w:rsid w:val="00EE15EF"/>
    <w:rsid w:val="00EE177E"/>
    <w:rsid w:val="00EE1A3B"/>
    <w:rsid w:val="00EE1A7A"/>
    <w:rsid w:val="00EE1B02"/>
    <w:rsid w:val="00EE1BDD"/>
    <w:rsid w:val="00EE1FE9"/>
    <w:rsid w:val="00EE214A"/>
    <w:rsid w:val="00EE25D8"/>
    <w:rsid w:val="00EE2B28"/>
    <w:rsid w:val="00EE2BC6"/>
    <w:rsid w:val="00EE2EDC"/>
    <w:rsid w:val="00EE2FC8"/>
    <w:rsid w:val="00EE3220"/>
    <w:rsid w:val="00EE32AF"/>
    <w:rsid w:val="00EE36E8"/>
    <w:rsid w:val="00EE3785"/>
    <w:rsid w:val="00EE4023"/>
    <w:rsid w:val="00EE4287"/>
    <w:rsid w:val="00EE4652"/>
    <w:rsid w:val="00EE4656"/>
    <w:rsid w:val="00EE4BDF"/>
    <w:rsid w:val="00EE4E3E"/>
    <w:rsid w:val="00EE4F7D"/>
    <w:rsid w:val="00EE5690"/>
    <w:rsid w:val="00EE588E"/>
    <w:rsid w:val="00EE593D"/>
    <w:rsid w:val="00EE5E37"/>
    <w:rsid w:val="00EE62D0"/>
    <w:rsid w:val="00EE6315"/>
    <w:rsid w:val="00EE63FC"/>
    <w:rsid w:val="00EE66DF"/>
    <w:rsid w:val="00EE6723"/>
    <w:rsid w:val="00EE6859"/>
    <w:rsid w:val="00EE68DB"/>
    <w:rsid w:val="00EE6A13"/>
    <w:rsid w:val="00EE6ECD"/>
    <w:rsid w:val="00EE6F7D"/>
    <w:rsid w:val="00EE7A53"/>
    <w:rsid w:val="00EE7B5B"/>
    <w:rsid w:val="00EE7D6B"/>
    <w:rsid w:val="00EF0066"/>
    <w:rsid w:val="00EF0190"/>
    <w:rsid w:val="00EF01EB"/>
    <w:rsid w:val="00EF03CC"/>
    <w:rsid w:val="00EF04A2"/>
    <w:rsid w:val="00EF04C6"/>
    <w:rsid w:val="00EF088A"/>
    <w:rsid w:val="00EF08B7"/>
    <w:rsid w:val="00EF09A8"/>
    <w:rsid w:val="00EF0DF6"/>
    <w:rsid w:val="00EF1515"/>
    <w:rsid w:val="00EF1973"/>
    <w:rsid w:val="00EF1B41"/>
    <w:rsid w:val="00EF1B52"/>
    <w:rsid w:val="00EF1FBA"/>
    <w:rsid w:val="00EF2018"/>
    <w:rsid w:val="00EF20E2"/>
    <w:rsid w:val="00EF2217"/>
    <w:rsid w:val="00EF27B1"/>
    <w:rsid w:val="00EF2901"/>
    <w:rsid w:val="00EF2AF8"/>
    <w:rsid w:val="00EF2BAE"/>
    <w:rsid w:val="00EF2D2B"/>
    <w:rsid w:val="00EF34EA"/>
    <w:rsid w:val="00EF3E7C"/>
    <w:rsid w:val="00EF4276"/>
    <w:rsid w:val="00EF4537"/>
    <w:rsid w:val="00EF4580"/>
    <w:rsid w:val="00EF45AC"/>
    <w:rsid w:val="00EF4734"/>
    <w:rsid w:val="00EF4757"/>
    <w:rsid w:val="00EF4D24"/>
    <w:rsid w:val="00EF5318"/>
    <w:rsid w:val="00EF5536"/>
    <w:rsid w:val="00EF5770"/>
    <w:rsid w:val="00EF6093"/>
    <w:rsid w:val="00EF657E"/>
    <w:rsid w:val="00EF6606"/>
    <w:rsid w:val="00EF677A"/>
    <w:rsid w:val="00EF6909"/>
    <w:rsid w:val="00EF6D12"/>
    <w:rsid w:val="00EF6D53"/>
    <w:rsid w:val="00EF6FFF"/>
    <w:rsid w:val="00EF73D9"/>
    <w:rsid w:val="00EF75C7"/>
    <w:rsid w:val="00EF77C8"/>
    <w:rsid w:val="00EF77EA"/>
    <w:rsid w:val="00EF7A6B"/>
    <w:rsid w:val="00EF7FDB"/>
    <w:rsid w:val="00F000A2"/>
    <w:rsid w:val="00F006A4"/>
    <w:rsid w:val="00F00B2D"/>
    <w:rsid w:val="00F010CB"/>
    <w:rsid w:val="00F01806"/>
    <w:rsid w:val="00F01E9B"/>
    <w:rsid w:val="00F02471"/>
    <w:rsid w:val="00F024D0"/>
    <w:rsid w:val="00F02AE9"/>
    <w:rsid w:val="00F02E14"/>
    <w:rsid w:val="00F02E3C"/>
    <w:rsid w:val="00F032D9"/>
    <w:rsid w:val="00F03787"/>
    <w:rsid w:val="00F038B8"/>
    <w:rsid w:val="00F0394E"/>
    <w:rsid w:val="00F03ED4"/>
    <w:rsid w:val="00F04262"/>
    <w:rsid w:val="00F04379"/>
    <w:rsid w:val="00F04D5C"/>
    <w:rsid w:val="00F04E8E"/>
    <w:rsid w:val="00F05703"/>
    <w:rsid w:val="00F05BB6"/>
    <w:rsid w:val="00F05C88"/>
    <w:rsid w:val="00F05D83"/>
    <w:rsid w:val="00F0626A"/>
    <w:rsid w:val="00F06345"/>
    <w:rsid w:val="00F06374"/>
    <w:rsid w:val="00F068D2"/>
    <w:rsid w:val="00F079B6"/>
    <w:rsid w:val="00F07CE8"/>
    <w:rsid w:val="00F07F20"/>
    <w:rsid w:val="00F07FD8"/>
    <w:rsid w:val="00F07FF9"/>
    <w:rsid w:val="00F1004B"/>
    <w:rsid w:val="00F1058D"/>
    <w:rsid w:val="00F1059E"/>
    <w:rsid w:val="00F10707"/>
    <w:rsid w:val="00F117C0"/>
    <w:rsid w:val="00F117E2"/>
    <w:rsid w:val="00F11863"/>
    <w:rsid w:val="00F119A2"/>
    <w:rsid w:val="00F11DA5"/>
    <w:rsid w:val="00F12684"/>
    <w:rsid w:val="00F126CC"/>
    <w:rsid w:val="00F127D1"/>
    <w:rsid w:val="00F128C0"/>
    <w:rsid w:val="00F12B19"/>
    <w:rsid w:val="00F12BCE"/>
    <w:rsid w:val="00F12C72"/>
    <w:rsid w:val="00F12D3C"/>
    <w:rsid w:val="00F12E9C"/>
    <w:rsid w:val="00F130C9"/>
    <w:rsid w:val="00F133B0"/>
    <w:rsid w:val="00F135CE"/>
    <w:rsid w:val="00F13770"/>
    <w:rsid w:val="00F137D3"/>
    <w:rsid w:val="00F13AEE"/>
    <w:rsid w:val="00F13CD6"/>
    <w:rsid w:val="00F13DFA"/>
    <w:rsid w:val="00F14011"/>
    <w:rsid w:val="00F14235"/>
    <w:rsid w:val="00F14449"/>
    <w:rsid w:val="00F14650"/>
    <w:rsid w:val="00F14830"/>
    <w:rsid w:val="00F148BC"/>
    <w:rsid w:val="00F14B13"/>
    <w:rsid w:val="00F14B63"/>
    <w:rsid w:val="00F14F57"/>
    <w:rsid w:val="00F15217"/>
    <w:rsid w:val="00F15241"/>
    <w:rsid w:val="00F152C3"/>
    <w:rsid w:val="00F153B2"/>
    <w:rsid w:val="00F157F6"/>
    <w:rsid w:val="00F1594D"/>
    <w:rsid w:val="00F15C50"/>
    <w:rsid w:val="00F15EA4"/>
    <w:rsid w:val="00F15F26"/>
    <w:rsid w:val="00F16606"/>
    <w:rsid w:val="00F16741"/>
    <w:rsid w:val="00F16796"/>
    <w:rsid w:val="00F16834"/>
    <w:rsid w:val="00F16CD9"/>
    <w:rsid w:val="00F173B7"/>
    <w:rsid w:val="00F173C0"/>
    <w:rsid w:val="00F1755E"/>
    <w:rsid w:val="00F17716"/>
    <w:rsid w:val="00F17CB1"/>
    <w:rsid w:val="00F2021D"/>
    <w:rsid w:val="00F20234"/>
    <w:rsid w:val="00F2057B"/>
    <w:rsid w:val="00F20820"/>
    <w:rsid w:val="00F20B65"/>
    <w:rsid w:val="00F20BC1"/>
    <w:rsid w:val="00F20CA2"/>
    <w:rsid w:val="00F21002"/>
    <w:rsid w:val="00F211FD"/>
    <w:rsid w:val="00F22508"/>
    <w:rsid w:val="00F227F7"/>
    <w:rsid w:val="00F22979"/>
    <w:rsid w:val="00F22F20"/>
    <w:rsid w:val="00F2322B"/>
    <w:rsid w:val="00F232B2"/>
    <w:rsid w:val="00F2355A"/>
    <w:rsid w:val="00F23595"/>
    <w:rsid w:val="00F23751"/>
    <w:rsid w:val="00F23926"/>
    <w:rsid w:val="00F23A38"/>
    <w:rsid w:val="00F23B7A"/>
    <w:rsid w:val="00F23C8E"/>
    <w:rsid w:val="00F2400B"/>
    <w:rsid w:val="00F241E0"/>
    <w:rsid w:val="00F2422A"/>
    <w:rsid w:val="00F24244"/>
    <w:rsid w:val="00F2461E"/>
    <w:rsid w:val="00F249D7"/>
    <w:rsid w:val="00F24AE1"/>
    <w:rsid w:val="00F24B2D"/>
    <w:rsid w:val="00F24C64"/>
    <w:rsid w:val="00F24FE7"/>
    <w:rsid w:val="00F251EB"/>
    <w:rsid w:val="00F2549D"/>
    <w:rsid w:val="00F254AB"/>
    <w:rsid w:val="00F256F0"/>
    <w:rsid w:val="00F25869"/>
    <w:rsid w:val="00F25AAD"/>
    <w:rsid w:val="00F25CBB"/>
    <w:rsid w:val="00F25F9A"/>
    <w:rsid w:val="00F261EA"/>
    <w:rsid w:val="00F26371"/>
    <w:rsid w:val="00F26504"/>
    <w:rsid w:val="00F26699"/>
    <w:rsid w:val="00F26993"/>
    <w:rsid w:val="00F26C28"/>
    <w:rsid w:val="00F26CA2"/>
    <w:rsid w:val="00F270E5"/>
    <w:rsid w:val="00F27269"/>
    <w:rsid w:val="00F27328"/>
    <w:rsid w:val="00F27349"/>
    <w:rsid w:val="00F274B4"/>
    <w:rsid w:val="00F275AC"/>
    <w:rsid w:val="00F27A6B"/>
    <w:rsid w:val="00F27E16"/>
    <w:rsid w:val="00F301A1"/>
    <w:rsid w:val="00F30540"/>
    <w:rsid w:val="00F30689"/>
    <w:rsid w:val="00F307F2"/>
    <w:rsid w:val="00F30AB7"/>
    <w:rsid w:val="00F30AD5"/>
    <w:rsid w:val="00F30C01"/>
    <w:rsid w:val="00F30F44"/>
    <w:rsid w:val="00F311B4"/>
    <w:rsid w:val="00F312E2"/>
    <w:rsid w:val="00F31430"/>
    <w:rsid w:val="00F322A6"/>
    <w:rsid w:val="00F32645"/>
    <w:rsid w:val="00F331CF"/>
    <w:rsid w:val="00F33318"/>
    <w:rsid w:val="00F333AC"/>
    <w:rsid w:val="00F33400"/>
    <w:rsid w:val="00F33786"/>
    <w:rsid w:val="00F33C61"/>
    <w:rsid w:val="00F33F3F"/>
    <w:rsid w:val="00F3427A"/>
    <w:rsid w:val="00F34472"/>
    <w:rsid w:val="00F344BE"/>
    <w:rsid w:val="00F34DCB"/>
    <w:rsid w:val="00F34E20"/>
    <w:rsid w:val="00F3503F"/>
    <w:rsid w:val="00F3514D"/>
    <w:rsid w:val="00F35646"/>
    <w:rsid w:val="00F358DB"/>
    <w:rsid w:val="00F35D4C"/>
    <w:rsid w:val="00F35F86"/>
    <w:rsid w:val="00F3615B"/>
    <w:rsid w:val="00F36260"/>
    <w:rsid w:val="00F364A7"/>
    <w:rsid w:val="00F366D9"/>
    <w:rsid w:val="00F36AC0"/>
    <w:rsid w:val="00F36B72"/>
    <w:rsid w:val="00F36DD6"/>
    <w:rsid w:val="00F36EA0"/>
    <w:rsid w:val="00F37077"/>
    <w:rsid w:val="00F37114"/>
    <w:rsid w:val="00F373A7"/>
    <w:rsid w:val="00F377C3"/>
    <w:rsid w:val="00F37A31"/>
    <w:rsid w:val="00F37C50"/>
    <w:rsid w:val="00F37E48"/>
    <w:rsid w:val="00F40289"/>
    <w:rsid w:val="00F405A9"/>
    <w:rsid w:val="00F40A0F"/>
    <w:rsid w:val="00F41097"/>
    <w:rsid w:val="00F410B5"/>
    <w:rsid w:val="00F41101"/>
    <w:rsid w:val="00F41167"/>
    <w:rsid w:val="00F41256"/>
    <w:rsid w:val="00F41394"/>
    <w:rsid w:val="00F413E2"/>
    <w:rsid w:val="00F41534"/>
    <w:rsid w:val="00F41569"/>
    <w:rsid w:val="00F4162F"/>
    <w:rsid w:val="00F41837"/>
    <w:rsid w:val="00F41D58"/>
    <w:rsid w:val="00F4218E"/>
    <w:rsid w:val="00F42393"/>
    <w:rsid w:val="00F42404"/>
    <w:rsid w:val="00F42604"/>
    <w:rsid w:val="00F42BA2"/>
    <w:rsid w:val="00F42BED"/>
    <w:rsid w:val="00F42C50"/>
    <w:rsid w:val="00F42D21"/>
    <w:rsid w:val="00F431EE"/>
    <w:rsid w:val="00F4323E"/>
    <w:rsid w:val="00F4390A"/>
    <w:rsid w:val="00F43A55"/>
    <w:rsid w:val="00F43CF5"/>
    <w:rsid w:val="00F43E31"/>
    <w:rsid w:val="00F4412D"/>
    <w:rsid w:val="00F44325"/>
    <w:rsid w:val="00F44915"/>
    <w:rsid w:val="00F45425"/>
    <w:rsid w:val="00F4557B"/>
    <w:rsid w:val="00F459BD"/>
    <w:rsid w:val="00F45A25"/>
    <w:rsid w:val="00F4618D"/>
    <w:rsid w:val="00F462B2"/>
    <w:rsid w:val="00F463DA"/>
    <w:rsid w:val="00F464AC"/>
    <w:rsid w:val="00F4663E"/>
    <w:rsid w:val="00F468DA"/>
    <w:rsid w:val="00F46CCC"/>
    <w:rsid w:val="00F46E1A"/>
    <w:rsid w:val="00F46E6B"/>
    <w:rsid w:val="00F47088"/>
    <w:rsid w:val="00F476C3"/>
    <w:rsid w:val="00F47752"/>
    <w:rsid w:val="00F500ED"/>
    <w:rsid w:val="00F502DE"/>
    <w:rsid w:val="00F5056D"/>
    <w:rsid w:val="00F505D3"/>
    <w:rsid w:val="00F50684"/>
    <w:rsid w:val="00F506B7"/>
    <w:rsid w:val="00F50707"/>
    <w:rsid w:val="00F51280"/>
    <w:rsid w:val="00F51360"/>
    <w:rsid w:val="00F51383"/>
    <w:rsid w:val="00F515DB"/>
    <w:rsid w:val="00F51D85"/>
    <w:rsid w:val="00F51DF0"/>
    <w:rsid w:val="00F5206B"/>
    <w:rsid w:val="00F520F2"/>
    <w:rsid w:val="00F5233A"/>
    <w:rsid w:val="00F524C0"/>
    <w:rsid w:val="00F5251B"/>
    <w:rsid w:val="00F52D58"/>
    <w:rsid w:val="00F52E22"/>
    <w:rsid w:val="00F52F7A"/>
    <w:rsid w:val="00F5313D"/>
    <w:rsid w:val="00F53373"/>
    <w:rsid w:val="00F536CA"/>
    <w:rsid w:val="00F5394B"/>
    <w:rsid w:val="00F539E6"/>
    <w:rsid w:val="00F53AD8"/>
    <w:rsid w:val="00F53D87"/>
    <w:rsid w:val="00F53E80"/>
    <w:rsid w:val="00F5404E"/>
    <w:rsid w:val="00F54290"/>
    <w:rsid w:val="00F543B1"/>
    <w:rsid w:val="00F54694"/>
    <w:rsid w:val="00F547BA"/>
    <w:rsid w:val="00F5502A"/>
    <w:rsid w:val="00F555C4"/>
    <w:rsid w:val="00F55E9E"/>
    <w:rsid w:val="00F5626C"/>
    <w:rsid w:val="00F56347"/>
    <w:rsid w:val="00F56462"/>
    <w:rsid w:val="00F568F4"/>
    <w:rsid w:val="00F56974"/>
    <w:rsid w:val="00F56DA8"/>
    <w:rsid w:val="00F56E59"/>
    <w:rsid w:val="00F57121"/>
    <w:rsid w:val="00F57278"/>
    <w:rsid w:val="00F57362"/>
    <w:rsid w:val="00F5746F"/>
    <w:rsid w:val="00F57AD0"/>
    <w:rsid w:val="00F57B77"/>
    <w:rsid w:val="00F57DD0"/>
    <w:rsid w:val="00F601AB"/>
    <w:rsid w:val="00F60213"/>
    <w:rsid w:val="00F6062A"/>
    <w:rsid w:val="00F60807"/>
    <w:rsid w:val="00F60958"/>
    <w:rsid w:val="00F60B3A"/>
    <w:rsid w:val="00F60BCB"/>
    <w:rsid w:val="00F60BD1"/>
    <w:rsid w:val="00F60F5A"/>
    <w:rsid w:val="00F61097"/>
    <w:rsid w:val="00F61143"/>
    <w:rsid w:val="00F614D8"/>
    <w:rsid w:val="00F61658"/>
    <w:rsid w:val="00F61787"/>
    <w:rsid w:val="00F61E21"/>
    <w:rsid w:val="00F61EC4"/>
    <w:rsid w:val="00F622DA"/>
    <w:rsid w:val="00F6265A"/>
    <w:rsid w:val="00F62E73"/>
    <w:rsid w:val="00F63203"/>
    <w:rsid w:val="00F63B4B"/>
    <w:rsid w:val="00F63E9A"/>
    <w:rsid w:val="00F640C1"/>
    <w:rsid w:val="00F64294"/>
    <w:rsid w:val="00F6463A"/>
    <w:rsid w:val="00F6491E"/>
    <w:rsid w:val="00F64B64"/>
    <w:rsid w:val="00F64BA0"/>
    <w:rsid w:val="00F65735"/>
    <w:rsid w:val="00F65AED"/>
    <w:rsid w:val="00F65C9C"/>
    <w:rsid w:val="00F65E6E"/>
    <w:rsid w:val="00F66086"/>
    <w:rsid w:val="00F66099"/>
    <w:rsid w:val="00F66272"/>
    <w:rsid w:val="00F66338"/>
    <w:rsid w:val="00F6669C"/>
    <w:rsid w:val="00F667E6"/>
    <w:rsid w:val="00F66DDC"/>
    <w:rsid w:val="00F66FC9"/>
    <w:rsid w:val="00F66FEE"/>
    <w:rsid w:val="00F67008"/>
    <w:rsid w:val="00F67451"/>
    <w:rsid w:val="00F67913"/>
    <w:rsid w:val="00F67931"/>
    <w:rsid w:val="00F67A0A"/>
    <w:rsid w:val="00F67AA7"/>
    <w:rsid w:val="00F67B2F"/>
    <w:rsid w:val="00F67C18"/>
    <w:rsid w:val="00F67FD5"/>
    <w:rsid w:val="00F701C7"/>
    <w:rsid w:val="00F707C2"/>
    <w:rsid w:val="00F707DC"/>
    <w:rsid w:val="00F70A02"/>
    <w:rsid w:val="00F70D15"/>
    <w:rsid w:val="00F71281"/>
    <w:rsid w:val="00F71325"/>
    <w:rsid w:val="00F7144A"/>
    <w:rsid w:val="00F7173D"/>
    <w:rsid w:val="00F71E52"/>
    <w:rsid w:val="00F71EBA"/>
    <w:rsid w:val="00F72052"/>
    <w:rsid w:val="00F728FE"/>
    <w:rsid w:val="00F72C43"/>
    <w:rsid w:val="00F72ED0"/>
    <w:rsid w:val="00F73056"/>
    <w:rsid w:val="00F73449"/>
    <w:rsid w:val="00F73A37"/>
    <w:rsid w:val="00F73D3E"/>
    <w:rsid w:val="00F73E4B"/>
    <w:rsid w:val="00F7418E"/>
    <w:rsid w:val="00F7437E"/>
    <w:rsid w:val="00F7479F"/>
    <w:rsid w:val="00F747C2"/>
    <w:rsid w:val="00F74930"/>
    <w:rsid w:val="00F74F69"/>
    <w:rsid w:val="00F75063"/>
    <w:rsid w:val="00F7523A"/>
    <w:rsid w:val="00F756D9"/>
    <w:rsid w:val="00F75880"/>
    <w:rsid w:val="00F75972"/>
    <w:rsid w:val="00F760A3"/>
    <w:rsid w:val="00F767AA"/>
    <w:rsid w:val="00F76ED7"/>
    <w:rsid w:val="00F76FD3"/>
    <w:rsid w:val="00F7719F"/>
    <w:rsid w:val="00F771C0"/>
    <w:rsid w:val="00F7722F"/>
    <w:rsid w:val="00F772BB"/>
    <w:rsid w:val="00F7732A"/>
    <w:rsid w:val="00F77505"/>
    <w:rsid w:val="00F77A38"/>
    <w:rsid w:val="00F77BB6"/>
    <w:rsid w:val="00F8005D"/>
    <w:rsid w:val="00F803F4"/>
    <w:rsid w:val="00F80609"/>
    <w:rsid w:val="00F808B9"/>
    <w:rsid w:val="00F808E1"/>
    <w:rsid w:val="00F80C35"/>
    <w:rsid w:val="00F80D01"/>
    <w:rsid w:val="00F80D88"/>
    <w:rsid w:val="00F81441"/>
    <w:rsid w:val="00F81BCE"/>
    <w:rsid w:val="00F81F94"/>
    <w:rsid w:val="00F8208A"/>
    <w:rsid w:val="00F820AF"/>
    <w:rsid w:val="00F82269"/>
    <w:rsid w:val="00F822E9"/>
    <w:rsid w:val="00F828ED"/>
    <w:rsid w:val="00F82AF2"/>
    <w:rsid w:val="00F833C0"/>
    <w:rsid w:val="00F83907"/>
    <w:rsid w:val="00F83B2C"/>
    <w:rsid w:val="00F83D3C"/>
    <w:rsid w:val="00F83DE3"/>
    <w:rsid w:val="00F83E74"/>
    <w:rsid w:val="00F843B8"/>
    <w:rsid w:val="00F847BC"/>
    <w:rsid w:val="00F84B38"/>
    <w:rsid w:val="00F84C81"/>
    <w:rsid w:val="00F852AD"/>
    <w:rsid w:val="00F8533F"/>
    <w:rsid w:val="00F853E7"/>
    <w:rsid w:val="00F856A0"/>
    <w:rsid w:val="00F85C78"/>
    <w:rsid w:val="00F85DCB"/>
    <w:rsid w:val="00F85E30"/>
    <w:rsid w:val="00F86669"/>
    <w:rsid w:val="00F866F0"/>
    <w:rsid w:val="00F86A37"/>
    <w:rsid w:val="00F86D8B"/>
    <w:rsid w:val="00F86E0E"/>
    <w:rsid w:val="00F86FA2"/>
    <w:rsid w:val="00F87091"/>
    <w:rsid w:val="00F875A8"/>
    <w:rsid w:val="00F878FD"/>
    <w:rsid w:val="00F87DE2"/>
    <w:rsid w:val="00F87E2D"/>
    <w:rsid w:val="00F87E7E"/>
    <w:rsid w:val="00F90106"/>
    <w:rsid w:val="00F90370"/>
    <w:rsid w:val="00F90A6D"/>
    <w:rsid w:val="00F90A95"/>
    <w:rsid w:val="00F90B2E"/>
    <w:rsid w:val="00F90EF5"/>
    <w:rsid w:val="00F91896"/>
    <w:rsid w:val="00F91DCA"/>
    <w:rsid w:val="00F91F43"/>
    <w:rsid w:val="00F9234B"/>
    <w:rsid w:val="00F9239D"/>
    <w:rsid w:val="00F923A3"/>
    <w:rsid w:val="00F926E6"/>
    <w:rsid w:val="00F92CEF"/>
    <w:rsid w:val="00F93707"/>
    <w:rsid w:val="00F938B4"/>
    <w:rsid w:val="00F939F3"/>
    <w:rsid w:val="00F93BED"/>
    <w:rsid w:val="00F94019"/>
    <w:rsid w:val="00F946D0"/>
    <w:rsid w:val="00F9499F"/>
    <w:rsid w:val="00F94A1A"/>
    <w:rsid w:val="00F94A85"/>
    <w:rsid w:val="00F94F15"/>
    <w:rsid w:val="00F94F32"/>
    <w:rsid w:val="00F95031"/>
    <w:rsid w:val="00F9549D"/>
    <w:rsid w:val="00F958ED"/>
    <w:rsid w:val="00F95902"/>
    <w:rsid w:val="00F9597A"/>
    <w:rsid w:val="00F95A29"/>
    <w:rsid w:val="00F95B4B"/>
    <w:rsid w:val="00F963C5"/>
    <w:rsid w:val="00F966B0"/>
    <w:rsid w:val="00F9671E"/>
    <w:rsid w:val="00F96BD8"/>
    <w:rsid w:val="00F96CBA"/>
    <w:rsid w:val="00F96DC3"/>
    <w:rsid w:val="00F96FCF"/>
    <w:rsid w:val="00F970A8"/>
    <w:rsid w:val="00F972C0"/>
    <w:rsid w:val="00F97307"/>
    <w:rsid w:val="00F973B1"/>
    <w:rsid w:val="00F97661"/>
    <w:rsid w:val="00F977E4"/>
    <w:rsid w:val="00F97C54"/>
    <w:rsid w:val="00F97D03"/>
    <w:rsid w:val="00F97E79"/>
    <w:rsid w:val="00FA02F4"/>
    <w:rsid w:val="00FA0759"/>
    <w:rsid w:val="00FA0AD1"/>
    <w:rsid w:val="00FA0C68"/>
    <w:rsid w:val="00FA0CDF"/>
    <w:rsid w:val="00FA0F7A"/>
    <w:rsid w:val="00FA1126"/>
    <w:rsid w:val="00FA14B6"/>
    <w:rsid w:val="00FA14E0"/>
    <w:rsid w:val="00FA172F"/>
    <w:rsid w:val="00FA1DBC"/>
    <w:rsid w:val="00FA22E0"/>
    <w:rsid w:val="00FA234E"/>
    <w:rsid w:val="00FA2493"/>
    <w:rsid w:val="00FA27E0"/>
    <w:rsid w:val="00FA2DB1"/>
    <w:rsid w:val="00FA316B"/>
    <w:rsid w:val="00FA346E"/>
    <w:rsid w:val="00FA3F1D"/>
    <w:rsid w:val="00FA4191"/>
    <w:rsid w:val="00FA43A6"/>
    <w:rsid w:val="00FA4C6B"/>
    <w:rsid w:val="00FA4CB7"/>
    <w:rsid w:val="00FA4F9B"/>
    <w:rsid w:val="00FA529E"/>
    <w:rsid w:val="00FA5394"/>
    <w:rsid w:val="00FA541A"/>
    <w:rsid w:val="00FA572A"/>
    <w:rsid w:val="00FA593B"/>
    <w:rsid w:val="00FA5B8A"/>
    <w:rsid w:val="00FA5C1C"/>
    <w:rsid w:val="00FA5DF9"/>
    <w:rsid w:val="00FA5F9C"/>
    <w:rsid w:val="00FA60F5"/>
    <w:rsid w:val="00FA6385"/>
    <w:rsid w:val="00FA65D2"/>
    <w:rsid w:val="00FA6FBD"/>
    <w:rsid w:val="00FA7114"/>
    <w:rsid w:val="00FA7169"/>
    <w:rsid w:val="00FA744E"/>
    <w:rsid w:val="00FA7656"/>
    <w:rsid w:val="00FA7CE9"/>
    <w:rsid w:val="00FA7E16"/>
    <w:rsid w:val="00FA7E3D"/>
    <w:rsid w:val="00FB007B"/>
    <w:rsid w:val="00FB03D7"/>
    <w:rsid w:val="00FB0CAF"/>
    <w:rsid w:val="00FB0D6B"/>
    <w:rsid w:val="00FB1823"/>
    <w:rsid w:val="00FB1CC8"/>
    <w:rsid w:val="00FB1F7E"/>
    <w:rsid w:val="00FB20D6"/>
    <w:rsid w:val="00FB252A"/>
    <w:rsid w:val="00FB26C2"/>
    <w:rsid w:val="00FB2711"/>
    <w:rsid w:val="00FB2D06"/>
    <w:rsid w:val="00FB3120"/>
    <w:rsid w:val="00FB32E4"/>
    <w:rsid w:val="00FB3AD4"/>
    <w:rsid w:val="00FB3AD8"/>
    <w:rsid w:val="00FB3C42"/>
    <w:rsid w:val="00FB3C47"/>
    <w:rsid w:val="00FB448E"/>
    <w:rsid w:val="00FB4669"/>
    <w:rsid w:val="00FB46A0"/>
    <w:rsid w:val="00FB49D3"/>
    <w:rsid w:val="00FB4CBB"/>
    <w:rsid w:val="00FB4EC0"/>
    <w:rsid w:val="00FB4EFB"/>
    <w:rsid w:val="00FB52E6"/>
    <w:rsid w:val="00FB547D"/>
    <w:rsid w:val="00FB5663"/>
    <w:rsid w:val="00FB5A03"/>
    <w:rsid w:val="00FB5AF3"/>
    <w:rsid w:val="00FB5ED0"/>
    <w:rsid w:val="00FB60C1"/>
    <w:rsid w:val="00FB60E7"/>
    <w:rsid w:val="00FB61FA"/>
    <w:rsid w:val="00FB632B"/>
    <w:rsid w:val="00FB6920"/>
    <w:rsid w:val="00FB6B18"/>
    <w:rsid w:val="00FB6DF2"/>
    <w:rsid w:val="00FB6EB3"/>
    <w:rsid w:val="00FB74B5"/>
    <w:rsid w:val="00FB7513"/>
    <w:rsid w:val="00FB754F"/>
    <w:rsid w:val="00FB76F1"/>
    <w:rsid w:val="00FB7784"/>
    <w:rsid w:val="00FB7877"/>
    <w:rsid w:val="00FB7966"/>
    <w:rsid w:val="00FB7A20"/>
    <w:rsid w:val="00FB7DA6"/>
    <w:rsid w:val="00FC03CE"/>
    <w:rsid w:val="00FC041A"/>
    <w:rsid w:val="00FC047B"/>
    <w:rsid w:val="00FC0595"/>
    <w:rsid w:val="00FC07FC"/>
    <w:rsid w:val="00FC0927"/>
    <w:rsid w:val="00FC0E9C"/>
    <w:rsid w:val="00FC0F00"/>
    <w:rsid w:val="00FC1078"/>
    <w:rsid w:val="00FC144D"/>
    <w:rsid w:val="00FC1653"/>
    <w:rsid w:val="00FC1752"/>
    <w:rsid w:val="00FC17C1"/>
    <w:rsid w:val="00FC1A19"/>
    <w:rsid w:val="00FC1B26"/>
    <w:rsid w:val="00FC1B73"/>
    <w:rsid w:val="00FC1D2B"/>
    <w:rsid w:val="00FC1D86"/>
    <w:rsid w:val="00FC21B0"/>
    <w:rsid w:val="00FC2255"/>
    <w:rsid w:val="00FC2258"/>
    <w:rsid w:val="00FC22C5"/>
    <w:rsid w:val="00FC2EC6"/>
    <w:rsid w:val="00FC2FD2"/>
    <w:rsid w:val="00FC3575"/>
    <w:rsid w:val="00FC3D6D"/>
    <w:rsid w:val="00FC4099"/>
    <w:rsid w:val="00FC45AF"/>
    <w:rsid w:val="00FC47A9"/>
    <w:rsid w:val="00FC4AB7"/>
    <w:rsid w:val="00FC4D0C"/>
    <w:rsid w:val="00FC50A9"/>
    <w:rsid w:val="00FC52FD"/>
    <w:rsid w:val="00FC5304"/>
    <w:rsid w:val="00FC5A25"/>
    <w:rsid w:val="00FC61EB"/>
    <w:rsid w:val="00FC63F5"/>
    <w:rsid w:val="00FC6C1C"/>
    <w:rsid w:val="00FC701A"/>
    <w:rsid w:val="00FC7325"/>
    <w:rsid w:val="00FC7598"/>
    <w:rsid w:val="00FC7791"/>
    <w:rsid w:val="00FC782D"/>
    <w:rsid w:val="00FD008A"/>
    <w:rsid w:val="00FD01FC"/>
    <w:rsid w:val="00FD0229"/>
    <w:rsid w:val="00FD0318"/>
    <w:rsid w:val="00FD0402"/>
    <w:rsid w:val="00FD04E8"/>
    <w:rsid w:val="00FD0650"/>
    <w:rsid w:val="00FD0683"/>
    <w:rsid w:val="00FD0D02"/>
    <w:rsid w:val="00FD0E34"/>
    <w:rsid w:val="00FD1105"/>
    <w:rsid w:val="00FD136E"/>
    <w:rsid w:val="00FD1441"/>
    <w:rsid w:val="00FD1715"/>
    <w:rsid w:val="00FD1844"/>
    <w:rsid w:val="00FD1858"/>
    <w:rsid w:val="00FD1875"/>
    <w:rsid w:val="00FD18CA"/>
    <w:rsid w:val="00FD1A16"/>
    <w:rsid w:val="00FD1A94"/>
    <w:rsid w:val="00FD1B00"/>
    <w:rsid w:val="00FD1B76"/>
    <w:rsid w:val="00FD1BED"/>
    <w:rsid w:val="00FD1C39"/>
    <w:rsid w:val="00FD1D1E"/>
    <w:rsid w:val="00FD2075"/>
    <w:rsid w:val="00FD2336"/>
    <w:rsid w:val="00FD2604"/>
    <w:rsid w:val="00FD285F"/>
    <w:rsid w:val="00FD3321"/>
    <w:rsid w:val="00FD3335"/>
    <w:rsid w:val="00FD33F0"/>
    <w:rsid w:val="00FD34DD"/>
    <w:rsid w:val="00FD3626"/>
    <w:rsid w:val="00FD3A41"/>
    <w:rsid w:val="00FD3C95"/>
    <w:rsid w:val="00FD3E49"/>
    <w:rsid w:val="00FD3EAC"/>
    <w:rsid w:val="00FD3F2E"/>
    <w:rsid w:val="00FD4014"/>
    <w:rsid w:val="00FD44A2"/>
    <w:rsid w:val="00FD452D"/>
    <w:rsid w:val="00FD4C97"/>
    <w:rsid w:val="00FD52E5"/>
    <w:rsid w:val="00FD5488"/>
    <w:rsid w:val="00FD54CE"/>
    <w:rsid w:val="00FD5B05"/>
    <w:rsid w:val="00FD5D51"/>
    <w:rsid w:val="00FD61FF"/>
    <w:rsid w:val="00FD65E1"/>
    <w:rsid w:val="00FD67B9"/>
    <w:rsid w:val="00FD67D2"/>
    <w:rsid w:val="00FD6BAF"/>
    <w:rsid w:val="00FD7153"/>
    <w:rsid w:val="00FD753E"/>
    <w:rsid w:val="00FD7545"/>
    <w:rsid w:val="00FD7D4E"/>
    <w:rsid w:val="00FE02BB"/>
    <w:rsid w:val="00FE0DB7"/>
    <w:rsid w:val="00FE0EFC"/>
    <w:rsid w:val="00FE0F98"/>
    <w:rsid w:val="00FE10BB"/>
    <w:rsid w:val="00FE10FE"/>
    <w:rsid w:val="00FE12D6"/>
    <w:rsid w:val="00FE130D"/>
    <w:rsid w:val="00FE1407"/>
    <w:rsid w:val="00FE1608"/>
    <w:rsid w:val="00FE17D7"/>
    <w:rsid w:val="00FE1983"/>
    <w:rsid w:val="00FE1A28"/>
    <w:rsid w:val="00FE1A8C"/>
    <w:rsid w:val="00FE1C5B"/>
    <w:rsid w:val="00FE1C63"/>
    <w:rsid w:val="00FE2566"/>
    <w:rsid w:val="00FE262E"/>
    <w:rsid w:val="00FE274E"/>
    <w:rsid w:val="00FE27FC"/>
    <w:rsid w:val="00FE2CE6"/>
    <w:rsid w:val="00FE3127"/>
    <w:rsid w:val="00FE315E"/>
    <w:rsid w:val="00FE31C9"/>
    <w:rsid w:val="00FE33A2"/>
    <w:rsid w:val="00FE3499"/>
    <w:rsid w:val="00FE355E"/>
    <w:rsid w:val="00FE35ED"/>
    <w:rsid w:val="00FE3696"/>
    <w:rsid w:val="00FE38AB"/>
    <w:rsid w:val="00FE38EC"/>
    <w:rsid w:val="00FE39F4"/>
    <w:rsid w:val="00FE3BDA"/>
    <w:rsid w:val="00FE4270"/>
    <w:rsid w:val="00FE4B8F"/>
    <w:rsid w:val="00FE4BC6"/>
    <w:rsid w:val="00FE4E20"/>
    <w:rsid w:val="00FE5353"/>
    <w:rsid w:val="00FE5640"/>
    <w:rsid w:val="00FE5791"/>
    <w:rsid w:val="00FE6024"/>
    <w:rsid w:val="00FE651F"/>
    <w:rsid w:val="00FE6DF9"/>
    <w:rsid w:val="00FE6E46"/>
    <w:rsid w:val="00FE74C0"/>
    <w:rsid w:val="00FE7544"/>
    <w:rsid w:val="00FE7727"/>
    <w:rsid w:val="00FE7882"/>
    <w:rsid w:val="00FE78F4"/>
    <w:rsid w:val="00FE7976"/>
    <w:rsid w:val="00FE7D47"/>
    <w:rsid w:val="00FE7FFB"/>
    <w:rsid w:val="00FF0236"/>
    <w:rsid w:val="00FF08E0"/>
    <w:rsid w:val="00FF0A16"/>
    <w:rsid w:val="00FF0D03"/>
    <w:rsid w:val="00FF0D1A"/>
    <w:rsid w:val="00FF12EF"/>
    <w:rsid w:val="00FF138A"/>
    <w:rsid w:val="00FF17A2"/>
    <w:rsid w:val="00FF19E1"/>
    <w:rsid w:val="00FF1D18"/>
    <w:rsid w:val="00FF1EBE"/>
    <w:rsid w:val="00FF2229"/>
    <w:rsid w:val="00FF2328"/>
    <w:rsid w:val="00FF287D"/>
    <w:rsid w:val="00FF29F4"/>
    <w:rsid w:val="00FF2D4B"/>
    <w:rsid w:val="00FF3215"/>
    <w:rsid w:val="00FF332E"/>
    <w:rsid w:val="00FF3383"/>
    <w:rsid w:val="00FF38C1"/>
    <w:rsid w:val="00FF394D"/>
    <w:rsid w:val="00FF3CD7"/>
    <w:rsid w:val="00FF3D12"/>
    <w:rsid w:val="00FF3DFB"/>
    <w:rsid w:val="00FF41BA"/>
    <w:rsid w:val="00FF4230"/>
    <w:rsid w:val="00FF42CE"/>
    <w:rsid w:val="00FF449B"/>
    <w:rsid w:val="00FF45CD"/>
    <w:rsid w:val="00FF48FE"/>
    <w:rsid w:val="00FF4A1D"/>
    <w:rsid w:val="00FF4FEA"/>
    <w:rsid w:val="00FF53E7"/>
    <w:rsid w:val="00FF55D7"/>
    <w:rsid w:val="00FF55E2"/>
    <w:rsid w:val="00FF5734"/>
    <w:rsid w:val="00FF5A47"/>
    <w:rsid w:val="00FF5E21"/>
    <w:rsid w:val="00FF5F08"/>
    <w:rsid w:val="00FF6001"/>
    <w:rsid w:val="00FF60FD"/>
    <w:rsid w:val="00FF6229"/>
    <w:rsid w:val="00FF6389"/>
    <w:rsid w:val="00FF6460"/>
    <w:rsid w:val="00FF6757"/>
    <w:rsid w:val="00FF6AE2"/>
    <w:rsid w:val="00FF6BE5"/>
    <w:rsid w:val="00FF6C7E"/>
    <w:rsid w:val="00FF72C7"/>
    <w:rsid w:val="00FF7682"/>
    <w:rsid w:val="00FF7AF0"/>
    <w:rsid w:val="00FF7E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5B2FC6B5"/>
  <w15:docId w15:val="{6CABF2BE-2210-48D6-8F27-C3C46A7D9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E2BA6"/>
    <w:rPr>
      <w:sz w:val="24"/>
      <w:szCs w:val="24"/>
    </w:rPr>
  </w:style>
  <w:style w:type="paragraph" w:styleId="Heading1">
    <w:name w:val="heading 1"/>
    <w:basedOn w:val="BodyText"/>
    <w:next w:val="BodyText"/>
    <w:rsid w:val="00AE2BA6"/>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E2BA6"/>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E2BA6"/>
    <w:pPr>
      <w:spacing w:before="560" w:line="320" w:lineRule="exact"/>
      <w:ind w:left="0" w:firstLine="0"/>
      <w:outlineLvl w:val="2"/>
    </w:pPr>
    <w:rPr>
      <w:sz w:val="26"/>
    </w:rPr>
  </w:style>
  <w:style w:type="paragraph" w:styleId="Heading4">
    <w:name w:val="heading 4"/>
    <w:basedOn w:val="Heading3"/>
    <w:next w:val="BodyText"/>
    <w:link w:val="Heading4Char"/>
    <w:qFormat/>
    <w:rsid w:val="00AE2BA6"/>
    <w:pPr>
      <w:spacing w:before="480"/>
      <w:outlineLvl w:val="3"/>
    </w:pPr>
    <w:rPr>
      <w:b w:val="0"/>
      <w:sz w:val="24"/>
    </w:rPr>
  </w:style>
  <w:style w:type="paragraph" w:styleId="Heading5">
    <w:name w:val="heading 5"/>
    <w:basedOn w:val="Heading4"/>
    <w:next w:val="BodyText"/>
    <w:link w:val="Heading5Char"/>
    <w:qFormat/>
    <w:rsid w:val="00AE2BA6"/>
    <w:pPr>
      <w:outlineLvl w:val="4"/>
    </w:pPr>
    <w:rPr>
      <w:i/>
      <w:sz w:val="22"/>
    </w:rPr>
  </w:style>
  <w:style w:type="paragraph" w:styleId="Heading6">
    <w:name w:val="heading 6"/>
    <w:basedOn w:val="BodyText"/>
    <w:next w:val="BodyText"/>
    <w:rsid w:val="00AE2BA6"/>
    <w:pPr>
      <w:spacing w:after="60"/>
      <w:jc w:val="left"/>
      <w:outlineLvl w:val="5"/>
    </w:pPr>
    <w:rPr>
      <w:i/>
      <w:sz w:val="22"/>
    </w:rPr>
  </w:style>
  <w:style w:type="paragraph" w:styleId="Heading7">
    <w:name w:val="heading 7"/>
    <w:basedOn w:val="BodyText"/>
    <w:next w:val="BodyText"/>
    <w:rsid w:val="00AE2BA6"/>
    <w:pPr>
      <w:spacing w:after="60" w:line="240" w:lineRule="auto"/>
      <w:jc w:val="left"/>
      <w:outlineLvl w:val="6"/>
    </w:pPr>
    <w:rPr>
      <w:rFonts w:ascii="Arial" w:hAnsi="Arial"/>
      <w:sz w:val="20"/>
    </w:rPr>
  </w:style>
  <w:style w:type="paragraph" w:styleId="Heading8">
    <w:name w:val="heading 8"/>
    <w:basedOn w:val="BodyText"/>
    <w:next w:val="BodyText"/>
    <w:rsid w:val="00AE2BA6"/>
    <w:pPr>
      <w:spacing w:after="60" w:line="240" w:lineRule="auto"/>
      <w:jc w:val="left"/>
      <w:outlineLvl w:val="7"/>
    </w:pPr>
    <w:rPr>
      <w:rFonts w:ascii="Arial" w:hAnsi="Arial"/>
      <w:i/>
      <w:sz w:val="20"/>
    </w:rPr>
  </w:style>
  <w:style w:type="paragraph" w:styleId="Heading9">
    <w:name w:val="heading 9"/>
    <w:basedOn w:val="BodyText"/>
    <w:next w:val="BodyText"/>
    <w:rsid w:val="00AE2BA6"/>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AE2BA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E2BA6"/>
  </w:style>
  <w:style w:type="paragraph" w:styleId="BodyText">
    <w:name w:val="Body Text"/>
    <w:link w:val="BodyTextChar"/>
    <w:qFormat/>
    <w:rsid w:val="00AE2BA6"/>
    <w:pPr>
      <w:spacing w:before="240" w:line="300" w:lineRule="atLeast"/>
      <w:jc w:val="both"/>
    </w:pPr>
    <w:rPr>
      <w:sz w:val="24"/>
    </w:rPr>
  </w:style>
  <w:style w:type="paragraph" w:customStyle="1" w:styleId="Chapter">
    <w:name w:val="Chapter"/>
    <w:basedOn w:val="Heading1"/>
    <w:next w:val="BodyText"/>
    <w:semiHidden/>
    <w:rsid w:val="00AE2BA6"/>
    <w:pPr>
      <w:ind w:left="0" w:firstLine="0"/>
      <w:outlineLvl w:val="9"/>
    </w:pPr>
  </w:style>
  <w:style w:type="paragraph" w:customStyle="1" w:styleId="SequenceInfo">
    <w:name w:val="Sequence Info"/>
    <w:basedOn w:val="BodyText"/>
    <w:semiHidden/>
    <w:rsid w:val="00AE2BA6"/>
    <w:rPr>
      <w:vanish/>
      <w:sz w:val="16"/>
    </w:rPr>
  </w:style>
  <w:style w:type="character" w:styleId="CommentReference">
    <w:name w:val="annotation reference"/>
    <w:basedOn w:val="DefaultParagraphFont"/>
    <w:semiHidden/>
    <w:rsid w:val="00AE2BA6"/>
    <w:rPr>
      <w:b/>
      <w:vanish/>
      <w:color w:val="FF00FF"/>
      <w:sz w:val="20"/>
    </w:rPr>
  </w:style>
  <w:style w:type="paragraph" w:styleId="CommentText">
    <w:name w:val="annotation text"/>
    <w:basedOn w:val="Normal"/>
    <w:link w:val="CommentTextChar"/>
    <w:semiHidden/>
    <w:rsid w:val="00AE2BA6"/>
    <w:pPr>
      <w:spacing w:before="120" w:line="240" w:lineRule="atLeast"/>
      <w:ind w:left="567" w:hanging="567"/>
    </w:pPr>
    <w:rPr>
      <w:sz w:val="20"/>
    </w:rPr>
  </w:style>
  <w:style w:type="paragraph" w:customStyle="1" w:styleId="Abbreviation">
    <w:name w:val="Abbreviation"/>
    <w:basedOn w:val="BodyText"/>
    <w:rsid w:val="00AE2BA6"/>
    <w:pPr>
      <w:spacing w:before="120"/>
      <w:ind w:left="2381" w:hanging="2381"/>
      <w:jc w:val="left"/>
    </w:pPr>
  </w:style>
  <w:style w:type="paragraph" w:customStyle="1" w:styleId="Box">
    <w:name w:val="Box"/>
    <w:basedOn w:val="BodyText"/>
    <w:link w:val="BoxChar"/>
    <w:qFormat/>
    <w:rsid w:val="00AE2BA6"/>
    <w:pPr>
      <w:keepNext/>
      <w:spacing w:before="120" w:line="260" w:lineRule="atLeast"/>
    </w:pPr>
    <w:rPr>
      <w:rFonts w:ascii="Arial" w:hAnsi="Arial"/>
      <w:sz w:val="20"/>
    </w:rPr>
  </w:style>
  <w:style w:type="paragraph" w:customStyle="1" w:styleId="QuoteBullet">
    <w:name w:val="Quote Bullet"/>
    <w:basedOn w:val="Quote"/>
    <w:rsid w:val="00AE2BA6"/>
    <w:pPr>
      <w:numPr>
        <w:numId w:val="11"/>
      </w:numPr>
    </w:pPr>
  </w:style>
  <w:style w:type="paragraph" w:styleId="Quote">
    <w:name w:val="Quote"/>
    <w:basedOn w:val="BodyText"/>
    <w:next w:val="BodyText"/>
    <w:qFormat/>
    <w:rsid w:val="00AE2BA6"/>
    <w:pPr>
      <w:spacing w:before="120" w:line="280" w:lineRule="exact"/>
      <w:ind w:left="340"/>
    </w:pPr>
    <w:rPr>
      <w:sz w:val="22"/>
    </w:rPr>
  </w:style>
  <w:style w:type="paragraph" w:customStyle="1" w:styleId="BoxListBullet">
    <w:name w:val="Box List Bullet"/>
    <w:basedOn w:val="BodyText"/>
    <w:link w:val="BoxListBulletChar"/>
    <w:rsid w:val="00AE2BA6"/>
    <w:pPr>
      <w:keepNext/>
      <w:numPr>
        <w:numId w:val="6"/>
      </w:numPr>
      <w:spacing w:before="100" w:line="260" w:lineRule="atLeast"/>
    </w:pPr>
    <w:rPr>
      <w:rFonts w:ascii="Arial" w:hAnsi="Arial"/>
      <w:sz w:val="20"/>
    </w:rPr>
  </w:style>
  <w:style w:type="paragraph" w:customStyle="1" w:styleId="BoxListBullet2">
    <w:name w:val="Box List Bullet 2"/>
    <w:basedOn w:val="BoxListBullet"/>
    <w:rsid w:val="00AE2BA6"/>
    <w:pPr>
      <w:numPr>
        <w:numId w:val="3"/>
      </w:numPr>
      <w:ind w:left="568" w:hanging="284"/>
    </w:pPr>
  </w:style>
  <w:style w:type="paragraph" w:customStyle="1" w:styleId="BoxListNumber">
    <w:name w:val="Box List Number"/>
    <w:basedOn w:val="BodyText"/>
    <w:rsid w:val="00AE2BA6"/>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AE2BA6"/>
    <w:pPr>
      <w:numPr>
        <w:ilvl w:val="1"/>
      </w:numPr>
      <w:ind w:left="681" w:hanging="397"/>
    </w:pPr>
  </w:style>
  <w:style w:type="paragraph" w:customStyle="1" w:styleId="BoxQuote">
    <w:name w:val="Box Quote"/>
    <w:basedOn w:val="BodyText"/>
    <w:next w:val="Box"/>
    <w:qFormat/>
    <w:rsid w:val="00AE2BA6"/>
    <w:pPr>
      <w:keepNext/>
      <w:spacing w:before="60" w:line="240" w:lineRule="exact"/>
      <w:ind w:left="284"/>
    </w:pPr>
    <w:rPr>
      <w:rFonts w:ascii="Arial" w:hAnsi="Arial"/>
      <w:sz w:val="18"/>
    </w:rPr>
  </w:style>
  <w:style w:type="paragraph" w:customStyle="1" w:styleId="BoxSource">
    <w:name w:val="Box Source"/>
    <w:basedOn w:val="Source"/>
    <w:next w:val="BodyText"/>
    <w:rsid w:val="00AE2BA6"/>
    <w:pPr>
      <w:spacing w:before="120"/>
    </w:pPr>
  </w:style>
  <w:style w:type="paragraph" w:customStyle="1" w:styleId="Source">
    <w:name w:val="Source"/>
    <w:basedOn w:val="Normal"/>
    <w:next w:val="BodyText"/>
    <w:rsid w:val="00AE2BA6"/>
    <w:pPr>
      <w:keepLines/>
      <w:spacing w:before="80" w:line="220" w:lineRule="exact"/>
      <w:jc w:val="both"/>
    </w:pPr>
    <w:rPr>
      <w:rFonts w:ascii="Arial" w:hAnsi="Arial"/>
      <w:sz w:val="18"/>
      <w:szCs w:val="20"/>
    </w:rPr>
  </w:style>
  <w:style w:type="paragraph" w:customStyle="1" w:styleId="Note">
    <w:name w:val="Note"/>
    <w:basedOn w:val="BodyText"/>
    <w:next w:val="BodyText"/>
    <w:link w:val="NoteChar"/>
    <w:rsid w:val="00AE2BA6"/>
    <w:pPr>
      <w:keepLines/>
      <w:spacing w:before="80" w:line="220" w:lineRule="exact"/>
    </w:pPr>
    <w:rPr>
      <w:rFonts w:ascii="Arial" w:hAnsi="Arial"/>
      <w:sz w:val="18"/>
    </w:rPr>
  </w:style>
  <w:style w:type="paragraph" w:customStyle="1" w:styleId="BoxSpace">
    <w:name w:val="Box Space"/>
    <w:basedOn w:val="BodyText"/>
    <w:rsid w:val="009D31F8"/>
    <w:pPr>
      <w:keepNext/>
      <w:spacing w:before="360" w:line="80" w:lineRule="exact"/>
      <w:jc w:val="left"/>
    </w:pPr>
  </w:style>
  <w:style w:type="paragraph" w:customStyle="1" w:styleId="BoxSubtitle">
    <w:name w:val="Box Subtitle"/>
    <w:basedOn w:val="BoxTitle"/>
    <w:next w:val="Normal"/>
    <w:rsid w:val="00AE2BA6"/>
    <w:pPr>
      <w:spacing w:after="80" w:line="200" w:lineRule="exact"/>
      <w:ind w:firstLine="0"/>
    </w:pPr>
    <w:rPr>
      <w:b w:val="0"/>
      <w:sz w:val="20"/>
    </w:rPr>
  </w:style>
  <w:style w:type="paragraph" w:customStyle="1" w:styleId="BoxTitle">
    <w:name w:val="Box Title"/>
    <w:basedOn w:val="Caption"/>
    <w:next w:val="BoxSubtitle"/>
    <w:rsid w:val="00AE2BA6"/>
    <w:pPr>
      <w:spacing w:before="120" w:after="0"/>
    </w:pPr>
  </w:style>
  <w:style w:type="paragraph" w:styleId="Caption">
    <w:name w:val="caption"/>
    <w:basedOn w:val="Normal"/>
    <w:next w:val="BodyText"/>
    <w:rsid w:val="00AE2BA6"/>
    <w:pPr>
      <w:keepNext/>
      <w:keepLines/>
      <w:spacing w:before="360" w:after="80" w:line="280" w:lineRule="exact"/>
      <w:ind w:left="1474" w:hanging="1474"/>
    </w:pPr>
    <w:rPr>
      <w:rFonts w:ascii="Arial" w:hAnsi="Arial"/>
      <w:b/>
    </w:rPr>
  </w:style>
  <w:style w:type="paragraph" w:customStyle="1" w:styleId="ChapterSummary">
    <w:name w:val="Chapter Summary"/>
    <w:basedOn w:val="BodyText"/>
    <w:rsid w:val="00AE2BA6"/>
    <w:pPr>
      <w:spacing w:line="280" w:lineRule="atLeast"/>
      <w:ind w:left="907"/>
    </w:pPr>
    <w:rPr>
      <w:rFonts w:ascii="Arial" w:hAnsi="Arial"/>
      <w:b/>
      <w:sz w:val="20"/>
    </w:rPr>
  </w:style>
  <w:style w:type="character" w:customStyle="1" w:styleId="DocumentInfo">
    <w:name w:val="Document Info"/>
    <w:basedOn w:val="DefaultParagraphFont"/>
    <w:semiHidden/>
    <w:rsid w:val="00AE2BA6"/>
    <w:rPr>
      <w:rFonts w:ascii="Arial" w:hAnsi="Arial"/>
      <w:sz w:val="14"/>
    </w:rPr>
  </w:style>
  <w:style w:type="paragraph" w:styleId="Footer">
    <w:name w:val="footer"/>
    <w:basedOn w:val="BodyText"/>
    <w:link w:val="FooterChar"/>
    <w:rsid w:val="00AE2BA6"/>
    <w:pPr>
      <w:spacing w:before="80" w:line="200" w:lineRule="exact"/>
      <w:ind w:right="6"/>
      <w:jc w:val="left"/>
    </w:pPr>
    <w:rPr>
      <w:rFonts w:ascii="Arial" w:hAnsi="Arial"/>
      <w:caps/>
      <w:spacing w:val="-4"/>
      <w:sz w:val="16"/>
    </w:rPr>
  </w:style>
  <w:style w:type="character" w:customStyle="1" w:styleId="DraftingNote">
    <w:name w:val="Drafting Note"/>
    <w:basedOn w:val="DefaultParagraphFont"/>
    <w:rsid w:val="00AE2BA6"/>
    <w:rPr>
      <w:b/>
      <w:color w:val="FF0000"/>
      <w:sz w:val="24"/>
      <w:u w:val="dotted"/>
    </w:rPr>
  </w:style>
  <w:style w:type="table" w:styleId="TableGrid">
    <w:name w:val="Table Grid"/>
    <w:basedOn w:val="TableNormal"/>
    <w:rsid w:val="00AE2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BodyText"/>
    <w:rsid w:val="00AE2BA6"/>
    <w:pPr>
      <w:keepNext/>
      <w:spacing w:before="120" w:after="120" w:line="240" w:lineRule="atLeast"/>
      <w:jc w:val="center"/>
    </w:pPr>
  </w:style>
  <w:style w:type="paragraph" w:customStyle="1" w:styleId="FigureTitle">
    <w:name w:val="Figure Title"/>
    <w:basedOn w:val="Caption"/>
    <w:next w:val="Subtitle"/>
    <w:rsid w:val="00AE2BA6"/>
    <w:pPr>
      <w:spacing w:before="120"/>
    </w:pPr>
  </w:style>
  <w:style w:type="paragraph" w:styleId="Subtitle">
    <w:name w:val="Subtitle"/>
    <w:basedOn w:val="Caption"/>
    <w:link w:val="SubtitleChar"/>
    <w:qFormat/>
    <w:rsid w:val="00AE2BA6"/>
    <w:pPr>
      <w:spacing w:before="0" w:line="200" w:lineRule="exact"/>
      <w:ind w:firstLine="0"/>
    </w:pPr>
    <w:rPr>
      <w:b w:val="0"/>
      <w:sz w:val="20"/>
    </w:rPr>
  </w:style>
  <w:style w:type="paragraph" w:customStyle="1" w:styleId="Finding">
    <w:name w:val="Finding"/>
    <w:basedOn w:val="BodyText"/>
    <w:rsid w:val="00AE2BA6"/>
    <w:pPr>
      <w:keepLines/>
      <w:spacing w:before="120" w:line="280" w:lineRule="atLeast"/>
    </w:pPr>
    <w:rPr>
      <w:rFonts w:ascii="Arial" w:hAnsi="Arial"/>
      <w:sz w:val="22"/>
    </w:rPr>
  </w:style>
  <w:style w:type="paragraph" w:customStyle="1" w:styleId="FindingBullet">
    <w:name w:val="Finding Bullet"/>
    <w:basedOn w:val="Finding"/>
    <w:rsid w:val="00AE2BA6"/>
    <w:pPr>
      <w:numPr>
        <w:numId w:val="7"/>
      </w:numPr>
      <w:spacing w:before="80"/>
    </w:pPr>
  </w:style>
  <w:style w:type="paragraph" w:customStyle="1" w:styleId="FindingNoTitle">
    <w:name w:val="Finding NoTitle"/>
    <w:basedOn w:val="Finding"/>
    <w:rsid w:val="00AE2BA6"/>
    <w:pPr>
      <w:spacing w:before="240"/>
    </w:pPr>
  </w:style>
  <w:style w:type="paragraph" w:customStyle="1" w:styleId="FindingTitle">
    <w:name w:val="Finding Title"/>
    <w:basedOn w:val="RecTitle"/>
    <w:next w:val="Finding"/>
    <w:rsid w:val="00AE2BA6"/>
  </w:style>
  <w:style w:type="paragraph" w:customStyle="1" w:styleId="RecTitle">
    <w:name w:val="Rec Title"/>
    <w:basedOn w:val="BodyText"/>
    <w:next w:val="Rec"/>
    <w:qFormat/>
    <w:rsid w:val="00AE2BA6"/>
    <w:pPr>
      <w:keepNext/>
      <w:keepLines/>
      <w:spacing w:line="280" w:lineRule="atLeast"/>
    </w:pPr>
    <w:rPr>
      <w:rFonts w:ascii="Arial" w:hAnsi="Arial"/>
      <w:caps/>
      <w:sz w:val="18"/>
    </w:rPr>
  </w:style>
  <w:style w:type="paragraph" w:customStyle="1" w:styleId="FooterEnd">
    <w:name w:val="Footer End"/>
    <w:basedOn w:val="Footer"/>
    <w:rsid w:val="00AE2BA6"/>
    <w:pPr>
      <w:spacing w:before="0" w:line="20" w:lineRule="exact"/>
    </w:pPr>
  </w:style>
  <w:style w:type="character" w:styleId="FootnoteReference">
    <w:name w:val="footnote reference"/>
    <w:basedOn w:val="DefaultParagraphFont"/>
    <w:semiHidden/>
    <w:rsid w:val="00AE2BA6"/>
    <w:rPr>
      <w:rFonts w:ascii="Times New Roman" w:hAnsi="Times New Roman"/>
      <w:position w:val="6"/>
      <w:sz w:val="20"/>
      <w:vertAlign w:val="baseline"/>
    </w:rPr>
  </w:style>
  <w:style w:type="paragraph" w:styleId="FootnoteText">
    <w:name w:val="footnote text"/>
    <w:basedOn w:val="BodyText"/>
    <w:rsid w:val="00AE2BA6"/>
    <w:pPr>
      <w:tabs>
        <w:tab w:val="left" w:pos="284"/>
      </w:tabs>
      <w:spacing w:before="80" w:line="240" w:lineRule="exact"/>
      <w:ind w:left="284" w:hanging="284"/>
    </w:pPr>
    <w:rPr>
      <w:sz w:val="20"/>
    </w:rPr>
  </w:style>
  <w:style w:type="paragraph" w:styleId="Header">
    <w:name w:val="header"/>
    <w:basedOn w:val="BodyText"/>
    <w:rsid w:val="00AE2BA6"/>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AE2BA6"/>
    <w:pPr>
      <w:spacing w:line="20" w:lineRule="exact"/>
    </w:pPr>
    <w:rPr>
      <w:sz w:val="16"/>
    </w:rPr>
  </w:style>
  <w:style w:type="paragraph" w:customStyle="1" w:styleId="HeaderEven">
    <w:name w:val="Header Even"/>
    <w:basedOn w:val="Header"/>
    <w:rsid w:val="00AE2BA6"/>
  </w:style>
  <w:style w:type="paragraph" w:customStyle="1" w:styleId="HeaderOdd">
    <w:name w:val="Header Odd"/>
    <w:basedOn w:val="Header"/>
    <w:rsid w:val="00AE2BA6"/>
  </w:style>
  <w:style w:type="paragraph" w:customStyle="1" w:styleId="InformationRequest">
    <w:name w:val="Information Request"/>
    <w:basedOn w:val="Finding"/>
    <w:next w:val="BodyText"/>
    <w:rsid w:val="00AE2BA6"/>
    <w:rPr>
      <w:i/>
    </w:rPr>
  </w:style>
  <w:style w:type="paragraph" w:styleId="ListBullet">
    <w:name w:val="List Bullet"/>
    <w:basedOn w:val="BodyText"/>
    <w:rsid w:val="00AE2BA6"/>
    <w:pPr>
      <w:numPr>
        <w:numId w:val="5"/>
      </w:numPr>
      <w:spacing w:before="120"/>
    </w:pPr>
  </w:style>
  <w:style w:type="paragraph" w:styleId="ListBullet2">
    <w:name w:val="List Bullet 2"/>
    <w:basedOn w:val="BodyText"/>
    <w:rsid w:val="00AE2BA6"/>
    <w:pPr>
      <w:numPr>
        <w:numId w:val="2"/>
      </w:numPr>
      <w:spacing w:before="120"/>
    </w:pPr>
  </w:style>
  <w:style w:type="paragraph" w:styleId="ListBullet3">
    <w:name w:val="List Bullet 3"/>
    <w:basedOn w:val="BodyText"/>
    <w:rsid w:val="00AE2BA6"/>
    <w:pPr>
      <w:numPr>
        <w:numId w:val="1"/>
      </w:numPr>
      <w:spacing w:before="120"/>
      <w:ind w:left="1020" w:hanging="340"/>
    </w:pPr>
  </w:style>
  <w:style w:type="paragraph" w:styleId="ListNumber">
    <w:name w:val="List Number"/>
    <w:basedOn w:val="BodyText"/>
    <w:rsid w:val="00AE2BA6"/>
    <w:pPr>
      <w:numPr>
        <w:numId w:val="13"/>
      </w:numPr>
      <w:spacing w:before="120"/>
    </w:pPr>
  </w:style>
  <w:style w:type="paragraph" w:styleId="ListNumber2">
    <w:name w:val="List Number 2"/>
    <w:basedOn w:val="ListNumber"/>
    <w:rsid w:val="00AE2BA6"/>
    <w:pPr>
      <w:numPr>
        <w:ilvl w:val="1"/>
      </w:numPr>
    </w:pPr>
  </w:style>
  <w:style w:type="paragraph" w:styleId="ListNumber3">
    <w:name w:val="List Number 3"/>
    <w:basedOn w:val="ListNumber2"/>
    <w:rsid w:val="00AE2BA6"/>
    <w:pPr>
      <w:numPr>
        <w:ilvl w:val="2"/>
      </w:numPr>
    </w:pPr>
  </w:style>
  <w:style w:type="character" w:customStyle="1" w:styleId="NoteLabel">
    <w:name w:val="Note Label"/>
    <w:basedOn w:val="DefaultParagraphFont"/>
    <w:rsid w:val="00AE2BA6"/>
    <w:rPr>
      <w:rFonts w:ascii="Arial" w:hAnsi="Arial"/>
      <w:b/>
      <w:position w:val="6"/>
      <w:sz w:val="18"/>
    </w:rPr>
  </w:style>
  <w:style w:type="character" w:styleId="PageNumber">
    <w:name w:val="page number"/>
    <w:basedOn w:val="DefaultParagraphFont"/>
    <w:rsid w:val="00AE2BA6"/>
    <w:rPr>
      <w:rFonts w:ascii="Arial" w:hAnsi="Arial"/>
      <w:b/>
      <w:sz w:val="16"/>
    </w:rPr>
  </w:style>
  <w:style w:type="paragraph" w:customStyle="1" w:styleId="PartDivider">
    <w:name w:val="Part Divider"/>
    <w:basedOn w:val="BodyText"/>
    <w:next w:val="BodyText"/>
    <w:semiHidden/>
    <w:rsid w:val="00AE2BA6"/>
    <w:pPr>
      <w:spacing w:before="0" w:line="40" w:lineRule="exact"/>
      <w:jc w:val="right"/>
    </w:pPr>
    <w:rPr>
      <w:smallCaps/>
      <w:sz w:val="16"/>
    </w:rPr>
  </w:style>
  <w:style w:type="paragraph" w:customStyle="1" w:styleId="PartNumber">
    <w:name w:val="Part Number"/>
    <w:basedOn w:val="BodyText"/>
    <w:next w:val="BodyText"/>
    <w:semiHidden/>
    <w:rsid w:val="00AE2BA6"/>
    <w:pPr>
      <w:spacing w:before="4000" w:line="320" w:lineRule="exact"/>
      <w:ind w:left="6634"/>
      <w:jc w:val="right"/>
    </w:pPr>
    <w:rPr>
      <w:smallCaps/>
      <w:spacing w:val="60"/>
      <w:sz w:val="32"/>
    </w:rPr>
  </w:style>
  <w:style w:type="paragraph" w:customStyle="1" w:styleId="PartTitle">
    <w:name w:val="Part Title"/>
    <w:basedOn w:val="BodyText"/>
    <w:semiHidden/>
    <w:rsid w:val="00AE2BA6"/>
    <w:pPr>
      <w:spacing w:before="160" w:after="1360" w:line="520" w:lineRule="exact"/>
      <w:ind w:right="2381"/>
      <w:jc w:val="right"/>
    </w:pPr>
    <w:rPr>
      <w:smallCaps/>
      <w:sz w:val="52"/>
    </w:rPr>
  </w:style>
  <w:style w:type="paragraph" w:customStyle="1" w:styleId="Rec">
    <w:name w:val="Rec"/>
    <w:basedOn w:val="BodyText"/>
    <w:qFormat/>
    <w:rsid w:val="00AE2BA6"/>
    <w:pPr>
      <w:keepLines/>
      <w:spacing w:before="120" w:line="280" w:lineRule="atLeast"/>
    </w:pPr>
    <w:rPr>
      <w:rFonts w:ascii="Arial" w:hAnsi="Arial"/>
      <w:sz w:val="22"/>
    </w:rPr>
  </w:style>
  <w:style w:type="paragraph" w:customStyle="1" w:styleId="RecBullet">
    <w:name w:val="Rec Bullet"/>
    <w:basedOn w:val="Rec"/>
    <w:rsid w:val="00AE2BA6"/>
    <w:pPr>
      <w:numPr>
        <w:numId w:val="8"/>
      </w:numPr>
      <w:spacing w:before="80"/>
    </w:pPr>
  </w:style>
  <w:style w:type="paragraph" w:customStyle="1" w:styleId="RecB">
    <w:name w:val="RecB"/>
    <w:basedOn w:val="Normal"/>
    <w:rsid w:val="00AE2BA6"/>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AE2BA6"/>
    <w:pPr>
      <w:numPr>
        <w:numId w:val="9"/>
      </w:numPr>
      <w:spacing w:before="80"/>
    </w:pPr>
  </w:style>
  <w:style w:type="paragraph" w:customStyle="1" w:styleId="RecBNoTitle">
    <w:name w:val="RecB NoTitle"/>
    <w:basedOn w:val="RecB"/>
    <w:rsid w:val="00AE2BA6"/>
    <w:pPr>
      <w:spacing w:before="240"/>
    </w:pPr>
  </w:style>
  <w:style w:type="paragraph" w:customStyle="1" w:styleId="Reference">
    <w:name w:val="Reference"/>
    <w:basedOn w:val="BodyText"/>
    <w:rsid w:val="00AE2BA6"/>
    <w:pPr>
      <w:spacing w:before="120"/>
      <w:ind w:left="340" w:hanging="340"/>
    </w:pPr>
  </w:style>
  <w:style w:type="paragraph" w:customStyle="1" w:styleId="SideNote">
    <w:name w:val="Side Note"/>
    <w:basedOn w:val="BodyText"/>
    <w:next w:val="BodyText"/>
    <w:semiHidden/>
    <w:rsid w:val="00AE2BA6"/>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E2BA6"/>
    <w:pPr>
      <w:framePr w:wrap="around"/>
      <w:numPr>
        <w:numId w:val="4"/>
      </w:numPr>
      <w:tabs>
        <w:tab w:val="left" w:pos="227"/>
      </w:tabs>
    </w:pPr>
  </w:style>
  <w:style w:type="paragraph" w:customStyle="1" w:styleId="SideNoteGraphic">
    <w:name w:val="Side Note Graphic"/>
    <w:basedOn w:val="SideNote"/>
    <w:next w:val="BodyText"/>
    <w:semiHidden/>
    <w:rsid w:val="00AE2BA6"/>
    <w:pPr>
      <w:framePr w:wrap="around"/>
    </w:pPr>
  </w:style>
  <w:style w:type="paragraph" w:customStyle="1" w:styleId="TableBodyText">
    <w:name w:val="Table Body Text"/>
    <w:basedOn w:val="BodyText"/>
    <w:link w:val="TableBodyTextChar"/>
    <w:rsid w:val="00AE2BA6"/>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AE2BA6"/>
    <w:pPr>
      <w:numPr>
        <w:numId w:val="10"/>
      </w:numPr>
      <w:jc w:val="left"/>
    </w:pPr>
  </w:style>
  <w:style w:type="paragraph" w:customStyle="1" w:styleId="TableColumnHeading">
    <w:name w:val="Table Column Heading"/>
    <w:basedOn w:val="TableBodyText"/>
    <w:rsid w:val="00AE2BA6"/>
    <w:pPr>
      <w:spacing w:before="80" w:after="80"/>
    </w:pPr>
    <w:rPr>
      <w:i/>
    </w:rPr>
  </w:style>
  <w:style w:type="paragraph" w:styleId="TableofFigures">
    <w:name w:val="table of figures"/>
    <w:basedOn w:val="TOC3"/>
    <w:next w:val="BodyText"/>
    <w:semiHidden/>
    <w:rsid w:val="00AE2BA6"/>
    <w:pPr>
      <w:ind w:left="737" w:hanging="737"/>
    </w:pPr>
  </w:style>
  <w:style w:type="paragraph" w:styleId="TOC3">
    <w:name w:val="toc 3"/>
    <w:basedOn w:val="TOC2"/>
    <w:rsid w:val="00AE2BA6"/>
    <w:pPr>
      <w:spacing w:before="60"/>
      <w:ind w:left="1190" w:hanging="680"/>
    </w:pPr>
  </w:style>
  <w:style w:type="paragraph" w:styleId="TOC2">
    <w:name w:val="toc 2"/>
    <w:basedOn w:val="TOC1"/>
    <w:rsid w:val="00AE2BA6"/>
    <w:pPr>
      <w:ind w:left="1134" w:hanging="624"/>
    </w:pPr>
    <w:rPr>
      <w:b w:val="0"/>
    </w:rPr>
  </w:style>
  <w:style w:type="paragraph" w:customStyle="1" w:styleId="TableTitle">
    <w:name w:val="Table Title"/>
    <w:basedOn w:val="Caption"/>
    <w:next w:val="Subtitle"/>
    <w:qFormat/>
    <w:rsid w:val="00AE2BA6"/>
    <w:pPr>
      <w:spacing w:before="120"/>
    </w:pPr>
  </w:style>
  <w:style w:type="paragraph" w:customStyle="1" w:styleId="TableUnitsRow">
    <w:name w:val="Table Units Row"/>
    <w:basedOn w:val="TableBodyText"/>
    <w:rsid w:val="00AE2BA6"/>
    <w:pPr>
      <w:spacing w:before="40"/>
    </w:pPr>
  </w:style>
  <w:style w:type="paragraph" w:styleId="TOC1">
    <w:name w:val="toc 1"/>
    <w:basedOn w:val="Normal"/>
    <w:next w:val="TOC2"/>
    <w:link w:val="TOC1Char"/>
    <w:rsid w:val="00AE2BA6"/>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E2BA6"/>
    <w:pPr>
      <w:ind w:left="1191" w:firstLine="0"/>
    </w:pPr>
  </w:style>
  <w:style w:type="paragraph" w:customStyle="1" w:styleId="BoxContinued">
    <w:name w:val="Box Continued"/>
    <w:basedOn w:val="BodyText"/>
    <w:next w:val="BodyText"/>
    <w:semiHidden/>
    <w:rsid w:val="00AE2BA6"/>
    <w:pPr>
      <w:spacing w:before="180" w:line="220" w:lineRule="exact"/>
      <w:jc w:val="right"/>
    </w:pPr>
    <w:rPr>
      <w:rFonts w:ascii="Arial" w:hAnsi="Arial"/>
      <w:sz w:val="18"/>
    </w:rPr>
  </w:style>
  <w:style w:type="paragraph" w:customStyle="1" w:styleId="Continued">
    <w:name w:val="Continued"/>
    <w:basedOn w:val="BoxContinued"/>
    <w:next w:val="BodyText"/>
    <w:rsid w:val="00AE2BA6"/>
  </w:style>
  <w:style w:type="paragraph" w:customStyle="1" w:styleId="BoxHeading1">
    <w:name w:val="Box Heading 1"/>
    <w:basedOn w:val="BodyText"/>
    <w:next w:val="Box"/>
    <w:rsid w:val="00AE2BA6"/>
    <w:pPr>
      <w:keepNext/>
      <w:spacing w:before="200" w:line="280" w:lineRule="atLeast"/>
    </w:pPr>
    <w:rPr>
      <w:rFonts w:ascii="Arial" w:hAnsi="Arial"/>
      <w:b/>
      <w:sz w:val="22"/>
    </w:rPr>
  </w:style>
  <w:style w:type="paragraph" w:customStyle="1" w:styleId="BoxHeading2">
    <w:name w:val="Box Heading 2"/>
    <w:basedOn w:val="BoxHeading1"/>
    <w:next w:val="Normal"/>
    <w:rsid w:val="00AE2BA6"/>
    <w:rPr>
      <w:b w:val="0"/>
      <w:i/>
    </w:rPr>
  </w:style>
  <w:style w:type="paragraph" w:customStyle="1" w:styleId="Jurisdictioncommentsbodytext">
    <w:name w:val="Jurisdiction comments body text"/>
    <w:rsid w:val="00AE2BA6"/>
    <w:pPr>
      <w:spacing w:after="140"/>
      <w:jc w:val="both"/>
    </w:pPr>
    <w:rPr>
      <w:rFonts w:ascii="Arial" w:hAnsi="Arial"/>
      <w:sz w:val="24"/>
      <w:lang w:eastAsia="en-US"/>
    </w:rPr>
  </w:style>
  <w:style w:type="paragraph" w:customStyle="1" w:styleId="Jurisdictioncommentsheading">
    <w:name w:val="Jurisdiction comments heading"/>
    <w:rsid w:val="00AE2BA6"/>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E2BA6"/>
    <w:pPr>
      <w:numPr>
        <w:numId w:val="12"/>
      </w:numPr>
      <w:spacing w:after="140"/>
      <w:jc w:val="both"/>
    </w:pPr>
    <w:rPr>
      <w:rFonts w:ascii="Arial" w:hAnsi="Arial"/>
      <w:sz w:val="24"/>
      <w:lang w:eastAsia="en-US"/>
    </w:rPr>
  </w:style>
  <w:style w:type="character" w:styleId="Hyperlink">
    <w:name w:val="Hyperlink"/>
    <w:uiPriority w:val="99"/>
    <w:rsid w:val="00914C64"/>
    <w:rPr>
      <w:color w:val="0000FF"/>
      <w:u w:val="single"/>
    </w:rPr>
  </w:style>
  <w:style w:type="paragraph" w:styleId="BalloonText">
    <w:name w:val="Balloon Text"/>
    <w:basedOn w:val="Normal"/>
    <w:link w:val="BalloonTextChar"/>
    <w:rsid w:val="00AE2BA6"/>
    <w:rPr>
      <w:rFonts w:ascii="Tahoma" w:hAnsi="Tahoma" w:cs="Tahoma"/>
      <w:sz w:val="16"/>
      <w:szCs w:val="16"/>
    </w:rPr>
  </w:style>
  <w:style w:type="paragraph" w:customStyle="1" w:styleId="DocInfo">
    <w:name w:val="Doc Info"/>
    <w:basedOn w:val="Normal"/>
    <w:next w:val="Normal"/>
    <w:rsid w:val="001D0866"/>
    <w:pPr>
      <w:jc w:val="center"/>
    </w:pPr>
    <w:rPr>
      <w:rFonts w:ascii="Arial" w:hAnsi="Arial"/>
      <w:sz w:val="14"/>
    </w:rPr>
  </w:style>
  <w:style w:type="paragraph" w:customStyle="1" w:styleId="Heading2NotTOC">
    <w:name w:val="Heading 2 Not TOC"/>
    <w:basedOn w:val="Heading2"/>
    <w:next w:val="BodyText"/>
    <w:rsid w:val="001D0866"/>
    <w:pPr>
      <w:outlineLvl w:val="9"/>
    </w:pPr>
  </w:style>
  <w:style w:type="paragraph" w:customStyle="1" w:styleId="SOC">
    <w:name w:val="SOC"/>
    <w:basedOn w:val="BodyText"/>
    <w:rsid w:val="001D0866"/>
    <w:pPr>
      <w:spacing w:before="0" w:after="140" w:line="240" w:lineRule="auto"/>
    </w:pPr>
    <w:rPr>
      <w:rFonts w:ascii="Arial" w:hAnsi="Arial"/>
    </w:rPr>
  </w:style>
  <w:style w:type="paragraph" w:customStyle="1" w:styleId="Rd">
    <w:name w:val="Rd"/>
    <w:basedOn w:val="ListBullet2"/>
    <w:rsid w:val="008D2E2C"/>
  </w:style>
  <w:style w:type="paragraph" w:customStyle="1" w:styleId="Se">
    <w:name w:val="Se"/>
    <w:basedOn w:val="BodyText"/>
    <w:rsid w:val="006E3F26"/>
    <w:pPr>
      <w:pBdr>
        <w:right w:val="single" w:sz="4" w:space="4" w:color="auto"/>
      </w:pBdr>
    </w:pPr>
  </w:style>
  <w:style w:type="paragraph" w:styleId="CommentSubject">
    <w:name w:val="annotation subject"/>
    <w:basedOn w:val="CommentText"/>
    <w:next w:val="CommentText"/>
    <w:semiHidden/>
    <w:rsid w:val="0021502E"/>
    <w:pPr>
      <w:spacing w:before="0" w:line="240" w:lineRule="auto"/>
      <w:ind w:left="0" w:firstLine="0"/>
    </w:pPr>
    <w:rPr>
      <w:b/>
      <w:bCs/>
      <w:szCs w:val="20"/>
    </w:rPr>
  </w:style>
  <w:style w:type="character" w:customStyle="1" w:styleId="BodyTextChar">
    <w:name w:val="Body Text Char"/>
    <w:basedOn w:val="DefaultParagraphFont"/>
    <w:link w:val="BodyText"/>
    <w:rsid w:val="00AE2BA6"/>
    <w:rPr>
      <w:sz w:val="24"/>
    </w:rPr>
  </w:style>
  <w:style w:type="character" w:customStyle="1" w:styleId="NoteChar">
    <w:name w:val="Note Char"/>
    <w:link w:val="Note"/>
    <w:rsid w:val="004B0818"/>
    <w:rPr>
      <w:rFonts w:ascii="Arial" w:hAnsi="Arial"/>
      <w:sz w:val="18"/>
    </w:rPr>
  </w:style>
  <w:style w:type="paragraph" w:customStyle="1" w:styleId="RecBBullet2">
    <w:name w:val="RecB Bullet 2"/>
    <w:basedOn w:val="ListBullet2"/>
    <w:semiHidden/>
    <w:rsid w:val="00AE2BA6"/>
    <w:pPr>
      <w:pBdr>
        <w:left w:val="single" w:sz="24" w:space="29" w:color="C0C0C0"/>
      </w:pBdr>
    </w:pPr>
    <w:rPr>
      <w:b/>
      <w:i/>
    </w:rPr>
  </w:style>
  <w:style w:type="character" w:customStyle="1" w:styleId="BalloonTextChar">
    <w:name w:val="Balloon Text Char"/>
    <w:basedOn w:val="DefaultParagraphFont"/>
    <w:link w:val="BalloonText"/>
    <w:rsid w:val="00AE2BA6"/>
    <w:rPr>
      <w:rFonts w:ascii="Tahoma" w:hAnsi="Tahoma" w:cs="Tahoma"/>
      <w:sz w:val="16"/>
      <w:szCs w:val="16"/>
    </w:rPr>
  </w:style>
  <w:style w:type="character" w:customStyle="1" w:styleId="SubtitleChar">
    <w:name w:val="Subtitle Char"/>
    <w:basedOn w:val="DefaultParagraphFont"/>
    <w:link w:val="Subtitle"/>
    <w:rsid w:val="00AE2BA6"/>
    <w:rPr>
      <w:rFonts w:ascii="Arial" w:hAnsi="Arial"/>
      <w:szCs w:val="24"/>
    </w:rPr>
  </w:style>
  <w:style w:type="paragraph" w:customStyle="1" w:styleId="BoxListBullet3">
    <w:name w:val="Box List Bullet 3"/>
    <w:basedOn w:val="ListBullet3"/>
    <w:rsid w:val="00AE2BA6"/>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AE2BA6"/>
    <w:rPr>
      <w:i/>
      <w:iCs/>
    </w:rPr>
  </w:style>
  <w:style w:type="paragraph" w:customStyle="1" w:styleId="BoxQuoteBullet">
    <w:name w:val="Box Quote Bullet"/>
    <w:basedOn w:val="BoxQuote"/>
    <w:next w:val="Box"/>
    <w:rsid w:val="00AE2BA6"/>
    <w:pPr>
      <w:numPr>
        <w:numId w:val="15"/>
      </w:numPr>
      <w:ind w:left="568" w:hanging="284"/>
    </w:pPr>
  </w:style>
  <w:style w:type="paragraph" w:customStyle="1" w:styleId="InformationRequestBullet">
    <w:name w:val="Information Request Bullet"/>
    <w:basedOn w:val="ListBullet"/>
    <w:next w:val="BodyText"/>
    <w:rsid w:val="00AE2BA6"/>
    <w:pPr>
      <w:numPr>
        <w:numId w:val="16"/>
      </w:numPr>
      <w:spacing w:before="80" w:line="280" w:lineRule="atLeast"/>
      <w:ind w:left="357" w:hanging="357"/>
    </w:pPr>
    <w:rPr>
      <w:rFonts w:ascii="Arial" w:hAnsi="Arial"/>
      <w:i/>
      <w:sz w:val="22"/>
    </w:rPr>
  </w:style>
  <w:style w:type="character" w:customStyle="1" w:styleId="Heading5Char">
    <w:name w:val="Heading 5 Char"/>
    <w:basedOn w:val="DefaultParagraphFont"/>
    <w:link w:val="Heading5"/>
    <w:rsid w:val="00AE2BA6"/>
    <w:rPr>
      <w:rFonts w:ascii="Arial" w:hAnsi="Arial"/>
      <w:i/>
      <w:sz w:val="22"/>
    </w:rPr>
  </w:style>
  <w:style w:type="paragraph" w:customStyle="1" w:styleId="BoxSpaceAbove">
    <w:name w:val="Box Space Above"/>
    <w:basedOn w:val="BodyText"/>
    <w:rsid w:val="00AE2BA6"/>
    <w:pPr>
      <w:keepNext/>
      <w:spacing w:before="360" w:line="80" w:lineRule="exact"/>
      <w:jc w:val="left"/>
    </w:pPr>
  </w:style>
  <w:style w:type="paragraph" w:customStyle="1" w:styleId="BoxSpaceBelow">
    <w:name w:val="Box Space Below"/>
    <w:basedOn w:val="Box"/>
    <w:rsid w:val="00AE2BA6"/>
    <w:pPr>
      <w:keepNext w:val="0"/>
      <w:spacing w:before="60" w:after="60" w:line="80" w:lineRule="exact"/>
    </w:pPr>
    <w:rPr>
      <w:sz w:val="14"/>
    </w:rPr>
  </w:style>
  <w:style w:type="paragraph" w:styleId="ListParagraph">
    <w:name w:val="List Paragraph"/>
    <w:basedOn w:val="Normal"/>
    <w:uiPriority w:val="34"/>
    <w:qFormat/>
    <w:rsid w:val="0026730D"/>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KeyPointsListBullet">
    <w:name w:val="Key Points List Bullet"/>
    <w:basedOn w:val="Normal"/>
    <w:qFormat/>
    <w:rsid w:val="00AE2BA6"/>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AE2BA6"/>
    <w:pPr>
      <w:numPr>
        <w:numId w:val="19"/>
      </w:numPr>
      <w:ind w:left="568" w:hanging="284"/>
    </w:pPr>
  </w:style>
  <w:style w:type="paragraph" w:customStyle="1" w:styleId="InformationRequestTitle">
    <w:name w:val="Information Request Title"/>
    <w:basedOn w:val="FindingTitle"/>
    <w:next w:val="InformationRequest"/>
    <w:rsid w:val="00AE2BA6"/>
    <w:rPr>
      <w:i/>
    </w:rPr>
  </w:style>
  <w:style w:type="paragraph" w:customStyle="1" w:styleId="Space">
    <w:name w:val="Space"/>
    <w:basedOn w:val="Normal"/>
    <w:rsid w:val="00AE2BA6"/>
    <w:pPr>
      <w:keepNext/>
      <w:spacing w:line="120" w:lineRule="exact"/>
      <w:jc w:val="both"/>
    </w:pPr>
    <w:rPr>
      <w:rFonts w:ascii="Arial" w:hAnsi="Arial"/>
      <w:sz w:val="20"/>
      <w:szCs w:val="20"/>
    </w:rPr>
  </w:style>
  <w:style w:type="paragraph" w:customStyle="1" w:styleId="Heading1nochapterno">
    <w:name w:val="Heading 1 (no chapter no.)"/>
    <w:basedOn w:val="Heading1"/>
    <w:rsid w:val="00AE2BA6"/>
    <w:pPr>
      <w:spacing w:before="0"/>
      <w:ind w:left="0" w:firstLine="0"/>
    </w:pPr>
  </w:style>
  <w:style w:type="paragraph" w:customStyle="1" w:styleId="Heading2nosectionno">
    <w:name w:val="Heading 2 (no section no.)"/>
    <w:basedOn w:val="Heading2"/>
    <w:rsid w:val="00AE2BA6"/>
    <w:pPr>
      <w:ind w:left="0" w:firstLine="0"/>
    </w:pPr>
  </w:style>
  <w:style w:type="paragraph" w:customStyle="1" w:styleId="Figurespace">
    <w:name w:val="Figure space"/>
    <w:basedOn w:val="Box"/>
    <w:rsid w:val="00AE2BA6"/>
    <w:pPr>
      <w:spacing w:before="0" w:line="120" w:lineRule="exact"/>
    </w:pPr>
  </w:style>
  <w:style w:type="paragraph" w:customStyle="1" w:styleId="FooterDraftReport">
    <w:name w:val="FooterDraftReport"/>
    <w:basedOn w:val="Footer"/>
    <w:link w:val="FooterDraftReportChar"/>
    <w:rsid w:val="00AE2BA6"/>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Char">
    <w:name w:val="Footer Char"/>
    <w:basedOn w:val="BodyTextChar"/>
    <w:link w:val="Footer"/>
    <w:rsid w:val="00AE2BA6"/>
    <w:rPr>
      <w:rFonts w:ascii="Arial" w:hAnsi="Arial"/>
      <w:caps/>
      <w:spacing w:val="-4"/>
      <w:sz w:val="16"/>
    </w:rPr>
  </w:style>
  <w:style w:type="character" w:customStyle="1" w:styleId="FooterDraftReportChar">
    <w:name w:val="FooterDraftReport Char"/>
    <w:basedOn w:val="FooterChar"/>
    <w:link w:val="FooterDraftReport"/>
    <w:rsid w:val="00AE2BA6"/>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AE2BA6"/>
    <w:rPr>
      <w:rFonts w:ascii="Arial" w:hAnsi="Arial"/>
      <w:b/>
      <w:sz w:val="26"/>
      <w:szCs w:val="26"/>
      <w:lang w:eastAsia="en-US"/>
    </w:rPr>
  </w:style>
  <w:style w:type="paragraph" w:customStyle="1" w:styleId="Heading1NotTOC">
    <w:name w:val="Heading 1 Not TOC"/>
    <w:basedOn w:val="Heading1"/>
    <w:next w:val="BodyText"/>
    <w:rsid w:val="009830F1"/>
    <w:rPr>
      <w:kern w:val="28"/>
      <w:szCs w:val="26"/>
      <w:lang w:eastAsia="en-US"/>
    </w:rPr>
  </w:style>
  <w:style w:type="character" w:customStyle="1" w:styleId="BoxChar">
    <w:name w:val="Box Char"/>
    <w:basedOn w:val="DefaultParagraphFont"/>
    <w:link w:val="Box"/>
    <w:rsid w:val="004E15D6"/>
    <w:rPr>
      <w:rFonts w:ascii="Arial" w:hAnsi="Arial"/>
    </w:rPr>
  </w:style>
  <w:style w:type="paragraph" w:styleId="Revision">
    <w:name w:val="Revision"/>
    <w:hidden/>
    <w:uiPriority w:val="99"/>
    <w:semiHidden/>
    <w:rsid w:val="00DE3335"/>
    <w:rPr>
      <w:sz w:val="24"/>
      <w:szCs w:val="24"/>
    </w:rPr>
  </w:style>
  <w:style w:type="paragraph" w:customStyle="1" w:styleId="BoxSpaceAboveElement">
    <w:name w:val="Box Space Above Element"/>
    <w:basedOn w:val="BoxSpaceAbove"/>
    <w:link w:val="BoxSpaceAboveElementChar"/>
    <w:qFormat/>
    <w:rsid w:val="00751A5B"/>
    <w:pPr>
      <w:spacing w:before="240"/>
    </w:pPr>
    <w:rPr>
      <w:b/>
      <w:vanish/>
      <w:color w:val="FF00FF"/>
      <w:sz w:val="14"/>
    </w:rPr>
  </w:style>
  <w:style w:type="character" w:customStyle="1" w:styleId="BoxSpaceAboveElementChar">
    <w:name w:val="Box Space Above Element Char"/>
    <w:basedOn w:val="DefaultParagraphFont"/>
    <w:link w:val="BoxSpaceAboveElement"/>
    <w:rsid w:val="00751A5B"/>
    <w:rPr>
      <w:b/>
      <w:vanish/>
      <w:color w:val="FF00FF"/>
      <w:sz w:val="14"/>
    </w:rPr>
  </w:style>
  <w:style w:type="paragraph" w:styleId="TOCHeading">
    <w:name w:val="TOC Heading"/>
    <w:basedOn w:val="Heading1"/>
    <w:next w:val="Normal"/>
    <w:uiPriority w:val="39"/>
    <w:unhideWhenUsed/>
    <w:qFormat/>
    <w:rsid w:val="00350258"/>
    <w:pPr>
      <w:keepLines/>
      <w:spacing w:before="480" w:after="0" w:line="276" w:lineRule="auto"/>
      <w:ind w:left="0" w:firstLine="0"/>
      <w:outlineLvl w:val="9"/>
    </w:pPr>
    <w:rPr>
      <w:rFonts w:asciiTheme="majorHAnsi" w:eastAsiaTheme="majorEastAsia" w:hAnsiTheme="majorHAnsi" w:cstheme="majorBidi"/>
      <w:b/>
      <w:bCs/>
      <w:color w:val="597923" w:themeColor="accent1" w:themeShade="BF"/>
      <w:sz w:val="28"/>
      <w:szCs w:val="28"/>
      <w:lang w:val="en-US" w:eastAsia="ja-JP"/>
    </w:rPr>
  </w:style>
  <w:style w:type="character" w:customStyle="1" w:styleId="Continuedintitle">
    <w:name w:val="Continued (in title)"/>
    <w:basedOn w:val="DefaultParagraphFont"/>
    <w:rsid w:val="00AE2BA6"/>
    <w:rPr>
      <w:rFonts w:ascii="Arial" w:hAnsi="Arial"/>
      <w:b/>
      <w:sz w:val="18"/>
    </w:rPr>
  </w:style>
  <w:style w:type="character" w:customStyle="1" w:styleId="Heading4Char">
    <w:name w:val="Heading 4 Char"/>
    <w:basedOn w:val="DefaultParagraphFont"/>
    <w:link w:val="Heading4"/>
    <w:rsid w:val="004B6FE2"/>
    <w:rPr>
      <w:rFonts w:ascii="Arial" w:hAnsi="Arial"/>
      <w:sz w:val="24"/>
    </w:rPr>
  </w:style>
  <w:style w:type="character" w:customStyle="1" w:styleId="BoxListBulletChar">
    <w:name w:val="Box List Bullet Char"/>
    <w:basedOn w:val="BoxChar"/>
    <w:link w:val="BoxListBullet"/>
    <w:rsid w:val="0042536B"/>
    <w:rPr>
      <w:rFonts w:ascii="Arial" w:hAnsi="Arial"/>
    </w:rPr>
  </w:style>
  <w:style w:type="character" w:customStyle="1" w:styleId="CommentTextChar">
    <w:name w:val="Comment Text Char"/>
    <w:basedOn w:val="DefaultParagraphFont"/>
    <w:link w:val="CommentText"/>
    <w:semiHidden/>
    <w:rsid w:val="00850959"/>
    <w:rPr>
      <w:szCs w:val="24"/>
    </w:rPr>
  </w:style>
  <w:style w:type="character" w:customStyle="1" w:styleId="TableBodyTextChar">
    <w:name w:val="Table Body Text Char"/>
    <w:link w:val="TableBodyText"/>
    <w:rsid w:val="00721E94"/>
    <w:rPr>
      <w:rFonts w:ascii="Arial" w:hAnsi="Arial"/>
      <w:sz w:val="18"/>
    </w:rPr>
  </w:style>
  <w:style w:type="character" w:styleId="FollowedHyperlink">
    <w:name w:val="FollowedHyperlink"/>
    <w:basedOn w:val="DefaultParagraphFont"/>
    <w:semiHidden/>
    <w:unhideWhenUsed/>
    <w:rsid w:val="006F4EC1"/>
    <w:rPr>
      <w:color w:val="387DD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78071">
      <w:bodyDiv w:val="1"/>
      <w:marLeft w:val="0"/>
      <w:marRight w:val="0"/>
      <w:marTop w:val="0"/>
      <w:marBottom w:val="0"/>
      <w:divBdr>
        <w:top w:val="none" w:sz="0" w:space="0" w:color="auto"/>
        <w:left w:val="none" w:sz="0" w:space="0" w:color="auto"/>
        <w:bottom w:val="none" w:sz="0" w:space="0" w:color="auto"/>
        <w:right w:val="none" w:sz="0" w:space="0" w:color="auto"/>
      </w:divBdr>
    </w:div>
    <w:div w:id="165093169">
      <w:bodyDiv w:val="1"/>
      <w:marLeft w:val="0"/>
      <w:marRight w:val="0"/>
      <w:marTop w:val="0"/>
      <w:marBottom w:val="0"/>
      <w:divBdr>
        <w:top w:val="none" w:sz="0" w:space="0" w:color="auto"/>
        <w:left w:val="none" w:sz="0" w:space="0" w:color="auto"/>
        <w:bottom w:val="none" w:sz="0" w:space="0" w:color="auto"/>
        <w:right w:val="none" w:sz="0" w:space="0" w:color="auto"/>
      </w:divBdr>
    </w:div>
    <w:div w:id="239872076">
      <w:bodyDiv w:val="1"/>
      <w:marLeft w:val="0"/>
      <w:marRight w:val="0"/>
      <w:marTop w:val="0"/>
      <w:marBottom w:val="0"/>
      <w:divBdr>
        <w:top w:val="none" w:sz="0" w:space="0" w:color="auto"/>
        <w:left w:val="none" w:sz="0" w:space="0" w:color="auto"/>
        <w:bottom w:val="none" w:sz="0" w:space="0" w:color="auto"/>
        <w:right w:val="none" w:sz="0" w:space="0" w:color="auto"/>
      </w:divBdr>
    </w:div>
    <w:div w:id="241447438">
      <w:bodyDiv w:val="1"/>
      <w:marLeft w:val="0"/>
      <w:marRight w:val="0"/>
      <w:marTop w:val="0"/>
      <w:marBottom w:val="0"/>
      <w:divBdr>
        <w:top w:val="none" w:sz="0" w:space="0" w:color="auto"/>
        <w:left w:val="none" w:sz="0" w:space="0" w:color="auto"/>
        <w:bottom w:val="none" w:sz="0" w:space="0" w:color="auto"/>
        <w:right w:val="none" w:sz="0" w:space="0" w:color="auto"/>
      </w:divBdr>
    </w:div>
    <w:div w:id="290793280">
      <w:bodyDiv w:val="1"/>
      <w:marLeft w:val="0"/>
      <w:marRight w:val="0"/>
      <w:marTop w:val="0"/>
      <w:marBottom w:val="0"/>
      <w:divBdr>
        <w:top w:val="none" w:sz="0" w:space="0" w:color="auto"/>
        <w:left w:val="none" w:sz="0" w:space="0" w:color="auto"/>
        <w:bottom w:val="none" w:sz="0" w:space="0" w:color="auto"/>
        <w:right w:val="none" w:sz="0" w:space="0" w:color="auto"/>
      </w:divBdr>
    </w:div>
    <w:div w:id="295765027">
      <w:bodyDiv w:val="1"/>
      <w:marLeft w:val="0"/>
      <w:marRight w:val="0"/>
      <w:marTop w:val="0"/>
      <w:marBottom w:val="0"/>
      <w:divBdr>
        <w:top w:val="none" w:sz="0" w:space="0" w:color="auto"/>
        <w:left w:val="none" w:sz="0" w:space="0" w:color="auto"/>
        <w:bottom w:val="none" w:sz="0" w:space="0" w:color="auto"/>
        <w:right w:val="none" w:sz="0" w:space="0" w:color="auto"/>
      </w:divBdr>
    </w:div>
    <w:div w:id="382406844">
      <w:bodyDiv w:val="1"/>
      <w:marLeft w:val="0"/>
      <w:marRight w:val="0"/>
      <w:marTop w:val="0"/>
      <w:marBottom w:val="0"/>
      <w:divBdr>
        <w:top w:val="none" w:sz="0" w:space="0" w:color="auto"/>
        <w:left w:val="none" w:sz="0" w:space="0" w:color="auto"/>
        <w:bottom w:val="none" w:sz="0" w:space="0" w:color="auto"/>
        <w:right w:val="none" w:sz="0" w:space="0" w:color="auto"/>
      </w:divBdr>
    </w:div>
    <w:div w:id="392047322">
      <w:bodyDiv w:val="1"/>
      <w:marLeft w:val="0"/>
      <w:marRight w:val="0"/>
      <w:marTop w:val="0"/>
      <w:marBottom w:val="0"/>
      <w:divBdr>
        <w:top w:val="none" w:sz="0" w:space="0" w:color="auto"/>
        <w:left w:val="none" w:sz="0" w:space="0" w:color="auto"/>
        <w:bottom w:val="none" w:sz="0" w:space="0" w:color="auto"/>
        <w:right w:val="none" w:sz="0" w:space="0" w:color="auto"/>
      </w:divBdr>
    </w:div>
    <w:div w:id="398748020">
      <w:bodyDiv w:val="1"/>
      <w:marLeft w:val="0"/>
      <w:marRight w:val="0"/>
      <w:marTop w:val="0"/>
      <w:marBottom w:val="0"/>
      <w:divBdr>
        <w:top w:val="none" w:sz="0" w:space="0" w:color="auto"/>
        <w:left w:val="none" w:sz="0" w:space="0" w:color="auto"/>
        <w:bottom w:val="none" w:sz="0" w:space="0" w:color="auto"/>
        <w:right w:val="none" w:sz="0" w:space="0" w:color="auto"/>
      </w:divBdr>
    </w:div>
    <w:div w:id="424889065">
      <w:bodyDiv w:val="1"/>
      <w:marLeft w:val="0"/>
      <w:marRight w:val="0"/>
      <w:marTop w:val="0"/>
      <w:marBottom w:val="0"/>
      <w:divBdr>
        <w:top w:val="none" w:sz="0" w:space="0" w:color="auto"/>
        <w:left w:val="none" w:sz="0" w:space="0" w:color="auto"/>
        <w:bottom w:val="none" w:sz="0" w:space="0" w:color="auto"/>
        <w:right w:val="none" w:sz="0" w:space="0" w:color="auto"/>
      </w:divBdr>
    </w:div>
    <w:div w:id="427508859">
      <w:bodyDiv w:val="1"/>
      <w:marLeft w:val="0"/>
      <w:marRight w:val="0"/>
      <w:marTop w:val="0"/>
      <w:marBottom w:val="0"/>
      <w:divBdr>
        <w:top w:val="none" w:sz="0" w:space="0" w:color="auto"/>
        <w:left w:val="none" w:sz="0" w:space="0" w:color="auto"/>
        <w:bottom w:val="none" w:sz="0" w:space="0" w:color="auto"/>
        <w:right w:val="none" w:sz="0" w:space="0" w:color="auto"/>
      </w:divBdr>
    </w:div>
    <w:div w:id="429276351">
      <w:bodyDiv w:val="1"/>
      <w:marLeft w:val="0"/>
      <w:marRight w:val="0"/>
      <w:marTop w:val="0"/>
      <w:marBottom w:val="0"/>
      <w:divBdr>
        <w:top w:val="none" w:sz="0" w:space="0" w:color="auto"/>
        <w:left w:val="none" w:sz="0" w:space="0" w:color="auto"/>
        <w:bottom w:val="none" w:sz="0" w:space="0" w:color="auto"/>
        <w:right w:val="none" w:sz="0" w:space="0" w:color="auto"/>
      </w:divBdr>
    </w:div>
    <w:div w:id="466701016">
      <w:bodyDiv w:val="1"/>
      <w:marLeft w:val="0"/>
      <w:marRight w:val="0"/>
      <w:marTop w:val="0"/>
      <w:marBottom w:val="0"/>
      <w:divBdr>
        <w:top w:val="none" w:sz="0" w:space="0" w:color="auto"/>
        <w:left w:val="none" w:sz="0" w:space="0" w:color="auto"/>
        <w:bottom w:val="none" w:sz="0" w:space="0" w:color="auto"/>
        <w:right w:val="none" w:sz="0" w:space="0" w:color="auto"/>
      </w:divBdr>
    </w:div>
    <w:div w:id="486551691">
      <w:bodyDiv w:val="1"/>
      <w:marLeft w:val="0"/>
      <w:marRight w:val="0"/>
      <w:marTop w:val="0"/>
      <w:marBottom w:val="0"/>
      <w:divBdr>
        <w:top w:val="none" w:sz="0" w:space="0" w:color="auto"/>
        <w:left w:val="none" w:sz="0" w:space="0" w:color="auto"/>
        <w:bottom w:val="none" w:sz="0" w:space="0" w:color="auto"/>
        <w:right w:val="none" w:sz="0" w:space="0" w:color="auto"/>
      </w:divBdr>
    </w:div>
    <w:div w:id="529537766">
      <w:bodyDiv w:val="1"/>
      <w:marLeft w:val="0"/>
      <w:marRight w:val="0"/>
      <w:marTop w:val="0"/>
      <w:marBottom w:val="0"/>
      <w:divBdr>
        <w:top w:val="none" w:sz="0" w:space="0" w:color="auto"/>
        <w:left w:val="none" w:sz="0" w:space="0" w:color="auto"/>
        <w:bottom w:val="none" w:sz="0" w:space="0" w:color="auto"/>
        <w:right w:val="none" w:sz="0" w:space="0" w:color="auto"/>
      </w:divBdr>
    </w:div>
    <w:div w:id="543253623">
      <w:bodyDiv w:val="1"/>
      <w:marLeft w:val="0"/>
      <w:marRight w:val="0"/>
      <w:marTop w:val="0"/>
      <w:marBottom w:val="0"/>
      <w:divBdr>
        <w:top w:val="none" w:sz="0" w:space="0" w:color="auto"/>
        <w:left w:val="none" w:sz="0" w:space="0" w:color="auto"/>
        <w:bottom w:val="none" w:sz="0" w:space="0" w:color="auto"/>
        <w:right w:val="none" w:sz="0" w:space="0" w:color="auto"/>
      </w:divBdr>
    </w:div>
    <w:div w:id="557983941">
      <w:bodyDiv w:val="1"/>
      <w:marLeft w:val="0"/>
      <w:marRight w:val="0"/>
      <w:marTop w:val="0"/>
      <w:marBottom w:val="0"/>
      <w:divBdr>
        <w:top w:val="none" w:sz="0" w:space="0" w:color="auto"/>
        <w:left w:val="none" w:sz="0" w:space="0" w:color="auto"/>
        <w:bottom w:val="none" w:sz="0" w:space="0" w:color="auto"/>
        <w:right w:val="none" w:sz="0" w:space="0" w:color="auto"/>
      </w:divBdr>
    </w:div>
    <w:div w:id="559366380">
      <w:bodyDiv w:val="1"/>
      <w:marLeft w:val="0"/>
      <w:marRight w:val="0"/>
      <w:marTop w:val="0"/>
      <w:marBottom w:val="0"/>
      <w:divBdr>
        <w:top w:val="none" w:sz="0" w:space="0" w:color="auto"/>
        <w:left w:val="none" w:sz="0" w:space="0" w:color="auto"/>
        <w:bottom w:val="none" w:sz="0" w:space="0" w:color="auto"/>
        <w:right w:val="none" w:sz="0" w:space="0" w:color="auto"/>
      </w:divBdr>
    </w:div>
    <w:div w:id="586158431">
      <w:bodyDiv w:val="1"/>
      <w:marLeft w:val="0"/>
      <w:marRight w:val="0"/>
      <w:marTop w:val="0"/>
      <w:marBottom w:val="0"/>
      <w:divBdr>
        <w:top w:val="none" w:sz="0" w:space="0" w:color="auto"/>
        <w:left w:val="none" w:sz="0" w:space="0" w:color="auto"/>
        <w:bottom w:val="none" w:sz="0" w:space="0" w:color="auto"/>
        <w:right w:val="none" w:sz="0" w:space="0" w:color="auto"/>
      </w:divBdr>
    </w:div>
    <w:div w:id="614216356">
      <w:bodyDiv w:val="1"/>
      <w:marLeft w:val="0"/>
      <w:marRight w:val="0"/>
      <w:marTop w:val="0"/>
      <w:marBottom w:val="0"/>
      <w:divBdr>
        <w:top w:val="none" w:sz="0" w:space="0" w:color="auto"/>
        <w:left w:val="none" w:sz="0" w:space="0" w:color="auto"/>
        <w:bottom w:val="none" w:sz="0" w:space="0" w:color="auto"/>
        <w:right w:val="none" w:sz="0" w:space="0" w:color="auto"/>
      </w:divBdr>
    </w:div>
    <w:div w:id="786852446">
      <w:bodyDiv w:val="1"/>
      <w:marLeft w:val="0"/>
      <w:marRight w:val="0"/>
      <w:marTop w:val="0"/>
      <w:marBottom w:val="0"/>
      <w:divBdr>
        <w:top w:val="none" w:sz="0" w:space="0" w:color="auto"/>
        <w:left w:val="none" w:sz="0" w:space="0" w:color="auto"/>
        <w:bottom w:val="none" w:sz="0" w:space="0" w:color="auto"/>
        <w:right w:val="none" w:sz="0" w:space="0" w:color="auto"/>
      </w:divBdr>
    </w:div>
    <w:div w:id="850530859">
      <w:bodyDiv w:val="1"/>
      <w:marLeft w:val="0"/>
      <w:marRight w:val="0"/>
      <w:marTop w:val="0"/>
      <w:marBottom w:val="0"/>
      <w:divBdr>
        <w:top w:val="none" w:sz="0" w:space="0" w:color="auto"/>
        <w:left w:val="none" w:sz="0" w:space="0" w:color="auto"/>
        <w:bottom w:val="none" w:sz="0" w:space="0" w:color="auto"/>
        <w:right w:val="none" w:sz="0" w:space="0" w:color="auto"/>
      </w:divBdr>
    </w:div>
    <w:div w:id="855194779">
      <w:bodyDiv w:val="1"/>
      <w:marLeft w:val="0"/>
      <w:marRight w:val="0"/>
      <w:marTop w:val="0"/>
      <w:marBottom w:val="0"/>
      <w:divBdr>
        <w:top w:val="none" w:sz="0" w:space="0" w:color="auto"/>
        <w:left w:val="none" w:sz="0" w:space="0" w:color="auto"/>
        <w:bottom w:val="none" w:sz="0" w:space="0" w:color="auto"/>
        <w:right w:val="none" w:sz="0" w:space="0" w:color="auto"/>
      </w:divBdr>
    </w:div>
    <w:div w:id="909537480">
      <w:bodyDiv w:val="1"/>
      <w:marLeft w:val="0"/>
      <w:marRight w:val="0"/>
      <w:marTop w:val="0"/>
      <w:marBottom w:val="0"/>
      <w:divBdr>
        <w:top w:val="none" w:sz="0" w:space="0" w:color="auto"/>
        <w:left w:val="none" w:sz="0" w:space="0" w:color="auto"/>
        <w:bottom w:val="none" w:sz="0" w:space="0" w:color="auto"/>
        <w:right w:val="none" w:sz="0" w:space="0" w:color="auto"/>
      </w:divBdr>
    </w:div>
    <w:div w:id="951933448">
      <w:bodyDiv w:val="1"/>
      <w:marLeft w:val="0"/>
      <w:marRight w:val="0"/>
      <w:marTop w:val="0"/>
      <w:marBottom w:val="0"/>
      <w:divBdr>
        <w:top w:val="none" w:sz="0" w:space="0" w:color="auto"/>
        <w:left w:val="none" w:sz="0" w:space="0" w:color="auto"/>
        <w:bottom w:val="none" w:sz="0" w:space="0" w:color="auto"/>
        <w:right w:val="none" w:sz="0" w:space="0" w:color="auto"/>
      </w:divBdr>
    </w:div>
    <w:div w:id="1020276439">
      <w:bodyDiv w:val="1"/>
      <w:marLeft w:val="0"/>
      <w:marRight w:val="0"/>
      <w:marTop w:val="0"/>
      <w:marBottom w:val="0"/>
      <w:divBdr>
        <w:top w:val="none" w:sz="0" w:space="0" w:color="auto"/>
        <w:left w:val="none" w:sz="0" w:space="0" w:color="auto"/>
        <w:bottom w:val="none" w:sz="0" w:space="0" w:color="auto"/>
        <w:right w:val="none" w:sz="0" w:space="0" w:color="auto"/>
      </w:divBdr>
    </w:div>
    <w:div w:id="1023290464">
      <w:bodyDiv w:val="1"/>
      <w:marLeft w:val="0"/>
      <w:marRight w:val="0"/>
      <w:marTop w:val="0"/>
      <w:marBottom w:val="0"/>
      <w:divBdr>
        <w:top w:val="none" w:sz="0" w:space="0" w:color="auto"/>
        <w:left w:val="none" w:sz="0" w:space="0" w:color="auto"/>
        <w:bottom w:val="none" w:sz="0" w:space="0" w:color="auto"/>
        <w:right w:val="none" w:sz="0" w:space="0" w:color="auto"/>
      </w:divBdr>
    </w:div>
    <w:div w:id="1067148152">
      <w:bodyDiv w:val="1"/>
      <w:marLeft w:val="0"/>
      <w:marRight w:val="0"/>
      <w:marTop w:val="0"/>
      <w:marBottom w:val="0"/>
      <w:divBdr>
        <w:top w:val="none" w:sz="0" w:space="0" w:color="auto"/>
        <w:left w:val="none" w:sz="0" w:space="0" w:color="auto"/>
        <w:bottom w:val="none" w:sz="0" w:space="0" w:color="auto"/>
        <w:right w:val="none" w:sz="0" w:space="0" w:color="auto"/>
      </w:divBdr>
    </w:div>
    <w:div w:id="1067411239">
      <w:bodyDiv w:val="1"/>
      <w:marLeft w:val="0"/>
      <w:marRight w:val="0"/>
      <w:marTop w:val="0"/>
      <w:marBottom w:val="0"/>
      <w:divBdr>
        <w:top w:val="none" w:sz="0" w:space="0" w:color="auto"/>
        <w:left w:val="none" w:sz="0" w:space="0" w:color="auto"/>
        <w:bottom w:val="none" w:sz="0" w:space="0" w:color="auto"/>
        <w:right w:val="none" w:sz="0" w:space="0" w:color="auto"/>
      </w:divBdr>
    </w:div>
    <w:div w:id="1080520158">
      <w:bodyDiv w:val="1"/>
      <w:marLeft w:val="0"/>
      <w:marRight w:val="0"/>
      <w:marTop w:val="0"/>
      <w:marBottom w:val="0"/>
      <w:divBdr>
        <w:top w:val="none" w:sz="0" w:space="0" w:color="auto"/>
        <w:left w:val="none" w:sz="0" w:space="0" w:color="auto"/>
        <w:bottom w:val="none" w:sz="0" w:space="0" w:color="auto"/>
        <w:right w:val="none" w:sz="0" w:space="0" w:color="auto"/>
      </w:divBdr>
    </w:div>
    <w:div w:id="1167094168">
      <w:bodyDiv w:val="1"/>
      <w:marLeft w:val="0"/>
      <w:marRight w:val="0"/>
      <w:marTop w:val="0"/>
      <w:marBottom w:val="0"/>
      <w:divBdr>
        <w:top w:val="none" w:sz="0" w:space="0" w:color="auto"/>
        <w:left w:val="none" w:sz="0" w:space="0" w:color="auto"/>
        <w:bottom w:val="none" w:sz="0" w:space="0" w:color="auto"/>
        <w:right w:val="none" w:sz="0" w:space="0" w:color="auto"/>
      </w:divBdr>
    </w:div>
    <w:div w:id="1177233814">
      <w:bodyDiv w:val="1"/>
      <w:marLeft w:val="0"/>
      <w:marRight w:val="0"/>
      <w:marTop w:val="0"/>
      <w:marBottom w:val="0"/>
      <w:divBdr>
        <w:top w:val="none" w:sz="0" w:space="0" w:color="auto"/>
        <w:left w:val="none" w:sz="0" w:space="0" w:color="auto"/>
        <w:bottom w:val="none" w:sz="0" w:space="0" w:color="auto"/>
        <w:right w:val="none" w:sz="0" w:space="0" w:color="auto"/>
      </w:divBdr>
    </w:div>
    <w:div w:id="1249119292">
      <w:bodyDiv w:val="1"/>
      <w:marLeft w:val="0"/>
      <w:marRight w:val="0"/>
      <w:marTop w:val="0"/>
      <w:marBottom w:val="0"/>
      <w:divBdr>
        <w:top w:val="none" w:sz="0" w:space="0" w:color="auto"/>
        <w:left w:val="none" w:sz="0" w:space="0" w:color="auto"/>
        <w:bottom w:val="none" w:sz="0" w:space="0" w:color="auto"/>
        <w:right w:val="none" w:sz="0" w:space="0" w:color="auto"/>
      </w:divBdr>
    </w:div>
    <w:div w:id="1249925671">
      <w:bodyDiv w:val="1"/>
      <w:marLeft w:val="0"/>
      <w:marRight w:val="0"/>
      <w:marTop w:val="0"/>
      <w:marBottom w:val="0"/>
      <w:divBdr>
        <w:top w:val="none" w:sz="0" w:space="0" w:color="auto"/>
        <w:left w:val="none" w:sz="0" w:space="0" w:color="auto"/>
        <w:bottom w:val="none" w:sz="0" w:space="0" w:color="auto"/>
        <w:right w:val="none" w:sz="0" w:space="0" w:color="auto"/>
      </w:divBdr>
    </w:div>
    <w:div w:id="1266033589">
      <w:bodyDiv w:val="1"/>
      <w:marLeft w:val="0"/>
      <w:marRight w:val="0"/>
      <w:marTop w:val="0"/>
      <w:marBottom w:val="0"/>
      <w:divBdr>
        <w:top w:val="none" w:sz="0" w:space="0" w:color="auto"/>
        <w:left w:val="none" w:sz="0" w:space="0" w:color="auto"/>
        <w:bottom w:val="none" w:sz="0" w:space="0" w:color="auto"/>
        <w:right w:val="none" w:sz="0" w:space="0" w:color="auto"/>
      </w:divBdr>
    </w:div>
    <w:div w:id="1277835848">
      <w:bodyDiv w:val="1"/>
      <w:marLeft w:val="0"/>
      <w:marRight w:val="0"/>
      <w:marTop w:val="0"/>
      <w:marBottom w:val="0"/>
      <w:divBdr>
        <w:top w:val="none" w:sz="0" w:space="0" w:color="auto"/>
        <w:left w:val="none" w:sz="0" w:space="0" w:color="auto"/>
        <w:bottom w:val="none" w:sz="0" w:space="0" w:color="auto"/>
        <w:right w:val="none" w:sz="0" w:space="0" w:color="auto"/>
      </w:divBdr>
    </w:div>
    <w:div w:id="1291669905">
      <w:bodyDiv w:val="1"/>
      <w:marLeft w:val="0"/>
      <w:marRight w:val="0"/>
      <w:marTop w:val="0"/>
      <w:marBottom w:val="0"/>
      <w:divBdr>
        <w:top w:val="none" w:sz="0" w:space="0" w:color="auto"/>
        <w:left w:val="none" w:sz="0" w:space="0" w:color="auto"/>
        <w:bottom w:val="none" w:sz="0" w:space="0" w:color="auto"/>
        <w:right w:val="none" w:sz="0" w:space="0" w:color="auto"/>
      </w:divBdr>
    </w:div>
    <w:div w:id="1318000821">
      <w:bodyDiv w:val="1"/>
      <w:marLeft w:val="0"/>
      <w:marRight w:val="0"/>
      <w:marTop w:val="0"/>
      <w:marBottom w:val="0"/>
      <w:divBdr>
        <w:top w:val="none" w:sz="0" w:space="0" w:color="auto"/>
        <w:left w:val="none" w:sz="0" w:space="0" w:color="auto"/>
        <w:bottom w:val="none" w:sz="0" w:space="0" w:color="auto"/>
        <w:right w:val="none" w:sz="0" w:space="0" w:color="auto"/>
      </w:divBdr>
    </w:div>
    <w:div w:id="1385252795">
      <w:bodyDiv w:val="1"/>
      <w:marLeft w:val="0"/>
      <w:marRight w:val="0"/>
      <w:marTop w:val="0"/>
      <w:marBottom w:val="0"/>
      <w:divBdr>
        <w:top w:val="none" w:sz="0" w:space="0" w:color="auto"/>
        <w:left w:val="none" w:sz="0" w:space="0" w:color="auto"/>
        <w:bottom w:val="none" w:sz="0" w:space="0" w:color="auto"/>
        <w:right w:val="none" w:sz="0" w:space="0" w:color="auto"/>
      </w:divBdr>
    </w:div>
    <w:div w:id="1413119129">
      <w:bodyDiv w:val="1"/>
      <w:marLeft w:val="0"/>
      <w:marRight w:val="0"/>
      <w:marTop w:val="0"/>
      <w:marBottom w:val="0"/>
      <w:divBdr>
        <w:top w:val="none" w:sz="0" w:space="0" w:color="auto"/>
        <w:left w:val="none" w:sz="0" w:space="0" w:color="auto"/>
        <w:bottom w:val="none" w:sz="0" w:space="0" w:color="auto"/>
        <w:right w:val="none" w:sz="0" w:space="0" w:color="auto"/>
      </w:divBdr>
    </w:div>
    <w:div w:id="1451823304">
      <w:bodyDiv w:val="1"/>
      <w:marLeft w:val="0"/>
      <w:marRight w:val="0"/>
      <w:marTop w:val="0"/>
      <w:marBottom w:val="0"/>
      <w:divBdr>
        <w:top w:val="none" w:sz="0" w:space="0" w:color="auto"/>
        <w:left w:val="none" w:sz="0" w:space="0" w:color="auto"/>
        <w:bottom w:val="none" w:sz="0" w:space="0" w:color="auto"/>
        <w:right w:val="none" w:sz="0" w:space="0" w:color="auto"/>
      </w:divBdr>
    </w:div>
    <w:div w:id="1471944508">
      <w:bodyDiv w:val="1"/>
      <w:marLeft w:val="0"/>
      <w:marRight w:val="0"/>
      <w:marTop w:val="0"/>
      <w:marBottom w:val="0"/>
      <w:divBdr>
        <w:top w:val="none" w:sz="0" w:space="0" w:color="auto"/>
        <w:left w:val="none" w:sz="0" w:space="0" w:color="auto"/>
        <w:bottom w:val="none" w:sz="0" w:space="0" w:color="auto"/>
        <w:right w:val="none" w:sz="0" w:space="0" w:color="auto"/>
      </w:divBdr>
      <w:divsChild>
        <w:div w:id="998997450">
          <w:marLeft w:val="0"/>
          <w:marRight w:val="0"/>
          <w:marTop w:val="0"/>
          <w:marBottom w:val="0"/>
          <w:divBdr>
            <w:top w:val="none" w:sz="0" w:space="0" w:color="auto"/>
            <w:left w:val="none" w:sz="0" w:space="0" w:color="auto"/>
            <w:bottom w:val="none" w:sz="0" w:space="0" w:color="auto"/>
            <w:right w:val="none" w:sz="0" w:space="0" w:color="auto"/>
          </w:divBdr>
        </w:div>
      </w:divsChild>
    </w:div>
    <w:div w:id="1478259344">
      <w:bodyDiv w:val="1"/>
      <w:marLeft w:val="0"/>
      <w:marRight w:val="0"/>
      <w:marTop w:val="0"/>
      <w:marBottom w:val="0"/>
      <w:divBdr>
        <w:top w:val="none" w:sz="0" w:space="0" w:color="auto"/>
        <w:left w:val="none" w:sz="0" w:space="0" w:color="auto"/>
        <w:bottom w:val="none" w:sz="0" w:space="0" w:color="auto"/>
        <w:right w:val="none" w:sz="0" w:space="0" w:color="auto"/>
      </w:divBdr>
    </w:div>
    <w:div w:id="1496722420">
      <w:bodyDiv w:val="1"/>
      <w:marLeft w:val="0"/>
      <w:marRight w:val="0"/>
      <w:marTop w:val="0"/>
      <w:marBottom w:val="0"/>
      <w:divBdr>
        <w:top w:val="none" w:sz="0" w:space="0" w:color="auto"/>
        <w:left w:val="none" w:sz="0" w:space="0" w:color="auto"/>
        <w:bottom w:val="none" w:sz="0" w:space="0" w:color="auto"/>
        <w:right w:val="none" w:sz="0" w:space="0" w:color="auto"/>
      </w:divBdr>
    </w:div>
    <w:div w:id="1515343682">
      <w:bodyDiv w:val="1"/>
      <w:marLeft w:val="0"/>
      <w:marRight w:val="0"/>
      <w:marTop w:val="0"/>
      <w:marBottom w:val="0"/>
      <w:divBdr>
        <w:top w:val="none" w:sz="0" w:space="0" w:color="auto"/>
        <w:left w:val="none" w:sz="0" w:space="0" w:color="auto"/>
        <w:bottom w:val="none" w:sz="0" w:space="0" w:color="auto"/>
        <w:right w:val="none" w:sz="0" w:space="0" w:color="auto"/>
      </w:divBdr>
    </w:div>
    <w:div w:id="1524512023">
      <w:bodyDiv w:val="1"/>
      <w:marLeft w:val="0"/>
      <w:marRight w:val="0"/>
      <w:marTop w:val="0"/>
      <w:marBottom w:val="0"/>
      <w:divBdr>
        <w:top w:val="none" w:sz="0" w:space="0" w:color="auto"/>
        <w:left w:val="none" w:sz="0" w:space="0" w:color="auto"/>
        <w:bottom w:val="none" w:sz="0" w:space="0" w:color="auto"/>
        <w:right w:val="none" w:sz="0" w:space="0" w:color="auto"/>
      </w:divBdr>
    </w:div>
    <w:div w:id="1547982644">
      <w:bodyDiv w:val="1"/>
      <w:marLeft w:val="0"/>
      <w:marRight w:val="0"/>
      <w:marTop w:val="0"/>
      <w:marBottom w:val="0"/>
      <w:divBdr>
        <w:top w:val="none" w:sz="0" w:space="0" w:color="auto"/>
        <w:left w:val="none" w:sz="0" w:space="0" w:color="auto"/>
        <w:bottom w:val="none" w:sz="0" w:space="0" w:color="auto"/>
        <w:right w:val="none" w:sz="0" w:space="0" w:color="auto"/>
      </w:divBdr>
    </w:div>
    <w:div w:id="1548227181">
      <w:bodyDiv w:val="1"/>
      <w:marLeft w:val="0"/>
      <w:marRight w:val="0"/>
      <w:marTop w:val="0"/>
      <w:marBottom w:val="0"/>
      <w:divBdr>
        <w:top w:val="none" w:sz="0" w:space="0" w:color="auto"/>
        <w:left w:val="none" w:sz="0" w:space="0" w:color="auto"/>
        <w:bottom w:val="none" w:sz="0" w:space="0" w:color="auto"/>
        <w:right w:val="none" w:sz="0" w:space="0" w:color="auto"/>
      </w:divBdr>
    </w:div>
    <w:div w:id="1553736557">
      <w:bodyDiv w:val="1"/>
      <w:marLeft w:val="0"/>
      <w:marRight w:val="0"/>
      <w:marTop w:val="0"/>
      <w:marBottom w:val="0"/>
      <w:divBdr>
        <w:top w:val="none" w:sz="0" w:space="0" w:color="auto"/>
        <w:left w:val="none" w:sz="0" w:space="0" w:color="auto"/>
        <w:bottom w:val="none" w:sz="0" w:space="0" w:color="auto"/>
        <w:right w:val="none" w:sz="0" w:space="0" w:color="auto"/>
      </w:divBdr>
    </w:div>
    <w:div w:id="1618829890">
      <w:bodyDiv w:val="1"/>
      <w:marLeft w:val="0"/>
      <w:marRight w:val="0"/>
      <w:marTop w:val="0"/>
      <w:marBottom w:val="0"/>
      <w:divBdr>
        <w:top w:val="none" w:sz="0" w:space="0" w:color="auto"/>
        <w:left w:val="none" w:sz="0" w:space="0" w:color="auto"/>
        <w:bottom w:val="none" w:sz="0" w:space="0" w:color="auto"/>
        <w:right w:val="none" w:sz="0" w:space="0" w:color="auto"/>
      </w:divBdr>
    </w:div>
    <w:div w:id="1707294471">
      <w:bodyDiv w:val="1"/>
      <w:marLeft w:val="0"/>
      <w:marRight w:val="0"/>
      <w:marTop w:val="0"/>
      <w:marBottom w:val="0"/>
      <w:divBdr>
        <w:top w:val="none" w:sz="0" w:space="0" w:color="auto"/>
        <w:left w:val="none" w:sz="0" w:space="0" w:color="auto"/>
        <w:bottom w:val="none" w:sz="0" w:space="0" w:color="auto"/>
        <w:right w:val="none" w:sz="0" w:space="0" w:color="auto"/>
      </w:divBdr>
    </w:div>
    <w:div w:id="1711102117">
      <w:bodyDiv w:val="1"/>
      <w:marLeft w:val="0"/>
      <w:marRight w:val="0"/>
      <w:marTop w:val="0"/>
      <w:marBottom w:val="0"/>
      <w:divBdr>
        <w:top w:val="none" w:sz="0" w:space="0" w:color="auto"/>
        <w:left w:val="none" w:sz="0" w:space="0" w:color="auto"/>
        <w:bottom w:val="none" w:sz="0" w:space="0" w:color="auto"/>
        <w:right w:val="none" w:sz="0" w:space="0" w:color="auto"/>
      </w:divBdr>
    </w:div>
    <w:div w:id="1732118212">
      <w:bodyDiv w:val="1"/>
      <w:marLeft w:val="0"/>
      <w:marRight w:val="0"/>
      <w:marTop w:val="0"/>
      <w:marBottom w:val="0"/>
      <w:divBdr>
        <w:top w:val="none" w:sz="0" w:space="0" w:color="auto"/>
        <w:left w:val="none" w:sz="0" w:space="0" w:color="auto"/>
        <w:bottom w:val="none" w:sz="0" w:space="0" w:color="auto"/>
        <w:right w:val="none" w:sz="0" w:space="0" w:color="auto"/>
      </w:divBdr>
    </w:div>
    <w:div w:id="1878008843">
      <w:bodyDiv w:val="1"/>
      <w:marLeft w:val="0"/>
      <w:marRight w:val="0"/>
      <w:marTop w:val="0"/>
      <w:marBottom w:val="0"/>
      <w:divBdr>
        <w:top w:val="none" w:sz="0" w:space="0" w:color="auto"/>
        <w:left w:val="none" w:sz="0" w:space="0" w:color="auto"/>
        <w:bottom w:val="none" w:sz="0" w:space="0" w:color="auto"/>
        <w:right w:val="none" w:sz="0" w:space="0" w:color="auto"/>
      </w:divBdr>
    </w:div>
    <w:div w:id="1892031988">
      <w:bodyDiv w:val="1"/>
      <w:marLeft w:val="0"/>
      <w:marRight w:val="0"/>
      <w:marTop w:val="0"/>
      <w:marBottom w:val="0"/>
      <w:divBdr>
        <w:top w:val="none" w:sz="0" w:space="0" w:color="auto"/>
        <w:left w:val="none" w:sz="0" w:space="0" w:color="auto"/>
        <w:bottom w:val="none" w:sz="0" w:space="0" w:color="auto"/>
        <w:right w:val="none" w:sz="0" w:space="0" w:color="auto"/>
      </w:divBdr>
    </w:div>
    <w:div w:id="1893538710">
      <w:bodyDiv w:val="1"/>
      <w:marLeft w:val="0"/>
      <w:marRight w:val="0"/>
      <w:marTop w:val="0"/>
      <w:marBottom w:val="0"/>
      <w:divBdr>
        <w:top w:val="none" w:sz="0" w:space="0" w:color="auto"/>
        <w:left w:val="none" w:sz="0" w:space="0" w:color="auto"/>
        <w:bottom w:val="none" w:sz="0" w:space="0" w:color="auto"/>
        <w:right w:val="none" w:sz="0" w:space="0" w:color="auto"/>
      </w:divBdr>
    </w:div>
    <w:div w:id="1947738292">
      <w:bodyDiv w:val="1"/>
      <w:marLeft w:val="0"/>
      <w:marRight w:val="0"/>
      <w:marTop w:val="0"/>
      <w:marBottom w:val="0"/>
      <w:divBdr>
        <w:top w:val="none" w:sz="0" w:space="0" w:color="auto"/>
        <w:left w:val="none" w:sz="0" w:space="0" w:color="auto"/>
        <w:bottom w:val="none" w:sz="0" w:space="0" w:color="auto"/>
        <w:right w:val="none" w:sz="0" w:space="0" w:color="auto"/>
      </w:divBdr>
    </w:div>
    <w:div w:id="1957518325">
      <w:bodyDiv w:val="1"/>
      <w:marLeft w:val="0"/>
      <w:marRight w:val="0"/>
      <w:marTop w:val="0"/>
      <w:marBottom w:val="0"/>
      <w:divBdr>
        <w:top w:val="none" w:sz="0" w:space="0" w:color="auto"/>
        <w:left w:val="none" w:sz="0" w:space="0" w:color="auto"/>
        <w:bottom w:val="none" w:sz="0" w:space="0" w:color="auto"/>
        <w:right w:val="none" w:sz="0" w:space="0" w:color="auto"/>
      </w:divBdr>
    </w:div>
    <w:div w:id="2029989608">
      <w:bodyDiv w:val="1"/>
      <w:marLeft w:val="0"/>
      <w:marRight w:val="0"/>
      <w:marTop w:val="0"/>
      <w:marBottom w:val="0"/>
      <w:divBdr>
        <w:top w:val="none" w:sz="0" w:space="0" w:color="auto"/>
        <w:left w:val="none" w:sz="0" w:space="0" w:color="auto"/>
        <w:bottom w:val="none" w:sz="0" w:space="0" w:color="auto"/>
        <w:right w:val="none" w:sz="0" w:space="0" w:color="auto"/>
      </w:divBdr>
    </w:div>
    <w:div w:id="2142964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si\chapter.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mel_1\groups\Monitor\04%20Working%20Groups\04%20Health\02%20Report\03%20Data\2019%20Report%20data\Primary%20and%20community%20health\Charts\Chapter%2010%20chart%20and%20table%20data%202019%20Rpt.xlsm"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mel_1\groups\Monitor\04%20Working%20Groups\04%20Health\02%20Report\03%20Data\2019%20Report%20data\Primary%20and%20community%20health\Charts\Chapter%2010%20chart%20and%20table%20data%202019%20Rpt.xlsm"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mel_1\groups\Monitor\04%20Working%20Groups\04%20Health\02%20Report\03%20Data\2019%20Report%20data\Primary%20and%20community%20health\Charts\Chapter%2010%20chart%20and%20table%20data%202019%20Rpt.xlsm"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mel_1\groups\Monitor\04%20Working%20Groups\04%20Health\02%20Report\03%20Data\2019%20Report%20data\Primary%20and%20community%20health\Charts\Chapter%2010%20chart%20and%20table%20data%202019%20Rpt.xlsm"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3" Type="http://schemas.openxmlformats.org/officeDocument/2006/relationships/oleObject" Target="file:///\\mel_1\groups\Monitor\04%20Working%20Groups\04%20Health\02%20Report\03%20Data\2019%20Report%20data\Primary%20and%20community%20health\Charts\Chapter%2010%20chart%20and%20table%20data%202019%20Rpt.xlsm" TargetMode="External"/><Relationship Id="rId2" Type="http://schemas.microsoft.com/office/2011/relationships/chartColorStyle" Target="colors1.xml"/><Relationship Id="rId1" Type="http://schemas.microsoft.com/office/2011/relationships/chartStyle" Target="style1.xml"/></Relationships>
</file>

<file path=word/charts/_rels/chart14.xml.rels><?xml version="1.0" encoding="UTF-8" standalone="yes"?>
<Relationships xmlns="http://schemas.openxmlformats.org/package/2006/relationships"><Relationship Id="rId2" Type="http://schemas.openxmlformats.org/officeDocument/2006/relationships/oleObject" Target="file:///\\mel_1\groups\Monitor\04%20Working%20Groups\04%20Health\02%20Report\03%20Data\2019%20Report%20data\Primary%20and%20community%20health\Charts\Chapter%2010%20chart%20and%20table%20data%202019%20Rpt.xlsm" TargetMode="External"/><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oleObject" Target="file:///\\mel_1\groups\Monitor\04%20Working%20Groups\04%20Health\02%20Report\03%20Data\2019%20Report%20data\Primary%20and%20community%20health\Charts\Chapter%2010%20chart%20and%20table%20data%202019%20Rpt.xlsm" TargetMode="External"/><Relationship Id="rId1" Type="http://schemas.openxmlformats.org/officeDocument/2006/relationships/themeOverride" Target="../theme/themeOverride14.xml"/></Relationships>
</file>

<file path=word/charts/_rels/chart2.xml.rels><?xml version="1.0" encoding="UTF-8" standalone="yes"?>
<Relationships xmlns="http://schemas.openxmlformats.org/package/2006/relationships"><Relationship Id="rId2" Type="http://schemas.openxmlformats.org/officeDocument/2006/relationships/oleObject" Target="file:///\\MEL_1\groups\Monitor\04%20Working%20Groups\04%20Health\02%20Report\03%20Data\2019%20Report%20data\Primary%20and%20community%20health\Charts\Chapter%2010%20chart%20and%20table%20data%202019%20Rpt.xlsm"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mel_1\groups\Monitor\04%20Working%20Groups\04%20Health\02%20Report\03%20Data\2019%20Report%20data\Primary%20and%20community%20health\Charts\Chapter%2010%20chart%20and%20table%20data%202019%20Rpt.xlsm"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mel_1\groups\Monitor\04%20Working%20Groups\04%20Health\02%20Report\03%20Data\2019%20Report%20data\Primary%20and%20community%20health\Charts\Chapter%2010%20chart%20and%20table%20data%202019%20Rpt.xlsm"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mel_1\groups\Monitor\04%20Working%20Groups\04%20Health\02%20Report\03%20Data\2019%20Report%20data\Primary%20and%20community%20health\Charts\Chapter%2010%20chart%20and%20table%20data%202019%20Rpt.xlsm"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mel_1\groups\Monitor\04%20Working%20Groups\04%20Health\02%20Report\03%20Data\2019%20Report%20data\Primary%20and%20community%20health\Charts\Chapter%2010%20chart%20and%20table%20data%202019%20Rpt.xlsm"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mel_1\groups\Monitor\04%20Working%20Groups\04%20Health\02%20Report\03%20Data\2019%20Report%20data\Primary%20and%20community%20health\Charts\Chapter%2010%20chart%20and%20table%20data%202019%20Rpt.xlsm"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mel_1\groups\Monitor\04%20Working%20Groups\04%20Health\02%20Report\03%20Data\2019%20Report%20data\Primary%20and%20community%20health\Charts\Chapter%2010%20chart%20and%20table%20data%202019%20Rpt.xlsm"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mel_1\groups\Monitor\04%20Working%20Groups\04%20Health\02%20Report\03%20Data\2019%20Report%20data\Primary%20and%20community%20health\Charts\Chapter%2010%20chart%20and%20table%20data%202019%20Rpt.xlsm"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7665503979966017E-2"/>
          <c:y val="5.9024258577018436E-2"/>
          <c:w val="0.8873456756998479"/>
          <c:h val="0.75060195091083615"/>
        </c:manualLayout>
      </c:layout>
      <c:barChart>
        <c:barDir val="col"/>
        <c:grouping val="clustered"/>
        <c:varyColors val="0"/>
        <c:ser>
          <c:idx val="1"/>
          <c:order val="0"/>
          <c:tx>
            <c:strRef>
              <c:f>'F10.1'!$C$5</c:f>
              <c:strCache>
                <c:ptCount val="1"/>
                <c:pt idx="0">
                  <c:v>2013-14 to 2016-17</c:v>
                </c:pt>
              </c:strCache>
            </c:strRef>
          </c:tx>
          <c:spPr>
            <a:solidFill>
              <a:srgbClr val="66BCDB"/>
            </a:solidFill>
            <a:ln>
              <a:solidFill>
                <a:srgbClr val="66BCDB"/>
              </a:solidFill>
            </a:ln>
          </c:spPr>
          <c:invertIfNegative val="0"/>
          <c:cat>
            <c:strRef>
              <c:f>'F10.1'!$D$4:$L$4</c:f>
              <c:strCache>
                <c:ptCount val="9"/>
                <c:pt idx="0">
                  <c:v>NSW</c:v>
                </c:pt>
                <c:pt idx="1">
                  <c:v>Vic</c:v>
                </c:pt>
                <c:pt idx="2">
                  <c:v>Qld</c:v>
                </c:pt>
                <c:pt idx="3">
                  <c:v>WA</c:v>
                </c:pt>
                <c:pt idx="4">
                  <c:v>SA</c:v>
                </c:pt>
                <c:pt idx="5">
                  <c:v>Tas</c:v>
                </c:pt>
                <c:pt idx="6">
                  <c:v>ACT</c:v>
                </c:pt>
                <c:pt idx="7">
                  <c:v>NT</c:v>
                </c:pt>
                <c:pt idx="8">
                  <c:v>Aust</c:v>
                </c:pt>
              </c:strCache>
            </c:strRef>
          </c:cat>
          <c:val>
            <c:numRef>
              <c:f>'F10.1'!$D$5:$L$5</c:f>
              <c:numCache>
                <c:formatCode>0.00</c:formatCode>
                <c:ptCount val="9"/>
                <c:pt idx="0">
                  <c:v>6.5244173727534687</c:v>
                </c:pt>
                <c:pt idx="1">
                  <c:v>6.1787800777871222</c:v>
                </c:pt>
                <c:pt idx="2">
                  <c:v>6.2214714565700246</c:v>
                </c:pt>
                <c:pt idx="3">
                  <c:v>4.8900162577711983</c:v>
                </c:pt>
                <c:pt idx="4">
                  <c:v>6.1938432182077792</c:v>
                </c:pt>
                <c:pt idx="5">
                  <c:v>5.7676383731469842</c:v>
                </c:pt>
                <c:pt idx="6">
                  <c:v>4.6544556557033321</c:v>
                </c:pt>
                <c:pt idx="7">
                  <c:v>3.9797898507659801</c:v>
                </c:pt>
                <c:pt idx="8">
                  <c:v>6.1026852905322251</c:v>
                </c:pt>
              </c:numCache>
            </c:numRef>
          </c:val>
        </c:ser>
        <c:ser>
          <c:idx val="2"/>
          <c:order val="1"/>
          <c:tx>
            <c:strRef>
              <c:f>'F10.1'!$C$6</c:f>
              <c:strCache>
                <c:ptCount val="1"/>
                <c:pt idx="0">
                  <c:v>2014-15</c:v>
                </c:pt>
              </c:strCache>
            </c:strRef>
          </c:tx>
          <c:spPr>
            <a:solidFill>
              <a:srgbClr val="66BCDB"/>
            </a:solidFill>
            <a:ln>
              <a:solidFill>
                <a:srgbClr val="66BCDB"/>
              </a:solidFill>
            </a:ln>
          </c:spPr>
          <c:invertIfNegative val="0"/>
          <c:cat>
            <c:strRef>
              <c:f>'F10.1'!$D$4:$L$4</c:f>
              <c:strCache>
                <c:ptCount val="9"/>
                <c:pt idx="0">
                  <c:v>NSW</c:v>
                </c:pt>
                <c:pt idx="1">
                  <c:v>Vic</c:v>
                </c:pt>
                <c:pt idx="2">
                  <c:v>Qld</c:v>
                </c:pt>
                <c:pt idx="3">
                  <c:v>WA</c:v>
                </c:pt>
                <c:pt idx="4">
                  <c:v>SA</c:v>
                </c:pt>
                <c:pt idx="5">
                  <c:v>Tas</c:v>
                </c:pt>
                <c:pt idx="6">
                  <c:v>ACT</c:v>
                </c:pt>
                <c:pt idx="7">
                  <c:v>NT</c:v>
                </c:pt>
                <c:pt idx="8">
                  <c:v>Aust</c:v>
                </c:pt>
              </c:strCache>
            </c:strRef>
          </c:cat>
          <c:val>
            <c:numRef>
              <c:f>'F10.1'!$D$6:$L$6</c:f>
              <c:numCache>
                <c:formatCode>0.00</c:formatCode>
                <c:ptCount val="9"/>
                <c:pt idx="0">
                  <c:v>6.6443891575580611</c:v>
                </c:pt>
                <c:pt idx="1">
                  <c:v>6.2839687104281117</c:v>
                </c:pt>
                <c:pt idx="2">
                  <c:v>6.3990503580694815</c:v>
                </c:pt>
                <c:pt idx="3">
                  <c:v>5.1350242958705916</c:v>
                </c:pt>
                <c:pt idx="4">
                  <c:v>6.3426918676728645</c:v>
                </c:pt>
                <c:pt idx="5">
                  <c:v>5.9000797603299358</c:v>
                </c:pt>
                <c:pt idx="6">
                  <c:v>4.7190348511790114</c:v>
                </c:pt>
                <c:pt idx="7">
                  <c:v>4.4919156508879396</c:v>
                </c:pt>
                <c:pt idx="8">
                  <c:v>6.2502512760925386</c:v>
                </c:pt>
              </c:numCache>
            </c:numRef>
          </c:val>
        </c:ser>
        <c:ser>
          <c:idx val="3"/>
          <c:order val="2"/>
          <c:tx>
            <c:strRef>
              <c:f>'F10.1'!$C$7</c:f>
              <c:strCache>
                <c:ptCount val="1"/>
                <c:pt idx="0">
                  <c:v>2015-16</c:v>
                </c:pt>
              </c:strCache>
            </c:strRef>
          </c:tx>
          <c:spPr>
            <a:solidFill>
              <a:srgbClr val="66BCDB"/>
            </a:solidFill>
            <a:ln>
              <a:solidFill>
                <a:srgbClr val="66BCDB"/>
              </a:solidFill>
            </a:ln>
          </c:spPr>
          <c:invertIfNegative val="0"/>
          <c:cat>
            <c:strRef>
              <c:f>'F10.1'!$D$4:$L$4</c:f>
              <c:strCache>
                <c:ptCount val="9"/>
                <c:pt idx="0">
                  <c:v>NSW</c:v>
                </c:pt>
                <c:pt idx="1">
                  <c:v>Vic</c:v>
                </c:pt>
                <c:pt idx="2">
                  <c:v>Qld</c:v>
                </c:pt>
                <c:pt idx="3">
                  <c:v>WA</c:v>
                </c:pt>
                <c:pt idx="4">
                  <c:v>SA</c:v>
                </c:pt>
                <c:pt idx="5">
                  <c:v>Tas</c:v>
                </c:pt>
                <c:pt idx="6">
                  <c:v>ACT</c:v>
                </c:pt>
                <c:pt idx="7">
                  <c:v>NT</c:v>
                </c:pt>
                <c:pt idx="8">
                  <c:v>Aust</c:v>
                </c:pt>
              </c:strCache>
            </c:strRef>
          </c:cat>
          <c:val>
            <c:numRef>
              <c:f>'F10.1'!$D$7:$L$7</c:f>
              <c:numCache>
                <c:formatCode>0.00</c:formatCode>
                <c:ptCount val="9"/>
                <c:pt idx="0">
                  <c:v>6.7512326627170189</c:v>
                </c:pt>
                <c:pt idx="1">
                  <c:v>6.4016297915871023</c:v>
                </c:pt>
                <c:pt idx="2">
                  <c:v>6.641308005751589</c:v>
                </c:pt>
                <c:pt idx="3">
                  <c:v>5.4218675730891439</c:v>
                </c:pt>
                <c:pt idx="4">
                  <c:v>6.501370800914688</c:v>
                </c:pt>
                <c:pt idx="5">
                  <c:v>6.0198935803014963</c:v>
                </c:pt>
                <c:pt idx="6">
                  <c:v>4.8511735535532523</c:v>
                </c:pt>
                <c:pt idx="7">
                  <c:v>4.9382481871440858</c:v>
                </c:pt>
                <c:pt idx="8">
                  <c:v>6.4148742477510865</c:v>
                </c:pt>
              </c:numCache>
            </c:numRef>
          </c:val>
        </c:ser>
        <c:ser>
          <c:idx val="4"/>
          <c:order val="3"/>
          <c:tx>
            <c:strRef>
              <c:f>'F10.1'!$C$8</c:f>
              <c:strCache>
                <c:ptCount val="1"/>
                <c:pt idx="0">
                  <c:v>2016-17</c:v>
                </c:pt>
              </c:strCache>
            </c:strRef>
          </c:tx>
          <c:spPr>
            <a:solidFill>
              <a:srgbClr val="66BCDB"/>
            </a:solidFill>
            <a:ln>
              <a:solidFill>
                <a:srgbClr val="66BCDB"/>
              </a:solidFill>
            </a:ln>
          </c:spPr>
          <c:invertIfNegative val="0"/>
          <c:cat>
            <c:strRef>
              <c:f>'F10.1'!$D$4:$L$4</c:f>
              <c:strCache>
                <c:ptCount val="9"/>
                <c:pt idx="0">
                  <c:v>NSW</c:v>
                </c:pt>
                <c:pt idx="1">
                  <c:v>Vic</c:v>
                </c:pt>
                <c:pt idx="2">
                  <c:v>Qld</c:v>
                </c:pt>
                <c:pt idx="3">
                  <c:v>WA</c:v>
                </c:pt>
                <c:pt idx="4">
                  <c:v>SA</c:v>
                </c:pt>
                <c:pt idx="5">
                  <c:v>Tas</c:v>
                </c:pt>
                <c:pt idx="6">
                  <c:v>ACT</c:v>
                </c:pt>
                <c:pt idx="7">
                  <c:v>NT</c:v>
                </c:pt>
                <c:pt idx="8">
                  <c:v>Aust</c:v>
                </c:pt>
              </c:strCache>
            </c:strRef>
          </c:cat>
          <c:val>
            <c:numRef>
              <c:f>'F10.1'!$D$8:$L$8</c:f>
              <c:numCache>
                <c:formatCode>0.00</c:formatCode>
                <c:ptCount val="9"/>
                <c:pt idx="0">
                  <c:v>6.7062274431310094</c:v>
                </c:pt>
                <c:pt idx="1">
                  <c:v>6.4288487590217329</c:v>
                </c:pt>
                <c:pt idx="2">
                  <c:v>6.7036027109556837</c:v>
                </c:pt>
                <c:pt idx="3">
                  <c:v>5.6691841382544039</c:v>
                </c:pt>
                <c:pt idx="4">
                  <c:v>6.6151065309388768</c:v>
                </c:pt>
                <c:pt idx="5">
                  <c:v>6.0066833638377801</c:v>
                </c:pt>
                <c:pt idx="6">
                  <c:v>5.0319362799979332</c:v>
                </c:pt>
                <c:pt idx="7">
                  <c:v>5.097034050471744</c:v>
                </c:pt>
                <c:pt idx="8">
                  <c:v>6.4588251648972852</c:v>
                </c:pt>
              </c:numCache>
            </c:numRef>
          </c:val>
        </c:ser>
        <c:ser>
          <c:idx val="0"/>
          <c:order val="4"/>
          <c:tx>
            <c:strRef>
              <c:f>'F10.1'!$C$9</c:f>
              <c:strCache>
                <c:ptCount val="1"/>
                <c:pt idx="0">
                  <c:v>2017-18</c:v>
                </c:pt>
              </c:strCache>
            </c:strRef>
          </c:tx>
          <c:spPr>
            <a:solidFill>
              <a:srgbClr val="265A9A"/>
            </a:solidFill>
            <a:ln>
              <a:solidFill>
                <a:srgbClr val="265A9A"/>
              </a:solidFill>
            </a:ln>
          </c:spPr>
          <c:invertIfNegative val="0"/>
          <c:cat>
            <c:strRef>
              <c:f>'F10.1'!$D$4:$L$4</c:f>
              <c:strCache>
                <c:ptCount val="9"/>
                <c:pt idx="0">
                  <c:v>NSW</c:v>
                </c:pt>
                <c:pt idx="1">
                  <c:v>Vic</c:v>
                </c:pt>
                <c:pt idx="2">
                  <c:v>Qld</c:v>
                </c:pt>
                <c:pt idx="3">
                  <c:v>WA</c:v>
                </c:pt>
                <c:pt idx="4">
                  <c:v>SA</c:v>
                </c:pt>
                <c:pt idx="5">
                  <c:v>Tas</c:v>
                </c:pt>
                <c:pt idx="6">
                  <c:v>ACT</c:v>
                </c:pt>
                <c:pt idx="7">
                  <c:v>NT</c:v>
                </c:pt>
                <c:pt idx="8">
                  <c:v>Aust</c:v>
                </c:pt>
              </c:strCache>
            </c:strRef>
          </c:cat>
          <c:val>
            <c:numRef>
              <c:f>'F10.1'!$D$9:$L$9</c:f>
              <c:numCache>
                <c:formatCode>0.00</c:formatCode>
                <c:ptCount val="9"/>
                <c:pt idx="0">
                  <c:v>6.6862316677214055</c:v>
                </c:pt>
                <c:pt idx="1">
                  <c:v>6.4071034250888177</c:v>
                </c:pt>
                <c:pt idx="2">
                  <c:v>6.7181116419568614</c:v>
                </c:pt>
                <c:pt idx="3">
                  <c:v>5.8515665622601336</c:v>
                </c:pt>
                <c:pt idx="4">
                  <c:v>6.5876584803822569</c:v>
                </c:pt>
                <c:pt idx="5">
                  <c:v>5.9957840728676883</c:v>
                </c:pt>
                <c:pt idx="6">
                  <c:v>4.9512137066138351</c:v>
                </c:pt>
                <c:pt idx="7">
                  <c:v>5.4613295720759059</c:v>
                </c:pt>
                <c:pt idx="8">
                  <c:v>6.4694870865424159</c:v>
                </c:pt>
              </c:numCache>
            </c:numRef>
          </c:val>
        </c:ser>
        <c:dLbls>
          <c:showLegendKey val="0"/>
          <c:showVal val="0"/>
          <c:showCatName val="0"/>
          <c:showSerName val="0"/>
          <c:showPercent val="0"/>
          <c:showBubbleSize val="0"/>
        </c:dLbls>
        <c:gapWidth val="150"/>
        <c:axId val="536379072"/>
        <c:axId val="536381816"/>
      </c:barChart>
      <c:catAx>
        <c:axId val="536379072"/>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536381816"/>
        <c:crosses val="autoZero"/>
        <c:auto val="1"/>
        <c:lblAlgn val="ctr"/>
        <c:lblOffset val="100"/>
        <c:noMultiLvlLbl val="0"/>
      </c:catAx>
      <c:valAx>
        <c:axId val="536381816"/>
        <c:scaling>
          <c:orientation val="minMax"/>
          <c:max val="8"/>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Services  per person</a:t>
                </a:r>
              </a:p>
            </c:rich>
          </c:tx>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536379072"/>
        <c:crosses val="autoZero"/>
        <c:crossBetween val="between"/>
        <c:majorUnit val="2"/>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egendEntry>
        <c:idx val="1"/>
        <c:delete val="1"/>
      </c:legendEntry>
      <c:legendEntry>
        <c:idx val="2"/>
        <c:delete val="1"/>
      </c:legendEntry>
      <c:legendEntry>
        <c:idx val="3"/>
        <c:delete val="1"/>
      </c:legendEntry>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'F10.14'!$A$5</c:f>
              <c:strCache>
                <c:ptCount val="1"/>
                <c:pt idx="0">
                  <c:v>Listened carefully</c:v>
                </c:pt>
              </c:strCache>
            </c:strRef>
          </c:tx>
          <c:spPr>
            <a:solidFill>
              <a:srgbClr val="66BCDB"/>
            </a:solidFill>
            <a:ln>
              <a:solidFill>
                <a:srgbClr val="66BCDB"/>
              </a:solidFill>
            </a:ln>
          </c:spPr>
          <c:invertIfNegative val="0"/>
          <c:errBars>
            <c:errBarType val="both"/>
            <c:errValType val="cust"/>
            <c:noEndCap val="0"/>
            <c:plus>
              <c:numRef>
                <c:f>'F10.14'!$B$7:$J$7</c:f>
                <c:numCache>
                  <c:formatCode>General</c:formatCode>
                  <c:ptCount val="9"/>
                  <c:pt idx="0">
                    <c:v>1.1000000000000001</c:v>
                  </c:pt>
                  <c:pt idx="1">
                    <c:v>1.3</c:v>
                  </c:pt>
                  <c:pt idx="2">
                    <c:v>0.7</c:v>
                  </c:pt>
                  <c:pt idx="3">
                    <c:v>1.4</c:v>
                  </c:pt>
                  <c:pt idx="4">
                    <c:v>0.7</c:v>
                  </c:pt>
                  <c:pt idx="5">
                    <c:v>1.8</c:v>
                  </c:pt>
                  <c:pt idx="6">
                    <c:v>2</c:v>
                  </c:pt>
                  <c:pt idx="7">
                    <c:v>2.8</c:v>
                  </c:pt>
                  <c:pt idx="8">
                    <c:v>0.5</c:v>
                  </c:pt>
                </c:numCache>
              </c:numRef>
            </c:plus>
            <c:minus>
              <c:numRef>
                <c:f>'F10.14'!$B$7:$J$7</c:f>
                <c:numCache>
                  <c:formatCode>General</c:formatCode>
                  <c:ptCount val="9"/>
                  <c:pt idx="0">
                    <c:v>1.1000000000000001</c:v>
                  </c:pt>
                  <c:pt idx="1">
                    <c:v>1.3</c:v>
                  </c:pt>
                  <c:pt idx="2">
                    <c:v>0.7</c:v>
                  </c:pt>
                  <c:pt idx="3">
                    <c:v>1.4</c:v>
                  </c:pt>
                  <c:pt idx="4">
                    <c:v>0.7</c:v>
                  </c:pt>
                  <c:pt idx="5">
                    <c:v>1.8</c:v>
                  </c:pt>
                  <c:pt idx="6">
                    <c:v>2</c:v>
                  </c:pt>
                  <c:pt idx="7">
                    <c:v>2.8</c:v>
                  </c:pt>
                  <c:pt idx="8">
                    <c:v>0.5</c:v>
                  </c:pt>
                </c:numCache>
              </c:numRef>
            </c:minus>
            <c:spPr>
              <a:ln>
                <a:solidFill>
                  <a:srgbClr val="265A9A"/>
                </a:solidFill>
              </a:ln>
            </c:spPr>
          </c:errBars>
          <c:cat>
            <c:strRef>
              <c:f>'F10.14'!$B$4:$J$4</c:f>
              <c:strCache>
                <c:ptCount val="9"/>
                <c:pt idx="0">
                  <c:v>NSW</c:v>
                </c:pt>
                <c:pt idx="1">
                  <c:v>Vic</c:v>
                </c:pt>
                <c:pt idx="2">
                  <c:v>Qld</c:v>
                </c:pt>
                <c:pt idx="3">
                  <c:v>WA</c:v>
                </c:pt>
                <c:pt idx="4">
                  <c:v>SA</c:v>
                </c:pt>
                <c:pt idx="5">
                  <c:v>Tas</c:v>
                </c:pt>
                <c:pt idx="6">
                  <c:v>ACT</c:v>
                </c:pt>
                <c:pt idx="7">
                  <c:v>NT</c:v>
                </c:pt>
                <c:pt idx="8">
                  <c:v>Aust</c:v>
                </c:pt>
              </c:strCache>
            </c:strRef>
          </c:cat>
          <c:val>
            <c:numRef>
              <c:f>'F10.14'!$B$5:$J$5</c:f>
              <c:numCache>
                <c:formatCode>General</c:formatCode>
                <c:ptCount val="9"/>
                <c:pt idx="0">
                  <c:v>91.9</c:v>
                </c:pt>
                <c:pt idx="1">
                  <c:v>92.1</c:v>
                </c:pt>
                <c:pt idx="2" formatCode="0.0">
                  <c:v>91.4</c:v>
                </c:pt>
                <c:pt idx="3">
                  <c:v>91.8</c:v>
                </c:pt>
                <c:pt idx="4" formatCode="0.0">
                  <c:v>92.4</c:v>
                </c:pt>
                <c:pt idx="5">
                  <c:v>90.6</c:v>
                </c:pt>
                <c:pt idx="6">
                  <c:v>92.7</c:v>
                </c:pt>
                <c:pt idx="7">
                  <c:v>85</c:v>
                </c:pt>
                <c:pt idx="8">
                  <c:v>91.8</c:v>
                </c:pt>
              </c:numCache>
            </c:numRef>
          </c:val>
        </c:ser>
        <c:ser>
          <c:idx val="1"/>
          <c:order val="1"/>
          <c:tx>
            <c:strRef>
              <c:f>'F10.14'!$A$10</c:f>
              <c:strCache>
                <c:ptCount val="1"/>
                <c:pt idx="0">
                  <c:v>Showed respect</c:v>
                </c:pt>
              </c:strCache>
            </c:strRef>
          </c:tx>
          <c:spPr>
            <a:solidFill>
              <a:srgbClr val="265A9A"/>
            </a:solidFill>
            <a:ln>
              <a:solidFill>
                <a:srgbClr val="265A9A"/>
              </a:solidFill>
            </a:ln>
          </c:spPr>
          <c:invertIfNegative val="0"/>
          <c:errBars>
            <c:errBarType val="both"/>
            <c:errValType val="cust"/>
            <c:noEndCap val="0"/>
            <c:plus>
              <c:numRef>
                <c:f>'F10.14'!$B$12:$J$12</c:f>
                <c:numCache>
                  <c:formatCode>General</c:formatCode>
                  <c:ptCount val="9"/>
                  <c:pt idx="0">
                    <c:v>0</c:v>
                  </c:pt>
                  <c:pt idx="1">
                    <c:v>0.9</c:v>
                  </c:pt>
                  <c:pt idx="2">
                    <c:v>0.7</c:v>
                  </c:pt>
                  <c:pt idx="3">
                    <c:v>0.9</c:v>
                  </c:pt>
                  <c:pt idx="4">
                    <c:v>0</c:v>
                  </c:pt>
                  <c:pt idx="5">
                    <c:v>1.1000000000000001</c:v>
                  </c:pt>
                  <c:pt idx="6">
                    <c:v>2.2000000000000002</c:v>
                  </c:pt>
                  <c:pt idx="7">
                    <c:v>2.4</c:v>
                  </c:pt>
                  <c:pt idx="8">
                    <c:v>0</c:v>
                  </c:pt>
                </c:numCache>
              </c:numRef>
            </c:plus>
            <c:minus>
              <c:numRef>
                <c:f>'F10.14'!$B$12:$I$12</c:f>
                <c:numCache>
                  <c:formatCode>General</c:formatCode>
                  <c:ptCount val="8"/>
                  <c:pt idx="0">
                    <c:v>0</c:v>
                  </c:pt>
                  <c:pt idx="1">
                    <c:v>0.9</c:v>
                  </c:pt>
                  <c:pt idx="2">
                    <c:v>0.7</c:v>
                  </c:pt>
                  <c:pt idx="3">
                    <c:v>0.9</c:v>
                  </c:pt>
                  <c:pt idx="4">
                    <c:v>0</c:v>
                  </c:pt>
                  <c:pt idx="5">
                    <c:v>1.1000000000000001</c:v>
                  </c:pt>
                  <c:pt idx="6">
                    <c:v>2.2000000000000002</c:v>
                  </c:pt>
                  <c:pt idx="7">
                    <c:v>2.4</c:v>
                  </c:pt>
                </c:numCache>
              </c:numRef>
            </c:minus>
            <c:spPr>
              <a:ln>
                <a:solidFill>
                  <a:srgbClr val="66BCDB"/>
                </a:solidFill>
              </a:ln>
            </c:spPr>
          </c:errBars>
          <c:cat>
            <c:strRef>
              <c:f>'F10.14'!$B$4:$J$4</c:f>
              <c:strCache>
                <c:ptCount val="9"/>
                <c:pt idx="0">
                  <c:v>NSW</c:v>
                </c:pt>
                <c:pt idx="1">
                  <c:v>Vic</c:v>
                </c:pt>
                <c:pt idx="2">
                  <c:v>Qld</c:v>
                </c:pt>
                <c:pt idx="3">
                  <c:v>WA</c:v>
                </c:pt>
                <c:pt idx="4">
                  <c:v>SA</c:v>
                </c:pt>
                <c:pt idx="5">
                  <c:v>Tas</c:v>
                </c:pt>
                <c:pt idx="6">
                  <c:v>ACT</c:v>
                </c:pt>
                <c:pt idx="7">
                  <c:v>NT</c:v>
                </c:pt>
                <c:pt idx="8">
                  <c:v>Aust</c:v>
                </c:pt>
              </c:strCache>
            </c:strRef>
          </c:cat>
          <c:val>
            <c:numRef>
              <c:f>'F10.14'!$B$10:$J$10</c:f>
              <c:numCache>
                <c:formatCode>General</c:formatCode>
                <c:ptCount val="9"/>
                <c:pt idx="0">
                  <c:v>94.2</c:v>
                </c:pt>
                <c:pt idx="1">
                  <c:v>94.7</c:v>
                </c:pt>
                <c:pt idx="2">
                  <c:v>93.5</c:v>
                </c:pt>
                <c:pt idx="3">
                  <c:v>94.3</c:v>
                </c:pt>
                <c:pt idx="4">
                  <c:v>94.1</c:v>
                </c:pt>
                <c:pt idx="5">
                  <c:v>93.7</c:v>
                </c:pt>
                <c:pt idx="6">
                  <c:v>94.9</c:v>
                </c:pt>
                <c:pt idx="7">
                  <c:v>89</c:v>
                </c:pt>
                <c:pt idx="8">
                  <c:v>94.1</c:v>
                </c:pt>
              </c:numCache>
            </c:numRef>
          </c:val>
        </c:ser>
        <c:ser>
          <c:idx val="2"/>
          <c:order val="2"/>
          <c:tx>
            <c:strRef>
              <c:f>'F10.14'!$A$15</c:f>
              <c:strCache>
                <c:ptCount val="1"/>
                <c:pt idx="0">
                  <c:v>Spent enough time</c:v>
                </c:pt>
              </c:strCache>
            </c:strRef>
          </c:tx>
          <c:spPr>
            <a:solidFill>
              <a:srgbClr val="78A22F"/>
            </a:solidFill>
            <a:ln>
              <a:solidFill>
                <a:srgbClr val="78A22F"/>
              </a:solidFill>
            </a:ln>
          </c:spPr>
          <c:invertIfNegative val="0"/>
          <c:errBars>
            <c:errBarType val="both"/>
            <c:errValType val="cust"/>
            <c:noEndCap val="0"/>
            <c:plus>
              <c:numRef>
                <c:f>'F10.14'!$B$17:$J$17</c:f>
                <c:numCache>
                  <c:formatCode>General</c:formatCode>
                  <c:ptCount val="9"/>
                  <c:pt idx="0">
                    <c:v>1.1000000000000001</c:v>
                  </c:pt>
                  <c:pt idx="1">
                    <c:v>1.4</c:v>
                  </c:pt>
                  <c:pt idx="2">
                    <c:v>1.1000000000000001</c:v>
                  </c:pt>
                  <c:pt idx="3">
                    <c:v>1.3</c:v>
                  </c:pt>
                  <c:pt idx="4">
                    <c:v>1.1000000000000001</c:v>
                  </c:pt>
                  <c:pt idx="5">
                    <c:v>1.8</c:v>
                  </c:pt>
                  <c:pt idx="6">
                    <c:v>2.6</c:v>
                  </c:pt>
                  <c:pt idx="7">
                    <c:v>2.5</c:v>
                  </c:pt>
                  <c:pt idx="8">
                    <c:v>0</c:v>
                  </c:pt>
                </c:numCache>
              </c:numRef>
            </c:plus>
            <c:minus>
              <c:numRef>
                <c:f>'F10.14'!$B$17:$J$17</c:f>
                <c:numCache>
                  <c:formatCode>General</c:formatCode>
                  <c:ptCount val="9"/>
                  <c:pt idx="0">
                    <c:v>1.1000000000000001</c:v>
                  </c:pt>
                  <c:pt idx="1">
                    <c:v>1.4</c:v>
                  </c:pt>
                  <c:pt idx="2">
                    <c:v>1.1000000000000001</c:v>
                  </c:pt>
                  <c:pt idx="3">
                    <c:v>1.3</c:v>
                  </c:pt>
                  <c:pt idx="4">
                    <c:v>1.1000000000000001</c:v>
                  </c:pt>
                  <c:pt idx="5">
                    <c:v>1.8</c:v>
                  </c:pt>
                  <c:pt idx="6">
                    <c:v>2.6</c:v>
                  </c:pt>
                  <c:pt idx="7">
                    <c:v>2.5</c:v>
                  </c:pt>
                  <c:pt idx="8">
                    <c:v>0</c:v>
                  </c:pt>
                </c:numCache>
              </c:numRef>
            </c:minus>
            <c:spPr>
              <a:ln>
                <a:solidFill>
                  <a:srgbClr val="4D7028"/>
                </a:solidFill>
              </a:ln>
            </c:spPr>
          </c:errBars>
          <c:cat>
            <c:strRef>
              <c:f>'F10.14'!$B$4:$J$4</c:f>
              <c:strCache>
                <c:ptCount val="9"/>
                <c:pt idx="0">
                  <c:v>NSW</c:v>
                </c:pt>
                <c:pt idx="1">
                  <c:v>Vic</c:v>
                </c:pt>
                <c:pt idx="2">
                  <c:v>Qld</c:v>
                </c:pt>
                <c:pt idx="3">
                  <c:v>WA</c:v>
                </c:pt>
                <c:pt idx="4">
                  <c:v>SA</c:v>
                </c:pt>
                <c:pt idx="5">
                  <c:v>Tas</c:v>
                </c:pt>
                <c:pt idx="6">
                  <c:v>ACT</c:v>
                </c:pt>
                <c:pt idx="7">
                  <c:v>NT</c:v>
                </c:pt>
                <c:pt idx="8">
                  <c:v>Aust</c:v>
                </c:pt>
              </c:strCache>
            </c:strRef>
          </c:cat>
          <c:val>
            <c:numRef>
              <c:f>'F10.14'!$B$15:$J$15</c:f>
              <c:numCache>
                <c:formatCode>General</c:formatCode>
                <c:ptCount val="9"/>
                <c:pt idx="0" formatCode="0.0">
                  <c:v>91.2</c:v>
                </c:pt>
                <c:pt idx="1">
                  <c:v>90.3</c:v>
                </c:pt>
                <c:pt idx="2">
                  <c:v>90.6</c:v>
                </c:pt>
                <c:pt idx="3">
                  <c:v>91.3</c:v>
                </c:pt>
                <c:pt idx="4">
                  <c:v>90.9</c:v>
                </c:pt>
                <c:pt idx="5">
                  <c:v>89.3</c:v>
                </c:pt>
                <c:pt idx="6">
                  <c:v>89.2</c:v>
                </c:pt>
                <c:pt idx="7">
                  <c:v>85.9</c:v>
                </c:pt>
                <c:pt idx="8">
                  <c:v>90.7</c:v>
                </c:pt>
              </c:numCache>
            </c:numRef>
          </c:val>
        </c:ser>
        <c:dLbls>
          <c:showLegendKey val="0"/>
          <c:showVal val="0"/>
          <c:showCatName val="0"/>
          <c:showSerName val="0"/>
          <c:showPercent val="0"/>
          <c:showBubbleSize val="0"/>
        </c:dLbls>
        <c:gapWidth val="150"/>
        <c:axId val="536802048"/>
        <c:axId val="536799304"/>
      </c:barChart>
      <c:catAx>
        <c:axId val="536802048"/>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536799304"/>
        <c:crosses val="autoZero"/>
        <c:auto val="1"/>
        <c:lblAlgn val="ctr"/>
        <c:lblOffset val="100"/>
        <c:noMultiLvlLbl val="0"/>
      </c:catAx>
      <c:valAx>
        <c:axId val="536799304"/>
        <c:scaling>
          <c:orientation val="minMax"/>
          <c:max val="100"/>
          <c:min val="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Per cent</a:t>
                </a:r>
              </a:p>
            </c:rich>
          </c:tx>
          <c:layout/>
          <c:overlay val="0"/>
        </c:title>
        <c:numFmt formatCode="General" sourceLinked="1"/>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536802048"/>
        <c:crosses val="autoZero"/>
        <c:crossBetween val="between"/>
        <c:maj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'F10.15'!$A$4</c:f>
              <c:strCache>
                <c:ptCount val="1"/>
                <c:pt idx="0">
                  <c:v>Listened carefully</c:v>
                </c:pt>
              </c:strCache>
            </c:strRef>
          </c:tx>
          <c:spPr>
            <a:solidFill>
              <a:srgbClr val="66BCDB"/>
            </a:solidFill>
            <a:ln>
              <a:solidFill>
                <a:srgbClr val="66BCDB"/>
              </a:solidFill>
            </a:ln>
          </c:spPr>
          <c:invertIfNegative val="0"/>
          <c:errBars>
            <c:errBarType val="both"/>
            <c:errValType val="cust"/>
            <c:noEndCap val="0"/>
            <c:plus>
              <c:numRef>
                <c:f>'F10.15'!$B$6:$J$6</c:f>
                <c:numCache>
                  <c:formatCode>General</c:formatCode>
                  <c:ptCount val="9"/>
                  <c:pt idx="0">
                    <c:v>0</c:v>
                  </c:pt>
                  <c:pt idx="1">
                    <c:v>1.3</c:v>
                  </c:pt>
                  <c:pt idx="2">
                    <c:v>1.1000000000000001</c:v>
                  </c:pt>
                  <c:pt idx="3">
                    <c:v>1.9</c:v>
                  </c:pt>
                  <c:pt idx="4">
                    <c:v>0</c:v>
                  </c:pt>
                  <c:pt idx="5">
                    <c:v>2.6</c:v>
                  </c:pt>
                  <c:pt idx="6">
                    <c:v>1.3</c:v>
                  </c:pt>
                  <c:pt idx="7">
                    <c:v>13.8</c:v>
                  </c:pt>
                  <c:pt idx="8">
                    <c:v>0</c:v>
                  </c:pt>
                </c:numCache>
              </c:numRef>
            </c:plus>
            <c:minus>
              <c:numRef>
                <c:f>'F10.15'!$B$6:$J$6</c:f>
                <c:numCache>
                  <c:formatCode>General</c:formatCode>
                  <c:ptCount val="9"/>
                  <c:pt idx="0">
                    <c:v>0</c:v>
                  </c:pt>
                  <c:pt idx="1">
                    <c:v>1.3</c:v>
                  </c:pt>
                  <c:pt idx="2">
                    <c:v>1.1000000000000001</c:v>
                  </c:pt>
                  <c:pt idx="3">
                    <c:v>1.9</c:v>
                  </c:pt>
                  <c:pt idx="4">
                    <c:v>0</c:v>
                  </c:pt>
                  <c:pt idx="5">
                    <c:v>2.6</c:v>
                  </c:pt>
                  <c:pt idx="6">
                    <c:v>1.3</c:v>
                  </c:pt>
                  <c:pt idx="7">
                    <c:v>13.8</c:v>
                  </c:pt>
                  <c:pt idx="8">
                    <c:v>0</c:v>
                  </c:pt>
                </c:numCache>
              </c:numRef>
            </c:minus>
            <c:spPr>
              <a:ln>
                <a:solidFill>
                  <a:srgbClr val="265A9A"/>
                </a:solidFill>
              </a:ln>
            </c:spPr>
          </c:errBars>
          <c:cat>
            <c:strRef>
              <c:f>'F10.15'!$B$3:$J$3</c:f>
              <c:strCache>
                <c:ptCount val="9"/>
                <c:pt idx="0">
                  <c:v>NSW</c:v>
                </c:pt>
                <c:pt idx="1">
                  <c:v>Vic</c:v>
                </c:pt>
                <c:pt idx="2">
                  <c:v>Qld</c:v>
                </c:pt>
                <c:pt idx="3">
                  <c:v>WA</c:v>
                </c:pt>
                <c:pt idx="4">
                  <c:v>SA</c:v>
                </c:pt>
                <c:pt idx="5">
                  <c:v>Tas</c:v>
                </c:pt>
                <c:pt idx="6">
                  <c:v>ACT</c:v>
                </c:pt>
                <c:pt idx="7">
                  <c:v>NT</c:v>
                </c:pt>
                <c:pt idx="8">
                  <c:v>Aust</c:v>
                </c:pt>
              </c:strCache>
            </c:strRef>
          </c:cat>
          <c:val>
            <c:numRef>
              <c:f>'F10.15'!$B$4:$J$4</c:f>
              <c:numCache>
                <c:formatCode>General</c:formatCode>
                <c:ptCount val="9"/>
                <c:pt idx="0">
                  <c:v>95.7</c:v>
                </c:pt>
                <c:pt idx="1">
                  <c:v>96.3</c:v>
                </c:pt>
                <c:pt idx="2" formatCode="0.0">
                  <c:v>96.4</c:v>
                </c:pt>
                <c:pt idx="3">
                  <c:v>96.3</c:v>
                </c:pt>
                <c:pt idx="4" formatCode="0.0">
                  <c:v>95.7</c:v>
                </c:pt>
                <c:pt idx="5">
                  <c:v>95.1</c:v>
                </c:pt>
                <c:pt idx="6">
                  <c:v>97.3</c:v>
                </c:pt>
                <c:pt idx="7">
                  <c:v>95.3</c:v>
                </c:pt>
                <c:pt idx="8">
                  <c:v>96</c:v>
                </c:pt>
              </c:numCache>
            </c:numRef>
          </c:val>
        </c:ser>
        <c:ser>
          <c:idx val="1"/>
          <c:order val="1"/>
          <c:tx>
            <c:strRef>
              <c:f>'F10.15'!$A$9</c:f>
              <c:strCache>
                <c:ptCount val="1"/>
                <c:pt idx="0">
                  <c:v>Showed respect</c:v>
                </c:pt>
              </c:strCache>
            </c:strRef>
          </c:tx>
          <c:spPr>
            <a:solidFill>
              <a:srgbClr val="265A9A"/>
            </a:solidFill>
            <a:ln>
              <a:solidFill>
                <a:srgbClr val="265A9A"/>
              </a:solidFill>
            </a:ln>
          </c:spPr>
          <c:invertIfNegative val="0"/>
          <c:errBars>
            <c:errBarType val="both"/>
            <c:errValType val="cust"/>
            <c:noEndCap val="0"/>
            <c:plus>
              <c:numRef>
                <c:f>'F10.15'!$B$11:$J$11</c:f>
                <c:numCache>
                  <c:formatCode>General</c:formatCode>
                  <c:ptCount val="9"/>
                  <c:pt idx="0">
                    <c:v>0</c:v>
                  </c:pt>
                  <c:pt idx="1">
                    <c:v>1</c:v>
                  </c:pt>
                  <c:pt idx="2">
                    <c:v>1.5</c:v>
                  </c:pt>
                  <c:pt idx="3">
                    <c:v>1.3</c:v>
                  </c:pt>
                  <c:pt idx="4">
                    <c:v>5.7</c:v>
                  </c:pt>
                  <c:pt idx="5">
                    <c:v>0</c:v>
                  </c:pt>
                  <c:pt idx="6">
                    <c:v>1.3</c:v>
                  </c:pt>
                  <c:pt idx="7">
                    <c:v>0.4</c:v>
                  </c:pt>
                  <c:pt idx="8">
                    <c:v>0</c:v>
                  </c:pt>
                </c:numCache>
              </c:numRef>
            </c:plus>
            <c:minus>
              <c:numRef>
                <c:f>'F10.15'!$B$11:$J$11</c:f>
                <c:numCache>
                  <c:formatCode>General</c:formatCode>
                  <c:ptCount val="9"/>
                  <c:pt idx="0">
                    <c:v>0</c:v>
                  </c:pt>
                  <c:pt idx="1">
                    <c:v>1</c:v>
                  </c:pt>
                  <c:pt idx="2">
                    <c:v>1.5</c:v>
                  </c:pt>
                  <c:pt idx="3">
                    <c:v>1.3</c:v>
                  </c:pt>
                  <c:pt idx="4">
                    <c:v>5.7</c:v>
                  </c:pt>
                  <c:pt idx="5">
                    <c:v>0</c:v>
                  </c:pt>
                  <c:pt idx="6">
                    <c:v>1.3</c:v>
                  </c:pt>
                  <c:pt idx="7">
                    <c:v>0.4</c:v>
                  </c:pt>
                  <c:pt idx="8">
                    <c:v>0</c:v>
                  </c:pt>
                </c:numCache>
              </c:numRef>
            </c:minus>
            <c:spPr>
              <a:ln>
                <a:solidFill>
                  <a:srgbClr val="66BCDB"/>
                </a:solidFill>
              </a:ln>
            </c:spPr>
          </c:errBars>
          <c:cat>
            <c:strRef>
              <c:f>'F10.15'!$B$3:$J$3</c:f>
              <c:strCache>
                <c:ptCount val="9"/>
                <c:pt idx="0">
                  <c:v>NSW</c:v>
                </c:pt>
                <c:pt idx="1">
                  <c:v>Vic</c:v>
                </c:pt>
                <c:pt idx="2">
                  <c:v>Qld</c:v>
                </c:pt>
                <c:pt idx="3">
                  <c:v>WA</c:v>
                </c:pt>
                <c:pt idx="4">
                  <c:v>SA</c:v>
                </c:pt>
                <c:pt idx="5">
                  <c:v>Tas</c:v>
                </c:pt>
                <c:pt idx="6">
                  <c:v>ACT</c:v>
                </c:pt>
                <c:pt idx="7">
                  <c:v>NT</c:v>
                </c:pt>
                <c:pt idx="8">
                  <c:v>Aust</c:v>
                </c:pt>
              </c:strCache>
            </c:strRef>
          </c:cat>
          <c:val>
            <c:numRef>
              <c:f>'F10.15'!$B$9:$J$9</c:f>
              <c:numCache>
                <c:formatCode>General</c:formatCode>
                <c:ptCount val="9"/>
                <c:pt idx="0">
                  <c:v>96.8</c:v>
                </c:pt>
                <c:pt idx="1">
                  <c:v>97.1</c:v>
                </c:pt>
                <c:pt idx="2">
                  <c:v>97.2</c:v>
                </c:pt>
                <c:pt idx="3">
                  <c:v>97.1</c:v>
                </c:pt>
                <c:pt idx="4">
                  <c:v>96.4</c:v>
                </c:pt>
                <c:pt idx="5">
                  <c:v>96.5</c:v>
                </c:pt>
                <c:pt idx="6">
                  <c:v>96.9</c:v>
                </c:pt>
                <c:pt idx="7">
                  <c:v>96.3</c:v>
                </c:pt>
                <c:pt idx="8">
                  <c:v>97</c:v>
                </c:pt>
              </c:numCache>
            </c:numRef>
          </c:val>
        </c:ser>
        <c:ser>
          <c:idx val="2"/>
          <c:order val="2"/>
          <c:tx>
            <c:strRef>
              <c:f>'F10.15'!$A$14</c:f>
              <c:strCache>
                <c:ptCount val="1"/>
                <c:pt idx="0">
                  <c:v>Spent enough time</c:v>
                </c:pt>
              </c:strCache>
            </c:strRef>
          </c:tx>
          <c:spPr>
            <a:solidFill>
              <a:srgbClr val="78A22F"/>
            </a:solidFill>
            <a:ln>
              <a:solidFill>
                <a:srgbClr val="78A22F"/>
              </a:solidFill>
            </a:ln>
          </c:spPr>
          <c:invertIfNegative val="0"/>
          <c:errBars>
            <c:errBarType val="both"/>
            <c:errValType val="cust"/>
            <c:noEndCap val="0"/>
            <c:plus>
              <c:numRef>
                <c:f>'F10.15'!$B$16:$J$16</c:f>
                <c:numCache>
                  <c:formatCode>General</c:formatCode>
                  <c:ptCount val="9"/>
                  <c:pt idx="0">
                    <c:v>1.1000000000000001</c:v>
                  </c:pt>
                  <c:pt idx="1">
                    <c:v>0.9</c:v>
                  </c:pt>
                  <c:pt idx="2">
                    <c:v>0</c:v>
                  </c:pt>
                  <c:pt idx="3">
                    <c:v>0</c:v>
                  </c:pt>
                  <c:pt idx="4">
                    <c:v>5.7</c:v>
                  </c:pt>
                  <c:pt idx="5">
                    <c:v>2.1</c:v>
                  </c:pt>
                  <c:pt idx="6">
                    <c:v>0</c:v>
                  </c:pt>
                  <c:pt idx="7">
                    <c:v>2.2000000000000002</c:v>
                  </c:pt>
                  <c:pt idx="8">
                    <c:v>0</c:v>
                  </c:pt>
                </c:numCache>
              </c:numRef>
            </c:plus>
            <c:minus>
              <c:numRef>
                <c:f>'F10.15'!$B$16:$J$16</c:f>
                <c:numCache>
                  <c:formatCode>General</c:formatCode>
                  <c:ptCount val="9"/>
                  <c:pt idx="0">
                    <c:v>1.1000000000000001</c:v>
                  </c:pt>
                  <c:pt idx="1">
                    <c:v>0.9</c:v>
                  </c:pt>
                  <c:pt idx="2">
                    <c:v>0</c:v>
                  </c:pt>
                  <c:pt idx="3">
                    <c:v>0</c:v>
                  </c:pt>
                  <c:pt idx="4">
                    <c:v>5.7</c:v>
                  </c:pt>
                  <c:pt idx="5">
                    <c:v>2.1</c:v>
                  </c:pt>
                  <c:pt idx="6">
                    <c:v>0</c:v>
                  </c:pt>
                  <c:pt idx="7">
                    <c:v>2.2000000000000002</c:v>
                  </c:pt>
                  <c:pt idx="8">
                    <c:v>0</c:v>
                  </c:pt>
                </c:numCache>
              </c:numRef>
            </c:minus>
            <c:spPr>
              <a:ln>
                <a:solidFill>
                  <a:srgbClr val="4D7028"/>
                </a:solidFill>
              </a:ln>
            </c:spPr>
          </c:errBars>
          <c:cat>
            <c:strRef>
              <c:f>'F10.15'!$B$3:$J$3</c:f>
              <c:strCache>
                <c:ptCount val="9"/>
                <c:pt idx="0">
                  <c:v>NSW</c:v>
                </c:pt>
                <c:pt idx="1">
                  <c:v>Vic</c:v>
                </c:pt>
                <c:pt idx="2">
                  <c:v>Qld</c:v>
                </c:pt>
                <c:pt idx="3">
                  <c:v>WA</c:v>
                </c:pt>
                <c:pt idx="4">
                  <c:v>SA</c:v>
                </c:pt>
                <c:pt idx="5">
                  <c:v>Tas</c:v>
                </c:pt>
                <c:pt idx="6">
                  <c:v>ACT</c:v>
                </c:pt>
                <c:pt idx="7">
                  <c:v>NT</c:v>
                </c:pt>
                <c:pt idx="8">
                  <c:v>Aust</c:v>
                </c:pt>
              </c:strCache>
            </c:strRef>
          </c:cat>
          <c:val>
            <c:numRef>
              <c:f>'F10.15'!$B$14:$J$14</c:f>
              <c:numCache>
                <c:formatCode>General</c:formatCode>
                <c:ptCount val="9"/>
                <c:pt idx="0" formatCode="0.0">
                  <c:v>96.8</c:v>
                </c:pt>
                <c:pt idx="1">
                  <c:v>96.5</c:v>
                </c:pt>
                <c:pt idx="2">
                  <c:v>97.8</c:v>
                </c:pt>
                <c:pt idx="3">
                  <c:v>97.3</c:v>
                </c:pt>
                <c:pt idx="4">
                  <c:v>96.5</c:v>
                </c:pt>
                <c:pt idx="5">
                  <c:v>97.1</c:v>
                </c:pt>
                <c:pt idx="6">
                  <c:v>97.3</c:v>
                </c:pt>
                <c:pt idx="7">
                  <c:v>95.6</c:v>
                </c:pt>
                <c:pt idx="8">
                  <c:v>97</c:v>
                </c:pt>
              </c:numCache>
            </c:numRef>
          </c:val>
        </c:ser>
        <c:dLbls>
          <c:showLegendKey val="0"/>
          <c:showVal val="0"/>
          <c:showCatName val="0"/>
          <c:showSerName val="0"/>
          <c:showPercent val="0"/>
          <c:showBubbleSize val="0"/>
        </c:dLbls>
        <c:gapWidth val="150"/>
        <c:axId val="536805184"/>
        <c:axId val="536799696"/>
      </c:barChart>
      <c:catAx>
        <c:axId val="536805184"/>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536799696"/>
        <c:crosses val="autoZero"/>
        <c:auto val="1"/>
        <c:lblAlgn val="ctr"/>
        <c:lblOffset val="100"/>
        <c:noMultiLvlLbl val="0"/>
      </c:catAx>
      <c:valAx>
        <c:axId val="536799696"/>
        <c:scaling>
          <c:orientation val="minMax"/>
          <c:max val="100"/>
          <c:min val="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Per cent</a:t>
                </a:r>
              </a:p>
            </c:rich>
          </c:tx>
          <c:layout/>
          <c:overlay val="0"/>
        </c:title>
        <c:numFmt formatCode="General" sourceLinked="1"/>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536805184"/>
        <c:crosses val="autoZero"/>
        <c:crossBetween val="between"/>
        <c:majorUnit val="20"/>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'F10.18'!$C$4</c:f>
              <c:strCache>
                <c:ptCount val="1"/>
                <c:pt idx="0">
                  <c:v>2012-2013</c:v>
                </c:pt>
              </c:strCache>
            </c:strRef>
          </c:tx>
          <c:spPr>
            <a:solidFill>
              <a:srgbClr val="66BCDB"/>
            </a:solidFill>
            <a:ln>
              <a:solidFill>
                <a:srgbClr val="66BCDB"/>
              </a:solidFill>
            </a:ln>
          </c:spPr>
          <c:invertIfNegative val="0"/>
          <c:cat>
            <c:strRef>
              <c:f>'F10.18'!$D$3:$L$3</c:f>
              <c:strCache>
                <c:ptCount val="9"/>
                <c:pt idx="0">
                  <c:v>NSW</c:v>
                </c:pt>
                <c:pt idx="1">
                  <c:v>Vic</c:v>
                </c:pt>
                <c:pt idx="2">
                  <c:v>Qld</c:v>
                </c:pt>
                <c:pt idx="3">
                  <c:v>WA</c:v>
                </c:pt>
                <c:pt idx="4">
                  <c:v>SA</c:v>
                </c:pt>
                <c:pt idx="5">
                  <c:v>Tas</c:v>
                </c:pt>
                <c:pt idx="6">
                  <c:v>ACT</c:v>
                </c:pt>
                <c:pt idx="7">
                  <c:v>NT</c:v>
                </c:pt>
                <c:pt idx="8">
                  <c:v>Aust</c:v>
                </c:pt>
              </c:strCache>
            </c:strRef>
          </c:cat>
          <c:val>
            <c:numRef>
              <c:f>'F10.18'!$D$4:$L$4</c:f>
            </c:numRef>
          </c:val>
        </c:ser>
        <c:ser>
          <c:idx val="1"/>
          <c:order val="1"/>
          <c:tx>
            <c:strRef>
              <c:f>'F10.18'!$C$5</c:f>
              <c:strCache>
                <c:ptCount val="1"/>
                <c:pt idx="0">
                  <c:v>2013-2014</c:v>
                </c:pt>
              </c:strCache>
            </c:strRef>
          </c:tx>
          <c:spPr>
            <a:solidFill>
              <a:srgbClr val="265A9A"/>
            </a:solidFill>
            <a:ln>
              <a:solidFill>
                <a:srgbClr val="265A9A"/>
              </a:solidFill>
            </a:ln>
          </c:spPr>
          <c:invertIfNegative val="0"/>
          <c:cat>
            <c:strRef>
              <c:f>'F10.18'!$D$3:$L$3</c:f>
              <c:strCache>
                <c:ptCount val="9"/>
                <c:pt idx="0">
                  <c:v>NSW</c:v>
                </c:pt>
                <c:pt idx="1">
                  <c:v>Vic</c:v>
                </c:pt>
                <c:pt idx="2">
                  <c:v>Qld</c:v>
                </c:pt>
                <c:pt idx="3">
                  <c:v>WA</c:v>
                </c:pt>
                <c:pt idx="4">
                  <c:v>SA</c:v>
                </c:pt>
                <c:pt idx="5">
                  <c:v>Tas</c:v>
                </c:pt>
                <c:pt idx="6">
                  <c:v>ACT</c:v>
                </c:pt>
                <c:pt idx="7">
                  <c:v>NT</c:v>
                </c:pt>
                <c:pt idx="8">
                  <c:v>Aust</c:v>
                </c:pt>
              </c:strCache>
            </c:strRef>
          </c:cat>
          <c:val>
            <c:numRef>
              <c:f>'F10.18'!$D$5:$L$5</c:f>
            </c:numRef>
          </c:val>
        </c:ser>
        <c:ser>
          <c:idx val="2"/>
          <c:order val="2"/>
          <c:tx>
            <c:strRef>
              <c:f>'F10.18'!$C$6</c:f>
              <c:strCache>
                <c:ptCount val="1"/>
                <c:pt idx="0">
                  <c:v>2014-2015</c:v>
                </c:pt>
              </c:strCache>
            </c:strRef>
          </c:tx>
          <c:spPr>
            <a:solidFill>
              <a:srgbClr val="78A22F"/>
            </a:solidFill>
            <a:ln>
              <a:solidFill>
                <a:srgbClr val="78A22F"/>
              </a:solidFill>
            </a:ln>
          </c:spPr>
          <c:invertIfNegative val="0"/>
          <c:cat>
            <c:strRef>
              <c:f>'F10.18'!$D$3:$L$3</c:f>
              <c:strCache>
                <c:ptCount val="9"/>
                <c:pt idx="0">
                  <c:v>NSW</c:v>
                </c:pt>
                <c:pt idx="1">
                  <c:v>Vic</c:v>
                </c:pt>
                <c:pt idx="2">
                  <c:v>Qld</c:v>
                </c:pt>
                <c:pt idx="3">
                  <c:v>WA</c:v>
                </c:pt>
                <c:pt idx="4">
                  <c:v>SA</c:v>
                </c:pt>
                <c:pt idx="5">
                  <c:v>Tas</c:v>
                </c:pt>
                <c:pt idx="6">
                  <c:v>ACT</c:v>
                </c:pt>
                <c:pt idx="7">
                  <c:v>NT</c:v>
                </c:pt>
                <c:pt idx="8">
                  <c:v>Aust</c:v>
                </c:pt>
              </c:strCache>
            </c:strRef>
          </c:cat>
          <c:val>
            <c:numRef>
              <c:f>'F10.18'!$D$6:$L$6</c:f>
            </c:numRef>
          </c:val>
        </c:ser>
        <c:ser>
          <c:idx val="3"/>
          <c:order val="3"/>
          <c:tx>
            <c:strRef>
              <c:f>'F10.18'!$C$7</c:f>
              <c:strCache>
                <c:ptCount val="1"/>
                <c:pt idx="0">
                  <c:v>2015-2016</c:v>
                </c:pt>
              </c:strCache>
            </c:strRef>
          </c:tx>
          <c:spPr>
            <a:solidFill>
              <a:srgbClr val="4D7028"/>
            </a:solidFill>
            <a:ln>
              <a:solidFill>
                <a:srgbClr val="4D7028"/>
              </a:solidFill>
            </a:ln>
          </c:spPr>
          <c:invertIfNegative val="0"/>
          <c:cat>
            <c:strRef>
              <c:f>'F10.18'!$D$3:$L$3</c:f>
              <c:strCache>
                <c:ptCount val="9"/>
                <c:pt idx="0">
                  <c:v>NSW</c:v>
                </c:pt>
                <c:pt idx="1">
                  <c:v>Vic</c:v>
                </c:pt>
                <c:pt idx="2">
                  <c:v>Qld</c:v>
                </c:pt>
                <c:pt idx="3">
                  <c:v>WA</c:v>
                </c:pt>
                <c:pt idx="4">
                  <c:v>SA</c:v>
                </c:pt>
                <c:pt idx="5">
                  <c:v>Tas</c:v>
                </c:pt>
                <c:pt idx="6">
                  <c:v>ACT</c:v>
                </c:pt>
                <c:pt idx="7">
                  <c:v>NT</c:v>
                </c:pt>
                <c:pt idx="8">
                  <c:v>Aust</c:v>
                </c:pt>
              </c:strCache>
            </c:strRef>
          </c:cat>
          <c:val>
            <c:numRef>
              <c:f>'F10.18'!$D$7:$L$7</c:f>
            </c:numRef>
          </c:val>
        </c:ser>
        <c:ser>
          <c:idx val="4"/>
          <c:order val="4"/>
          <c:tx>
            <c:strRef>
              <c:f>'F10.18'!$C$8</c:f>
              <c:strCache>
                <c:ptCount val="1"/>
                <c:pt idx="0">
                  <c:v>2016-17</c:v>
                </c:pt>
              </c:strCache>
            </c:strRef>
          </c:tx>
          <c:spPr>
            <a:solidFill>
              <a:srgbClr val="66BCDB"/>
            </a:solidFill>
            <a:ln>
              <a:solidFill>
                <a:srgbClr val="66BCDB"/>
              </a:solidFill>
            </a:ln>
          </c:spPr>
          <c:invertIfNegative val="0"/>
          <c:cat>
            <c:strRef>
              <c:f>'F10.18'!$D$3:$L$3</c:f>
              <c:strCache>
                <c:ptCount val="9"/>
                <c:pt idx="0">
                  <c:v>NSW</c:v>
                </c:pt>
                <c:pt idx="1">
                  <c:v>Vic</c:v>
                </c:pt>
                <c:pt idx="2">
                  <c:v>Qld</c:v>
                </c:pt>
                <c:pt idx="3">
                  <c:v>WA</c:v>
                </c:pt>
                <c:pt idx="4">
                  <c:v>SA</c:v>
                </c:pt>
                <c:pt idx="5">
                  <c:v>Tas</c:v>
                </c:pt>
                <c:pt idx="6">
                  <c:v>ACT</c:v>
                </c:pt>
                <c:pt idx="7">
                  <c:v>NT</c:v>
                </c:pt>
                <c:pt idx="8">
                  <c:v>Aust</c:v>
                </c:pt>
              </c:strCache>
            </c:strRef>
          </c:cat>
          <c:val>
            <c:numRef>
              <c:f>'F10.18'!$D$8:$L$8</c:f>
              <c:numCache>
                <c:formatCode>###\ ###\ ##0.0;\-###\ ###\ ##0.0;"–"</c:formatCode>
                <c:ptCount val="9"/>
                <c:pt idx="0">
                  <c:v>71.0836584588493</c:v>
                </c:pt>
                <c:pt idx="1">
                  <c:v>63.999479367290547</c:v>
                </c:pt>
                <c:pt idx="2">
                  <c:v>74.543579610882944</c:v>
                </c:pt>
                <c:pt idx="3">
                  <c:v>74.455151005626334</c:v>
                </c:pt>
                <c:pt idx="4">
                  <c:v>79.754971217927221</c:v>
                </c:pt>
                <c:pt idx="5">
                  <c:v>72.122819636755978</c:v>
                </c:pt>
                <c:pt idx="6">
                  <c:v>68.887291119155066</c:v>
                </c:pt>
                <c:pt idx="7">
                  <c:v>56.214177530959518</c:v>
                </c:pt>
                <c:pt idx="8">
                  <c:v>70.791239779226117</c:v>
                </c:pt>
              </c:numCache>
            </c:numRef>
          </c:val>
        </c:ser>
        <c:ser>
          <c:idx val="5"/>
          <c:order val="5"/>
          <c:tx>
            <c:strRef>
              <c:f>'F10.18'!$C$9</c:f>
              <c:strCache>
                <c:ptCount val="1"/>
                <c:pt idx="0">
                  <c:v>2017-18</c:v>
                </c:pt>
              </c:strCache>
            </c:strRef>
          </c:tx>
          <c:spPr>
            <a:solidFill>
              <a:srgbClr val="265A9A"/>
            </a:solidFill>
            <a:ln>
              <a:solidFill>
                <a:srgbClr val="265A9A"/>
              </a:solidFill>
            </a:ln>
          </c:spPr>
          <c:invertIfNegative val="0"/>
          <c:cat>
            <c:strRef>
              <c:f>'F10.18'!$D$3:$L$3</c:f>
              <c:strCache>
                <c:ptCount val="9"/>
                <c:pt idx="0">
                  <c:v>NSW</c:v>
                </c:pt>
                <c:pt idx="1">
                  <c:v>Vic</c:v>
                </c:pt>
                <c:pt idx="2">
                  <c:v>Qld</c:v>
                </c:pt>
                <c:pt idx="3">
                  <c:v>WA</c:v>
                </c:pt>
                <c:pt idx="4">
                  <c:v>SA</c:v>
                </c:pt>
                <c:pt idx="5">
                  <c:v>Tas</c:v>
                </c:pt>
                <c:pt idx="6">
                  <c:v>ACT</c:v>
                </c:pt>
                <c:pt idx="7">
                  <c:v>NT</c:v>
                </c:pt>
                <c:pt idx="8">
                  <c:v>Aust</c:v>
                </c:pt>
              </c:strCache>
            </c:strRef>
          </c:cat>
          <c:val>
            <c:numRef>
              <c:f>'F10.18'!$D$9:$L$9</c:f>
              <c:numCache>
                <c:formatCode>####\ ###\ ##0.0;\-####\ ###\ ##0.0;"–"</c:formatCode>
                <c:ptCount val="9"/>
                <c:pt idx="0">
                  <c:v>73.032828989745525</c:v>
                </c:pt>
                <c:pt idx="1">
                  <c:v>64.86161308996283</c:v>
                </c:pt>
                <c:pt idx="2">
                  <c:v>76.392831403449762</c:v>
                </c:pt>
                <c:pt idx="3">
                  <c:v>77.836737279711983</c:v>
                </c:pt>
                <c:pt idx="4">
                  <c:v>77.540159830281453</c:v>
                </c:pt>
                <c:pt idx="5">
                  <c:v>71.48334955608648</c:v>
                </c:pt>
                <c:pt idx="6">
                  <c:v>68.259114669489833</c:v>
                </c:pt>
                <c:pt idx="7">
                  <c:v>63.319444084991851</c:v>
                </c:pt>
                <c:pt idx="8">
                  <c:v>72.287438003178721</c:v>
                </c:pt>
              </c:numCache>
            </c:numRef>
          </c:val>
        </c:ser>
        <c:dLbls>
          <c:showLegendKey val="0"/>
          <c:showVal val="0"/>
          <c:showCatName val="0"/>
          <c:showSerName val="0"/>
          <c:showPercent val="0"/>
          <c:showBubbleSize val="0"/>
        </c:dLbls>
        <c:gapWidth val="150"/>
        <c:axId val="536800088"/>
        <c:axId val="536801656"/>
      </c:barChart>
      <c:catAx>
        <c:axId val="536800088"/>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536801656"/>
        <c:crosses val="autoZero"/>
        <c:auto val="1"/>
        <c:lblAlgn val="ctr"/>
        <c:lblOffset val="100"/>
        <c:noMultiLvlLbl val="0"/>
      </c:catAx>
      <c:valAx>
        <c:axId val="536801656"/>
        <c:scaling>
          <c:orientation val="minMax"/>
          <c:max val="100"/>
        </c:scaling>
        <c:delete val="0"/>
        <c:axPos val="l"/>
        <c:majorGridlines>
          <c:spPr>
            <a:ln>
              <a:noFill/>
            </a:ln>
          </c:spPr>
        </c:majorGridlines>
        <c:title>
          <c:tx>
            <c:rich>
              <a:bodyPr rot="-5400000" vert="horz"/>
              <a:lstStyle/>
              <a:p>
                <a:pPr>
                  <a:defRPr sz="900">
                    <a:latin typeface="arial"/>
                    <a:ea typeface="arial"/>
                    <a:cs typeface="arial"/>
                  </a:defRPr>
                </a:pPr>
                <a:r>
                  <a:rPr lang="en-AU"/>
                  <a:t>Per cent</a:t>
                </a:r>
              </a:p>
            </c:rich>
          </c:tx>
          <c:layout/>
          <c:overlay val="0"/>
        </c:title>
        <c:numFmt formatCode="General"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536800088"/>
        <c:crosses val="autoZero"/>
        <c:crossBetween val="between"/>
        <c:majorUnit val="20"/>
      </c:valAx>
      <c:spPr>
        <a:noFill/>
        <a:ln>
          <a:noFill/>
        </a:ln>
      </c:spPr>
    </c:plotArea>
    <c:legend>
      <c:legendPos val="b"/>
      <c:layout/>
      <c:overlay val="0"/>
      <c:spPr>
        <a:ln>
          <a:noFill/>
        </a:ln>
      </c:spPr>
      <c:txPr>
        <a:bodyPr/>
        <a:lstStyle/>
        <a:p>
          <a:pPr>
            <a:defRPr sz="900" b="0" i="0">
              <a:latin typeface="Arial" panose="020B0604020202020204" pitchFamily="34" charset="0"/>
            </a:defRPr>
          </a:pPr>
          <a:endParaRPr lang="en-US"/>
        </a:p>
      </c:txPr>
    </c:legend>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'F10.19'!$B$5</c:f>
              <c:strCache>
                <c:ptCount val="1"/>
                <c:pt idx="0">
                  <c:v>&lt;35</c:v>
                </c:pt>
              </c:strCache>
            </c:strRef>
          </c:tx>
          <c:spPr>
            <a:solidFill>
              <a:srgbClr val="66BCDB"/>
            </a:solidFill>
            <a:ln>
              <a:solidFill>
                <a:srgbClr val="66BCDB"/>
              </a:solidFill>
            </a:ln>
            <a:effectLst/>
          </c:spPr>
          <c:invertIfNegative val="0"/>
          <c:cat>
            <c:strRef>
              <c:f>'F10.19'!$C$4:$K$4</c:f>
              <c:strCache>
                <c:ptCount val="9"/>
                <c:pt idx="0">
                  <c:v>NSW</c:v>
                </c:pt>
                <c:pt idx="1">
                  <c:v>VIC</c:v>
                </c:pt>
                <c:pt idx="2">
                  <c:v>QLD</c:v>
                </c:pt>
                <c:pt idx="3">
                  <c:v>WA</c:v>
                </c:pt>
                <c:pt idx="4">
                  <c:v>SA</c:v>
                </c:pt>
                <c:pt idx="5">
                  <c:v>TAS</c:v>
                </c:pt>
                <c:pt idx="6">
                  <c:v>ACT</c:v>
                </c:pt>
                <c:pt idx="7">
                  <c:v>NT    </c:v>
                </c:pt>
                <c:pt idx="8">
                  <c:v>National</c:v>
                </c:pt>
              </c:strCache>
            </c:strRef>
          </c:cat>
          <c:val>
            <c:numRef>
              <c:f>'F10.19'!$C$5:$K$5</c:f>
              <c:numCache>
                <c:formatCode>0.0</c:formatCode>
                <c:ptCount val="9"/>
                <c:pt idx="0">
                  <c:v>8.5340850845720144</c:v>
                </c:pt>
                <c:pt idx="1">
                  <c:v>9.2083471348128523</c:v>
                </c:pt>
                <c:pt idx="2">
                  <c:v>9.8594299101913325</c:v>
                </c:pt>
                <c:pt idx="3">
                  <c:v>11.086276262852033</c:v>
                </c:pt>
                <c:pt idx="4">
                  <c:v>9.0333716915995392</c:v>
                </c:pt>
                <c:pt idx="5">
                  <c:v>10.874200426439232</c:v>
                </c:pt>
                <c:pt idx="6">
                  <c:v>5.9602649006622519</c:v>
                </c:pt>
                <c:pt idx="7">
                  <c:v>14.499999999999998</c:v>
                </c:pt>
                <c:pt idx="8">
                  <c:v>9.3296533266424113</c:v>
                </c:pt>
              </c:numCache>
            </c:numRef>
          </c:val>
        </c:ser>
        <c:ser>
          <c:idx val="1"/>
          <c:order val="1"/>
          <c:tx>
            <c:strRef>
              <c:f>'F10.19'!$B$6</c:f>
              <c:strCache>
                <c:ptCount val="1"/>
                <c:pt idx="0">
                  <c:v>35 - 44</c:v>
                </c:pt>
              </c:strCache>
            </c:strRef>
          </c:tx>
          <c:spPr>
            <a:solidFill>
              <a:srgbClr val="265A9A"/>
            </a:solidFill>
            <a:ln>
              <a:solidFill>
                <a:srgbClr val="265A9A"/>
              </a:solidFill>
            </a:ln>
            <a:effectLst/>
          </c:spPr>
          <c:invertIfNegative val="0"/>
          <c:cat>
            <c:strRef>
              <c:f>'F10.19'!$C$4:$K$4</c:f>
              <c:strCache>
                <c:ptCount val="9"/>
                <c:pt idx="0">
                  <c:v>NSW</c:v>
                </c:pt>
                <c:pt idx="1">
                  <c:v>VIC</c:v>
                </c:pt>
                <c:pt idx="2">
                  <c:v>QLD</c:v>
                </c:pt>
                <c:pt idx="3">
                  <c:v>WA</c:v>
                </c:pt>
                <c:pt idx="4">
                  <c:v>SA</c:v>
                </c:pt>
                <c:pt idx="5">
                  <c:v>TAS</c:v>
                </c:pt>
                <c:pt idx="6">
                  <c:v>ACT</c:v>
                </c:pt>
                <c:pt idx="7">
                  <c:v>NT    </c:v>
                </c:pt>
                <c:pt idx="8">
                  <c:v>National</c:v>
                </c:pt>
              </c:strCache>
            </c:strRef>
          </c:cat>
          <c:val>
            <c:numRef>
              <c:f>'F10.19'!$C$6:$K$6</c:f>
              <c:numCache>
                <c:formatCode>0.0</c:formatCode>
                <c:ptCount val="9"/>
                <c:pt idx="0">
                  <c:v>22.898513582778062</c:v>
                </c:pt>
                <c:pt idx="1">
                  <c:v>24.213315667439549</c:v>
                </c:pt>
                <c:pt idx="2">
                  <c:v>26.610698945724327</c:v>
                </c:pt>
                <c:pt idx="3">
                  <c:v>26.911041573535989</c:v>
                </c:pt>
                <c:pt idx="4">
                  <c:v>23.705408515535098</c:v>
                </c:pt>
                <c:pt idx="5">
                  <c:v>18.763326226012794</c:v>
                </c:pt>
                <c:pt idx="6">
                  <c:v>27.814569536423839</c:v>
                </c:pt>
                <c:pt idx="7">
                  <c:v>35.5</c:v>
                </c:pt>
                <c:pt idx="8">
                  <c:v>24.547317358758832</c:v>
                </c:pt>
              </c:numCache>
            </c:numRef>
          </c:val>
        </c:ser>
        <c:ser>
          <c:idx val="2"/>
          <c:order val="2"/>
          <c:tx>
            <c:strRef>
              <c:f>'F10.19'!$B$7</c:f>
              <c:strCache>
                <c:ptCount val="1"/>
                <c:pt idx="0">
                  <c:v>45 - 54</c:v>
                </c:pt>
              </c:strCache>
            </c:strRef>
          </c:tx>
          <c:spPr>
            <a:solidFill>
              <a:srgbClr val="78A22F"/>
            </a:solidFill>
            <a:ln>
              <a:solidFill>
                <a:srgbClr val="78A22F"/>
              </a:solidFill>
            </a:ln>
            <a:effectLst/>
          </c:spPr>
          <c:invertIfNegative val="0"/>
          <c:cat>
            <c:strRef>
              <c:f>'F10.19'!$C$4:$K$4</c:f>
              <c:strCache>
                <c:ptCount val="9"/>
                <c:pt idx="0">
                  <c:v>NSW</c:v>
                </c:pt>
                <c:pt idx="1">
                  <c:v>VIC</c:v>
                </c:pt>
                <c:pt idx="2">
                  <c:v>QLD</c:v>
                </c:pt>
                <c:pt idx="3">
                  <c:v>WA</c:v>
                </c:pt>
                <c:pt idx="4">
                  <c:v>SA</c:v>
                </c:pt>
                <c:pt idx="5">
                  <c:v>TAS</c:v>
                </c:pt>
                <c:pt idx="6">
                  <c:v>ACT</c:v>
                </c:pt>
                <c:pt idx="7">
                  <c:v>NT    </c:v>
                </c:pt>
                <c:pt idx="8">
                  <c:v>National</c:v>
                </c:pt>
              </c:strCache>
            </c:strRef>
          </c:cat>
          <c:val>
            <c:numRef>
              <c:f>'F10.19'!$C$7:$K$7</c:f>
              <c:numCache>
                <c:formatCode>0.0</c:formatCode>
                <c:ptCount val="9"/>
                <c:pt idx="0">
                  <c:v>27.063044592516661</c:v>
                </c:pt>
                <c:pt idx="1">
                  <c:v>28.155018217952964</c:v>
                </c:pt>
                <c:pt idx="2">
                  <c:v>28.953533775868799</c:v>
                </c:pt>
                <c:pt idx="3">
                  <c:v>28.296826106392491</c:v>
                </c:pt>
                <c:pt idx="4">
                  <c:v>31.070195627157656</c:v>
                </c:pt>
                <c:pt idx="5">
                  <c:v>29.211087420042642</c:v>
                </c:pt>
                <c:pt idx="6">
                  <c:v>30.794701986754969</c:v>
                </c:pt>
                <c:pt idx="7">
                  <c:v>24.5</c:v>
                </c:pt>
                <c:pt idx="8">
                  <c:v>28.218960398109814</c:v>
                </c:pt>
              </c:numCache>
            </c:numRef>
          </c:val>
        </c:ser>
        <c:ser>
          <c:idx val="3"/>
          <c:order val="3"/>
          <c:tx>
            <c:strRef>
              <c:f>'F10.19'!$B$8</c:f>
              <c:strCache>
                <c:ptCount val="1"/>
                <c:pt idx="0">
                  <c:v>55 - 64 </c:v>
                </c:pt>
              </c:strCache>
            </c:strRef>
          </c:tx>
          <c:spPr>
            <a:solidFill>
              <a:srgbClr val="4D7028"/>
            </a:solidFill>
            <a:ln>
              <a:solidFill>
                <a:srgbClr val="4D7028"/>
              </a:solidFill>
            </a:ln>
            <a:effectLst/>
          </c:spPr>
          <c:invertIfNegative val="0"/>
          <c:cat>
            <c:strRef>
              <c:f>'F10.19'!$C$4:$K$4</c:f>
              <c:strCache>
                <c:ptCount val="9"/>
                <c:pt idx="0">
                  <c:v>NSW</c:v>
                </c:pt>
                <c:pt idx="1">
                  <c:v>VIC</c:v>
                </c:pt>
                <c:pt idx="2">
                  <c:v>QLD</c:v>
                </c:pt>
                <c:pt idx="3">
                  <c:v>WA</c:v>
                </c:pt>
                <c:pt idx="4">
                  <c:v>SA</c:v>
                </c:pt>
                <c:pt idx="5">
                  <c:v>TAS</c:v>
                </c:pt>
                <c:pt idx="6">
                  <c:v>ACT</c:v>
                </c:pt>
                <c:pt idx="7">
                  <c:v>NT    </c:v>
                </c:pt>
                <c:pt idx="8">
                  <c:v>National</c:v>
                </c:pt>
              </c:strCache>
            </c:strRef>
          </c:cat>
          <c:val>
            <c:numRef>
              <c:f>'F10.19'!$C$8:$K$8</c:f>
              <c:numCache>
                <c:formatCode>0.0</c:formatCode>
                <c:ptCount val="9"/>
                <c:pt idx="0">
                  <c:v>27.011788826242956</c:v>
                </c:pt>
                <c:pt idx="1">
                  <c:v>26.266975819807882</c:v>
                </c:pt>
                <c:pt idx="2">
                  <c:v>24.345958609918</c:v>
                </c:pt>
                <c:pt idx="3">
                  <c:v>22.574877067501117</c:v>
                </c:pt>
                <c:pt idx="4">
                  <c:v>22.957422324510933</c:v>
                </c:pt>
                <c:pt idx="5">
                  <c:v>29.850746268656714</c:v>
                </c:pt>
                <c:pt idx="6">
                  <c:v>35.430463576158935</c:v>
                </c:pt>
                <c:pt idx="7">
                  <c:v>25.5</c:v>
                </c:pt>
                <c:pt idx="8">
                  <c:v>25.517500940910804</c:v>
                </c:pt>
              </c:numCache>
            </c:numRef>
          </c:val>
        </c:ser>
        <c:ser>
          <c:idx val="4"/>
          <c:order val="4"/>
          <c:tx>
            <c:strRef>
              <c:f>'F10.19'!$B$9</c:f>
              <c:strCache>
                <c:ptCount val="1"/>
                <c:pt idx="0">
                  <c:v>65 - 74</c:v>
                </c:pt>
              </c:strCache>
            </c:strRef>
          </c:tx>
          <c:spPr>
            <a:solidFill>
              <a:srgbClr val="E0B123"/>
            </a:solidFill>
            <a:ln>
              <a:solidFill>
                <a:srgbClr val="E0B123"/>
              </a:solidFill>
            </a:ln>
            <a:effectLst/>
          </c:spPr>
          <c:invertIfNegative val="0"/>
          <c:cat>
            <c:strRef>
              <c:f>'F10.19'!$C$4:$K$4</c:f>
              <c:strCache>
                <c:ptCount val="9"/>
                <c:pt idx="0">
                  <c:v>NSW</c:v>
                </c:pt>
                <c:pt idx="1">
                  <c:v>VIC</c:v>
                </c:pt>
                <c:pt idx="2">
                  <c:v>QLD</c:v>
                </c:pt>
                <c:pt idx="3">
                  <c:v>WA</c:v>
                </c:pt>
                <c:pt idx="4">
                  <c:v>SA</c:v>
                </c:pt>
                <c:pt idx="5">
                  <c:v>TAS</c:v>
                </c:pt>
                <c:pt idx="6">
                  <c:v>ACT</c:v>
                </c:pt>
                <c:pt idx="7">
                  <c:v>NT    </c:v>
                </c:pt>
                <c:pt idx="8">
                  <c:v>National</c:v>
                </c:pt>
              </c:strCache>
            </c:strRef>
          </c:cat>
          <c:val>
            <c:numRef>
              <c:f>'F10.19'!$C$9:$K$9</c:f>
              <c:numCache>
                <c:formatCode>0.0</c:formatCode>
                <c:ptCount val="9"/>
                <c:pt idx="0">
                  <c:v>12.22450025627883</c:v>
                </c:pt>
                <c:pt idx="1">
                  <c:v>10.58297449486585</c:v>
                </c:pt>
                <c:pt idx="2">
                  <c:v>10.23037875829754</c:v>
                </c:pt>
                <c:pt idx="3">
                  <c:v>11.130978989718372</c:v>
                </c:pt>
                <c:pt idx="4">
                  <c:v>13.23360184119678</c:v>
                </c:pt>
                <c:pt idx="5">
                  <c:v>11.300639658848615</c:v>
                </c:pt>
                <c:pt idx="6">
                  <c:v>0</c:v>
                </c:pt>
                <c:pt idx="7">
                  <c:v>0</c:v>
                </c:pt>
                <c:pt idx="8">
                  <c:v>10.646928448960816</c:v>
                </c:pt>
              </c:numCache>
            </c:numRef>
          </c:val>
        </c:ser>
        <c:ser>
          <c:idx val="5"/>
          <c:order val="5"/>
          <c:tx>
            <c:strRef>
              <c:f>'F10.19'!$B$10</c:f>
              <c:strCache>
                <c:ptCount val="1"/>
                <c:pt idx="0">
                  <c:v>75+ </c:v>
                </c:pt>
              </c:strCache>
            </c:strRef>
          </c:tx>
          <c:spPr>
            <a:solidFill>
              <a:srgbClr val="F15A25"/>
            </a:solidFill>
            <a:ln>
              <a:solidFill>
                <a:srgbClr val="F15A25"/>
              </a:solidFill>
            </a:ln>
            <a:effectLst/>
          </c:spPr>
          <c:invertIfNegative val="0"/>
          <c:cat>
            <c:strRef>
              <c:f>'F10.19'!$C$4:$K$4</c:f>
              <c:strCache>
                <c:ptCount val="9"/>
                <c:pt idx="0">
                  <c:v>NSW</c:v>
                </c:pt>
                <c:pt idx="1">
                  <c:v>VIC</c:v>
                </c:pt>
                <c:pt idx="2">
                  <c:v>QLD</c:v>
                </c:pt>
                <c:pt idx="3">
                  <c:v>WA</c:v>
                </c:pt>
                <c:pt idx="4">
                  <c:v>SA</c:v>
                </c:pt>
                <c:pt idx="5">
                  <c:v>TAS</c:v>
                </c:pt>
                <c:pt idx="6">
                  <c:v>ACT</c:v>
                </c:pt>
                <c:pt idx="7">
                  <c:v>NT    </c:v>
                </c:pt>
                <c:pt idx="8">
                  <c:v>National</c:v>
                </c:pt>
              </c:strCache>
            </c:strRef>
          </c:cat>
          <c:val>
            <c:numRef>
              <c:f>'F10.19'!$C$10:$K$10</c:f>
              <c:numCache>
                <c:formatCode>0.0</c:formatCode>
                <c:ptCount val="9"/>
                <c:pt idx="0">
                  <c:v>2.2680676576114811</c:v>
                </c:pt>
                <c:pt idx="1">
                  <c:v>1.5733686651209011</c:v>
                </c:pt>
                <c:pt idx="2">
                  <c:v>0</c:v>
                </c:pt>
                <c:pt idx="3">
                  <c:v>0</c:v>
                </c:pt>
                <c:pt idx="4">
                  <c:v>0</c:v>
                </c:pt>
                <c:pt idx="5">
                  <c:v>0</c:v>
                </c:pt>
                <c:pt idx="6">
                  <c:v>0</c:v>
                </c:pt>
                <c:pt idx="7">
                  <c:v>0</c:v>
                </c:pt>
                <c:pt idx="8">
                  <c:v>1.739639526617321</c:v>
                </c:pt>
              </c:numCache>
            </c:numRef>
          </c:val>
        </c:ser>
        <c:dLbls>
          <c:showLegendKey val="0"/>
          <c:showVal val="0"/>
          <c:showCatName val="0"/>
          <c:showSerName val="0"/>
          <c:showPercent val="0"/>
          <c:showBubbleSize val="0"/>
        </c:dLbls>
        <c:gapWidth val="150"/>
        <c:overlap val="100"/>
        <c:axId val="536804008"/>
        <c:axId val="536804400"/>
      </c:barChart>
      <c:catAx>
        <c:axId val="536804008"/>
        <c:scaling>
          <c:orientation val="minMax"/>
        </c:scaling>
        <c:delete val="0"/>
        <c:axPos val="b"/>
        <c:numFmt formatCode="General" sourceLinked="1"/>
        <c:majorTickMark val="none"/>
        <c:minorTickMark val="none"/>
        <c:tickLblPos val="nextTo"/>
        <c:spPr>
          <a:noFill/>
          <a:ln w="9525" cap="flat" cmpd="sng" algn="ctr">
            <a:solidFill>
              <a:srgbClr val="BFBFBF"/>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a:ea typeface="Arial"/>
                <a:cs typeface="Arial"/>
              </a:defRPr>
            </a:pPr>
            <a:endParaRPr lang="en-US"/>
          </a:p>
        </c:txPr>
        <c:crossAx val="536804400"/>
        <c:crosses val="autoZero"/>
        <c:auto val="1"/>
        <c:lblAlgn val="ctr"/>
        <c:lblOffset val="100"/>
        <c:noMultiLvlLbl val="0"/>
      </c:catAx>
      <c:valAx>
        <c:axId val="536804400"/>
        <c:scaling>
          <c:orientation val="minMax"/>
          <c:max val="100"/>
        </c:scaling>
        <c:delete val="0"/>
        <c:axPos val="l"/>
        <c:majorGridlines>
          <c:spPr>
            <a:ln w="9525" cap="flat" cmpd="sng" algn="ctr">
              <a:noFill/>
              <a:round/>
            </a:ln>
            <a:effectLst/>
            <a:extLst>
              <a:ext uri="{91240B29-F687-4F45-9708-019B960494DF}">
                <a14:hiddenLine xmlns:a14="http://schemas.microsoft.com/office/drawing/2010/main" w="9525" cap="flat" cmpd="sng" algn="ctr">
                  <a:solidFill>
                    <a:sysClr val="windowText" lastClr="000000">
                      <a:lumMod val="15000"/>
                      <a:lumOff val="85000"/>
                    </a:sysClr>
                  </a:solidFill>
                  <a:round/>
                </a14:hiddenLine>
              </a:ext>
            </a:ex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a:ea typeface="arial"/>
                    <a:cs typeface="arial"/>
                  </a:defRPr>
                </a:pPr>
                <a:r>
                  <a:rPr lang="en-AU" b="1">
                    <a:solidFill>
                      <a:sysClr val="windowText" lastClr="000000"/>
                    </a:solidFill>
                  </a:rPr>
                  <a:t>Per cent</a:t>
                </a:r>
              </a:p>
            </c:rich>
          </c:tx>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a:ea typeface="arial"/>
                  <a:cs typeface="arial"/>
                </a:defRPr>
              </a:pPr>
              <a:endParaRPr lang="en-US"/>
            </a:p>
          </c:txPr>
        </c:title>
        <c:numFmt formatCode="0" sourceLinked="0"/>
        <c:majorTickMark val="none"/>
        <c:minorTickMark val="none"/>
        <c:tickLblPos val="nextTo"/>
        <c:spPr>
          <a:noFill/>
          <a:ln>
            <a:solidFill>
              <a:srgbClr val="BFBFBF"/>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a:ea typeface="Arial"/>
                <a:cs typeface="Arial"/>
              </a:defRPr>
            </a:pPr>
            <a:endParaRPr lang="en-US"/>
          </a:p>
        </c:txPr>
        <c:crossAx val="536804008"/>
        <c:crosses val="autoZero"/>
        <c:crossBetween val="between"/>
        <c:majorUnit val="20"/>
      </c:valAx>
      <c:spPr>
        <a:noFill/>
        <a:ln>
          <a:noFill/>
        </a:ln>
        <a:effectLst/>
        <a:extLst>
          <a:ext uri="{91240B29-F687-4F45-9708-019B960494DF}">
            <a14:hiddenLine xmlns:a14="http://schemas.microsoft.com/office/drawing/2010/main">
              <a:noFill/>
            </a14:hiddenLine>
          </a:ext>
        </a:extLst>
      </c:spPr>
    </c:plotArea>
    <c:legend>
      <c:legendPos val="b"/>
      <c:layout/>
      <c:overlay val="0"/>
      <c:spPr>
        <a:noFill/>
        <a:ln>
          <a:noFill/>
        </a:ln>
        <a:effectLst/>
        <a:extLst>
          <a:ext uri="{91240B29-F687-4F45-9708-019B960494DF}">
            <a14:hiddenLine xmlns:a14="http://schemas.microsoft.com/office/drawing/2010/main">
              <a:noFill/>
            </a14:hiddenLine>
          </a:ext>
        </a:ex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'F10.16'!$A$3:$E$3</c:f>
              <c:strCache>
                <c:ptCount val="5"/>
                <c:pt idx="4">
                  <c:v>2013-14 to 2016-17</c:v>
                </c:pt>
              </c:strCache>
            </c:strRef>
          </c:tx>
          <c:spPr>
            <a:solidFill>
              <a:srgbClr val="66BCDB"/>
            </a:solidFill>
            <a:ln>
              <a:solidFill>
                <a:srgbClr val="66BCDB"/>
              </a:solidFill>
            </a:ln>
          </c:spPr>
          <c:invertIfNegative val="0"/>
          <c:cat>
            <c:strRef>
              <c:f>'F10.16'!$F$2:$N$2</c:f>
              <c:strCache>
                <c:ptCount val="9"/>
                <c:pt idx="0">
                  <c:v>NSW</c:v>
                </c:pt>
                <c:pt idx="1">
                  <c:v>Vic</c:v>
                </c:pt>
                <c:pt idx="2">
                  <c:v>Qld</c:v>
                </c:pt>
                <c:pt idx="3">
                  <c:v>WA</c:v>
                </c:pt>
                <c:pt idx="4">
                  <c:v>SA</c:v>
                </c:pt>
                <c:pt idx="5">
                  <c:v>Tas</c:v>
                </c:pt>
                <c:pt idx="6">
                  <c:v>ACT</c:v>
                </c:pt>
                <c:pt idx="7">
                  <c:v>NT</c:v>
                </c:pt>
                <c:pt idx="8">
                  <c:v>Aust</c:v>
                </c:pt>
              </c:strCache>
            </c:strRef>
          </c:cat>
          <c:val>
            <c:numRef>
              <c:f>'F10.16'!$F$3:$N$3</c:f>
              <c:numCache>
                <c:formatCode>0.0</c:formatCode>
                <c:ptCount val="9"/>
                <c:pt idx="0">
                  <c:v>371.83407829816963</c:v>
                </c:pt>
                <c:pt idx="1">
                  <c:v>353.58250244102743</c:v>
                </c:pt>
                <c:pt idx="2">
                  <c:v>363.80795908344976</c:v>
                </c:pt>
                <c:pt idx="3">
                  <c:v>281.59354932563025</c:v>
                </c:pt>
                <c:pt idx="4">
                  <c:v>368.70132749163912</c:v>
                </c:pt>
                <c:pt idx="5">
                  <c:v>358.66397668684152</c:v>
                </c:pt>
                <c:pt idx="6">
                  <c:v>253.41816845189717</c:v>
                </c:pt>
                <c:pt idx="7">
                  <c:v>281.87731114632857</c:v>
                </c:pt>
                <c:pt idx="8">
                  <c:v>352.49715026459393</c:v>
                </c:pt>
              </c:numCache>
            </c:numRef>
          </c:val>
        </c:ser>
        <c:ser>
          <c:idx val="1"/>
          <c:order val="1"/>
          <c:tx>
            <c:strRef>
              <c:f>'F10.16'!$A$4:$E$4</c:f>
              <c:strCache>
                <c:ptCount val="5"/>
                <c:pt idx="4">
                  <c:v>2014-15</c:v>
                </c:pt>
              </c:strCache>
            </c:strRef>
          </c:tx>
          <c:spPr>
            <a:solidFill>
              <a:srgbClr val="66BCDB"/>
            </a:solidFill>
            <a:ln>
              <a:solidFill>
                <a:srgbClr val="66BCDB"/>
              </a:solidFill>
            </a:ln>
          </c:spPr>
          <c:invertIfNegative val="0"/>
          <c:cat>
            <c:strRef>
              <c:f>'F10.16'!$F$2:$N$2</c:f>
              <c:strCache>
                <c:ptCount val="9"/>
                <c:pt idx="0">
                  <c:v>NSW</c:v>
                </c:pt>
                <c:pt idx="1">
                  <c:v>Vic</c:v>
                </c:pt>
                <c:pt idx="2">
                  <c:v>Qld</c:v>
                </c:pt>
                <c:pt idx="3">
                  <c:v>WA</c:v>
                </c:pt>
                <c:pt idx="4">
                  <c:v>SA</c:v>
                </c:pt>
                <c:pt idx="5">
                  <c:v>Tas</c:v>
                </c:pt>
                <c:pt idx="6">
                  <c:v>ACT</c:v>
                </c:pt>
                <c:pt idx="7">
                  <c:v>NT</c:v>
                </c:pt>
                <c:pt idx="8">
                  <c:v>Aust</c:v>
                </c:pt>
              </c:strCache>
            </c:strRef>
          </c:cat>
          <c:val>
            <c:numRef>
              <c:f>'F10.16'!$F$4:$N$4</c:f>
              <c:numCache>
                <c:formatCode>0.0</c:formatCode>
                <c:ptCount val="9"/>
                <c:pt idx="0">
                  <c:v>381.14715998884452</c:v>
                </c:pt>
                <c:pt idx="1">
                  <c:v>361.96318194575184</c:v>
                </c:pt>
                <c:pt idx="2">
                  <c:v>378.82881146462711</c:v>
                </c:pt>
                <c:pt idx="3">
                  <c:v>298.62150051075309</c:v>
                </c:pt>
                <c:pt idx="4">
                  <c:v>378.29859542249841</c:v>
                </c:pt>
                <c:pt idx="5">
                  <c:v>363.78491946152053</c:v>
                </c:pt>
                <c:pt idx="6">
                  <c:v>263.5331814552236</c:v>
                </c:pt>
                <c:pt idx="7">
                  <c:v>304.01272074907411</c:v>
                </c:pt>
                <c:pt idx="8">
                  <c:v>363.64973062348406</c:v>
                </c:pt>
              </c:numCache>
            </c:numRef>
          </c:val>
        </c:ser>
        <c:ser>
          <c:idx val="2"/>
          <c:order val="2"/>
          <c:tx>
            <c:strRef>
              <c:f>'F10.16'!$A$5:$E$5</c:f>
              <c:strCache>
                <c:ptCount val="5"/>
                <c:pt idx="4">
                  <c:v>2015-16</c:v>
                </c:pt>
              </c:strCache>
            </c:strRef>
          </c:tx>
          <c:spPr>
            <a:solidFill>
              <a:srgbClr val="66BCDB"/>
            </a:solidFill>
            <a:ln>
              <a:solidFill>
                <a:srgbClr val="66BCDB"/>
              </a:solidFill>
            </a:ln>
          </c:spPr>
          <c:invertIfNegative val="0"/>
          <c:cat>
            <c:strRef>
              <c:f>'F10.16'!$F$2:$N$2</c:f>
              <c:strCache>
                <c:ptCount val="9"/>
                <c:pt idx="0">
                  <c:v>NSW</c:v>
                </c:pt>
                <c:pt idx="1">
                  <c:v>Vic</c:v>
                </c:pt>
                <c:pt idx="2">
                  <c:v>Qld</c:v>
                </c:pt>
                <c:pt idx="3">
                  <c:v>WA</c:v>
                </c:pt>
                <c:pt idx="4">
                  <c:v>SA</c:v>
                </c:pt>
                <c:pt idx="5">
                  <c:v>Tas</c:v>
                </c:pt>
                <c:pt idx="6">
                  <c:v>ACT</c:v>
                </c:pt>
                <c:pt idx="7">
                  <c:v>NT</c:v>
                </c:pt>
                <c:pt idx="8">
                  <c:v>Aust</c:v>
                </c:pt>
              </c:strCache>
            </c:strRef>
          </c:cat>
          <c:val>
            <c:numRef>
              <c:f>'F10.16'!$F$5:$N$5</c:f>
              <c:numCache>
                <c:formatCode>0.0</c:formatCode>
                <c:ptCount val="9"/>
                <c:pt idx="0">
                  <c:v>386.83937914339248</c:v>
                </c:pt>
                <c:pt idx="1">
                  <c:v>364.9732670786006</c:v>
                </c:pt>
                <c:pt idx="2">
                  <c:v>394.32391669145028</c:v>
                </c:pt>
                <c:pt idx="3">
                  <c:v>314.04241790289063</c:v>
                </c:pt>
                <c:pt idx="4">
                  <c:v>387.47034620856459</c:v>
                </c:pt>
                <c:pt idx="5">
                  <c:v>372.50772745077506</c:v>
                </c:pt>
                <c:pt idx="6">
                  <c:v>271.76501852715398</c:v>
                </c:pt>
                <c:pt idx="7">
                  <c:v>334.30292105370967</c:v>
                </c:pt>
                <c:pt idx="8">
                  <c:v>372.29334963158203</c:v>
                </c:pt>
              </c:numCache>
            </c:numRef>
          </c:val>
        </c:ser>
        <c:ser>
          <c:idx val="3"/>
          <c:order val="3"/>
          <c:tx>
            <c:strRef>
              <c:f>'F10.16'!$A$6:$E$6</c:f>
              <c:strCache>
                <c:ptCount val="5"/>
                <c:pt idx="4">
                  <c:v>2016-17</c:v>
                </c:pt>
              </c:strCache>
            </c:strRef>
          </c:tx>
          <c:spPr>
            <a:solidFill>
              <a:srgbClr val="66BCDB"/>
            </a:solidFill>
            <a:ln>
              <a:solidFill>
                <a:srgbClr val="66BCDB"/>
              </a:solidFill>
            </a:ln>
          </c:spPr>
          <c:invertIfNegative val="0"/>
          <c:cat>
            <c:strRef>
              <c:f>'F10.16'!$F$2:$N$2</c:f>
              <c:strCache>
                <c:ptCount val="9"/>
                <c:pt idx="0">
                  <c:v>NSW</c:v>
                </c:pt>
                <c:pt idx="1">
                  <c:v>Vic</c:v>
                </c:pt>
                <c:pt idx="2">
                  <c:v>Qld</c:v>
                </c:pt>
                <c:pt idx="3">
                  <c:v>WA</c:v>
                </c:pt>
                <c:pt idx="4">
                  <c:v>SA</c:v>
                </c:pt>
                <c:pt idx="5">
                  <c:v>Tas</c:v>
                </c:pt>
                <c:pt idx="6">
                  <c:v>ACT</c:v>
                </c:pt>
                <c:pt idx="7">
                  <c:v>NT</c:v>
                </c:pt>
                <c:pt idx="8">
                  <c:v>Aust</c:v>
                </c:pt>
              </c:strCache>
            </c:strRef>
          </c:cat>
          <c:val>
            <c:numRef>
              <c:f>'F10.16'!$F$6:$N$6</c:f>
              <c:numCache>
                <c:formatCode>0.0</c:formatCode>
                <c:ptCount val="9"/>
                <c:pt idx="0">
                  <c:v>385.32707532171605</c:v>
                </c:pt>
                <c:pt idx="1">
                  <c:v>364.97712206811184</c:v>
                </c:pt>
                <c:pt idx="2">
                  <c:v>400.08280540790577</c:v>
                </c:pt>
                <c:pt idx="3">
                  <c:v>328.99912298055756</c:v>
                </c:pt>
                <c:pt idx="4">
                  <c:v>390.63091523070352</c:v>
                </c:pt>
                <c:pt idx="5">
                  <c:v>373.37443406222906</c:v>
                </c:pt>
                <c:pt idx="6">
                  <c:v>283.4624744403954</c:v>
                </c:pt>
                <c:pt idx="7">
                  <c:v>350.95165028892296</c:v>
                </c:pt>
                <c:pt idx="8">
                  <c:v>375.14298889489652</c:v>
                </c:pt>
              </c:numCache>
            </c:numRef>
          </c:val>
        </c:ser>
        <c:ser>
          <c:idx val="4"/>
          <c:order val="4"/>
          <c:tx>
            <c:strRef>
              <c:f>'F10.16'!$A$7:$E$7</c:f>
              <c:strCache>
                <c:ptCount val="5"/>
                <c:pt idx="4">
                  <c:v>2017-18</c:v>
                </c:pt>
              </c:strCache>
            </c:strRef>
          </c:tx>
          <c:spPr>
            <a:solidFill>
              <a:srgbClr val="265A9A"/>
            </a:solidFill>
            <a:ln>
              <a:solidFill>
                <a:srgbClr val="265A9A"/>
              </a:solidFill>
            </a:ln>
          </c:spPr>
          <c:invertIfNegative val="0"/>
          <c:cat>
            <c:strRef>
              <c:f>'F10.16'!$F$2:$N$2</c:f>
              <c:strCache>
                <c:ptCount val="9"/>
                <c:pt idx="0">
                  <c:v>NSW</c:v>
                </c:pt>
                <c:pt idx="1">
                  <c:v>Vic</c:v>
                </c:pt>
                <c:pt idx="2">
                  <c:v>Qld</c:v>
                </c:pt>
                <c:pt idx="3">
                  <c:v>WA</c:v>
                </c:pt>
                <c:pt idx="4">
                  <c:v>SA</c:v>
                </c:pt>
                <c:pt idx="5">
                  <c:v>Tas</c:v>
                </c:pt>
                <c:pt idx="6">
                  <c:v>ACT</c:v>
                </c:pt>
                <c:pt idx="7">
                  <c:v>NT</c:v>
                </c:pt>
                <c:pt idx="8">
                  <c:v>Aust</c:v>
                </c:pt>
              </c:strCache>
            </c:strRef>
          </c:cat>
          <c:val>
            <c:numRef>
              <c:f>'F10.16'!$F$7:$N$7</c:f>
              <c:numCache>
                <c:formatCode>0.0</c:formatCode>
                <c:ptCount val="9"/>
                <c:pt idx="0">
                  <c:v>389.83867354788697</c:v>
                </c:pt>
                <c:pt idx="1">
                  <c:v>369.01906073883055</c:v>
                </c:pt>
                <c:pt idx="2">
                  <c:v>410.34973987081258</c:v>
                </c:pt>
                <c:pt idx="3">
                  <c:v>344.20884195409417</c:v>
                </c:pt>
                <c:pt idx="4">
                  <c:v>395.18463843412212</c:v>
                </c:pt>
                <c:pt idx="5">
                  <c:v>384.99877067224219</c:v>
                </c:pt>
                <c:pt idx="6">
                  <c:v>288.03893093797785</c:v>
                </c:pt>
                <c:pt idx="7">
                  <c:v>368.42489239074928</c:v>
                </c:pt>
                <c:pt idx="8">
                  <c:v>382.09645109471836</c:v>
                </c:pt>
              </c:numCache>
            </c:numRef>
          </c:val>
        </c:ser>
        <c:dLbls>
          <c:showLegendKey val="0"/>
          <c:showVal val="0"/>
          <c:showCatName val="0"/>
          <c:showSerName val="0"/>
          <c:showPercent val="0"/>
          <c:showBubbleSize val="0"/>
        </c:dLbls>
        <c:gapWidth val="150"/>
        <c:axId val="536802832"/>
        <c:axId val="536803224"/>
      </c:barChart>
      <c:catAx>
        <c:axId val="536802832"/>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536803224"/>
        <c:crosses val="autoZero"/>
        <c:auto val="1"/>
        <c:lblAlgn val="ctr"/>
        <c:lblOffset val="100"/>
        <c:noMultiLvlLbl val="0"/>
      </c:catAx>
      <c:valAx>
        <c:axId val="536803224"/>
        <c:scaling>
          <c:orientation val="minMax"/>
        </c:scaling>
        <c:delete val="0"/>
        <c:axPos val="l"/>
        <c:majorGridlines>
          <c:spPr>
            <a:ln>
              <a:noFill/>
            </a:ln>
          </c:spPr>
        </c:majorGridlines>
        <c:title>
          <c:tx>
            <c:rich>
              <a:bodyPr rot="-5400000" vert="horz"/>
              <a:lstStyle/>
              <a:p>
                <a:pPr>
                  <a:defRPr sz="900">
                    <a:latin typeface="arial"/>
                    <a:ea typeface="arial"/>
                    <a:cs typeface="arial"/>
                  </a:defRPr>
                </a:pPr>
                <a:r>
                  <a:rPr lang="en-AU"/>
                  <a:t>$/person</a:t>
                </a:r>
              </a:p>
            </c:rich>
          </c:tx>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536802832"/>
        <c:crosses val="autoZero"/>
        <c:crossBetween val="between"/>
      </c:valAx>
      <c:spPr>
        <a:noFill/>
        <a:ln>
          <a:noFill/>
        </a:ln>
      </c:spPr>
    </c:plotArea>
    <c:legend>
      <c:legendPos val="b"/>
      <c:legendEntry>
        <c:idx val="1"/>
        <c:delete val="1"/>
      </c:legendEntry>
      <c:legendEntry>
        <c:idx val="2"/>
        <c:delete val="1"/>
      </c:legendEntry>
      <c:legendEntry>
        <c:idx val="3"/>
        <c:delete val="1"/>
      </c:legendEntry>
      <c:layout/>
      <c:overlay val="0"/>
      <c:spPr>
        <a:ln>
          <a:noFill/>
        </a:ln>
      </c:spPr>
      <c:txPr>
        <a:bodyPr/>
        <a:lstStyle/>
        <a:p>
          <a:pPr>
            <a:defRPr sz="900" b="0" i="0">
              <a:latin typeface="Arial" panose="020B0604020202020204" pitchFamily="34" charset="0"/>
            </a:defRPr>
          </a:pPr>
          <a:endParaRPr lang="en-US"/>
        </a:p>
      </c:txPr>
    </c:legend>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28751053283424"/>
          <c:y val="4.9943603411323291E-2"/>
          <c:w val="0.85856820050631599"/>
          <c:h val="0.74926273302695057"/>
        </c:manualLayout>
      </c:layout>
      <c:barChart>
        <c:barDir val="col"/>
        <c:grouping val="clustered"/>
        <c:varyColors val="0"/>
        <c:ser>
          <c:idx val="0"/>
          <c:order val="0"/>
          <c:tx>
            <c:strRef>
              <c:f>'F10.17'!$B$31</c:f>
              <c:strCache>
                <c:ptCount val="1"/>
                <c:pt idx="0">
                  <c:v>2013-14 to 2016-17</c:v>
                </c:pt>
              </c:strCache>
            </c:strRef>
          </c:tx>
          <c:spPr>
            <a:solidFill>
              <a:srgbClr val="66BCDB"/>
            </a:solidFill>
            <a:ln>
              <a:solidFill>
                <a:srgbClr val="66BCDB"/>
              </a:solidFill>
            </a:ln>
          </c:spPr>
          <c:invertIfNegative val="0"/>
          <c:cat>
            <c:strRef>
              <c:f>'F10.17'!$C$30:$K$30</c:f>
              <c:strCache>
                <c:ptCount val="9"/>
                <c:pt idx="0">
                  <c:v>NSW</c:v>
                </c:pt>
                <c:pt idx="1">
                  <c:v>Vic</c:v>
                </c:pt>
                <c:pt idx="2">
                  <c:v>Qld</c:v>
                </c:pt>
                <c:pt idx="3">
                  <c:v>WA</c:v>
                </c:pt>
                <c:pt idx="4">
                  <c:v>SA</c:v>
                </c:pt>
                <c:pt idx="5">
                  <c:v>Tas</c:v>
                </c:pt>
                <c:pt idx="6">
                  <c:v>ACT</c:v>
                </c:pt>
                <c:pt idx="7">
                  <c:v>NT</c:v>
                </c:pt>
                <c:pt idx="8">
                  <c:v>Aust</c:v>
                </c:pt>
              </c:strCache>
            </c:strRef>
          </c:cat>
          <c:val>
            <c:numRef>
              <c:f>'F10.17'!$C$31:$K$31</c:f>
              <c:numCache>
                <c:formatCode>###\ ###\ ##0.0;\-###\ ###\ ##0.0;"–"</c:formatCode>
                <c:ptCount val="9"/>
                <c:pt idx="0">
                  <c:v>69.777224486547638</c:v>
                </c:pt>
                <c:pt idx="1">
                  <c:v>80.401147628445969</c:v>
                </c:pt>
                <c:pt idx="2">
                  <c:v>125.61706155020919</c:v>
                </c:pt>
                <c:pt idx="3">
                  <c:v>101.92410287068925</c:v>
                </c:pt>
                <c:pt idx="4">
                  <c:v>117.19471448479659</c:v>
                </c:pt>
                <c:pt idx="5">
                  <c:v>62.567604827249781</c:v>
                </c:pt>
                <c:pt idx="6">
                  <c:v>88.140240916658499</c:v>
                </c:pt>
                <c:pt idx="7">
                  <c:v>26.23344014091105</c:v>
                </c:pt>
                <c:pt idx="8">
                  <c:v>90.463167789668148</c:v>
                </c:pt>
              </c:numCache>
            </c:numRef>
          </c:val>
        </c:ser>
        <c:ser>
          <c:idx val="1"/>
          <c:order val="1"/>
          <c:tx>
            <c:strRef>
              <c:f>'F10.17'!$B$32</c:f>
              <c:strCache>
                <c:ptCount val="1"/>
                <c:pt idx="0">
                  <c:v>2014-15</c:v>
                </c:pt>
              </c:strCache>
            </c:strRef>
          </c:tx>
          <c:spPr>
            <a:solidFill>
              <a:srgbClr val="66BCDB"/>
            </a:solidFill>
            <a:ln>
              <a:solidFill>
                <a:srgbClr val="66BCDB"/>
              </a:solidFill>
            </a:ln>
          </c:spPr>
          <c:invertIfNegative val="0"/>
          <c:cat>
            <c:strRef>
              <c:f>'F10.17'!$C$30:$K$30</c:f>
              <c:strCache>
                <c:ptCount val="9"/>
                <c:pt idx="0">
                  <c:v>NSW</c:v>
                </c:pt>
                <c:pt idx="1">
                  <c:v>Vic</c:v>
                </c:pt>
                <c:pt idx="2">
                  <c:v>Qld</c:v>
                </c:pt>
                <c:pt idx="3">
                  <c:v>WA</c:v>
                </c:pt>
                <c:pt idx="4">
                  <c:v>SA</c:v>
                </c:pt>
                <c:pt idx="5">
                  <c:v>Tas</c:v>
                </c:pt>
                <c:pt idx="6">
                  <c:v>ACT</c:v>
                </c:pt>
                <c:pt idx="7">
                  <c:v>NT</c:v>
                </c:pt>
                <c:pt idx="8">
                  <c:v>Aust</c:v>
                </c:pt>
              </c:strCache>
            </c:strRef>
          </c:cat>
          <c:val>
            <c:numRef>
              <c:f>'F10.17'!$C$32:$K$32</c:f>
              <c:numCache>
                <c:formatCode>###\ ###\ ##0.0;\-###\ ###\ ##0.0;"–"</c:formatCode>
                <c:ptCount val="9"/>
                <c:pt idx="0">
                  <c:v>236.81468461546558</c:v>
                </c:pt>
                <c:pt idx="1">
                  <c:v>170.42411701969456</c:v>
                </c:pt>
                <c:pt idx="2">
                  <c:v>61.998587750865646</c:v>
                </c:pt>
                <c:pt idx="3">
                  <c:v>81.689477617287864</c:v>
                </c:pt>
                <c:pt idx="4">
                  <c:v>116.10228977667774</c:v>
                </c:pt>
                <c:pt idx="5">
                  <c:v>10.684103122963343</c:v>
                </c:pt>
                <c:pt idx="6">
                  <c:v>147.83989486940808</c:v>
                </c:pt>
                <c:pt idx="7">
                  <c:v>7.5390617637634998</c:v>
                </c:pt>
                <c:pt idx="8">
                  <c:v>149.77074741999982</c:v>
                </c:pt>
              </c:numCache>
            </c:numRef>
          </c:val>
        </c:ser>
        <c:ser>
          <c:idx val="2"/>
          <c:order val="2"/>
          <c:tx>
            <c:strRef>
              <c:f>'F10.17'!$B$33</c:f>
              <c:strCache>
                <c:ptCount val="1"/>
                <c:pt idx="0">
                  <c:v>2015-16</c:v>
                </c:pt>
              </c:strCache>
            </c:strRef>
          </c:tx>
          <c:spPr>
            <a:solidFill>
              <a:srgbClr val="66BCDB"/>
            </a:solidFill>
            <a:ln>
              <a:solidFill>
                <a:srgbClr val="66BCDB"/>
              </a:solidFill>
            </a:ln>
          </c:spPr>
          <c:invertIfNegative val="0"/>
          <c:cat>
            <c:strRef>
              <c:f>'F10.17'!$C$30:$K$30</c:f>
              <c:strCache>
                <c:ptCount val="9"/>
                <c:pt idx="0">
                  <c:v>NSW</c:v>
                </c:pt>
                <c:pt idx="1">
                  <c:v>Vic</c:v>
                </c:pt>
                <c:pt idx="2">
                  <c:v>Qld</c:v>
                </c:pt>
                <c:pt idx="3">
                  <c:v>WA</c:v>
                </c:pt>
                <c:pt idx="4">
                  <c:v>SA</c:v>
                </c:pt>
                <c:pt idx="5">
                  <c:v>Tas</c:v>
                </c:pt>
                <c:pt idx="6">
                  <c:v>ACT</c:v>
                </c:pt>
                <c:pt idx="7">
                  <c:v>NT</c:v>
                </c:pt>
                <c:pt idx="8">
                  <c:v>Aust</c:v>
                </c:pt>
              </c:strCache>
            </c:strRef>
          </c:cat>
          <c:val>
            <c:numRef>
              <c:f>'F10.17'!$C$33:$K$33</c:f>
              <c:numCache>
                <c:formatCode>###\ ###\ ##0.0;\-###\ ###\ ##0.0;"–"</c:formatCode>
                <c:ptCount val="9"/>
                <c:pt idx="0">
                  <c:v>610.41242865410538</c:v>
                </c:pt>
                <c:pt idx="1">
                  <c:v>91.83676193544197</c:v>
                </c:pt>
                <c:pt idx="2">
                  <c:v>162.90270678040315</c:v>
                </c:pt>
                <c:pt idx="3">
                  <c:v>126.4547873472258</c:v>
                </c:pt>
                <c:pt idx="4">
                  <c:v>241.85672051525711</c:v>
                </c:pt>
                <c:pt idx="5">
                  <c:v>19.349013200326784</c:v>
                </c:pt>
                <c:pt idx="6">
                  <c:v>239.14176163311109</c:v>
                </c:pt>
                <c:pt idx="7">
                  <c:v>84.353384445235903</c:v>
                </c:pt>
                <c:pt idx="8">
                  <c:v>286.41397873185366</c:v>
                </c:pt>
              </c:numCache>
            </c:numRef>
          </c:val>
        </c:ser>
        <c:ser>
          <c:idx val="3"/>
          <c:order val="3"/>
          <c:tx>
            <c:strRef>
              <c:f>'F10.17'!$B$34</c:f>
              <c:strCache>
                <c:ptCount val="1"/>
                <c:pt idx="0">
                  <c:v>2016-17</c:v>
                </c:pt>
              </c:strCache>
            </c:strRef>
          </c:tx>
          <c:spPr>
            <a:solidFill>
              <a:srgbClr val="66BCDB"/>
            </a:solidFill>
            <a:ln>
              <a:solidFill>
                <a:srgbClr val="66BCDB"/>
              </a:solidFill>
            </a:ln>
          </c:spPr>
          <c:invertIfNegative val="0"/>
          <c:cat>
            <c:strRef>
              <c:f>'F10.17'!$C$30:$K$30</c:f>
              <c:strCache>
                <c:ptCount val="9"/>
                <c:pt idx="0">
                  <c:v>NSW</c:v>
                </c:pt>
                <c:pt idx="1">
                  <c:v>Vic</c:v>
                </c:pt>
                <c:pt idx="2">
                  <c:v>Qld</c:v>
                </c:pt>
                <c:pt idx="3">
                  <c:v>WA</c:v>
                </c:pt>
                <c:pt idx="4">
                  <c:v>SA</c:v>
                </c:pt>
                <c:pt idx="5">
                  <c:v>Tas</c:v>
                </c:pt>
                <c:pt idx="6">
                  <c:v>ACT</c:v>
                </c:pt>
                <c:pt idx="7">
                  <c:v>NT</c:v>
                </c:pt>
                <c:pt idx="8">
                  <c:v>Aust</c:v>
                </c:pt>
              </c:strCache>
            </c:strRef>
          </c:cat>
          <c:val>
            <c:numRef>
              <c:f>'F10.17'!$C$34:$K$34</c:f>
              <c:numCache>
                <c:formatCode>###\ ###\ ##0.0;\-###\ ###\ ##0.0;"–"</c:formatCode>
                <c:ptCount val="9"/>
                <c:pt idx="0">
                  <c:v>330.29590893759615</c:v>
                </c:pt>
                <c:pt idx="1">
                  <c:v>47.191333481077841</c:v>
                </c:pt>
                <c:pt idx="2">
                  <c:v>84.655290330113928</c:v>
                </c:pt>
                <c:pt idx="3">
                  <c:v>133.7842283036882</c:v>
                </c:pt>
                <c:pt idx="4">
                  <c:v>370.51987647149559</c:v>
                </c:pt>
                <c:pt idx="5">
                  <c:v>9.6275218758691512</c:v>
                </c:pt>
                <c:pt idx="6">
                  <c:v>230.48975818108423</c:v>
                </c:pt>
                <c:pt idx="7">
                  <c:v>263.29548849716161</c:v>
                </c:pt>
                <c:pt idx="8">
                  <c:v>180.48782185834577</c:v>
                </c:pt>
              </c:numCache>
            </c:numRef>
          </c:val>
        </c:ser>
        <c:ser>
          <c:idx val="4"/>
          <c:order val="4"/>
          <c:tx>
            <c:strRef>
              <c:f>'F10.17'!$B$35</c:f>
              <c:strCache>
                <c:ptCount val="1"/>
                <c:pt idx="0">
                  <c:v>2017-18</c:v>
                </c:pt>
              </c:strCache>
            </c:strRef>
          </c:tx>
          <c:spPr>
            <a:solidFill>
              <a:srgbClr val="265A9A"/>
            </a:solidFill>
            <a:ln>
              <a:solidFill>
                <a:srgbClr val="265A9A"/>
              </a:solidFill>
            </a:ln>
          </c:spPr>
          <c:invertIfNegative val="0"/>
          <c:cat>
            <c:strRef>
              <c:f>'F10.17'!$C$30:$K$30</c:f>
              <c:strCache>
                <c:ptCount val="9"/>
                <c:pt idx="0">
                  <c:v>NSW</c:v>
                </c:pt>
                <c:pt idx="1">
                  <c:v>Vic</c:v>
                </c:pt>
                <c:pt idx="2">
                  <c:v>Qld</c:v>
                </c:pt>
                <c:pt idx="3">
                  <c:v>WA</c:v>
                </c:pt>
                <c:pt idx="4">
                  <c:v>SA</c:v>
                </c:pt>
                <c:pt idx="5">
                  <c:v>Tas</c:v>
                </c:pt>
                <c:pt idx="6">
                  <c:v>ACT</c:v>
                </c:pt>
                <c:pt idx="7">
                  <c:v>NT</c:v>
                </c:pt>
                <c:pt idx="8">
                  <c:v>Aust</c:v>
                </c:pt>
              </c:strCache>
            </c:strRef>
          </c:cat>
          <c:val>
            <c:numRef>
              <c:f>'F10.17'!$C$35:$K$35</c:f>
              <c:numCache>
                <c:formatCode>###\ ###\ ##0.0;\-###\ ###\ ##0.0;"–"</c:formatCode>
                <c:ptCount val="9"/>
                <c:pt idx="0">
                  <c:v>159.66036872584644</c:v>
                </c:pt>
                <c:pt idx="1">
                  <c:v>47.664725808877193</c:v>
                </c:pt>
                <c:pt idx="2">
                  <c:v>81.153719956923737</c:v>
                </c:pt>
                <c:pt idx="3">
                  <c:v>121.77731411605339</c:v>
                </c:pt>
                <c:pt idx="4">
                  <c:v>188.80189193868185</c:v>
                </c:pt>
                <c:pt idx="5">
                  <c:v>33.156853307663511</c:v>
                </c:pt>
                <c:pt idx="6">
                  <c:v>37.821005786613881</c:v>
                </c:pt>
                <c:pt idx="7">
                  <c:v>76.672775554475066</c:v>
                </c:pt>
                <c:pt idx="8">
                  <c:v>107.21600634540206</c:v>
                </c:pt>
              </c:numCache>
            </c:numRef>
          </c:val>
        </c:ser>
        <c:dLbls>
          <c:showLegendKey val="0"/>
          <c:showVal val="0"/>
          <c:showCatName val="0"/>
          <c:showSerName val="0"/>
          <c:showPercent val="0"/>
          <c:showBubbleSize val="0"/>
        </c:dLbls>
        <c:gapWidth val="150"/>
        <c:axId val="536805576"/>
        <c:axId val="536805968"/>
      </c:barChart>
      <c:catAx>
        <c:axId val="536805576"/>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536805968"/>
        <c:crosses val="autoZero"/>
        <c:auto val="1"/>
        <c:lblAlgn val="ctr"/>
        <c:lblOffset val="100"/>
        <c:noMultiLvlLbl val="0"/>
      </c:catAx>
      <c:valAx>
        <c:axId val="536805968"/>
        <c:scaling>
          <c:orientation val="minMax"/>
        </c:scaling>
        <c:delete val="0"/>
        <c:axPos val="l"/>
        <c:majorGridlines>
          <c:spPr>
            <a:ln>
              <a:noFill/>
            </a:ln>
          </c:spPr>
        </c:majorGridlines>
        <c:title>
          <c:tx>
            <c:rich>
              <a:bodyPr rot="-5400000" vert="horz"/>
              <a:lstStyle/>
              <a:p>
                <a:pPr>
                  <a:defRPr sz="900">
                    <a:latin typeface="arial"/>
                    <a:ea typeface="arial"/>
                    <a:cs typeface="arial"/>
                  </a:defRPr>
                </a:pPr>
                <a:r>
                  <a:rPr lang="en-US"/>
                  <a:t>Notifications/100 000 children</a:t>
                </a:r>
              </a:p>
            </c:rich>
          </c:tx>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536805576"/>
        <c:crosses val="autoZero"/>
        <c:crossBetween val="between"/>
        <c:majorUnit val="200"/>
      </c:valAx>
      <c:spPr>
        <a:noFill/>
        <a:ln>
          <a:noFill/>
        </a:ln>
      </c:spPr>
    </c:plotArea>
    <c:legend>
      <c:legendPos val="b"/>
      <c:legendEntry>
        <c:idx val="1"/>
        <c:delete val="1"/>
      </c:legendEntry>
      <c:legendEntry>
        <c:idx val="2"/>
        <c:delete val="1"/>
      </c:legendEntry>
      <c:legendEntry>
        <c:idx val="3"/>
        <c:delete val="1"/>
      </c:legendEntry>
      <c:layout/>
      <c:overlay val="0"/>
      <c:spPr>
        <a:ln>
          <a:noFill/>
        </a:ln>
      </c:spPr>
      <c:txPr>
        <a:bodyPr/>
        <a:lstStyle/>
        <a:p>
          <a:pPr>
            <a:defRPr sz="900" b="0" i="0">
              <a:latin typeface="Arial" panose="020B0604020202020204" pitchFamily="34" charset="0"/>
            </a:defRPr>
          </a:pPr>
          <a:endParaRPr lang="en-US"/>
        </a:p>
      </c:txPr>
    </c:legend>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'F10.3'!$C$9</c:f>
              <c:strCache>
                <c:ptCount val="1"/>
                <c:pt idx="0">
                  <c:v>Urban</c:v>
                </c:pt>
              </c:strCache>
            </c:strRef>
          </c:tx>
          <c:spPr>
            <a:solidFill>
              <a:srgbClr val="66BCDB"/>
            </a:solidFill>
            <a:ln>
              <a:solidFill>
                <a:srgbClr val="66BCDB"/>
              </a:solidFill>
            </a:ln>
          </c:spPr>
          <c:invertIfNegative val="0"/>
          <c:cat>
            <c:strRef>
              <c:f>'F10.3'!$D$8:$L$8</c:f>
              <c:strCache>
                <c:ptCount val="9"/>
                <c:pt idx="0">
                  <c:v>NSW</c:v>
                </c:pt>
                <c:pt idx="1">
                  <c:v>VIC</c:v>
                </c:pt>
                <c:pt idx="2">
                  <c:v>QLD</c:v>
                </c:pt>
                <c:pt idx="3">
                  <c:v>WA</c:v>
                </c:pt>
                <c:pt idx="4">
                  <c:v>SA</c:v>
                </c:pt>
                <c:pt idx="5">
                  <c:v>TAS</c:v>
                </c:pt>
                <c:pt idx="6">
                  <c:v>ACT</c:v>
                </c:pt>
                <c:pt idx="7">
                  <c:v>NT</c:v>
                </c:pt>
                <c:pt idx="8">
                  <c:v>AUST</c:v>
                </c:pt>
              </c:strCache>
            </c:strRef>
          </c:cat>
          <c:val>
            <c:numRef>
              <c:f>'F10.3'!$D$9:$L$9</c:f>
              <c:numCache>
                <c:formatCode>###\ ###\ ##0.0;\-###\ ###\ ##0.0;"–"</c:formatCode>
                <c:ptCount val="9"/>
                <c:pt idx="0">
                  <c:v>4.0259999999999998</c:v>
                </c:pt>
                <c:pt idx="1">
                  <c:v>4.4539999999999997</c:v>
                </c:pt>
                <c:pt idx="2">
                  <c:v>4.2119999999999997</c:v>
                </c:pt>
                <c:pt idx="3">
                  <c:v>4.1029999999999998</c:v>
                </c:pt>
                <c:pt idx="4">
                  <c:v>3.8220000000000001</c:v>
                </c:pt>
                <c:pt idx="5">
                  <c:v>3.4279999999999999</c:v>
                </c:pt>
                <c:pt idx="6">
                  <c:v>5.0860000000000003</c:v>
                </c:pt>
                <c:pt idx="7">
                  <c:v>4.78</c:v>
                </c:pt>
                <c:pt idx="8">
                  <c:v>4.1669999999999998</c:v>
                </c:pt>
              </c:numCache>
            </c:numRef>
          </c:val>
        </c:ser>
        <c:ser>
          <c:idx val="1"/>
          <c:order val="1"/>
          <c:tx>
            <c:strRef>
              <c:f>'F10.3'!$C$10</c:f>
              <c:strCache>
                <c:ptCount val="1"/>
                <c:pt idx="0">
                  <c:v>Rural</c:v>
                </c:pt>
              </c:strCache>
            </c:strRef>
          </c:tx>
          <c:spPr>
            <a:solidFill>
              <a:srgbClr val="265A9A"/>
            </a:solidFill>
            <a:ln>
              <a:solidFill>
                <a:srgbClr val="265A9A"/>
              </a:solidFill>
            </a:ln>
          </c:spPr>
          <c:invertIfNegative val="0"/>
          <c:cat>
            <c:strRef>
              <c:f>'F10.3'!$D$8:$L$8</c:f>
              <c:strCache>
                <c:ptCount val="9"/>
                <c:pt idx="0">
                  <c:v>NSW</c:v>
                </c:pt>
                <c:pt idx="1">
                  <c:v>VIC</c:v>
                </c:pt>
                <c:pt idx="2">
                  <c:v>QLD</c:v>
                </c:pt>
                <c:pt idx="3">
                  <c:v>WA</c:v>
                </c:pt>
                <c:pt idx="4">
                  <c:v>SA</c:v>
                </c:pt>
                <c:pt idx="5">
                  <c:v>TAS</c:v>
                </c:pt>
                <c:pt idx="6">
                  <c:v>ACT</c:v>
                </c:pt>
                <c:pt idx="7">
                  <c:v>NT</c:v>
                </c:pt>
                <c:pt idx="8">
                  <c:v>AUST</c:v>
                </c:pt>
              </c:strCache>
            </c:strRef>
          </c:cat>
          <c:val>
            <c:numRef>
              <c:f>'F10.3'!$D$10:$L$10</c:f>
              <c:numCache>
                <c:formatCode>###\ ###\ ##0.0;\-###\ ###\ ##0.0;"–"</c:formatCode>
                <c:ptCount val="9"/>
                <c:pt idx="0">
                  <c:v>3.5590000000000002</c:v>
                </c:pt>
                <c:pt idx="1">
                  <c:v>3.6949999999999998</c:v>
                </c:pt>
                <c:pt idx="2">
                  <c:v>3.01</c:v>
                </c:pt>
                <c:pt idx="3">
                  <c:v>2.61</c:v>
                </c:pt>
                <c:pt idx="4">
                  <c:v>2.89</c:v>
                </c:pt>
                <c:pt idx="5">
                  <c:v>2.94</c:v>
                </c:pt>
                <c:pt idx="6">
                  <c:v>0</c:v>
                </c:pt>
                <c:pt idx="7">
                  <c:v>1.4630000000000001</c:v>
                </c:pt>
                <c:pt idx="8">
                  <c:v>3.0579999999999998</c:v>
                </c:pt>
              </c:numCache>
            </c:numRef>
          </c:val>
        </c:ser>
        <c:dLbls>
          <c:showLegendKey val="0"/>
          <c:showVal val="0"/>
          <c:showCatName val="0"/>
          <c:showSerName val="0"/>
          <c:showPercent val="0"/>
          <c:showBubbleSize val="0"/>
        </c:dLbls>
        <c:gapWidth val="150"/>
        <c:axId val="536379464"/>
        <c:axId val="536379856"/>
      </c:barChart>
      <c:catAx>
        <c:axId val="536379464"/>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536379856"/>
        <c:crosses val="autoZero"/>
        <c:auto val="1"/>
        <c:lblAlgn val="ctr"/>
        <c:lblOffset val="100"/>
        <c:noMultiLvlLbl val="0"/>
      </c:catAx>
      <c:valAx>
        <c:axId val="536379856"/>
        <c:scaling>
          <c:orientation val="minMax"/>
        </c:scaling>
        <c:delete val="0"/>
        <c:axPos val="l"/>
        <c:majorGridlines>
          <c:spPr>
            <a:ln>
              <a:noFill/>
            </a:ln>
          </c:spPr>
        </c:majorGridlines>
        <c:title>
          <c:tx>
            <c:rich>
              <a:bodyPr rot="-5400000" vert="horz"/>
              <a:lstStyle/>
              <a:p>
                <a:pPr>
                  <a:defRPr sz="900">
                    <a:latin typeface="arial"/>
                    <a:ea typeface="arial"/>
                    <a:cs typeface="arial"/>
                  </a:defRPr>
                </a:pPr>
                <a:r>
                  <a:rPr lang="en-US"/>
                  <a:t>'000 people/approved provider</a:t>
                </a:r>
              </a:p>
            </c:rich>
          </c:tx>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536379464"/>
        <c:crosses val="autoZero"/>
        <c:crossBetween val="between"/>
        <c:majorUnit val="1"/>
      </c:valAx>
      <c:spPr>
        <a:noFill/>
        <a:ln>
          <a:noFill/>
        </a:ln>
      </c:spPr>
    </c:plotArea>
    <c:legend>
      <c:legendPos val="b"/>
      <c:layout/>
      <c:overlay val="0"/>
      <c:spPr>
        <a:ln>
          <a:noFill/>
        </a:ln>
      </c:spPr>
      <c:txPr>
        <a:bodyPr/>
        <a:lstStyle/>
        <a:p>
          <a:pPr>
            <a:defRPr sz="900" b="0" i="0">
              <a:latin typeface="Arial" panose="020B0604020202020204" pitchFamily="34" charset="0"/>
            </a:defRPr>
          </a:pPr>
          <a:endParaRPr lang="en-US"/>
        </a:p>
      </c:txPr>
    </c:legend>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310115996908185"/>
          <c:y val="5.0217206492649845E-2"/>
          <c:w val="0.86409625920968414"/>
          <c:h val="0.74923568836574805"/>
        </c:manualLayout>
      </c:layout>
      <c:barChart>
        <c:barDir val="col"/>
        <c:grouping val="clustered"/>
        <c:varyColors val="0"/>
        <c:ser>
          <c:idx val="0"/>
          <c:order val="0"/>
          <c:tx>
            <c:strRef>
              <c:f>'F10.4'!$C$6</c:f>
              <c:strCache>
                <c:ptCount val="1"/>
                <c:pt idx="0">
                  <c:v>Major Cities</c:v>
                </c:pt>
              </c:strCache>
            </c:strRef>
          </c:tx>
          <c:spPr>
            <a:solidFill>
              <a:srgbClr val="66BCDB"/>
            </a:solidFill>
            <a:ln>
              <a:solidFill>
                <a:srgbClr val="66BCDB"/>
              </a:solidFill>
            </a:ln>
          </c:spPr>
          <c:invertIfNegative val="0"/>
          <c:cat>
            <c:strRef>
              <c:f>'F10.4'!$D$5:$L$5</c:f>
              <c:strCache>
                <c:ptCount val="9"/>
                <c:pt idx="0">
                  <c:v>NSW</c:v>
                </c:pt>
                <c:pt idx="1">
                  <c:v>VIC</c:v>
                </c:pt>
                <c:pt idx="2">
                  <c:v>QLD</c:v>
                </c:pt>
                <c:pt idx="3">
                  <c:v>WA</c:v>
                </c:pt>
                <c:pt idx="4">
                  <c:v>SA</c:v>
                </c:pt>
                <c:pt idx="5">
                  <c:v>TAS</c:v>
                </c:pt>
                <c:pt idx="6">
                  <c:v>ACT</c:v>
                </c:pt>
                <c:pt idx="7">
                  <c:v>NT</c:v>
                </c:pt>
                <c:pt idx="8">
                  <c:v>AUST</c:v>
                </c:pt>
              </c:strCache>
            </c:strRef>
          </c:cat>
          <c:val>
            <c:numRef>
              <c:f>'F10.4'!$D$6:$L$6</c:f>
              <c:numCache>
                <c:formatCode>####\ ###\ ##0.0;\-####\ ###\ ##0.0;"–"</c:formatCode>
                <c:ptCount val="9"/>
                <c:pt idx="0">
                  <c:v>110.67063700395282</c:v>
                </c:pt>
                <c:pt idx="1">
                  <c:v>107.28707641757128</c:v>
                </c:pt>
                <c:pt idx="2">
                  <c:v>118.55060035999867</c:v>
                </c:pt>
                <c:pt idx="3">
                  <c:v>94.750119491254821</c:v>
                </c:pt>
                <c:pt idx="4">
                  <c:v>113.16196773176563</c:v>
                </c:pt>
                <c:pt idx="5">
                  <c:v>0</c:v>
                </c:pt>
                <c:pt idx="6">
                  <c:v>81.810047296433595</c:v>
                </c:pt>
                <c:pt idx="7">
                  <c:v>0</c:v>
                </c:pt>
                <c:pt idx="8">
                  <c:v>108.79995785305613</c:v>
                </c:pt>
              </c:numCache>
            </c:numRef>
          </c:val>
        </c:ser>
        <c:ser>
          <c:idx val="1"/>
          <c:order val="1"/>
          <c:tx>
            <c:strRef>
              <c:f>'F10.4'!$C$7</c:f>
              <c:strCache>
                <c:ptCount val="1"/>
                <c:pt idx="0">
                  <c:v>Inner Regional</c:v>
                </c:pt>
              </c:strCache>
            </c:strRef>
          </c:tx>
          <c:spPr>
            <a:solidFill>
              <a:srgbClr val="265A9A"/>
            </a:solidFill>
            <a:ln>
              <a:solidFill>
                <a:srgbClr val="265A9A"/>
              </a:solidFill>
            </a:ln>
          </c:spPr>
          <c:invertIfNegative val="0"/>
          <c:cat>
            <c:strRef>
              <c:f>'F10.4'!$D$5:$L$5</c:f>
              <c:strCache>
                <c:ptCount val="9"/>
                <c:pt idx="0">
                  <c:v>NSW</c:v>
                </c:pt>
                <c:pt idx="1">
                  <c:v>VIC</c:v>
                </c:pt>
                <c:pt idx="2">
                  <c:v>QLD</c:v>
                </c:pt>
                <c:pt idx="3">
                  <c:v>WA</c:v>
                </c:pt>
                <c:pt idx="4">
                  <c:v>SA</c:v>
                </c:pt>
                <c:pt idx="5">
                  <c:v>TAS</c:v>
                </c:pt>
                <c:pt idx="6">
                  <c:v>ACT</c:v>
                </c:pt>
                <c:pt idx="7">
                  <c:v>NT</c:v>
                </c:pt>
                <c:pt idx="8">
                  <c:v>AUST</c:v>
                </c:pt>
              </c:strCache>
            </c:strRef>
          </c:cat>
          <c:val>
            <c:numRef>
              <c:f>'F10.4'!$D$7:$L$7</c:f>
              <c:numCache>
                <c:formatCode>####\ ###\ ##0.0;\-####\ ###\ ##0.0;"–"</c:formatCode>
                <c:ptCount val="9"/>
                <c:pt idx="0">
                  <c:v>113.04878876297754</c:v>
                </c:pt>
                <c:pt idx="1">
                  <c:v>110.53023589502544</c:v>
                </c:pt>
                <c:pt idx="2">
                  <c:v>112.98504003913793</c:v>
                </c:pt>
                <c:pt idx="3">
                  <c:v>88.94051138763443</c:v>
                </c:pt>
                <c:pt idx="4">
                  <c:v>94.167500441410155</c:v>
                </c:pt>
                <c:pt idx="5">
                  <c:v>103.08465498763276</c:v>
                </c:pt>
                <c:pt idx="6">
                  <c:v>0</c:v>
                </c:pt>
                <c:pt idx="7">
                  <c:v>0</c:v>
                </c:pt>
                <c:pt idx="8">
                  <c:v>109.32703746677045</c:v>
                </c:pt>
              </c:numCache>
            </c:numRef>
          </c:val>
        </c:ser>
        <c:ser>
          <c:idx val="2"/>
          <c:order val="2"/>
          <c:tx>
            <c:strRef>
              <c:f>'F10.4'!$C$8</c:f>
              <c:strCache>
                <c:ptCount val="1"/>
                <c:pt idx="0">
                  <c:v>Outer Regional, remote &amp; very remote</c:v>
                </c:pt>
              </c:strCache>
            </c:strRef>
          </c:tx>
          <c:spPr>
            <a:solidFill>
              <a:srgbClr val="78A22F"/>
            </a:solidFill>
            <a:ln>
              <a:solidFill>
                <a:srgbClr val="78A22F"/>
              </a:solidFill>
            </a:ln>
          </c:spPr>
          <c:invertIfNegative val="0"/>
          <c:cat>
            <c:strRef>
              <c:f>'F10.4'!$D$5:$L$5</c:f>
              <c:strCache>
                <c:ptCount val="9"/>
                <c:pt idx="0">
                  <c:v>NSW</c:v>
                </c:pt>
                <c:pt idx="1">
                  <c:v>VIC</c:v>
                </c:pt>
                <c:pt idx="2">
                  <c:v>QLD</c:v>
                </c:pt>
                <c:pt idx="3">
                  <c:v>WA</c:v>
                </c:pt>
                <c:pt idx="4">
                  <c:v>SA</c:v>
                </c:pt>
                <c:pt idx="5">
                  <c:v>TAS</c:v>
                </c:pt>
                <c:pt idx="6">
                  <c:v>ACT</c:v>
                </c:pt>
                <c:pt idx="7">
                  <c:v>NT</c:v>
                </c:pt>
                <c:pt idx="8">
                  <c:v>AUST</c:v>
                </c:pt>
              </c:strCache>
            </c:strRef>
          </c:cat>
          <c:val>
            <c:numRef>
              <c:f>'F10.4'!$D$8:$L$8</c:f>
              <c:numCache>
                <c:formatCode>####\ ###\ ##0.0;\-####\ ###\ ##0.0;"–"</c:formatCode>
                <c:ptCount val="9"/>
                <c:pt idx="0">
                  <c:v>0</c:v>
                </c:pt>
                <c:pt idx="1">
                  <c:v>0</c:v>
                </c:pt>
                <c:pt idx="2">
                  <c:v>98.958956563360061</c:v>
                </c:pt>
                <c:pt idx="3">
                  <c:v>79.105430587809863</c:v>
                </c:pt>
                <c:pt idx="4">
                  <c:v>82.449986067479216</c:v>
                </c:pt>
                <c:pt idx="5">
                  <c:v>82.094368892462029</c:v>
                </c:pt>
                <c:pt idx="6">
                  <c:v>0</c:v>
                </c:pt>
                <c:pt idx="7">
                  <c:v>53.835581240747011</c:v>
                </c:pt>
                <c:pt idx="8">
                  <c:v>91.60530935645069</c:v>
                </c:pt>
              </c:numCache>
            </c:numRef>
          </c:val>
        </c:ser>
        <c:dLbls>
          <c:showLegendKey val="0"/>
          <c:showVal val="0"/>
          <c:showCatName val="0"/>
          <c:showSerName val="0"/>
          <c:showPercent val="0"/>
          <c:showBubbleSize val="0"/>
        </c:dLbls>
        <c:gapWidth val="150"/>
        <c:axId val="536380640"/>
        <c:axId val="536381032"/>
      </c:barChart>
      <c:catAx>
        <c:axId val="536380640"/>
        <c:scaling>
          <c:orientation val="minMax"/>
        </c:scaling>
        <c:delete val="0"/>
        <c:axPos val="b"/>
        <c:numFmt formatCode="General" sourceLinked="0"/>
        <c:majorTickMark val="none"/>
        <c:minorTickMark val="none"/>
        <c:tickLblPos val="nextTo"/>
        <c:spPr>
          <a:ln>
            <a:solidFill>
              <a:srgbClr val="BFBFBF"/>
            </a:solidFill>
          </a:ln>
        </c:spPr>
        <c:txPr>
          <a:bodyPr/>
          <a:lstStyle/>
          <a:p>
            <a:pPr>
              <a:defRPr sz="800" b="0" i="0">
                <a:latin typeface="Arial"/>
                <a:ea typeface="Arial"/>
                <a:cs typeface="Arial"/>
              </a:defRPr>
            </a:pPr>
            <a:endParaRPr lang="en-US"/>
          </a:p>
        </c:txPr>
        <c:crossAx val="536381032"/>
        <c:crosses val="autoZero"/>
        <c:auto val="1"/>
        <c:lblAlgn val="ctr"/>
        <c:lblOffset val="100"/>
        <c:noMultiLvlLbl val="0"/>
      </c:catAx>
      <c:valAx>
        <c:axId val="536381032"/>
        <c:scaling>
          <c:orientation val="minMax"/>
          <c:max val="12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FSE GPs/100 000 people</a:t>
                </a:r>
              </a:p>
            </c:rich>
          </c:tx>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536380640"/>
        <c:crosses val="autoZero"/>
        <c:crossBetween val="between"/>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ayout>
        <c:manualLayout>
          <c:xMode val="edge"/>
          <c:yMode val="edge"/>
          <c:x val="0.13523774055270119"/>
          <c:y val="0.89883754309246267"/>
          <c:w val="0.73435077372085245"/>
          <c:h val="0.10116245690753732"/>
        </c:manualLayout>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8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'F10.6'!$C$4</c:f>
              <c:strCache>
                <c:ptCount val="1"/>
                <c:pt idx="0">
                  <c:v>Major cities</c:v>
                </c:pt>
              </c:strCache>
            </c:strRef>
          </c:tx>
          <c:spPr>
            <a:solidFill>
              <a:srgbClr val="66BCDB"/>
            </a:solidFill>
            <a:ln>
              <a:solidFill>
                <a:srgbClr val="66BCDB"/>
              </a:solidFill>
            </a:ln>
          </c:spPr>
          <c:invertIfNegative val="0"/>
          <c:cat>
            <c:strRef>
              <c:f>'F10.6'!$D$3:$L$3</c:f>
              <c:strCache>
                <c:ptCount val="9"/>
                <c:pt idx="0">
                  <c:v>NSW</c:v>
                </c:pt>
                <c:pt idx="1">
                  <c:v>Vic</c:v>
                </c:pt>
                <c:pt idx="2">
                  <c:v>Qld</c:v>
                </c:pt>
                <c:pt idx="3">
                  <c:v>WA</c:v>
                </c:pt>
                <c:pt idx="4">
                  <c:v>SA</c:v>
                </c:pt>
                <c:pt idx="5">
                  <c:v>Tas</c:v>
                </c:pt>
                <c:pt idx="6">
                  <c:v>ACT</c:v>
                </c:pt>
                <c:pt idx="7">
                  <c:v>NT</c:v>
                </c:pt>
                <c:pt idx="8">
                  <c:v>Aust</c:v>
                </c:pt>
              </c:strCache>
            </c:strRef>
          </c:cat>
          <c:val>
            <c:numRef>
              <c:f>'F10.6'!$D$4:$L$4</c:f>
              <c:numCache>
                <c:formatCode>General</c:formatCode>
                <c:ptCount val="9"/>
                <c:pt idx="0">
                  <c:v>5.1779999999999999</c:v>
                </c:pt>
                <c:pt idx="1">
                  <c:v>5.2560000000000002</c:v>
                </c:pt>
                <c:pt idx="2">
                  <c:v>6.4530000000000003</c:v>
                </c:pt>
                <c:pt idx="3">
                  <c:v>6.0129999999999999</c:v>
                </c:pt>
                <c:pt idx="4">
                  <c:v>6.7290000000000001</c:v>
                </c:pt>
                <c:pt idx="5">
                  <c:v>0</c:v>
                </c:pt>
                <c:pt idx="6">
                  <c:v>5.4690000000000003</c:v>
                </c:pt>
                <c:pt idx="7">
                  <c:v>0</c:v>
                </c:pt>
                <c:pt idx="8">
                  <c:v>5.64</c:v>
                </c:pt>
              </c:numCache>
            </c:numRef>
          </c:val>
        </c:ser>
        <c:ser>
          <c:idx val="1"/>
          <c:order val="1"/>
          <c:tx>
            <c:strRef>
              <c:f>'F10.6'!$C$5</c:f>
              <c:strCache>
                <c:ptCount val="1"/>
                <c:pt idx="0">
                  <c:v>Inner regional</c:v>
                </c:pt>
              </c:strCache>
            </c:strRef>
          </c:tx>
          <c:spPr>
            <a:solidFill>
              <a:srgbClr val="265A9A"/>
            </a:solidFill>
            <a:ln>
              <a:solidFill>
                <a:srgbClr val="265A9A"/>
              </a:solidFill>
            </a:ln>
          </c:spPr>
          <c:invertIfNegative val="0"/>
          <c:cat>
            <c:strRef>
              <c:f>'F10.6'!$D$3:$L$3</c:f>
              <c:strCache>
                <c:ptCount val="9"/>
                <c:pt idx="0">
                  <c:v>NSW</c:v>
                </c:pt>
                <c:pt idx="1">
                  <c:v>Vic</c:v>
                </c:pt>
                <c:pt idx="2">
                  <c:v>Qld</c:v>
                </c:pt>
                <c:pt idx="3">
                  <c:v>WA</c:v>
                </c:pt>
                <c:pt idx="4">
                  <c:v>SA</c:v>
                </c:pt>
                <c:pt idx="5">
                  <c:v>Tas</c:v>
                </c:pt>
                <c:pt idx="6">
                  <c:v>ACT</c:v>
                </c:pt>
                <c:pt idx="7">
                  <c:v>NT</c:v>
                </c:pt>
                <c:pt idx="8">
                  <c:v>Aust</c:v>
                </c:pt>
              </c:strCache>
            </c:strRef>
          </c:cat>
          <c:val>
            <c:numRef>
              <c:f>'F10.6'!$D$5:$L$5</c:f>
              <c:numCache>
                <c:formatCode>General</c:formatCode>
                <c:ptCount val="9"/>
                <c:pt idx="0">
                  <c:v>5.5979999999999999</c:v>
                </c:pt>
                <c:pt idx="1">
                  <c:v>4.6219999999999999</c:v>
                </c:pt>
                <c:pt idx="2">
                  <c:v>6.83</c:v>
                </c:pt>
                <c:pt idx="3">
                  <c:v>7.1459999999999999</c:v>
                </c:pt>
                <c:pt idx="4">
                  <c:v>4.0670000000000002</c:v>
                </c:pt>
                <c:pt idx="5">
                  <c:v>7.5019999999999998</c:v>
                </c:pt>
                <c:pt idx="6">
                  <c:v>0</c:v>
                </c:pt>
                <c:pt idx="7">
                  <c:v>0</c:v>
                </c:pt>
                <c:pt idx="8">
                  <c:v>5.7679999999999998</c:v>
                </c:pt>
              </c:numCache>
            </c:numRef>
          </c:val>
        </c:ser>
        <c:ser>
          <c:idx val="2"/>
          <c:order val="2"/>
          <c:tx>
            <c:strRef>
              <c:f>'F10.6'!$C$6</c:f>
              <c:strCache>
                <c:ptCount val="1"/>
                <c:pt idx="0">
                  <c:v>Outer regional</c:v>
                </c:pt>
              </c:strCache>
            </c:strRef>
          </c:tx>
          <c:spPr>
            <a:solidFill>
              <a:srgbClr val="78A22F"/>
            </a:solidFill>
            <a:ln>
              <a:solidFill>
                <a:srgbClr val="78A22F"/>
              </a:solidFill>
            </a:ln>
          </c:spPr>
          <c:invertIfNegative val="0"/>
          <c:cat>
            <c:strRef>
              <c:f>'F10.6'!$D$3:$L$3</c:f>
              <c:strCache>
                <c:ptCount val="9"/>
                <c:pt idx="0">
                  <c:v>NSW</c:v>
                </c:pt>
                <c:pt idx="1">
                  <c:v>Vic</c:v>
                </c:pt>
                <c:pt idx="2">
                  <c:v>Qld</c:v>
                </c:pt>
                <c:pt idx="3">
                  <c:v>WA</c:v>
                </c:pt>
                <c:pt idx="4">
                  <c:v>SA</c:v>
                </c:pt>
                <c:pt idx="5">
                  <c:v>Tas</c:v>
                </c:pt>
                <c:pt idx="6">
                  <c:v>ACT</c:v>
                </c:pt>
                <c:pt idx="7">
                  <c:v>NT</c:v>
                </c:pt>
                <c:pt idx="8">
                  <c:v>Aust</c:v>
                </c:pt>
              </c:strCache>
            </c:strRef>
          </c:cat>
          <c:val>
            <c:numRef>
              <c:f>'F10.6'!$D$6:$L$6</c:f>
              <c:numCache>
                <c:formatCode>General</c:formatCode>
                <c:ptCount val="9"/>
                <c:pt idx="0">
                  <c:v>1.2709999999999999</c:v>
                </c:pt>
                <c:pt idx="1">
                  <c:v>4.6360000000000001</c:v>
                </c:pt>
                <c:pt idx="2">
                  <c:v>8.6110000000000007</c:v>
                </c:pt>
                <c:pt idx="3">
                  <c:v>5.8659999999999997</c:v>
                </c:pt>
                <c:pt idx="4">
                  <c:v>5.0330000000000004</c:v>
                </c:pt>
                <c:pt idx="5">
                  <c:v>2.7170000000000001</c:v>
                </c:pt>
                <c:pt idx="6">
                  <c:v>0</c:v>
                </c:pt>
                <c:pt idx="7">
                  <c:v>9.4809999999999999</c:v>
                </c:pt>
                <c:pt idx="8">
                  <c:v>5.5919999999999996</c:v>
                </c:pt>
              </c:numCache>
            </c:numRef>
          </c:val>
        </c:ser>
        <c:ser>
          <c:idx val="3"/>
          <c:order val="3"/>
          <c:tx>
            <c:strRef>
              <c:f>'F10.6'!$C$7</c:f>
              <c:strCache>
                <c:ptCount val="1"/>
                <c:pt idx="0">
                  <c:v>Remote/very remote</c:v>
                </c:pt>
              </c:strCache>
            </c:strRef>
          </c:tx>
          <c:spPr>
            <a:solidFill>
              <a:srgbClr val="4D7028"/>
            </a:solidFill>
            <a:ln>
              <a:solidFill>
                <a:srgbClr val="4D7028"/>
              </a:solidFill>
            </a:ln>
          </c:spPr>
          <c:invertIfNegative val="0"/>
          <c:cat>
            <c:strRef>
              <c:f>'F10.6'!$D$3:$L$3</c:f>
              <c:strCache>
                <c:ptCount val="9"/>
                <c:pt idx="0">
                  <c:v>NSW</c:v>
                </c:pt>
                <c:pt idx="1">
                  <c:v>Vic</c:v>
                </c:pt>
                <c:pt idx="2">
                  <c:v>Qld</c:v>
                </c:pt>
                <c:pt idx="3">
                  <c:v>WA</c:v>
                </c:pt>
                <c:pt idx="4">
                  <c:v>SA</c:v>
                </c:pt>
                <c:pt idx="5">
                  <c:v>Tas</c:v>
                </c:pt>
                <c:pt idx="6">
                  <c:v>ACT</c:v>
                </c:pt>
                <c:pt idx="7">
                  <c:v>NT</c:v>
                </c:pt>
                <c:pt idx="8">
                  <c:v>Aust</c:v>
                </c:pt>
              </c:strCache>
            </c:strRef>
          </c:cat>
          <c:val>
            <c:numRef>
              <c:f>'F10.6'!$D$7:$L$7</c:f>
              <c:numCache>
                <c:formatCode>General</c:formatCode>
                <c:ptCount val="9"/>
                <c:pt idx="0">
                  <c:v>0</c:v>
                </c:pt>
                <c:pt idx="1">
                  <c:v>0</c:v>
                </c:pt>
                <c:pt idx="2">
                  <c:v>15.223000000000001</c:v>
                </c:pt>
                <c:pt idx="3">
                  <c:v>6.758</c:v>
                </c:pt>
                <c:pt idx="4">
                  <c:v>0</c:v>
                </c:pt>
                <c:pt idx="5">
                  <c:v>0</c:v>
                </c:pt>
                <c:pt idx="6">
                  <c:v>0</c:v>
                </c:pt>
                <c:pt idx="7">
                  <c:v>10.151</c:v>
                </c:pt>
                <c:pt idx="8">
                  <c:v>8.9670000000000005</c:v>
                </c:pt>
              </c:numCache>
            </c:numRef>
          </c:val>
        </c:ser>
        <c:dLbls>
          <c:showLegendKey val="0"/>
          <c:showVal val="0"/>
          <c:showCatName val="0"/>
          <c:showSerName val="0"/>
          <c:showPercent val="0"/>
          <c:showBubbleSize val="0"/>
        </c:dLbls>
        <c:gapWidth val="150"/>
        <c:axId val="14352792"/>
        <c:axId val="14353576"/>
      </c:barChart>
      <c:catAx>
        <c:axId val="14352792"/>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14353576"/>
        <c:crosses val="autoZero"/>
        <c:auto val="1"/>
        <c:lblAlgn val="ctr"/>
        <c:lblOffset val="100"/>
        <c:noMultiLvlLbl val="0"/>
      </c:catAx>
      <c:valAx>
        <c:axId val="14353576"/>
        <c:scaling>
          <c:orientation val="minMax"/>
          <c:max val="20"/>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FTE dentists/100 000 people</a:t>
                </a:r>
              </a:p>
            </c:rich>
          </c:tx>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14352792"/>
        <c:crosses val="autoZero"/>
        <c:crossBetween val="between"/>
        <c:majorUnit val="5"/>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legend>
      <c:legendPos val="b"/>
      <c:layout/>
      <c:overlay val="0"/>
      <c:spPr>
        <a:noFill/>
        <a:ln>
          <a:noFill/>
          <a:round/>
        </a:ln>
        <a:effectLst/>
        <a:extLst>
          <a:ext uri="{91240B29-F687-4F45-9708-019B960494DF}">
            <a14:hiddenLine xmlns:a14="http://schemas.microsoft.com/office/drawing/2010/main">
              <a:solidFill>
                <a:sysClr val="windowText" lastClr="000000"/>
              </a:solidFill>
              <a:round/>
            </a14:hiddenLine>
          </a:ext>
        </a:extLst>
      </c:spPr>
      <c:txPr>
        <a:bodyPr/>
        <a:lstStyle/>
        <a:p>
          <a:pPr>
            <a:defRPr sz="900" b="0" i="0">
              <a:latin typeface="Arial" panose="020B0604020202020204" pitchFamily="34" charset="0"/>
            </a:defRPr>
          </a:pPr>
          <a:endParaRPr lang="en-US"/>
        </a:p>
      </c:txPr>
    </c:legend>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'F10.7'!$C$13</c:f>
              <c:strCache>
                <c:ptCount val="1"/>
                <c:pt idx="0">
                  <c:v>Aboriginal and Torres Strait Islander people</c:v>
                </c:pt>
              </c:strCache>
            </c:strRef>
          </c:tx>
          <c:spPr>
            <a:solidFill>
              <a:srgbClr val="66BCDB"/>
            </a:solidFill>
            <a:ln>
              <a:solidFill>
                <a:srgbClr val="66BCDB"/>
              </a:solidFill>
            </a:ln>
          </c:spPr>
          <c:invertIfNegative val="0"/>
          <c:cat>
            <c:strRef>
              <c:f>'F10.7'!$D$12:$L$12</c:f>
              <c:strCache>
                <c:ptCount val="9"/>
                <c:pt idx="0">
                  <c:v>NSW</c:v>
                </c:pt>
                <c:pt idx="1">
                  <c:v>Vic</c:v>
                </c:pt>
                <c:pt idx="2">
                  <c:v>Qld</c:v>
                </c:pt>
                <c:pt idx="3">
                  <c:v>WA</c:v>
                </c:pt>
                <c:pt idx="4">
                  <c:v>SA</c:v>
                </c:pt>
                <c:pt idx="5">
                  <c:v>Tas</c:v>
                </c:pt>
                <c:pt idx="6">
                  <c:v>ACT</c:v>
                </c:pt>
                <c:pt idx="7">
                  <c:v>NT</c:v>
                </c:pt>
                <c:pt idx="8">
                  <c:v>Aust</c:v>
                </c:pt>
              </c:strCache>
            </c:strRef>
          </c:cat>
          <c:val>
            <c:numRef>
              <c:f>'F10.7'!$D$13:$L$13</c:f>
              <c:numCache>
                <c:formatCode>####\ ###\ ##0.0;\-####\ ###\ ##0.0;"–"</c:formatCode>
                <c:ptCount val="9"/>
                <c:pt idx="0">
                  <c:v>39.11158887578889</c:v>
                </c:pt>
                <c:pt idx="1">
                  <c:v>25.722098786532214</c:v>
                </c:pt>
                <c:pt idx="2">
                  <c:v>49.375082807048535</c:v>
                </c:pt>
                <c:pt idx="3">
                  <c:v>36.696735794661954</c:v>
                </c:pt>
                <c:pt idx="4">
                  <c:v>27.891521063350844</c:v>
                </c:pt>
                <c:pt idx="5">
                  <c:v>27.891922319166902</c:v>
                </c:pt>
                <c:pt idx="6">
                  <c:v>30.139103554868623</c:v>
                </c:pt>
                <c:pt idx="7">
                  <c:v>45.041802136553642</c:v>
                </c:pt>
                <c:pt idx="8">
                  <c:v>40.037612648129006</c:v>
                </c:pt>
              </c:numCache>
            </c:numRef>
          </c:val>
        </c:ser>
        <c:ser>
          <c:idx val="1"/>
          <c:order val="1"/>
          <c:tx>
            <c:strRef>
              <c:f>'F10.7'!$C$14</c:f>
              <c:strCache>
                <c:ptCount val="1"/>
                <c:pt idx="0">
                  <c:v>Other Australians</c:v>
                </c:pt>
              </c:strCache>
            </c:strRef>
          </c:tx>
          <c:spPr>
            <a:solidFill>
              <a:srgbClr val="265A9A"/>
            </a:solidFill>
            <a:ln>
              <a:solidFill>
                <a:srgbClr val="265A9A"/>
              </a:solidFill>
            </a:ln>
          </c:spPr>
          <c:invertIfNegative val="0"/>
          <c:cat>
            <c:strRef>
              <c:f>'F10.7'!$D$12:$L$12</c:f>
              <c:strCache>
                <c:ptCount val="9"/>
                <c:pt idx="0">
                  <c:v>NSW</c:v>
                </c:pt>
                <c:pt idx="1">
                  <c:v>Vic</c:v>
                </c:pt>
                <c:pt idx="2">
                  <c:v>Qld</c:v>
                </c:pt>
                <c:pt idx="3">
                  <c:v>WA</c:v>
                </c:pt>
                <c:pt idx="4">
                  <c:v>SA</c:v>
                </c:pt>
                <c:pt idx="5">
                  <c:v>Tas</c:v>
                </c:pt>
                <c:pt idx="6">
                  <c:v>ACT</c:v>
                </c:pt>
                <c:pt idx="7">
                  <c:v>NT</c:v>
                </c:pt>
                <c:pt idx="8">
                  <c:v>Aust</c:v>
                </c:pt>
              </c:strCache>
            </c:strRef>
          </c:cat>
          <c:val>
            <c:numRef>
              <c:f>'F10.7'!$D$14:$L$14</c:f>
              <c:numCache>
                <c:formatCode>####\ ###\ ##0.0;\-####\ ###\ ##0.0;"–"</c:formatCode>
                <c:ptCount val="9"/>
                <c:pt idx="0">
                  <c:v>33.037300497490044</c:v>
                </c:pt>
                <c:pt idx="1">
                  <c:v>29.051337856868521</c:v>
                </c:pt>
                <c:pt idx="2">
                  <c:v>39.689222327433413</c:v>
                </c:pt>
                <c:pt idx="3">
                  <c:v>34.7463370712941</c:v>
                </c:pt>
                <c:pt idx="4">
                  <c:v>30.020507966556238</c:v>
                </c:pt>
                <c:pt idx="5">
                  <c:v>36.196868008948549</c:v>
                </c:pt>
                <c:pt idx="6">
                  <c:v>28.10675562969141</c:v>
                </c:pt>
                <c:pt idx="7">
                  <c:v>20.444344703770199</c:v>
                </c:pt>
                <c:pt idx="8">
                  <c:v>33.135175751508697</c:v>
                </c:pt>
              </c:numCache>
            </c:numRef>
          </c:val>
        </c:ser>
        <c:dLbls>
          <c:showLegendKey val="0"/>
          <c:showVal val="0"/>
          <c:showCatName val="0"/>
          <c:showSerName val="0"/>
          <c:showPercent val="0"/>
          <c:showBubbleSize val="0"/>
        </c:dLbls>
        <c:gapWidth val="150"/>
        <c:axId val="14353968"/>
        <c:axId val="14355144"/>
      </c:barChart>
      <c:catAx>
        <c:axId val="14353968"/>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14355144"/>
        <c:crosses val="autoZero"/>
        <c:auto val="1"/>
        <c:lblAlgn val="ctr"/>
        <c:lblOffset val="100"/>
        <c:noMultiLvlLbl val="0"/>
      </c:catAx>
      <c:valAx>
        <c:axId val="14355144"/>
        <c:scaling>
          <c:orientation val="minMax"/>
        </c:scaling>
        <c:delete val="0"/>
        <c:axPos val="l"/>
        <c:majorGridlines>
          <c:spPr>
            <a:ln>
              <a:noFill/>
            </a:ln>
          </c:spPr>
        </c:majorGridlines>
        <c:title>
          <c:tx>
            <c:rich>
              <a:bodyPr rot="-5400000" vert="horz"/>
              <a:lstStyle/>
              <a:p>
                <a:pPr>
                  <a:defRPr sz="900">
                    <a:latin typeface="arial"/>
                    <a:ea typeface="arial"/>
                    <a:cs typeface="arial"/>
                  </a:defRPr>
                </a:pPr>
                <a:r>
                  <a:rPr lang="en-US"/>
                  <a:t>Per cent</a:t>
                </a:r>
              </a:p>
            </c:rich>
          </c:tx>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14353968"/>
        <c:crosses val="autoZero"/>
        <c:crossBetween val="between"/>
        <c:majorUnit val="10"/>
      </c:valAx>
      <c:spPr>
        <a:noFill/>
        <a:ln>
          <a:noFill/>
        </a:ln>
      </c:spPr>
    </c:plotArea>
    <c:legend>
      <c:legendPos val="b"/>
      <c:layout/>
      <c:overlay val="0"/>
      <c:spPr>
        <a:ln>
          <a:noFill/>
        </a:ln>
      </c:spPr>
      <c:txPr>
        <a:bodyPr/>
        <a:lstStyle/>
        <a:p>
          <a:pPr>
            <a:defRPr sz="900" b="0" i="0">
              <a:latin typeface="Arial" panose="020B0604020202020204" pitchFamily="34" charset="0"/>
            </a:defRPr>
          </a:pPr>
          <a:endParaRPr lang="en-US"/>
        </a:p>
      </c:txPr>
    </c:legend>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404123259547185"/>
          <c:y val="5.1091733799997992E-2"/>
          <c:w val="0.86692065488184211"/>
          <c:h val="0.76487376251730721"/>
        </c:manualLayout>
      </c:layout>
      <c:barChart>
        <c:barDir val="col"/>
        <c:grouping val="clustered"/>
        <c:varyColors val="0"/>
        <c:ser>
          <c:idx val="0"/>
          <c:order val="0"/>
          <c:tx>
            <c:strRef>
              <c:f>'F10.8'!$A$10</c:f>
              <c:strCache>
                <c:ptCount val="1"/>
                <c:pt idx="0">
                  <c:v>2013-14 to 2016-17</c:v>
                </c:pt>
              </c:strCache>
            </c:strRef>
          </c:tx>
          <c:spPr>
            <a:solidFill>
              <a:srgbClr val="66BCDB"/>
            </a:solidFill>
            <a:ln>
              <a:solidFill>
                <a:srgbClr val="66BCDB"/>
              </a:solidFill>
            </a:ln>
          </c:spPr>
          <c:invertIfNegative val="0"/>
          <c:errBars>
            <c:errBarType val="both"/>
            <c:errValType val="cust"/>
            <c:noEndCap val="0"/>
            <c:plus>
              <c:numRef>
                <c:f>'F10.8'!$B$12:$K$12</c:f>
                <c:numCache>
                  <c:formatCode>General</c:formatCode>
                  <c:ptCount val="10"/>
                  <c:pt idx="0">
                    <c:v>0.5</c:v>
                  </c:pt>
                  <c:pt idx="1">
                    <c:v>0.7</c:v>
                  </c:pt>
                  <c:pt idx="2">
                    <c:v>0.7</c:v>
                  </c:pt>
                  <c:pt idx="3">
                    <c:v>0.9</c:v>
                  </c:pt>
                  <c:pt idx="4">
                    <c:v>1</c:v>
                  </c:pt>
                  <c:pt idx="5">
                    <c:v>1.4</c:v>
                  </c:pt>
                  <c:pt idx="6">
                    <c:v>1.5</c:v>
                  </c:pt>
                  <c:pt idx="7">
                    <c:v>2.4</c:v>
                  </c:pt>
                  <c:pt idx="8">
                    <c:v>0.3</c:v>
                  </c:pt>
                </c:numCache>
              </c:numRef>
            </c:plus>
            <c:minus>
              <c:numRef>
                <c:f>'F10.8'!$B$12:$J$12</c:f>
                <c:numCache>
                  <c:formatCode>General</c:formatCode>
                  <c:ptCount val="9"/>
                  <c:pt idx="0">
                    <c:v>0.5</c:v>
                  </c:pt>
                  <c:pt idx="1">
                    <c:v>0.7</c:v>
                  </c:pt>
                  <c:pt idx="2">
                    <c:v>0.7</c:v>
                  </c:pt>
                  <c:pt idx="3">
                    <c:v>0.9</c:v>
                  </c:pt>
                  <c:pt idx="4">
                    <c:v>1</c:v>
                  </c:pt>
                  <c:pt idx="5">
                    <c:v>1.4</c:v>
                  </c:pt>
                  <c:pt idx="6">
                    <c:v>1.5</c:v>
                  </c:pt>
                  <c:pt idx="7">
                    <c:v>2.4</c:v>
                  </c:pt>
                  <c:pt idx="8">
                    <c:v>0.3</c:v>
                  </c:pt>
                </c:numCache>
              </c:numRef>
            </c:minus>
            <c:spPr>
              <a:ln>
                <a:solidFill>
                  <a:srgbClr val="265A9A"/>
                </a:solidFill>
              </a:ln>
            </c:spPr>
          </c:errBars>
          <c:cat>
            <c:strRef>
              <c:f>'F10.8'!$B$9:$J$9</c:f>
              <c:strCache>
                <c:ptCount val="9"/>
                <c:pt idx="0">
                  <c:v>NSW</c:v>
                </c:pt>
                <c:pt idx="1">
                  <c:v>Vic</c:v>
                </c:pt>
                <c:pt idx="2">
                  <c:v>Qld</c:v>
                </c:pt>
                <c:pt idx="3">
                  <c:v>WA</c:v>
                </c:pt>
                <c:pt idx="4">
                  <c:v>SA</c:v>
                </c:pt>
                <c:pt idx="5">
                  <c:v>Tas</c:v>
                </c:pt>
                <c:pt idx="6">
                  <c:v>ACT</c:v>
                </c:pt>
                <c:pt idx="7">
                  <c:v>NT</c:v>
                </c:pt>
                <c:pt idx="8">
                  <c:v>Aust</c:v>
                </c:pt>
              </c:strCache>
            </c:strRef>
          </c:cat>
          <c:val>
            <c:numRef>
              <c:f>'F10.8'!$B$10:$J$10</c:f>
              <c:numCache>
                <c:formatCode>###\ ###\ ##0.0;\-###\ ###\ ##0.0;"–"</c:formatCode>
                <c:ptCount val="9"/>
                <c:pt idx="0">
                  <c:v>3.5</c:v>
                </c:pt>
                <c:pt idx="1">
                  <c:v>5</c:v>
                </c:pt>
                <c:pt idx="2">
                  <c:v>5.8</c:v>
                </c:pt>
                <c:pt idx="3">
                  <c:v>6.2</c:v>
                </c:pt>
                <c:pt idx="4">
                  <c:v>4.5</c:v>
                </c:pt>
                <c:pt idx="5">
                  <c:v>6.9</c:v>
                </c:pt>
                <c:pt idx="6">
                  <c:v>6.9</c:v>
                </c:pt>
                <c:pt idx="7">
                  <c:v>5.6</c:v>
                </c:pt>
                <c:pt idx="8">
                  <c:v>4.9000000000000004</c:v>
                </c:pt>
              </c:numCache>
            </c:numRef>
          </c:val>
        </c:ser>
        <c:ser>
          <c:idx val="1"/>
          <c:order val="1"/>
          <c:tx>
            <c:strRef>
              <c:f>'F10.8'!$A$15</c:f>
              <c:strCache>
                <c:ptCount val="1"/>
                <c:pt idx="0">
                  <c:v>2014-15</c:v>
                </c:pt>
              </c:strCache>
            </c:strRef>
          </c:tx>
          <c:spPr>
            <a:solidFill>
              <a:srgbClr val="66BCDB"/>
            </a:solidFill>
            <a:ln>
              <a:solidFill>
                <a:srgbClr val="66BCDB"/>
              </a:solidFill>
            </a:ln>
          </c:spPr>
          <c:invertIfNegative val="0"/>
          <c:errBars>
            <c:errBarType val="both"/>
            <c:errValType val="cust"/>
            <c:noEndCap val="0"/>
            <c:plus>
              <c:numRef>
                <c:f>'F10.8'!$B$17:$J$17</c:f>
                <c:numCache>
                  <c:formatCode>General</c:formatCode>
                  <c:ptCount val="9"/>
                  <c:pt idx="0">
                    <c:v>0.6</c:v>
                  </c:pt>
                  <c:pt idx="1">
                    <c:v>0.8</c:v>
                  </c:pt>
                  <c:pt idx="2">
                    <c:v>0.8</c:v>
                  </c:pt>
                  <c:pt idx="3">
                    <c:v>1.3</c:v>
                  </c:pt>
                  <c:pt idx="4">
                    <c:v>1</c:v>
                  </c:pt>
                  <c:pt idx="5">
                    <c:v>1.5</c:v>
                  </c:pt>
                  <c:pt idx="6">
                    <c:v>2.2000000000000002</c:v>
                  </c:pt>
                  <c:pt idx="7">
                    <c:v>1.8</c:v>
                  </c:pt>
                  <c:pt idx="8">
                    <c:v>0.3</c:v>
                  </c:pt>
                </c:numCache>
              </c:numRef>
            </c:plus>
            <c:minus>
              <c:numRef>
                <c:f>'F10.8'!$B$17:$J$17</c:f>
                <c:numCache>
                  <c:formatCode>General</c:formatCode>
                  <c:ptCount val="9"/>
                  <c:pt idx="0">
                    <c:v>0.6</c:v>
                  </c:pt>
                  <c:pt idx="1">
                    <c:v>0.8</c:v>
                  </c:pt>
                  <c:pt idx="2">
                    <c:v>0.8</c:v>
                  </c:pt>
                  <c:pt idx="3">
                    <c:v>1.3</c:v>
                  </c:pt>
                  <c:pt idx="4">
                    <c:v>1</c:v>
                  </c:pt>
                  <c:pt idx="5">
                    <c:v>1.5</c:v>
                  </c:pt>
                  <c:pt idx="6">
                    <c:v>2.2000000000000002</c:v>
                  </c:pt>
                  <c:pt idx="7">
                    <c:v>1.8</c:v>
                  </c:pt>
                  <c:pt idx="8">
                    <c:v>0.3</c:v>
                  </c:pt>
                </c:numCache>
              </c:numRef>
            </c:minus>
            <c:spPr>
              <a:ln>
                <a:solidFill>
                  <a:srgbClr val="265A9A"/>
                </a:solidFill>
              </a:ln>
            </c:spPr>
          </c:errBars>
          <c:cat>
            <c:strRef>
              <c:f>'F10.8'!$B$9:$J$9</c:f>
              <c:strCache>
                <c:ptCount val="9"/>
                <c:pt idx="0">
                  <c:v>NSW</c:v>
                </c:pt>
                <c:pt idx="1">
                  <c:v>Vic</c:v>
                </c:pt>
                <c:pt idx="2">
                  <c:v>Qld</c:v>
                </c:pt>
                <c:pt idx="3">
                  <c:v>WA</c:v>
                </c:pt>
                <c:pt idx="4">
                  <c:v>SA</c:v>
                </c:pt>
                <c:pt idx="5">
                  <c:v>Tas</c:v>
                </c:pt>
                <c:pt idx="6">
                  <c:v>ACT</c:v>
                </c:pt>
                <c:pt idx="7">
                  <c:v>NT</c:v>
                </c:pt>
                <c:pt idx="8">
                  <c:v>Aust</c:v>
                </c:pt>
              </c:strCache>
            </c:strRef>
          </c:cat>
          <c:val>
            <c:numRef>
              <c:f>'F10.8'!$B$15:$J$15</c:f>
              <c:numCache>
                <c:formatCode>###\ ###\ ##0.0;\-###\ ###\ ##0.0;"–"</c:formatCode>
                <c:ptCount val="9"/>
                <c:pt idx="0">
                  <c:v>3.2</c:v>
                </c:pt>
                <c:pt idx="1">
                  <c:v>5.6</c:v>
                </c:pt>
                <c:pt idx="2">
                  <c:v>5.4</c:v>
                </c:pt>
                <c:pt idx="3">
                  <c:v>7</c:v>
                </c:pt>
                <c:pt idx="4">
                  <c:v>5.5</c:v>
                </c:pt>
                <c:pt idx="5">
                  <c:v>7</c:v>
                </c:pt>
                <c:pt idx="6">
                  <c:v>9.6999999999999993</c:v>
                </c:pt>
                <c:pt idx="7">
                  <c:v>4.0999999999999996</c:v>
                </c:pt>
                <c:pt idx="8">
                  <c:v>5</c:v>
                </c:pt>
              </c:numCache>
            </c:numRef>
          </c:val>
        </c:ser>
        <c:ser>
          <c:idx val="2"/>
          <c:order val="2"/>
          <c:tx>
            <c:strRef>
              <c:f>'F10.8'!$A$20</c:f>
              <c:strCache>
                <c:ptCount val="1"/>
                <c:pt idx="0">
                  <c:v>2015-16</c:v>
                </c:pt>
              </c:strCache>
            </c:strRef>
          </c:tx>
          <c:spPr>
            <a:solidFill>
              <a:srgbClr val="66BCDB"/>
            </a:solidFill>
            <a:ln>
              <a:solidFill>
                <a:srgbClr val="66BCDB"/>
              </a:solidFill>
            </a:ln>
          </c:spPr>
          <c:invertIfNegative val="0"/>
          <c:errBars>
            <c:errBarType val="both"/>
            <c:errValType val="cust"/>
            <c:noEndCap val="0"/>
            <c:plus>
              <c:numRef>
                <c:f>'F10.8'!$B$22:$J$22</c:f>
                <c:numCache>
                  <c:formatCode>General</c:formatCode>
                  <c:ptCount val="9"/>
                  <c:pt idx="0">
                    <c:v>0.8</c:v>
                  </c:pt>
                  <c:pt idx="1">
                    <c:v>0.7</c:v>
                  </c:pt>
                  <c:pt idx="2">
                    <c:v>0.7</c:v>
                  </c:pt>
                  <c:pt idx="3">
                    <c:v>1</c:v>
                  </c:pt>
                  <c:pt idx="4">
                    <c:v>0.9</c:v>
                  </c:pt>
                  <c:pt idx="5">
                    <c:v>1</c:v>
                  </c:pt>
                  <c:pt idx="6">
                    <c:v>2</c:v>
                  </c:pt>
                  <c:pt idx="7">
                    <c:v>0.9</c:v>
                  </c:pt>
                  <c:pt idx="8">
                    <c:v>0.4</c:v>
                  </c:pt>
                </c:numCache>
              </c:numRef>
            </c:plus>
            <c:minus>
              <c:numRef>
                <c:f>'F10.8'!$B$22:$J$22</c:f>
                <c:numCache>
                  <c:formatCode>General</c:formatCode>
                  <c:ptCount val="9"/>
                  <c:pt idx="0">
                    <c:v>0.8</c:v>
                  </c:pt>
                  <c:pt idx="1">
                    <c:v>0.7</c:v>
                  </c:pt>
                  <c:pt idx="2">
                    <c:v>0.7</c:v>
                  </c:pt>
                  <c:pt idx="3">
                    <c:v>1</c:v>
                  </c:pt>
                  <c:pt idx="4">
                    <c:v>0.9</c:v>
                  </c:pt>
                  <c:pt idx="5">
                    <c:v>1</c:v>
                  </c:pt>
                  <c:pt idx="6">
                    <c:v>2</c:v>
                  </c:pt>
                  <c:pt idx="7">
                    <c:v>0.9</c:v>
                  </c:pt>
                  <c:pt idx="8">
                    <c:v>0.4</c:v>
                  </c:pt>
                </c:numCache>
              </c:numRef>
            </c:minus>
            <c:spPr>
              <a:ln>
                <a:solidFill>
                  <a:srgbClr val="265A9A"/>
                </a:solidFill>
              </a:ln>
            </c:spPr>
          </c:errBars>
          <c:cat>
            <c:strRef>
              <c:f>'F10.8'!$B$9:$J$9</c:f>
              <c:strCache>
                <c:ptCount val="9"/>
                <c:pt idx="0">
                  <c:v>NSW</c:v>
                </c:pt>
                <c:pt idx="1">
                  <c:v>Vic</c:v>
                </c:pt>
                <c:pt idx="2">
                  <c:v>Qld</c:v>
                </c:pt>
                <c:pt idx="3">
                  <c:v>WA</c:v>
                </c:pt>
                <c:pt idx="4">
                  <c:v>SA</c:v>
                </c:pt>
                <c:pt idx="5">
                  <c:v>Tas</c:v>
                </c:pt>
                <c:pt idx="6">
                  <c:v>ACT</c:v>
                </c:pt>
                <c:pt idx="7">
                  <c:v>NT</c:v>
                </c:pt>
                <c:pt idx="8">
                  <c:v>Aust</c:v>
                </c:pt>
              </c:strCache>
            </c:strRef>
          </c:cat>
          <c:val>
            <c:numRef>
              <c:f>'F10.8'!$B$20:$J$20</c:f>
              <c:numCache>
                <c:formatCode>###\ ###\ ##0.0;\-###\ ###\ ##0.0;"–"</c:formatCode>
                <c:ptCount val="9"/>
                <c:pt idx="0">
                  <c:v>3.5</c:v>
                </c:pt>
                <c:pt idx="1">
                  <c:v>3.8</c:v>
                </c:pt>
                <c:pt idx="2">
                  <c:v>4.8</c:v>
                </c:pt>
                <c:pt idx="3">
                  <c:v>4.9000000000000004</c:v>
                </c:pt>
                <c:pt idx="4">
                  <c:v>3.9</c:v>
                </c:pt>
                <c:pt idx="5">
                  <c:v>6.1</c:v>
                </c:pt>
                <c:pt idx="6">
                  <c:v>8.1</c:v>
                </c:pt>
                <c:pt idx="7">
                  <c:v>2</c:v>
                </c:pt>
                <c:pt idx="8">
                  <c:v>4.0999999999999996</c:v>
                </c:pt>
              </c:numCache>
            </c:numRef>
          </c:val>
        </c:ser>
        <c:ser>
          <c:idx val="3"/>
          <c:order val="3"/>
          <c:tx>
            <c:strRef>
              <c:f>'F10.8'!$A$24</c:f>
              <c:strCache>
                <c:ptCount val="1"/>
                <c:pt idx="0">
                  <c:v>2016-17</c:v>
                </c:pt>
              </c:strCache>
            </c:strRef>
          </c:tx>
          <c:spPr>
            <a:solidFill>
              <a:srgbClr val="66BCDB"/>
            </a:solidFill>
            <a:ln>
              <a:solidFill>
                <a:srgbClr val="66BCDB"/>
              </a:solidFill>
            </a:ln>
          </c:spPr>
          <c:invertIfNegative val="0"/>
          <c:errBars>
            <c:errBarType val="both"/>
            <c:errValType val="cust"/>
            <c:noEndCap val="0"/>
            <c:plus>
              <c:numRef>
                <c:f>'F10.8'!$B$26:$J$26</c:f>
                <c:numCache>
                  <c:formatCode>General</c:formatCode>
                  <c:ptCount val="9"/>
                  <c:pt idx="0">
                    <c:v>0.5</c:v>
                  </c:pt>
                  <c:pt idx="1">
                    <c:v>0.8</c:v>
                  </c:pt>
                  <c:pt idx="2">
                    <c:v>0.5</c:v>
                  </c:pt>
                  <c:pt idx="3">
                    <c:v>0.9</c:v>
                  </c:pt>
                  <c:pt idx="4">
                    <c:v>0.7</c:v>
                  </c:pt>
                  <c:pt idx="5">
                    <c:v>1.5</c:v>
                  </c:pt>
                  <c:pt idx="6">
                    <c:v>1.6</c:v>
                  </c:pt>
                  <c:pt idx="7">
                    <c:v>0.8</c:v>
                  </c:pt>
                  <c:pt idx="8">
                    <c:v>0.3</c:v>
                  </c:pt>
                </c:numCache>
              </c:numRef>
            </c:plus>
            <c:minus>
              <c:numRef>
                <c:f>'F10.8'!$B$26:$J$26</c:f>
                <c:numCache>
                  <c:formatCode>General</c:formatCode>
                  <c:ptCount val="9"/>
                  <c:pt idx="0">
                    <c:v>0.5</c:v>
                  </c:pt>
                  <c:pt idx="1">
                    <c:v>0.8</c:v>
                  </c:pt>
                  <c:pt idx="2">
                    <c:v>0.5</c:v>
                  </c:pt>
                  <c:pt idx="3">
                    <c:v>0.9</c:v>
                  </c:pt>
                  <c:pt idx="4">
                    <c:v>0.7</c:v>
                  </c:pt>
                  <c:pt idx="5">
                    <c:v>1.5</c:v>
                  </c:pt>
                  <c:pt idx="6">
                    <c:v>1.6</c:v>
                  </c:pt>
                  <c:pt idx="7">
                    <c:v>0.8</c:v>
                  </c:pt>
                  <c:pt idx="8">
                    <c:v>0.3</c:v>
                  </c:pt>
                </c:numCache>
              </c:numRef>
            </c:minus>
            <c:spPr>
              <a:ln>
                <a:solidFill>
                  <a:srgbClr val="265A9A"/>
                </a:solidFill>
              </a:ln>
            </c:spPr>
          </c:errBars>
          <c:cat>
            <c:strRef>
              <c:f>'F10.8'!$B$9:$J$9</c:f>
              <c:strCache>
                <c:ptCount val="9"/>
                <c:pt idx="0">
                  <c:v>NSW</c:v>
                </c:pt>
                <c:pt idx="1">
                  <c:v>Vic</c:v>
                </c:pt>
                <c:pt idx="2">
                  <c:v>Qld</c:v>
                </c:pt>
                <c:pt idx="3">
                  <c:v>WA</c:v>
                </c:pt>
                <c:pt idx="4">
                  <c:v>SA</c:v>
                </c:pt>
                <c:pt idx="5">
                  <c:v>Tas</c:v>
                </c:pt>
                <c:pt idx="6">
                  <c:v>ACT</c:v>
                </c:pt>
                <c:pt idx="7">
                  <c:v>NT</c:v>
                </c:pt>
                <c:pt idx="8">
                  <c:v>Aust</c:v>
                </c:pt>
              </c:strCache>
            </c:strRef>
          </c:cat>
          <c:val>
            <c:numRef>
              <c:f>'F10.8'!$B$24:$J$24</c:f>
              <c:numCache>
                <c:formatCode>###\ ###\ ##0.0;\-###\ ###\ ##0.0;"–"</c:formatCode>
                <c:ptCount val="9"/>
                <c:pt idx="0">
                  <c:v>3.7</c:v>
                </c:pt>
                <c:pt idx="1">
                  <c:v>4.5</c:v>
                </c:pt>
                <c:pt idx="2">
                  <c:v>4.5</c:v>
                </c:pt>
                <c:pt idx="3">
                  <c:v>4</c:v>
                </c:pt>
                <c:pt idx="4">
                  <c:v>3.5</c:v>
                </c:pt>
                <c:pt idx="5">
                  <c:v>7.5</c:v>
                </c:pt>
                <c:pt idx="6">
                  <c:v>7.1</c:v>
                </c:pt>
                <c:pt idx="7">
                  <c:v>2.2999999999999998</c:v>
                </c:pt>
                <c:pt idx="8">
                  <c:v>4.0999999999999996</c:v>
                </c:pt>
              </c:numCache>
            </c:numRef>
          </c:val>
        </c:ser>
        <c:ser>
          <c:idx val="4"/>
          <c:order val="4"/>
          <c:tx>
            <c:strRef>
              <c:f>'F10.8'!$A$29</c:f>
              <c:strCache>
                <c:ptCount val="1"/>
                <c:pt idx="0">
                  <c:v>2017-18</c:v>
                </c:pt>
              </c:strCache>
            </c:strRef>
          </c:tx>
          <c:spPr>
            <a:solidFill>
              <a:srgbClr val="265A9A"/>
            </a:solidFill>
            <a:ln>
              <a:solidFill>
                <a:srgbClr val="265A9A"/>
              </a:solidFill>
            </a:ln>
          </c:spPr>
          <c:invertIfNegative val="0"/>
          <c:errBars>
            <c:errBarType val="both"/>
            <c:errValType val="cust"/>
            <c:noEndCap val="0"/>
            <c:plus>
              <c:numRef>
                <c:f>'F10.8'!$B$31:$J$31</c:f>
                <c:numCache>
                  <c:formatCode>General</c:formatCode>
                  <c:ptCount val="9"/>
                  <c:pt idx="0">
                    <c:v>0.5</c:v>
                  </c:pt>
                  <c:pt idx="1">
                    <c:v>0.8</c:v>
                  </c:pt>
                  <c:pt idx="2">
                    <c:v>0.6</c:v>
                  </c:pt>
                  <c:pt idx="3">
                    <c:v>0.9</c:v>
                  </c:pt>
                  <c:pt idx="4">
                    <c:v>0.9</c:v>
                  </c:pt>
                  <c:pt idx="5">
                    <c:v>1.8</c:v>
                  </c:pt>
                  <c:pt idx="6">
                    <c:v>1.8</c:v>
                  </c:pt>
                  <c:pt idx="7">
                    <c:v>1.2</c:v>
                  </c:pt>
                  <c:pt idx="8">
                    <c:v>0.3</c:v>
                  </c:pt>
                </c:numCache>
              </c:numRef>
            </c:plus>
            <c:minus>
              <c:numRef>
                <c:f>'F10.8'!$B$31:$J$31</c:f>
                <c:numCache>
                  <c:formatCode>General</c:formatCode>
                  <c:ptCount val="9"/>
                  <c:pt idx="0">
                    <c:v>0.5</c:v>
                  </c:pt>
                  <c:pt idx="1">
                    <c:v>0.8</c:v>
                  </c:pt>
                  <c:pt idx="2">
                    <c:v>0.6</c:v>
                  </c:pt>
                  <c:pt idx="3">
                    <c:v>0.9</c:v>
                  </c:pt>
                  <c:pt idx="4">
                    <c:v>0.9</c:v>
                  </c:pt>
                  <c:pt idx="5">
                    <c:v>1.8</c:v>
                  </c:pt>
                  <c:pt idx="6">
                    <c:v>1.8</c:v>
                  </c:pt>
                  <c:pt idx="7">
                    <c:v>1.2</c:v>
                  </c:pt>
                  <c:pt idx="8">
                    <c:v>0.3</c:v>
                  </c:pt>
                </c:numCache>
              </c:numRef>
            </c:minus>
            <c:spPr>
              <a:ln>
                <a:solidFill>
                  <a:srgbClr val="66BCDB"/>
                </a:solidFill>
              </a:ln>
            </c:spPr>
          </c:errBars>
          <c:val>
            <c:numRef>
              <c:f>'F10.8'!$B$29:$J$29</c:f>
              <c:numCache>
                <c:formatCode>###\ ###\ ##0.0;\-###\ ###\ ##0.0;"–"</c:formatCode>
                <c:ptCount val="9"/>
                <c:pt idx="0">
                  <c:v>2.8</c:v>
                </c:pt>
                <c:pt idx="1">
                  <c:v>4.4000000000000004</c:v>
                </c:pt>
                <c:pt idx="2">
                  <c:v>4.5</c:v>
                </c:pt>
                <c:pt idx="3">
                  <c:v>4.2</c:v>
                </c:pt>
                <c:pt idx="4">
                  <c:v>3.5</c:v>
                </c:pt>
                <c:pt idx="5">
                  <c:v>8.6999999999999993</c:v>
                </c:pt>
                <c:pt idx="6">
                  <c:v>8</c:v>
                </c:pt>
                <c:pt idx="7">
                  <c:v>2.9</c:v>
                </c:pt>
                <c:pt idx="8">
                  <c:v>4</c:v>
                </c:pt>
              </c:numCache>
            </c:numRef>
          </c:val>
        </c:ser>
        <c:dLbls>
          <c:showLegendKey val="0"/>
          <c:showVal val="0"/>
          <c:showCatName val="0"/>
          <c:showSerName val="0"/>
          <c:showPercent val="0"/>
          <c:showBubbleSize val="0"/>
        </c:dLbls>
        <c:gapWidth val="150"/>
        <c:axId val="14354360"/>
        <c:axId val="14349264"/>
      </c:barChart>
      <c:catAx>
        <c:axId val="14354360"/>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14349264"/>
        <c:crosses val="autoZero"/>
        <c:auto val="1"/>
        <c:lblAlgn val="ctr"/>
        <c:lblOffset val="100"/>
        <c:noMultiLvlLbl val="0"/>
      </c:catAx>
      <c:valAx>
        <c:axId val="14349264"/>
        <c:scaling>
          <c:orientation val="minMax"/>
        </c:scaling>
        <c:delete val="0"/>
        <c:axPos val="l"/>
        <c:majorGridlines>
          <c:spPr>
            <a:ln>
              <a:noFill/>
            </a:ln>
          </c:spPr>
        </c:majorGridlines>
        <c:title>
          <c:tx>
            <c:rich>
              <a:bodyPr rot="-5400000" vert="horz"/>
              <a:lstStyle/>
              <a:p>
                <a:pPr>
                  <a:defRPr sz="900">
                    <a:latin typeface="arial"/>
                    <a:ea typeface="arial"/>
                    <a:cs typeface="arial"/>
                  </a:defRPr>
                </a:pPr>
                <a:r>
                  <a:rPr lang="en-US"/>
                  <a:t>Per cent</a:t>
                </a:r>
              </a:p>
            </c:rich>
          </c:tx>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14354360"/>
        <c:crosses val="autoZero"/>
        <c:crossBetween val="between"/>
      </c:valAx>
      <c:spPr>
        <a:noFill/>
        <a:ln>
          <a:noFill/>
        </a:ln>
      </c:spPr>
    </c:plotArea>
    <c:legend>
      <c:legendPos val="b"/>
      <c:legendEntry>
        <c:idx val="1"/>
        <c:delete val="1"/>
      </c:legendEntry>
      <c:legendEntry>
        <c:idx val="2"/>
        <c:delete val="1"/>
      </c:legendEntry>
      <c:legendEntry>
        <c:idx val="3"/>
        <c:delete val="1"/>
      </c:legendEntry>
      <c:layout>
        <c:manualLayout>
          <c:xMode val="edge"/>
          <c:yMode val="edge"/>
          <c:x val="0.30447165973581797"/>
          <c:y val="0.91212381510162466"/>
          <c:w val="0.39105668052836406"/>
          <c:h val="8.7876184898375301E-2"/>
        </c:manualLayout>
      </c:layout>
      <c:overlay val="0"/>
      <c:spPr>
        <a:ln>
          <a:noFill/>
        </a:ln>
      </c:spPr>
      <c:txPr>
        <a:bodyPr/>
        <a:lstStyle/>
        <a:p>
          <a:pPr>
            <a:defRPr sz="900" b="0" i="0">
              <a:latin typeface="Arial" panose="020B0604020202020204" pitchFamily="34" charset="0"/>
            </a:defRPr>
          </a:pPr>
          <a:endParaRPr lang="en-US"/>
        </a:p>
      </c:txPr>
    </c:legend>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'F10.9'!$A$4</c:f>
              <c:strCache>
                <c:ptCount val="1"/>
                <c:pt idx="0">
                  <c:v>2013-14 to 2016-17</c:v>
                </c:pt>
              </c:strCache>
            </c:strRef>
          </c:tx>
          <c:spPr>
            <a:solidFill>
              <a:srgbClr val="66BCDB"/>
            </a:solidFill>
            <a:ln>
              <a:solidFill>
                <a:srgbClr val="66BCDB"/>
              </a:solidFill>
            </a:ln>
          </c:spPr>
          <c:invertIfNegative val="0"/>
          <c:errBars>
            <c:errBarType val="both"/>
            <c:errValType val="cust"/>
            <c:noEndCap val="0"/>
            <c:plus>
              <c:numRef>
                <c:f>'F10.9'!$B$6:$J$6</c:f>
                <c:numCache>
                  <c:formatCode>General</c:formatCode>
                  <c:ptCount val="9"/>
                  <c:pt idx="0">
                    <c:v>1</c:v>
                  </c:pt>
                  <c:pt idx="1">
                    <c:v>0.7</c:v>
                  </c:pt>
                  <c:pt idx="2">
                    <c:v>1.2</c:v>
                  </c:pt>
                  <c:pt idx="3">
                    <c:v>1.2</c:v>
                  </c:pt>
                  <c:pt idx="4">
                    <c:v>1.2</c:v>
                  </c:pt>
                  <c:pt idx="5">
                    <c:v>1.4</c:v>
                  </c:pt>
                  <c:pt idx="6">
                    <c:v>1.9</c:v>
                  </c:pt>
                  <c:pt idx="7">
                    <c:v>2.1</c:v>
                  </c:pt>
                  <c:pt idx="8">
                    <c:v>0.4</c:v>
                  </c:pt>
                </c:numCache>
              </c:numRef>
            </c:plus>
            <c:minus>
              <c:numRef>
                <c:f>'F10.9'!$B$6:$J$6</c:f>
                <c:numCache>
                  <c:formatCode>General</c:formatCode>
                  <c:ptCount val="9"/>
                  <c:pt idx="0">
                    <c:v>1</c:v>
                  </c:pt>
                  <c:pt idx="1">
                    <c:v>0.7</c:v>
                  </c:pt>
                  <c:pt idx="2">
                    <c:v>1.2</c:v>
                  </c:pt>
                  <c:pt idx="3">
                    <c:v>1.2</c:v>
                  </c:pt>
                  <c:pt idx="4">
                    <c:v>1.2</c:v>
                  </c:pt>
                  <c:pt idx="5">
                    <c:v>1.4</c:v>
                  </c:pt>
                  <c:pt idx="6">
                    <c:v>1.9</c:v>
                  </c:pt>
                  <c:pt idx="7">
                    <c:v>2.1</c:v>
                  </c:pt>
                  <c:pt idx="8">
                    <c:v>0.4</c:v>
                  </c:pt>
                </c:numCache>
              </c:numRef>
            </c:minus>
            <c:spPr>
              <a:ln>
                <a:solidFill>
                  <a:srgbClr val="265A9A"/>
                </a:solidFill>
              </a:ln>
            </c:spPr>
          </c:errBars>
          <c:cat>
            <c:strRef>
              <c:f>'F10.9'!$B$3:$J$3</c:f>
              <c:strCache>
                <c:ptCount val="9"/>
                <c:pt idx="0">
                  <c:v>NSW</c:v>
                </c:pt>
                <c:pt idx="1">
                  <c:v>Vic</c:v>
                </c:pt>
                <c:pt idx="2">
                  <c:v>Qld</c:v>
                </c:pt>
                <c:pt idx="3">
                  <c:v>WA</c:v>
                </c:pt>
                <c:pt idx="4">
                  <c:v>SA</c:v>
                </c:pt>
                <c:pt idx="5">
                  <c:v>Tas</c:v>
                </c:pt>
                <c:pt idx="6">
                  <c:v>ACT</c:v>
                </c:pt>
                <c:pt idx="7">
                  <c:v>NT</c:v>
                </c:pt>
                <c:pt idx="8">
                  <c:v>Aust</c:v>
                </c:pt>
              </c:strCache>
            </c:strRef>
          </c:cat>
          <c:val>
            <c:numRef>
              <c:f>'F10.9'!$B$4:$J$4</c:f>
              <c:numCache>
                <c:formatCode>###\ ###\ ##0.0;\-###\ ###\ ##0.0;"–"</c:formatCode>
                <c:ptCount val="9"/>
                <c:pt idx="0">
                  <c:v>7</c:v>
                </c:pt>
                <c:pt idx="1">
                  <c:v>6.3</c:v>
                </c:pt>
                <c:pt idx="2">
                  <c:v>9.9</c:v>
                </c:pt>
                <c:pt idx="3">
                  <c:v>8.4</c:v>
                </c:pt>
                <c:pt idx="4">
                  <c:v>7.5</c:v>
                </c:pt>
                <c:pt idx="5">
                  <c:v>8</c:v>
                </c:pt>
                <c:pt idx="6">
                  <c:v>6.7</c:v>
                </c:pt>
                <c:pt idx="7">
                  <c:v>6.2</c:v>
                </c:pt>
                <c:pt idx="8">
                  <c:v>7.6</c:v>
                </c:pt>
              </c:numCache>
            </c:numRef>
          </c:val>
        </c:ser>
        <c:ser>
          <c:idx val="1"/>
          <c:order val="1"/>
          <c:tx>
            <c:strRef>
              <c:f>'F10.9'!$A$9</c:f>
              <c:strCache>
                <c:ptCount val="1"/>
                <c:pt idx="0">
                  <c:v>2014-15</c:v>
                </c:pt>
              </c:strCache>
            </c:strRef>
          </c:tx>
          <c:spPr>
            <a:solidFill>
              <a:srgbClr val="66BCDB"/>
            </a:solidFill>
            <a:ln>
              <a:solidFill>
                <a:srgbClr val="66BCDB"/>
              </a:solidFill>
            </a:ln>
          </c:spPr>
          <c:invertIfNegative val="0"/>
          <c:errBars>
            <c:errBarType val="both"/>
            <c:errValType val="cust"/>
            <c:noEndCap val="0"/>
            <c:plus>
              <c:numRef>
                <c:f>'F10.9'!$B$11:$J$11</c:f>
                <c:numCache>
                  <c:formatCode>General</c:formatCode>
                  <c:ptCount val="9"/>
                  <c:pt idx="0">
                    <c:v>0.9</c:v>
                  </c:pt>
                  <c:pt idx="1">
                    <c:v>0.9</c:v>
                  </c:pt>
                  <c:pt idx="2">
                    <c:v>0.9</c:v>
                  </c:pt>
                  <c:pt idx="3">
                    <c:v>1.4</c:v>
                  </c:pt>
                  <c:pt idx="4">
                    <c:v>1.3</c:v>
                  </c:pt>
                  <c:pt idx="5">
                    <c:v>1.2</c:v>
                  </c:pt>
                  <c:pt idx="6">
                    <c:v>2.2000000000000002</c:v>
                  </c:pt>
                  <c:pt idx="7">
                    <c:v>2.2000000000000002</c:v>
                  </c:pt>
                  <c:pt idx="8">
                    <c:v>0.5</c:v>
                  </c:pt>
                </c:numCache>
              </c:numRef>
            </c:plus>
            <c:minus>
              <c:numRef>
                <c:f>'F10.9'!$B$11:$J$11</c:f>
                <c:numCache>
                  <c:formatCode>General</c:formatCode>
                  <c:ptCount val="9"/>
                  <c:pt idx="0">
                    <c:v>0.9</c:v>
                  </c:pt>
                  <c:pt idx="1">
                    <c:v>0.9</c:v>
                  </c:pt>
                  <c:pt idx="2">
                    <c:v>0.9</c:v>
                  </c:pt>
                  <c:pt idx="3">
                    <c:v>1.4</c:v>
                  </c:pt>
                  <c:pt idx="4">
                    <c:v>1.3</c:v>
                  </c:pt>
                  <c:pt idx="5">
                    <c:v>1.2</c:v>
                  </c:pt>
                  <c:pt idx="6">
                    <c:v>2.2000000000000002</c:v>
                  </c:pt>
                  <c:pt idx="7">
                    <c:v>2.2000000000000002</c:v>
                  </c:pt>
                  <c:pt idx="8">
                    <c:v>0.5</c:v>
                  </c:pt>
                </c:numCache>
              </c:numRef>
            </c:minus>
            <c:spPr>
              <a:ln>
                <a:solidFill>
                  <a:srgbClr val="265A9A"/>
                </a:solidFill>
              </a:ln>
            </c:spPr>
          </c:errBars>
          <c:cat>
            <c:strRef>
              <c:f>'F10.9'!$B$3:$J$3</c:f>
              <c:strCache>
                <c:ptCount val="9"/>
                <c:pt idx="0">
                  <c:v>NSW</c:v>
                </c:pt>
                <c:pt idx="1">
                  <c:v>Vic</c:v>
                </c:pt>
                <c:pt idx="2">
                  <c:v>Qld</c:v>
                </c:pt>
                <c:pt idx="3">
                  <c:v>WA</c:v>
                </c:pt>
                <c:pt idx="4">
                  <c:v>SA</c:v>
                </c:pt>
                <c:pt idx="5">
                  <c:v>Tas</c:v>
                </c:pt>
                <c:pt idx="6">
                  <c:v>ACT</c:v>
                </c:pt>
                <c:pt idx="7">
                  <c:v>NT</c:v>
                </c:pt>
                <c:pt idx="8">
                  <c:v>Aust</c:v>
                </c:pt>
              </c:strCache>
            </c:strRef>
          </c:cat>
          <c:val>
            <c:numRef>
              <c:f>'F10.9'!$B$9:$J$9</c:f>
              <c:numCache>
                <c:formatCode>###\ ###\ ##0.0;\-###\ ###\ ##0.0;"–"</c:formatCode>
                <c:ptCount val="9"/>
                <c:pt idx="0">
                  <c:v>6.9</c:v>
                </c:pt>
                <c:pt idx="1">
                  <c:v>7.5</c:v>
                </c:pt>
                <c:pt idx="2">
                  <c:v>8.5</c:v>
                </c:pt>
                <c:pt idx="3">
                  <c:v>8</c:v>
                </c:pt>
                <c:pt idx="4">
                  <c:v>8.6</c:v>
                </c:pt>
                <c:pt idx="5">
                  <c:v>7.9</c:v>
                </c:pt>
                <c:pt idx="6">
                  <c:v>7.4</c:v>
                </c:pt>
                <c:pt idx="7">
                  <c:v>6</c:v>
                </c:pt>
                <c:pt idx="8">
                  <c:v>7.6</c:v>
                </c:pt>
              </c:numCache>
            </c:numRef>
          </c:val>
        </c:ser>
        <c:ser>
          <c:idx val="2"/>
          <c:order val="2"/>
          <c:tx>
            <c:strRef>
              <c:f>'F10.9'!$A$14</c:f>
              <c:strCache>
                <c:ptCount val="1"/>
                <c:pt idx="0">
                  <c:v>2015-16</c:v>
                </c:pt>
              </c:strCache>
            </c:strRef>
          </c:tx>
          <c:spPr>
            <a:solidFill>
              <a:srgbClr val="66BCDB"/>
            </a:solidFill>
            <a:ln>
              <a:solidFill>
                <a:srgbClr val="66BCDB"/>
              </a:solidFill>
            </a:ln>
          </c:spPr>
          <c:invertIfNegative val="0"/>
          <c:errBars>
            <c:errBarType val="both"/>
            <c:errValType val="cust"/>
            <c:noEndCap val="0"/>
            <c:plus>
              <c:numRef>
                <c:f>'F10.9'!$B$16:$J$16</c:f>
                <c:numCache>
                  <c:formatCode>General</c:formatCode>
                  <c:ptCount val="9"/>
                  <c:pt idx="0">
                    <c:v>1</c:v>
                  </c:pt>
                  <c:pt idx="1">
                    <c:v>0.9</c:v>
                  </c:pt>
                  <c:pt idx="2">
                    <c:v>1</c:v>
                  </c:pt>
                  <c:pt idx="3">
                    <c:v>1.5</c:v>
                  </c:pt>
                  <c:pt idx="4">
                    <c:v>1.1000000000000001</c:v>
                  </c:pt>
                  <c:pt idx="5">
                    <c:v>1.4</c:v>
                  </c:pt>
                  <c:pt idx="6">
                    <c:v>1.8</c:v>
                  </c:pt>
                  <c:pt idx="7">
                    <c:v>1.5</c:v>
                  </c:pt>
                  <c:pt idx="8">
                    <c:v>0.5</c:v>
                  </c:pt>
                </c:numCache>
              </c:numRef>
            </c:plus>
            <c:minus>
              <c:numRef>
                <c:f>'F10.9'!$B$16:$J$16</c:f>
                <c:numCache>
                  <c:formatCode>General</c:formatCode>
                  <c:ptCount val="9"/>
                  <c:pt idx="0">
                    <c:v>1</c:v>
                  </c:pt>
                  <c:pt idx="1">
                    <c:v>0.9</c:v>
                  </c:pt>
                  <c:pt idx="2">
                    <c:v>1</c:v>
                  </c:pt>
                  <c:pt idx="3">
                    <c:v>1.5</c:v>
                  </c:pt>
                  <c:pt idx="4">
                    <c:v>1.1000000000000001</c:v>
                  </c:pt>
                  <c:pt idx="5">
                    <c:v>1.4</c:v>
                  </c:pt>
                  <c:pt idx="6">
                    <c:v>1.8</c:v>
                  </c:pt>
                  <c:pt idx="7">
                    <c:v>1.5</c:v>
                  </c:pt>
                  <c:pt idx="8">
                    <c:v>0.5</c:v>
                  </c:pt>
                </c:numCache>
              </c:numRef>
            </c:minus>
            <c:spPr>
              <a:ln>
                <a:solidFill>
                  <a:srgbClr val="265A9A"/>
                </a:solidFill>
              </a:ln>
            </c:spPr>
          </c:errBars>
          <c:cat>
            <c:strRef>
              <c:f>'F10.9'!$B$3:$J$3</c:f>
              <c:strCache>
                <c:ptCount val="9"/>
                <c:pt idx="0">
                  <c:v>NSW</c:v>
                </c:pt>
                <c:pt idx="1">
                  <c:v>Vic</c:v>
                </c:pt>
                <c:pt idx="2">
                  <c:v>Qld</c:v>
                </c:pt>
                <c:pt idx="3">
                  <c:v>WA</c:v>
                </c:pt>
                <c:pt idx="4">
                  <c:v>SA</c:v>
                </c:pt>
                <c:pt idx="5">
                  <c:v>Tas</c:v>
                </c:pt>
                <c:pt idx="6">
                  <c:v>ACT</c:v>
                </c:pt>
                <c:pt idx="7">
                  <c:v>NT</c:v>
                </c:pt>
                <c:pt idx="8">
                  <c:v>Aust</c:v>
                </c:pt>
              </c:strCache>
            </c:strRef>
          </c:cat>
          <c:val>
            <c:numRef>
              <c:f>'F10.9'!$B$14:$J$14</c:f>
              <c:numCache>
                <c:formatCode>###\ ###\ ##0.0;\-###\ ###\ ##0.0;"–"</c:formatCode>
                <c:ptCount val="9"/>
                <c:pt idx="0">
                  <c:v>7.4</c:v>
                </c:pt>
                <c:pt idx="1">
                  <c:v>7.2</c:v>
                </c:pt>
                <c:pt idx="2">
                  <c:v>8.4</c:v>
                </c:pt>
                <c:pt idx="3">
                  <c:v>7.5</c:v>
                </c:pt>
                <c:pt idx="4">
                  <c:v>7.7</c:v>
                </c:pt>
                <c:pt idx="5">
                  <c:v>6.9</c:v>
                </c:pt>
                <c:pt idx="6">
                  <c:v>7.8</c:v>
                </c:pt>
                <c:pt idx="7">
                  <c:v>4.3</c:v>
                </c:pt>
                <c:pt idx="8">
                  <c:v>7.6</c:v>
                </c:pt>
              </c:numCache>
            </c:numRef>
          </c:val>
        </c:ser>
        <c:ser>
          <c:idx val="3"/>
          <c:order val="3"/>
          <c:tx>
            <c:strRef>
              <c:f>'F10.9'!$A$18</c:f>
              <c:strCache>
                <c:ptCount val="1"/>
                <c:pt idx="0">
                  <c:v>2016-17</c:v>
                </c:pt>
              </c:strCache>
            </c:strRef>
          </c:tx>
          <c:spPr>
            <a:solidFill>
              <a:srgbClr val="66BCDB"/>
            </a:solidFill>
            <a:ln>
              <a:solidFill>
                <a:srgbClr val="66BCDB"/>
              </a:solidFill>
            </a:ln>
          </c:spPr>
          <c:invertIfNegative val="0"/>
          <c:errBars>
            <c:errBarType val="both"/>
            <c:errValType val="cust"/>
            <c:noEndCap val="0"/>
            <c:plus>
              <c:numRef>
                <c:f>'F10.9'!$B$20:$J$20</c:f>
                <c:numCache>
                  <c:formatCode>General</c:formatCode>
                  <c:ptCount val="9"/>
                  <c:pt idx="0">
                    <c:v>0.9</c:v>
                  </c:pt>
                  <c:pt idx="1">
                    <c:v>1.1000000000000001</c:v>
                  </c:pt>
                  <c:pt idx="2">
                    <c:v>1.2</c:v>
                  </c:pt>
                  <c:pt idx="3">
                    <c:v>1.1000000000000001</c:v>
                  </c:pt>
                  <c:pt idx="4">
                    <c:v>1</c:v>
                  </c:pt>
                  <c:pt idx="5">
                    <c:v>1.5</c:v>
                  </c:pt>
                  <c:pt idx="6">
                    <c:v>1.5</c:v>
                  </c:pt>
                  <c:pt idx="7">
                    <c:v>1.5</c:v>
                  </c:pt>
                  <c:pt idx="8">
                    <c:v>0.5</c:v>
                  </c:pt>
                </c:numCache>
              </c:numRef>
            </c:plus>
            <c:minus>
              <c:numRef>
                <c:f>'F10.9'!$B$20:$K$20</c:f>
                <c:numCache>
                  <c:formatCode>General</c:formatCode>
                  <c:ptCount val="10"/>
                  <c:pt idx="0">
                    <c:v>0.9</c:v>
                  </c:pt>
                  <c:pt idx="1">
                    <c:v>1.1000000000000001</c:v>
                  </c:pt>
                  <c:pt idx="2">
                    <c:v>1.2</c:v>
                  </c:pt>
                  <c:pt idx="3">
                    <c:v>1.1000000000000001</c:v>
                  </c:pt>
                  <c:pt idx="4">
                    <c:v>1</c:v>
                  </c:pt>
                  <c:pt idx="5">
                    <c:v>1.5</c:v>
                  </c:pt>
                  <c:pt idx="6">
                    <c:v>1.5</c:v>
                  </c:pt>
                  <c:pt idx="7">
                    <c:v>1.5</c:v>
                  </c:pt>
                  <c:pt idx="8">
                    <c:v>0.5</c:v>
                  </c:pt>
                  <c:pt idx="9">
                    <c:v>0</c:v>
                  </c:pt>
                </c:numCache>
              </c:numRef>
            </c:minus>
            <c:spPr>
              <a:ln>
                <a:solidFill>
                  <a:srgbClr val="265A9A"/>
                </a:solidFill>
              </a:ln>
            </c:spPr>
          </c:errBars>
          <c:cat>
            <c:strRef>
              <c:f>'F10.9'!$B$3:$J$3</c:f>
              <c:strCache>
                <c:ptCount val="9"/>
                <c:pt idx="0">
                  <c:v>NSW</c:v>
                </c:pt>
                <c:pt idx="1">
                  <c:v>Vic</c:v>
                </c:pt>
                <c:pt idx="2">
                  <c:v>Qld</c:v>
                </c:pt>
                <c:pt idx="3">
                  <c:v>WA</c:v>
                </c:pt>
                <c:pt idx="4">
                  <c:v>SA</c:v>
                </c:pt>
                <c:pt idx="5">
                  <c:v>Tas</c:v>
                </c:pt>
                <c:pt idx="6">
                  <c:v>ACT</c:v>
                </c:pt>
                <c:pt idx="7">
                  <c:v>NT</c:v>
                </c:pt>
                <c:pt idx="8">
                  <c:v>Aust</c:v>
                </c:pt>
              </c:strCache>
            </c:strRef>
          </c:cat>
          <c:val>
            <c:numRef>
              <c:f>'F10.9'!$B$18:$J$18</c:f>
              <c:numCache>
                <c:formatCode>###\ ###\ ##0.0;\-###\ ###\ ##0.0;"–"</c:formatCode>
                <c:ptCount val="9"/>
                <c:pt idx="0">
                  <c:v>7</c:v>
                </c:pt>
                <c:pt idx="1">
                  <c:v>7.6</c:v>
                </c:pt>
                <c:pt idx="2">
                  <c:v>8</c:v>
                </c:pt>
                <c:pt idx="3">
                  <c:v>7</c:v>
                </c:pt>
                <c:pt idx="4">
                  <c:v>7.5</c:v>
                </c:pt>
                <c:pt idx="5">
                  <c:v>7.1</c:v>
                </c:pt>
                <c:pt idx="6">
                  <c:v>5.6</c:v>
                </c:pt>
                <c:pt idx="7">
                  <c:v>2.9</c:v>
                </c:pt>
                <c:pt idx="8">
                  <c:v>7.3</c:v>
                </c:pt>
              </c:numCache>
            </c:numRef>
          </c:val>
        </c:ser>
        <c:ser>
          <c:idx val="4"/>
          <c:order val="4"/>
          <c:tx>
            <c:strRef>
              <c:f>'F10.9'!$A$22</c:f>
              <c:strCache>
                <c:ptCount val="1"/>
                <c:pt idx="0">
                  <c:v>2017-18</c:v>
                </c:pt>
              </c:strCache>
            </c:strRef>
          </c:tx>
          <c:spPr>
            <a:solidFill>
              <a:srgbClr val="265A9A"/>
            </a:solidFill>
            <a:ln>
              <a:solidFill>
                <a:srgbClr val="265A9A"/>
              </a:solidFill>
            </a:ln>
          </c:spPr>
          <c:invertIfNegative val="0"/>
          <c:errBars>
            <c:errBarType val="both"/>
            <c:errValType val="cust"/>
            <c:noEndCap val="0"/>
            <c:plus>
              <c:numRef>
                <c:f>'F10.9'!$B$24:$J$24</c:f>
                <c:numCache>
                  <c:formatCode>General</c:formatCode>
                  <c:ptCount val="9"/>
                  <c:pt idx="0">
                    <c:v>0.8</c:v>
                  </c:pt>
                  <c:pt idx="1">
                    <c:v>1</c:v>
                  </c:pt>
                  <c:pt idx="2">
                    <c:v>1</c:v>
                  </c:pt>
                  <c:pt idx="3">
                    <c:v>1.1000000000000001</c:v>
                  </c:pt>
                  <c:pt idx="4">
                    <c:v>1</c:v>
                  </c:pt>
                  <c:pt idx="5">
                    <c:v>1.8</c:v>
                  </c:pt>
                  <c:pt idx="6">
                    <c:v>2.2000000000000002</c:v>
                  </c:pt>
                  <c:pt idx="7">
                    <c:v>2.2000000000000002</c:v>
                  </c:pt>
                  <c:pt idx="8">
                    <c:v>0.5</c:v>
                  </c:pt>
                </c:numCache>
              </c:numRef>
            </c:plus>
            <c:minus>
              <c:numRef>
                <c:f>'F10.9'!$B$24:$J$24</c:f>
                <c:numCache>
                  <c:formatCode>General</c:formatCode>
                  <c:ptCount val="9"/>
                  <c:pt idx="0">
                    <c:v>0.8</c:v>
                  </c:pt>
                  <c:pt idx="1">
                    <c:v>1</c:v>
                  </c:pt>
                  <c:pt idx="2">
                    <c:v>1</c:v>
                  </c:pt>
                  <c:pt idx="3">
                    <c:v>1.1000000000000001</c:v>
                  </c:pt>
                  <c:pt idx="4">
                    <c:v>1</c:v>
                  </c:pt>
                  <c:pt idx="5">
                    <c:v>1.8</c:v>
                  </c:pt>
                  <c:pt idx="6">
                    <c:v>2.2000000000000002</c:v>
                  </c:pt>
                  <c:pt idx="7">
                    <c:v>2.2000000000000002</c:v>
                  </c:pt>
                  <c:pt idx="8">
                    <c:v>0.5</c:v>
                  </c:pt>
                </c:numCache>
              </c:numRef>
            </c:minus>
            <c:spPr>
              <a:ln>
                <a:solidFill>
                  <a:srgbClr val="66BCDB"/>
                </a:solidFill>
              </a:ln>
            </c:spPr>
          </c:errBars>
          <c:val>
            <c:numRef>
              <c:f>'F10.9'!$B$22:$J$22</c:f>
              <c:numCache>
                <c:formatCode>###\ ###\ ##0.0;\-###\ ###\ ##0.0;"–"</c:formatCode>
                <c:ptCount val="9"/>
                <c:pt idx="0">
                  <c:v>7.2</c:v>
                </c:pt>
                <c:pt idx="1">
                  <c:v>6.4</c:v>
                </c:pt>
                <c:pt idx="2">
                  <c:v>7.2</c:v>
                </c:pt>
                <c:pt idx="3">
                  <c:v>7.7</c:v>
                </c:pt>
                <c:pt idx="4">
                  <c:v>6.3</c:v>
                </c:pt>
                <c:pt idx="5">
                  <c:v>8.1999999999999993</c:v>
                </c:pt>
                <c:pt idx="6">
                  <c:v>7.1</c:v>
                </c:pt>
                <c:pt idx="7">
                  <c:v>6</c:v>
                </c:pt>
                <c:pt idx="8">
                  <c:v>7</c:v>
                </c:pt>
              </c:numCache>
            </c:numRef>
          </c:val>
        </c:ser>
        <c:dLbls>
          <c:showLegendKey val="0"/>
          <c:showVal val="0"/>
          <c:showCatName val="0"/>
          <c:showSerName val="0"/>
          <c:showPercent val="0"/>
          <c:showBubbleSize val="0"/>
        </c:dLbls>
        <c:gapWidth val="150"/>
        <c:axId val="14349656"/>
        <c:axId val="14348480"/>
      </c:barChart>
      <c:catAx>
        <c:axId val="14349656"/>
        <c:scaling>
          <c:orientation val="minMax"/>
        </c:scaling>
        <c:delete val="0"/>
        <c:axPos val="b"/>
        <c:numFmt formatCode="General" sourceLinked="1"/>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14348480"/>
        <c:crossesAt val="0"/>
        <c:auto val="1"/>
        <c:lblAlgn val="ctr"/>
        <c:lblOffset val="100"/>
        <c:noMultiLvlLbl val="0"/>
      </c:catAx>
      <c:valAx>
        <c:axId val="14348480"/>
        <c:scaling>
          <c:orientation val="minMax"/>
          <c:max val="14"/>
        </c:scaling>
        <c:delete val="0"/>
        <c:axPos val="l"/>
        <c:majorGridlines>
          <c:spPr>
            <a:ln>
              <a:noFill/>
            </a:ln>
          </c:spPr>
        </c:majorGridlines>
        <c:title>
          <c:tx>
            <c:rich>
              <a:bodyPr rot="-5400000" vert="horz"/>
              <a:lstStyle/>
              <a:p>
                <a:pPr>
                  <a:defRPr sz="900">
                    <a:latin typeface="arial"/>
                    <a:ea typeface="arial"/>
                    <a:cs typeface="arial"/>
                  </a:defRPr>
                </a:pPr>
                <a:r>
                  <a:rPr lang="en-US"/>
                  <a:t>Per cent</a:t>
                </a:r>
              </a:p>
            </c:rich>
          </c:tx>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14349656"/>
        <c:crosses val="autoZero"/>
        <c:crossBetween val="between"/>
      </c:valAx>
      <c:spPr>
        <a:noFill/>
        <a:ln>
          <a:noFill/>
        </a:ln>
      </c:spPr>
    </c:plotArea>
    <c:legend>
      <c:legendPos val="b"/>
      <c:legendEntry>
        <c:idx val="1"/>
        <c:delete val="1"/>
      </c:legendEntry>
      <c:legendEntry>
        <c:idx val="2"/>
        <c:delete val="1"/>
      </c:legendEntry>
      <c:legendEntry>
        <c:idx val="3"/>
        <c:delete val="1"/>
      </c:legendEntry>
      <c:layout/>
      <c:overlay val="0"/>
      <c:spPr>
        <a:ln>
          <a:noFill/>
        </a:ln>
      </c:spPr>
      <c:txPr>
        <a:bodyPr/>
        <a:lstStyle/>
        <a:p>
          <a:pPr>
            <a:defRPr sz="900" b="0" i="0">
              <a:latin typeface="Arial" panose="020B0604020202020204" pitchFamily="34" charset="0"/>
            </a:defRPr>
          </a:pPr>
          <a:endParaRPr lang="en-US"/>
        </a:p>
      </c:txPr>
    </c:legend>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'F10.11'!$C$4</c:f>
              <c:strCache>
                <c:ptCount val="1"/>
                <c:pt idx="0">
                  <c:v>12 months to less than 15 months</c:v>
                </c:pt>
              </c:strCache>
            </c:strRef>
          </c:tx>
          <c:spPr>
            <a:solidFill>
              <a:srgbClr val="66BCDB"/>
            </a:solidFill>
            <a:ln>
              <a:solidFill>
                <a:srgbClr val="66BCDB"/>
              </a:solidFill>
            </a:ln>
          </c:spPr>
          <c:invertIfNegative val="0"/>
          <c:cat>
            <c:strRef>
              <c:f>'F10.11'!$D$3:$L$3</c:f>
              <c:strCache>
                <c:ptCount val="9"/>
                <c:pt idx="0">
                  <c:v>NSW</c:v>
                </c:pt>
                <c:pt idx="1">
                  <c:v>Vic</c:v>
                </c:pt>
                <c:pt idx="2">
                  <c:v>Qld</c:v>
                </c:pt>
                <c:pt idx="3">
                  <c:v>WA</c:v>
                </c:pt>
                <c:pt idx="4">
                  <c:v>SA</c:v>
                </c:pt>
                <c:pt idx="5">
                  <c:v>Tas</c:v>
                </c:pt>
                <c:pt idx="6">
                  <c:v>ACT</c:v>
                </c:pt>
                <c:pt idx="7">
                  <c:v>NT</c:v>
                </c:pt>
                <c:pt idx="8">
                  <c:v>Aust</c:v>
                </c:pt>
              </c:strCache>
            </c:strRef>
          </c:cat>
          <c:val>
            <c:numRef>
              <c:f>'F10.11'!$D$4:$L$4</c:f>
              <c:numCache>
                <c:formatCode>####\ ###\ ##0.0;\-####\ ###\ ##0.0;"–"</c:formatCode>
                <c:ptCount val="9"/>
                <c:pt idx="0">
                  <c:v>93.98</c:v>
                </c:pt>
                <c:pt idx="1">
                  <c:v>94.2</c:v>
                </c:pt>
                <c:pt idx="2">
                  <c:v>94.04</c:v>
                </c:pt>
                <c:pt idx="3">
                  <c:v>93.44</c:v>
                </c:pt>
                <c:pt idx="4">
                  <c:v>94.31</c:v>
                </c:pt>
                <c:pt idx="5">
                  <c:v>94.39</c:v>
                </c:pt>
                <c:pt idx="6">
                  <c:v>95.37</c:v>
                </c:pt>
                <c:pt idx="7">
                  <c:v>93.35</c:v>
                </c:pt>
                <c:pt idx="8">
                  <c:v>94.04</c:v>
                </c:pt>
              </c:numCache>
            </c:numRef>
          </c:val>
        </c:ser>
        <c:ser>
          <c:idx val="1"/>
          <c:order val="1"/>
          <c:tx>
            <c:strRef>
              <c:f>'F10.11'!$C$5</c:f>
              <c:strCache>
                <c:ptCount val="1"/>
                <c:pt idx="0">
                  <c:v>24 months to less than 27 months</c:v>
                </c:pt>
              </c:strCache>
            </c:strRef>
          </c:tx>
          <c:spPr>
            <a:solidFill>
              <a:srgbClr val="265A9A"/>
            </a:solidFill>
            <a:ln>
              <a:solidFill>
                <a:srgbClr val="265A9A"/>
              </a:solidFill>
            </a:ln>
          </c:spPr>
          <c:invertIfNegative val="0"/>
          <c:cat>
            <c:strRef>
              <c:f>'F10.11'!$D$3:$L$3</c:f>
              <c:strCache>
                <c:ptCount val="9"/>
                <c:pt idx="0">
                  <c:v>NSW</c:v>
                </c:pt>
                <c:pt idx="1">
                  <c:v>Vic</c:v>
                </c:pt>
                <c:pt idx="2">
                  <c:v>Qld</c:v>
                </c:pt>
                <c:pt idx="3">
                  <c:v>WA</c:v>
                </c:pt>
                <c:pt idx="4">
                  <c:v>SA</c:v>
                </c:pt>
                <c:pt idx="5">
                  <c:v>Tas</c:v>
                </c:pt>
                <c:pt idx="6">
                  <c:v>ACT</c:v>
                </c:pt>
                <c:pt idx="7">
                  <c:v>NT</c:v>
                </c:pt>
                <c:pt idx="8">
                  <c:v>Aust</c:v>
                </c:pt>
              </c:strCache>
            </c:strRef>
          </c:cat>
          <c:val>
            <c:numRef>
              <c:f>'F10.11'!$D$5:$L$5</c:f>
              <c:numCache>
                <c:formatCode>####\ ###\ ##0.0;\-####\ ###\ ##0.0;"–"</c:formatCode>
                <c:ptCount val="9"/>
                <c:pt idx="0">
                  <c:v>89.99</c:v>
                </c:pt>
                <c:pt idx="1">
                  <c:v>90.97</c:v>
                </c:pt>
                <c:pt idx="2">
                  <c:v>91.61</c:v>
                </c:pt>
                <c:pt idx="3">
                  <c:v>89.24</c:v>
                </c:pt>
                <c:pt idx="4">
                  <c:v>90.7</c:v>
                </c:pt>
                <c:pt idx="5">
                  <c:v>90.97</c:v>
                </c:pt>
                <c:pt idx="6">
                  <c:v>92.49</c:v>
                </c:pt>
                <c:pt idx="7">
                  <c:v>88.42</c:v>
                </c:pt>
                <c:pt idx="8">
                  <c:v>90.58</c:v>
                </c:pt>
              </c:numCache>
            </c:numRef>
          </c:val>
        </c:ser>
        <c:ser>
          <c:idx val="2"/>
          <c:order val="2"/>
          <c:tx>
            <c:strRef>
              <c:f>'F10.11'!$C$6</c:f>
              <c:strCache>
                <c:ptCount val="1"/>
                <c:pt idx="0">
                  <c:v>60 months to less than 63 months</c:v>
                </c:pt>
              </c:strCache>
            </c:strRef>
          </c:tx>
          <c:spPr>
            <a:solidFill>
              <a:srgbClr val="78A22F"/>
            </a:solidFill>
            <a:ln>
              <a:solidFill>
                <a:srgbClr val="78A22F"/>
              </a:solidFill>
            </a:ln>
          </c:spPr>
          <c:invertIfNegative val="0"/>
          <c:cat>
            <c:strRef>
              <c:f>'F10.11'!$D$3:$L$3</c:f>
              <c:strCache>
                <c:ptCount val="9"/>
                <c:pt idx="0">
                  <c:v>NSW</c:v>
                </c:pt>
                <c:pt idx="1">
                  <c:v>Vic</c:v>
                </c:pt>
                <c:pt idx="2">
                  <c:v>Qld</c:v>
                </c:pt>
                <c:pt idx="3">
                  <c:v>WA</c:v>
                </c:pt>
                <c:pt idx="4">
                  <c:v>SA</c:v>
                </c:pt>
                <c:pt idx="5">
                  <c:v>Tas</c:v>
                </c:pt>
                <c:pt idx="6">
                  <c:v>ACT</c:v>
                </c:pt>
                <c:pt idx="7">
                  <c:v>NT</c:v>
                </c:pt>
                <c:pt idx="8">
                  <c:v>Aust</c:v>
                </c:pt>
              </c:strCache>
            </c:strRef>
          </c:cat>
          <c:val>
            <c:numRef>
              <c:f>'F10.11'!$D$6:$L$6</c:f>
              <c:numCache>
                <c:formatCode>####\ ###\ ##0.0;\-####\ ###\ ##0.0;"–"</c:formatCode>
                <c:ptCount val="9"/>
                <c:pt idx="0">
                  <c:v>94.4</c:v>
                </c:pt>
                <c:pt idx="1">
                  <c:v>95.27</c:v>
                </c:pt>
                <c:pt idx="2">
                  <c:v>94.26</c:v>
                </c:pt>
                <c:pt idx="3">
                  <c:v>92.8</c:v>
                </c:pt>
                <c:pt idx="4">
                  <c:v>94.23</c:v>
                </c:pt>
                <c:pt idx="5">
                  <c:v>95.68</c:v>
                </c:pt>
                <c:pt idx="6">
                  <c:v>94.86</c:v>
                </c:pt>
                <c:pt idx="7">
                  <c:v>93.07</c:v>
                </c:pt>
                <c:pt idx="8">
                  <c:v>94.42</c:v>
                </c:pt>
              </c:numCache>
            </c:numRef>
          </c:val>
        </c:ser>
        <c:dLbls>
          <c:showLegendKey val="0"/>
          <c:showVal val="0"/>
          <c:showCatName val="0"/>
          <c:showSerName val="0"/>
          <c:showPercent val="0"/>
          <c:showBubbleSize val="0"/>
        </c:dLbls>
        <c:gapWidth val="150"/>
        <c:axId val="14350048"/>
        <c:axId val="14350440"/>
      </c:barChart>
      <c:catAx>
        <c:axId val="14350048"/>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14350440"/>
        <c:crosses val="autoZero"/>
        <c:auto val="1"/>
        <c:lblAlgn val="ctr"/>
        <c:lblOffset val="100"/>
        <c:noMultiLvlLbl val="0"/>
      </c:catAx>
      <c:valAx>
        <c:axId val="14350440"/>
        <c:scaling>
          <c:orientation val="minMax"/>
          <c:max val="100"/>
          <c:min val="0"/>
        </c:scaling>
        <c:delete val="0"/>
        <c:axPos val="l"/>
        <c:majorGridlines>
          <c:spPr>
            <a:ln>
              <a:noFill/>
            </a:ln>
          </c:spPr>
        </c:majorGridlines>
        <c:title>
          <c:tx>
            <c:rich>
              <a:bodyPr rot="-5400000" vert="horz"/>
              <a:lstStyle/>
              <a:p>
                <a:pPr>
                  <a:defRPr sz="900">
                    <a:latin typeface="arial"/>
                    <a:ea typeface="arial"/>
                    <a:cs typeface="arial"/>
                  </a:defRPr>
                </a:pPr>
                <a:r>
                  <a:rPr lang="en-US"/>
                  <a:t>Per cent</a:t>
                </a:r>
              </a:p>
            </c:rich>
          </c:tx>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14350048"/>
        <c:crosses val="autoZero"/>
        <c:crossBetween val="between"/>
        <c:majorUnit val="20"/>
      </c:valAx>
      <c:spPr>
        <a:noFill/>
        <a:ln>
          <a:noFill/>
        </a:ln>
      </c:spPr>
    </c:plotArea>
    <c:legend>
      <c:legendPos val="b"/>
      <c:layout>
        <c:manualLayout>
          <c:xMode val="edge"/>
          <c:yMode val="edge"/>
          <c:x val="0.1248559259259259"/>
          <c:y val="0.81656031746031743"/>
          <c:w val="0.81613999999999998"/>
          <c:h val="0.15320158730158731"/>
        </c:manualLayout>
      </c:layout>
      <c:overlay val="0"/>
      <c:spPr>
        <a:ln>
          <a:noFill/>
        </a:ln>
      </c:spPr>
      <c:txPr>
        <a:bodyPr/>
        <a:lstStyle/>
        <a:p>
          <a:pPr>
            <a:defRPr sz="900" b="0" i="0">
              <a:latin typeface="Arial" panose="020B0604020202020204" pitchFamily="34" charset="0"/>
            </a:defRPr>
          </a:pPr>
          <a:endParaRPr lang="en-US"/>
        </a:p>
      </c:txPr>
    </c:legend>
    <c:plotVisOnly val="1"/>
    <c:dispBlanksAs val="gap"/>
    <c:showDLblsOverMax val="0"/>
  </c:chart>
  <c:spPr>
    <a:solidFill>
      <a:sysClr val="window" lastClr="FFFFFF"/>
    </a:solidFill>
    <a:ln>
      <a:noFill/>
    </a:ln>
  </c:spPr>
  <c:txPr>
    <a:bodyPr/>
    <a:lstStyle/>
    <a:p>
      <a:pPr>
        <a:defRPr sz="900" spc="20" baseline="0">
          <a:latin typeface="Arial" pitchFamily="34" charset="0"/>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4"/>
          <c:order val="0"/>
          <c:tx>
            <c:strRef>
              <c:f>'F10.12'!$C$8</c:f>
              <c:strCache>
                <c:ptCount val="1"/>
                <c:pt idx="0">
                  <c:v>2016-2017</c:v>
                </c:pt>
              </c:strCache>
            </c:strRef>
          </c:tx>
          <c:spPr>
            <a:solidFill>
              <a:srgbClr val="66BCDB"/>
            </a:solidFill>
            <a:ln>
              <a:solidFill>
                <a:srgbClr val="66BCDB"/>
              </a:solidFill>
            </a:ln>
          </c:spPr>
          <c:invertIfNegative val="0"/>
          <c:cat>
            <c:strRef>
              <c:f>'F10.12'!$D$3:$L$3</c:f>
              <c:strCache>
                <c:ptCount val="9"/>
                <c:pt idx="0">
                  <c:v>NSW</c:v>
                </c:pt>
                <c:pt idx="1">
                  <c:v>Vic</c:v>
                </c:pt>
                <c:pt idx="2">
                  <c:v>Qld</c:v>
                </c:pt>
                <c:pt idx="3">
                  <c:v>WA</c:v>
                </c:pt>
                <c:pt idx="4">
                  <c:v>SA</c:v>
                </c:pt>
                <c:pt idx="5">
                  <c:v>Tas</c:v>
                </c:pt>
                <c:pt idx="6">
                  <c:v>ACT</c:v>
                </c:pt>
                <c:pt idx="7">
                  <c:v>NT</c:v>
                </c:pt>
                <c:pt idx="8">
                  <c:v>Aust</c:v>
                </c:pt>
              </c:strCache>
            </c:strRef>
          </c:cat>
          <c:val>
            <c:numRef>
              <c:f>'F10.12'!$D$8:$L$8</c:f>
              <c:numCache>
                <c:formatCode>####\ ###\ ##0.0;\-####\ ###\ ##0.0;"–"</c:formatCode>
                <c:ptCount val="9"/>
                <c:pt idx="0">
                  <c:v>53.161720119682279</c:v>
                </c:pt>
                <c:pt idx="1">
                  <c:v>53.759344730246447</c:v>
                </c:pt>
                <c:pt idx="2">
                  <c:v>55.073081822795167</c:v>
                </c:pt>
                <c:pt idx="3">
                  <c:v>55.769407104424516</c:v>
                </c:pt>
                <c:pt idx="4">
                  <c:v>59.139037233352781</c:v>
                </c:pt>
                <c:pt idx="5">
                  <c:v>58.40816852667006</c:v>
                </c:pt>
                <c:pt idx="6">
                  <c:v>57.072049930584889</c:v>
                </c:pt>
                <c:pt idx="7">
                  <c:v>37.780652222652982</c:v>
                </c:pt>
                <c:pt idx="8">
                  <c:v>54.479989175754639</c:v>
                </c:pt>
              </c:numCache>
            </c:numRef>
          </c:val>
        </c:ser>
        <c:dLbls>
          <c:showLegendKey val="0"/>
          <c:showVal val="0"/>
          <c:showCatName val="0"/>
          <c:showSerName val="0"/>
          <c:showPercent val="0"/>
          <c:showBubbleSize val="0"/>
        </c:dLbls>
        <c:gapWidth val="150"/>
        <c:axId val="14352008"/>
        <c:axId val="14352400"/>
      </c:barChart>
      <c:catAx>
        <c:axId val="14352008"/>
        <c:scaling>
          <c:orientation val="minMax"/>
        </c:scaling>
        <c:delete val="0"/>
        <c:axPos val="b"/>
        <c:numFmt formatCode="General" sourceLinked="0"/>
        <c:majorTickMark val="none"/>
        <c:minorTickMark val="none"/>
        <c:tickLblPos val="nextTo"/>
        <c:spPr>
          <a:ln>
            <a:solidFill>
              <a:srgbClr val="BFBFBF"/>
            </a:solidFill>
          </a:ln>
        </c:spPr>
        <c:txPr>
          <a:bodyPr/>
          <a:lstStyle/>
          <a:p>
            <a:pPr>
              <a:defRPr sz="900" b="0" i="0">
                <a:latin typeface="Arial"/>
                <a:ea typeface="Arial"/>
                <a:cs typeface="Arial"/>
              </a:defRPr>
            </a:pPr>
            <a:endParaRPr lang="en-US"/>
          </a:p>
        </c:txPr>
        <c:crossAx val="14352400"/>
        <c:crosses val="autoZero"/>
        <c:auto val="1"/>
        <c:lblAlgn val="ctr"/>
        <c:lblOffset val="100"/>
        <c:noMultiLvlLbl val="0"/>
      </c:catAx>
      <c:valAx>
        <c:axId val="14352400"/>
        <c:scaling>
          <c:orientation val="minMax"/>
          <c:max val="75"/>
        </c:scaling>
        <c:delete val="0"/>
        <c:axPos val="l"/>
        <c:majorGridlines>
          <c:spPr>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majorGridlines>
        <c:title>
          <c:tx>
            <c:rich>
              <a:bodyPr rot="-5400000" vert="horz"/>
              <a:lstStyle/>
              <a:p>
                <a:pPr>
                  <a:defRPr sz="900">
                    <a:latin typeface="arial"/>
                    <a:ea typeface="arial"/>
                    <a:cs typeface="arial"/>
                  </a:defRPr>
                </a:pPr>
                <a:r>
                  <a:rPr lang="en-AU"/>
                  <a:t>Per cent</a:t>
                </a:r>
              </a:p>
            </c:rich>
          </c:tx>
          <c:layout/>
          <c:overlay val="0"/>
        </c:title>
        <c:numFmt formatCode="#,##0" sourceLinked="0"/>
        <c:majorTickMark val="out"/>
        <c:minorTickMark val="none"/>
        <c:tickLblPos val="nextTo"/>
        <c:spPr>
          <a:ln>
            <a:solidFill>
              <a:srgbClr val="BFBFBF"/>
            </a:solidFill>
          </a:ln>
        </c:spPr>
        <c:txPr>
          <a:bodyPr/>
          <a:lstStyle/>
          <a:p>
            <a:pPr>
              <a:defRPr sz="900" b="0" i="0">
                <a:latin typeface="Arial"/>
                <a:ea typeface="Arial"/>
                <a:cs typeface="Arial"/>
              </a:defRPr>
            </a:pPr>
            <a:endParaRPr lang="en-US"/>
          </a:p>
        </c:txPr>
        <c:crossAx val="14352008"/>
        <c:crosses val="autoZero"/>
        <c:crossBetween val="between"/>
        <c:majorUnit val="15"/>
      </c:valAx>
      <c:spPr>
        <a:noFill/>
        <a:ln>
          <a:noFill/>
          <a:round/>
        </a:ln>
        <a:effectLst/>
        <a:extLst>
          <a:ext uri="{91240B29-F687-4F45-9708-019B960494DF}">
            <a14:hiddenLine xmlns:a14="http://schemas.microsoft.com/office/drawing/2010/main">
              <a:solidFill>
                <a:sysClr val="windowText" lastClr="000000"/>
              </a:solidFill>
              <a:round/>
            </a14:hiddenLine>
          </a:ext>
        </a:extLst>
      </c:spPr>
    </c:plotArea>
    <c:plotVisOnly val="1"/>
    <c:dispBlanksAs val="gap"/>
    <c:showDLblsOverMax val="0"/>
  </c:chart>
  <c:spPr>
    <a:ln>
      <a:noFill/>
    </a:ln>
  </c:spPr>
  <c:txPr>
    <a:bodyPr/>
    <a:lstStyle/>
    <a:p>
      <a:pPr>
        <a:defRPr baseline="0">
          <a:latin typeface="Arial" pitchFamily="34" charset="0"/>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CF67E-8650-4EE7-9A5D-3A6DB5023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399</TotalTime>
  <Pages>37</Pages>
  <Words>9541</Words>
  <Characters>54384</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Chapter 10 Primary and community health - Report on Government Services 2019</vt:lpstr>
    </vt:vector>
  </TitlesOfParts>
  <Company>Productivity Commission</Company>
  <LinksUpToDate>false</LinksUpToDate>
  <CharactersWithSpaces>63798</CharactersWithSpaces>
  <SharedDoc>false</SharedDoc>
  <HLinks>
    <vt:vector size="42" baseType="variant">
      <vt:variant>
        <vt:i4>1572915</vt:i4>
      </vt:variant>
      <vt:variant>
        <vt:i4>38</vt:i4>
      </vt:variant>
      <vt:variant>
        <vt:i4>0</vt:i4>
      </vt:variant>
      <vt:variant>
        <vt:i4>5</vt:i4>
      </vt:variant>
      <vt:variant>
        <vt:lpwstr/>
      </vt:variant>
      <vt:variant>
        <vt:lpwstr>_Toc274941105</vt:lpwstr>
      </vt:variant>
      <vt:variant>
        <vt:i4>1572915</vt:i4>
      </vt:variant>
      <vt:variant>
        <vt:i4>32</vt:i4>
      </vt:variant>
      <vt:variant>
        <vt:i4>0</vt:i4>
      </vt:variant>
      <vt:variant>
        <vt:i4>5</vt:i4>
      </vt:variant>
      <vt:variant>
        <vt:lpwstr/>
      </vt:variant>
      <vt:variant>
        <vt:lpwstr>_Toc274941104</vt:lpwstr>
      </vt:variant>
      <vt:variant>
        <vt:i4>1572915</vt:i4>
      </vt:variant>
      <vt:variant>
        <vt:i4>26</vt:i4>
      </vt:variant>
      <vt:variant>
        <vt:i4>0</vt:i4>
      </vt:variant>
      <vt:variant>
        <vt:i4>5</vt:i4>
      </vt:variant>
      <vt:variant>
        <vt:lpwstr/>
      </vt:variant>
      <vt:variant>
        <vt:lpwstr>_Toc274941103</vt:lpwstr>
      </vt:variant>
      <vt:variant>
        <vt:i4>1572915</vt:i4>
      </vt:variant>
      <vt:variant>
        <vt:i4>20</vt:i4>
      </vt:variant>
      <vt:variant>
        <vt:i4>0</vt:i4>
      </vt:variant>
      <vt:variant>
        <vt:i4>5</vt:i4>
      </vt:variant>
      <vt:variant>
        <vt:lpwstr/>
      </vt:variant>
      <vt:variant>
        <vt:lpwstr>_Toc274941102</vt:lpwstr>
      </vt:variant>
      <vt:variant>
        <vt:i4>1572915</vt:i4>
      </vt:variant>
      <vt:variant>
        <vt:i4>14</vt:i4>
      </vt:variant>
      <vt:variant>
        <vt:i4>0</vt:i4>
      </vt:variant>
      <vt:variant>
        <vt:i4>5</vt:i4>
      </vt:variant>
      <vt:variant>
        <vt:lpwstr/>
      </vt:variant>
      <vt:variant>
        <vt:lpwstr>_Toc274941101</vt:lpwstr>
      </vt:variant>
      <vt:variant>
        <vt:i4>1572915</vt:i4>
      </vt:variant>
      <vt:variant>
        <vt:i4>8</vt:i4>
      </vt:variant>
      <vt:variant>
        <vt:i4>0</vt:i4>
      </vt:variant>
      <vt:variant>
        <vt:i4>5</vt:i4>
      </vt:variant>
      <vt:variant>
        <vt:lpwstr/>
      </vt:variant>
      <vt:variant>
        <vt:lpwstr>_Toc274941100</vt:lpwstr>
      </vt:variant>
      <vt:variant>
        <vt:i4>1114162</vt:i4>
      </vt:variant>
      <vt:variant>
        <vt:i4>2</vt:i4>
      </vt:variant>
      <vt:variant>
        <vt:i4>0</vt:i4>
      </vt:variant>
      <vt:variant>
        <vt:i4>5</vt:i4>
      </vt:variant>
      <vt:variant>
        <vt:lpwstr/>
      </vt:variant>
      <vt:variant>
        <vt:lpwstr>_Toc274941099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10 Primary and community health - Report on Government Services 2019</dc:title>
  <dc:subject/>
  <dc:creator>Steering Committee for the Review of Government Service Provision</dc:creator>
  <dc:description/>
  <cp:lastModifiedBy>Frech, Tanya</cp:lastModifiedBy>
  <cp:revision>78</cp:revision>
  <cp:lastPrinted>2018-12-21T04:58:00Z</cp:lastPrinted>
  <dcterms:created xsi:type="dcterms:W3CDTF">2018-11-20T05:31:00Z</dcterms:created>
  <dcterms:modified xsi:type="dcterms:W3CDTF">2019-02-19T21:45:00Z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