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5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Title of Factsheet - Steering Committee for the Review of Government Service Provision &#10;&#10;More details can be found within the text surrounding this image. "/>
      </w:tblPr>
      <w:tblGrid>
        <w:gridCol w:w="4219"/>
        <w:gridCol w:w="5410"/>
      </w:tblGrid>
      <w:tr w:rsidR="003F2036" w:rsidTr="007C464D">
        <w:tc>
          <w:tcPr>
            <w:tcW w:w="4219" w:type="dxa"/>
            <w:vAlign w:val="center"/>
          </w:tcPr>
          <w:p w:rsidR="003F2036" w:rsidRPr="00AD1D5C" w:rsidRDefault="00AD1D5C" w:rsidP="00D51DA5">
            <w:pPr>
              <w:pStyle w:val="Heading3"/>
            </w:pPr>
            <w:r w:rsidRPr="00AD1D5C">
              <w:t>Steering Committee for the Review of Government Service Provision</w:t>
            </w:r>
          </w:p>
        </w:tc>
        <w:tc>
          <w:tcPr>
            <w:tcW w:w="5410" w:type="dxa"/>
          </w:tcPr>
          <w:p w:rsidR="007C464D" w:rsidRDefault="003F2036" w:rsidP="00055C47">
            <w:pPr>
              <w:spacing w:after="120" w:line="140" w:lineRule="atLeast"/>
              <w:jc w:val="right"/>
              <w:rPr>
                <w:rFonts w:ascii="Goudy Old Style" w:hAnsi="Goudy Old Style"/>
                <w:b/>
                <w:i/>
                <w:spacing w:val="26"/>
                <w:sz w:val="32"/>
              </w:rPr>
            </w:pPr>
            <w:r w:rsidRPr="004E5B13">
              <w:rPr>
                <w:rFonts w:ascii="Goudy Old Style" w:hAnsi="Goudy Old Style"/>
                <w:b/>
                <w:i/>
                <w:spacing w:val="26"/>
                <w:sz w:val="32"/>
              </w:rPr>
              <w:t xml:space="preserve">F a c t </w:t>
            </w:r>
            <w:r w:rsidR="00D51DA5">
              <w:rPr>
                <w:rFonts w:ascii="Goudy Old Style" w:hAnsi="Goudy Old Style"/>
                <w:b/>
                <w:i/>
                <w:spacing w:val="26"/>
                <w:sz w:val="32"/>
              </w:rPr>
              <w:t>s</w:t>
            </w:r>
            <w:r w:rsidRPr="004E5B13">
              <w:rPr>
                <w:rFonts w:ascii="Goudy Old Style" w:hAnsi="Goudy Old Style"/>
                <w:b/>
                <w:i/>
                <w:spacing w:val="26"/>
                <w:sz w:val="32"/>
              </w:rPr>
              <w:t xml:space="preserve"> h e e t</w:t>
            </w:r>
          </w:p>
          <w:p w:rsidR="00AD1D5C" w:rsidRPr="00BB1396" w:rsidRDefault="00AD1D5C" w:rsidP="00BB1396">
            <w:pPr>
              <w:jc w:val="right"/>
              <w:rPr>
                <w:rFonts w:ascii="Goudy Old Style" w:hAnsi="Goudy Old Style"/>
                <w:b/>
                <w:sz w:val="22"/>
                <w:szCs w:val="22"/>
              </w:rPr>
            </w:pPr>
          </w:p>
        </w:tc>
      </w:tr>
    </w:tbl>
    <w:p w:rsidR="00AA4208" w:rsidRPr="00AB1505" w:rsidRDefault="00AA4208" w:rsidP="00AB1505"/>
    <w:p w:rsidR="00F72FFA" w:rsidRPr="004E5B13" w:rsidRDefault="0013196B" w:rsidP="00AA4208">
      <w:pPr>
        <w:pStyle w:val="FS-text"/>
        <w:jc w:val="center"/>
      </w:pPr>
      <w:r>
        <w:t>Report on Government Services</w:t>
      </w:r>
      <w:r w:rsidR="00605EDD">
        <w:t xml:space="preserve"> 2013</w:t>
      </w:r>
      <w:r w:rsidR="00653A91">
        <w:t xml:space="preserve"> </w:t>
      </w:r>
      <w:r w:rsidR="00653A91">
        <w:rPr>
          <w:rFonts w:ascii="Cambria" w:hAnsi="Cambria"/>
        </w:rPr>
        <w:t>―</w:t>
      </w:r>
      <w:r w:rsidR="00653A91">
        <w:t xml:space="preserve"> Indigenous Compendium</w:t>
      </w:r>
    </w:p>
    <w:p w:rsidR="00F72FFA" w:rsidRPr="004E5B13" w:rsidRDefault="004F136C" w:rsidP="007C464D">
      <w:pPr>
        <w:pStyle w:val="FS-title"/>
      </w:pPr>
      <w:r>
        <w:t>Government</w:t>
      </w:r>
      <w:r w:rsidR="0013196B" w:rsidRPr="000F1733">
        <w:t xml:space="preserve"> s</w:t>
      </w:r>
      <w:r>
        <w:t>ervices and indigenous people</w:t>
      </w:r>
    </w:p>
    <w:p w:rsidR="004F136C" w:rsidRPr="00234B02" w:rsidRDefault="004F136C" w:rsidP="00B609BB">
      <w:pPr>
        <w:pStyle w:val="ListBullet"/>
        <w:rPr>
          <w:rFonts w:ascii="Goudy Old Style" w:hAnsi="Goudy Old Style"/>
        </w:rPr>
      </w:pPr>
      <w:r w:rsidRPr="00234B02">
        <w:rPr>
          <w:rFonts w:ascii="Goudy Old Style" w:hAnsi="Goudy Old Style"/>
        </w:rPr>
        <w:t xml:space="preserve">The performance of mainstream services </w:t>
      </w:r>
      <w:r w:rsidR="00B609BB" w:rsidRPr="00234B02">
        <w:rPr>
          <w:rFonts w:ascii="Goudy Old Style" w:hAnsi="Goudy Old Style"/>
        </w:rPr>
        <w:t>provided</w:t>
      </w:r>
      <w:r w:rsidRPr="00234B02">
        <w:rPr>
          <w:rFonts w:ascii="Goudy Old Style" w:hAnsi="Goudy Old Style"/>
        </w:rPr>
        <w:t xml:space="preserve"> to Indigenous Australians </w:t>
      </w:r>
      <w:r w:rsidR="00B609BB" w:rsidRPr="00234B02">
        <w:rPr>
          <w:rFonts w:ascii="Goudy Old Style" w:hAnsi="Goudy Old Style"/>
        </w:rPr>
        <w:t>i</w:t>
      </w:r>
      <w:r w:rsidRPr="00234B02">
        <w:rPr>
          <w:rFonts w:ascii="Goudy Old Style" w:hAnsi="Goudy Old Style"/>
        </w:rPr>
        <w:t xml:space="preserve">s a particular focus of the </w:t>
      </w:r>
      <w:r w:rsidR="00B609BB" w:rsidRPr="00234B02">
        <w:rPr>
          <w:rFonts w:ascii="Goudy Old Style" w:hAnsi="Goudy Old Style"/>
        </w:rPr>
        <w:t xml:space="preserve">annual </w:t>
      </w:r>
      <w:r w:rsidRPr="00234B02">
        <w:rPr>
          <w:rFonts w:ascii="Goudy Old Style" w:hAnsi="Goudy Old Style"/>
        </w:rPr>
        <w:t>Report</w:t>
      </w:r>
      <w:r w:rsidR="00B609BB" w:rsidRPr="00234B02">
        <w:rPr>
          <w:rFonts w:ascii="Goudy Old Style" w:hAnsi="Goudy Old Style"/>
        </w:rPr>
        <w:t xml:space="preserve"> on Government Services</w:t>
      </w:r>
      <w:r w:rsidRPr="00234B02">
        <w:rPr>
          <w:rFonts w:ascii="Goudy Old Style" w:hAnsi="Goudy Old Style"/>
        </w:rPr>
        <w:t xml:space="preserve">. This factsheet summarises key </w:t>
      </w:r>
      <w:r w:rsidR="00B609BB" w:rsidRPr="00234B02">
        <w:rPr>
          <w:rFonts w:ascii="Goudy Old Style" w:hAnsi="Goudy Old Style"/>
        </w:rPr>
        <w:t xml:space="preserve">information </w:t>
      </w:r>
      <w:r w:rsidRPr="00234B02">
        <w:rPr>
          <w:rFonts w:ascii="Goudy Old Style" w:hAnsi="Goudy Old Style"/>
        </w:rPr>
        <w:t>from the 201</w:t>
      </w:r>
      <w:r w:rsidR="00744F8E" w:rsidRPr="00234B02">
        <w:rPr>
          <w:rFonts w:ascii="Goudy Old Style" w:hAnsi="Goudy Old Style"/>
        </w:rPr>
        <w:t>3</w:t>
      </w:r>
      <w:r w:rsidRPr="00234B02">
        <w:rPr>
          <w:rFonts w:ascii="Goudy Old Style" w:hAnsi="Goudy Old Style"/>
        </w:rPr>
        <w:t> Report about the provision of mainstream services to Indigenous Australians</w:t>
      </w:r>
      <w:r w:rsidR="00B609BB" w:rsidRPr="00234B02">
        <w:rPr>
          <w:rFonts w:ascii="Goudy Old Style" w:hAnsi="Goudy Old Style"/>
        </w:rPr>
        <w:t xml:space="preserve"> — drawn from the Indigenous Compendium to the Report, released on Friday, 19 April 2013. </w:t>
      </w:r>
    </w:p>
    <w:p w:rsidR="00B609BB" w:rsidRPr="00234B02" w:rsidRDefault="00B609BB" w:rsidP="00B609BB">
      <w:pPr>
        <w:pStyle w:val="ListBullet"/>
        <w:rPr>
          <w:rFonts w:ascii="Goudy Old Style" w:hAnsi="Goudy Old Style"/>
        </w:rPr>
      </w:pPr>
      <w:r w:rsidRPr="00234B02">
        <w:rPr>
          <w:rFonts w:ascii="Goudy Old Style" w:hAnsi="Goudy Old Style"/>
        </w:rPr>
        <w:t>Several improvements in Indigenous reporting were made in t</w:t>
      </w:r>
      <w:r w:rsidR="0045454C" w:rsidRPr="00234B02">
        <w:rPr>
          <w:rFonts w:ascii="Goudy Old Style" w:hAnsi="Goudy Old Style"/>
        </w:rPr>
        <w:t>he 2013 Report</w:t>
      </w:r>
      <w:r w:rsidRPr="00234B02">
        <w:rPr>
          <w:rFonts w:ascii="Goudy Old Style" w:hAnsi="Goudy Old Style"/>
        </w:rPr>
        <w:t>:</w:t>
      </w:r>
    </w:p>
    <w:p w:rsidR="00B609BB" w:rsidRPr="00234B02" w:rsidRDefault="00EF320C" w:rsidP="00EF320C">
      <w:pPr>
        <w:pStyle w:val="FS-bulletlist"/>
      </w:pPr>
      <w:r w:rsidRPr="00234B02">
        <w:t xml:space="preserve">early </w:t>
      </w:r>
      <w:r w:rsidR="00B609BB" w:rsidRPr="00234B02">
        <w:t xml:space="preserve">childhood education and care — </w:t>
      </w:r>
      <w:r w:rsidR="0045454C" w:rsidRPr="00234B02">
        <w:t xml:space="preserve"> a new measure, the proportion of Indigenous children enrolled and attending preschool, under the indicator ‘Indigenous preschool enrolment and attendance’</w:t>
      </w:r>
    </w:p>
    <w:p w:rsidR="00B609BB" w:rsidRPr="00234B02" w:rsidRDefault="00EF320C" w:rsidP="00EF320C">
      <w:pPr>
        <w:pStyle w:val="FS-bulletlist"/>
      </w:pPr>
      <w:r w:rsidRPr="00234B02">
        <w:t>a</w:t>
      </w:r>
      <w:r w:rsidR="00B609BB" w:rsidRPr="00234B02">
        <w:t xml:space="preserve">ged care — </w:t>
      </w:r>
      <w:r w:rsidR="0045454C" w:rsidRPr="00234B02">
        <w:t>inclusion of additional data for the ‘elapsed times for aged care services’ indicator, by remoteness areas, socio-economic index for areas (SEIFA) and Indigenous status</w:t>
      </w:r>
    </w:p>
    <w:p w:rsidR="0045454C" w:rsidRPr="00234B02" w:rsidRDefault="00EF320C" w:rsidP="00EF320C">
      <w:pPr>
        <w:pStyle w:val="FS-bulletlist"/>
      </w:pPr>
      <w:r w:rsidRPr="00234B02">
        <w:t>h</w:t>
      </w:r>
      <w:r w:rsidR="00B609BB" w:rsidRPr="00234B02">
        <w:t>ousing — new</w:t>
      </w:r>
      <w:r w:rsidR="00E9730E" w:rsidRPr="00234B02">
        <w:t xml:space="preserve"> data for </w:t>
      </w:r>
      <w:r w:rsidR="00B609BB" w:rsidRPr="00234B02">
        <w:t xml:space="preserve">the ‘dwelling condition’ indicator for </w:t>
      </w:r>
      <w:r w:rsidR="00E9730E" w:rsidRPr="00234B02">
        <w:t>public housing, State owned and managed Indigenous housing (SOMIH) and community housing.</w:t>
      </w:r>
    </w:p>
    <w:p w:rsidR="0045454C" w:rsidRPr="00234B02" w:rsidRDefault="00B609BB">
      <w:pPr>
        <w:pStyle w:val="ListBullet"/>
        <w:rPr>
          <w:rFonts w:ascii="Goudy Old Style" w:hAnsi="Goudy Old Style"/>
        </w:rPr>
      </w:pPr>
      <w:r w:rsidRPr="00234B02">
        <w:rPr>
          <w:rFonts w:ascii="Goudy Old Style" w:hAnsi="Goudy Old Style"/>
        </w:rPr>
        <w:t xml:space="preserve">The Steering Committee recommends </w:t>
      </w:r>
      <w:r w:rsidR="0045454C" w:rsidRPr="00234B02">
        <w:rPr>
          <w:rFonts w:ascii="Goudy Old Style" w:hAnsi="Goudy Old Style"/>
        </w:rPr>
        <w:t>caution in interpreting data on services to Indigenous people. Indigenous people are not always identified in data collections, and surveys designed to report on the Australian population may not include sufficient numbers of Indigenous people to provide reliable data. The likelihood of Indigenous people being identified as Indigenous in both surveys and administrative data collections can vary in different situations and over time.</w:t>
      </w:r>
    </w:p>
    <w:p w:rsidR="004F136C" w:rsidRPr="00234B02" w:rsidRDefault="004F136C">
      <w:pPr>
        <w:pStyle w:val="ListBullet"/>
        <w:rPr>
          <w:rFonts w:ascii="Goudy Old Style" w:hAnsi="Goudy Old Style"/>
        </w:rPr>
      </w:pPr>
      <w:r w:rsidRPr="00234B02">
        <w:rPr>
          <w:rFonts w:ascii="Goudy Old Style" w:hAnsi="Goudy Old Style"/>
          <w:b/>
          <w:snapToGrid w:val="0"/>
          <w:lang w:eastAsia="en-US"/>
        </w:rPr>
        <w:t>Footnote:</w:t>
      </w:r>
      <w:r w:rsidRPr="00234B02">
        <w:rPr>
          <w:rFonts w:ascii="Goudy Old Style" w:hAnsi="Goudy Old Style"/>
          <w:snapToGrid w:val="0"/>
          <w:lang w:eastAsia="en-US"/>
        </w:rPr>
        <w:t xml:space="preserve"> </w:t>
      </w:r>
      <w:r w:rsidRPr="00234B02">
        <w:rPr>
          <w:rFonts w:ascii="Goudy Old Style" w:hAnsi="Goudy Old Style"/>
        </w:rPr>
        <w:t>Data and caveats for the f</w:t>
      </w:r>
      <w:r w:rsidR="00FD2238" w:rsidRPr="00234B02">
        <w:rPr>
          <w:rFonts w:ascii="Goudy Old Style" w:hAnsi="Goudy Old Style"/>
        </w:rPr>
        <w:t xml:space="preserve">ollowing figures are available </w:t>
      </w:r>
      <w:r w:rsidRPr="00234B02">
        <w:rPr>
          <w:rFonts w:ascii="Goudy Old Style" w:hAnsi="Goudy Old Style"/>
        </w:rPr>
        <w:t>electronically from the Review of Government Service P</w:t>
      </w:r>
      <w:r w:rsidR="00A87FED">
        <w:rPr>
          <w:rFonts w:ascii="Goudy Old Style" w:hAnsi="Goudy Old Style"/>
        </w:rPr>
        <w:t>rovision website (</w:t>
      </w:r>
      <w:r w:rsidR="006A19B8">
        <w:rPr>
          <w:rFonts w:ascii="Goudy Old Style" w:hAnsi="Goudy Old Style"/>
        </w:rPr>
        <w:t>http://</w:t>
      </w:r>
      <w:proofErr w:type="spellStart"/>
      <w:r w:rsidR="00A87FED">
        <w:rPr>
          <w:rFonts w:ascii="Goudy Old Style" w:hAnsi="Goudy Old Style"/>
        </w:rPr>
        <w:t>www.pc.gov.au</w:t>
      </w:r>
      <w:proofErr w:type="spellEnd"/>
      <w:r w:rsidR="00A87FED">
        <w:rPr>
          <w:rFonts w:ascii="Goudy Old Style" w:hAnsi="Goudy Old Style"/>
        </w:rPr>
        <w:t>/</w:t>
      </w:r>
      <w:proofErr w:type="spellStart"/>
      <w:r w:rsidR="00A87FED">
        <w:rPr>
          <w:rFonts w:ascii="Goudy Old Style" w:hAnsi="Goudy Old Style"/>
        </w:rPr>
        <w:t>gsp</w:t>
      </w:r>
      <w:proofErr w:type="spellEnd"/>
      <w:r w:rsidR="00A87FED">
        <w:rPr>
          <w:rFonts w:ascii="Goudy Old Style" w:hAnsi="Goudy Old Style"/>
        </w:rPr>
        <w:t>/</w:t>
      </w:r>
      <w:proofErr w:type="spellStart"/>
      <w:r w:rsidR="00A87FED">
        <w:rPr>
          <w:rFonts w:ascii="Goudy Old Style" w:hAnsi="Goudy Old Style"/>
        </w:rPr>
        <w:t>rogs</w:t>
      </w:r>
      <w:proofErr w:type="spellEnd"/>
      <w:r w:rsidR="00A87FED">
        <w:rPr>
          <w:rFonts w:ascii="Goudy Old Style" w:hAnsi="Goudy Old Style"/>
        </w:rPr>
        <w:t>/2013)</w:t>
      </w:r>
      <w:r w:rsidRPr="00234B02">
        <w:rPr>
          <w:rFonts w:ascii="Goudy Old Style" w:hAnsi="Goudy Old Style"/>
        </w:rPr>
        <w:t>. Data may be subject to revision. The most recent data will be available on the Review website.</w:t>
      </w:r>
    </w:p>
    <w:p w:rsidR="004F136C" w:rsidRPr="004F136C" w:rsidRDefault="004F136C">
      <w:pPr>
        <w:rPr>
          <w:rFonts w:ascii="Goudy Old Style" w:hAnsi="Goudy Old Style"/>
          <w:b/>
          <w:sz w:val="24"/>
          <w:highlight w:val="yellow"/>
        </w:rPr>
      </w:pPr>
      <w:r w:rsidRPr="004F136C">
        <w:rPr>
          <w:highlight w:val="yellow"/>
        </w:rPr>
        <w:br w:type="page"/>
      </w:r>
    </w:p>
    <w:p w:rsidR="004F136C" w:rsidRPr="0065534E" w:rsidRDefault="004F136C" w:rsidP="004F136C">
      <w:pPr>
        <w:pStyle w:val="FS-heading2"/>
        <w:rPr>
          <w:sz w:val="28"/>
          <w:szCs w:val="28"/>
        </w:rPr>
      </w:pPr>
      <w:r w:rsidRPr="0065534E">
        <w:rPr>
          <w:sz w:val="28"/>
          <w:szCs w:val="28"/>
        </w:rPr>
        <w:lastRenderedPageBreak/>
        <w:t>Selection of results</w:t>
      </w:r>
    </w:p>
    <w:tbl>
      <w:tblPr>
        <w:tblpPr w:leftFromText="181" w:rightFromText="181" w:topFromText="284" w:vertAnchor="text" w:tblpXSpec="right" w:tblpY="171"/>
        <w:tblOverlap w:val="never"/>
        <w:tblW w:w="0" w:type="auto"/>
        <w:tblLayout w:type="fixed"/>
        <w:tblCellMar>
          <w:left w:w="0" w:type="dxa"/>
          <w:right w:w="0" w:type="dxa"/>
        </w:tblCellMar>
        <w:tblLook w:val="0000" w:firstRow="0" w:lastRow="0" w:firstColumn="0" w:lastColumn="0" w:noHBand="0" w:noVBand="0"/>
      </w:tblPr>
      <w:tblGrid>
        <w:gridCol w:w="4722"/>
      </w:tblGrid>
      <w:tr w:rsidR="009F534A" w:rsidRPr="009F534A" w:rsidTr="00212C93">
        <w:trPr>
          <w:trHeight w:val="541"/>
        </w:trPr>
        <w:tc>
          <w:tcPr>
            <w:tcW w:w="4722" w:type="dxa"/>
            <w:tcBorders>
              <w:bottom w:val="single" w:sz="4" w:space="0" w:color="auto"/>
            </w:tcBorders>
          </w:tcPr>
          <w:p w:rsidR="004F136C" w:rsidRPr="009F534A" w:rsidRDefault="004F136C" w:rsidP="00212C93">
            <w:pPr>
              <w:numPr>
                <w:ilvl w:val="12"/>
                <w:numId w:val="0"/>
              </w:numPr>
              <w:rPr>
                <w:rFonts w:ascii="Goudy Old Style" w:hAnsi="Goudy Old Style"/>
                <w:sz w:val="20"/>
              </w:rPr>
            </w:pPr>
            <w:r w:rsidRPr="009F534A">
              <w:rPr>
                <w:rFonts w:ascii="Goudy Old Style" w:hAnsi="Goudy Old Style"/>
                <w:sz w:val="20"/>
              </w:rPr>
              <w:br w:type="page"/>
            </w:r>
            <w:r w:rsidRPr="009F534A">
              <w:rPr>
                <w:rFonts w:ascii="Goudy Old Style" w:hAnsi="Goudy Old Style"/>
                <w:sz w:val="20"/>
              </w:rPr>
              <w:br w:type="page"/>
            </w:r>
            <w:r w:rsidRPr="009F534A">
              <w:rPr>
                <w:rFonts w:ascii="Goudy Old Style" w:hAnsi="Goudy Old Style"/>
                <w:b/>
                <w:sz w:val="20"/>
              </w:rPr>
              <w:t>Apparen</w:t>
            </w:r>
            <w:r w:rsidR="00403D98">
              <w:rPr>
                <w:rFonts w:ascii="Goudy Old Style" w:hAnsi="Goudy Old Style"/>
                <w:b/>
                <w:sz w:val="20"/>
              </w:rPr>
              <w:t>t rates of retention from year 10 to year 12</w:t>
            </w:r>
            <w:r w:rsidRPr="009F534A">
              <w:rPr>
                <w:rFonts w:ascii="Goudy Old Style" w:hAnsi="Goudy Old Style"/>
                <w:b/>
                <w:sz w:val="20"/>
              </w:rPr>
              <w:t>, full time secon</w:t>
            </w:r>
            <w:r w:rsidR="00403D98">
              <w:rPr>
                <w:rFonts w:ascii="Goudy Old Style" w:hAnsi="Goudy Old Style"/>
                <w:b/>
                <w:sz w:val="20"/>
              </w:rPr>
              <w:t>dary students</w:t>
            </w:r>
            <w:r w:rsidRPr="009F534A">
              <w:rPr>
                <w:rFonts w:ascii="Goudy Old Style" w:hAnsi="Goudy Old Style"/>
                <w:b/>
                <w:sz w:val="20"/>
              </w:rPr>
              <w:t>, 201</w:t>
            </w:r>
            <w:r w:rsidR="00CE4A9D" w:rsidRPr="009F534A">
              <w:rPr>
                <w:rFonts w:ascii="Goudy Old Style" w:hAnsi="Goudy Old Style"/>
                <w:b/>
                <w:sz w:val="20"/>
              </w:rPr>
              <w:t>1</w:t>
            </w:r>
            <w:r w:rsidRPr="009F534A">
              <w:rPr>
                <w:rFonts w:ascii="Goudy Old Style" w:hAnsi="Goudy Old Style"/>
                <w:b/>
                <w:bCs/>
                <w:position w:val="6"/>
                <w:sz w:val="20"/>
              </w:rPr>
              <w:t>a</w:t>
            </w:r>
          </w:p>
        </w:tc>
      </w:tr>
      <w:tr w:rsidR="004F136C" w:rsidRPr="00CE4A9D" w:rsidTr="003B7019">
        <w:tblPrEx>
          <w:tblCellMar>
            <w:left w:w="108" w:type="dxa"/>
            <w:right w:w="108" w:type="dxa"/>
          </w:tblCellMar>
        </w:tblPrEx>
        <w:trPr>
          <w:trHeight w:val="3306"/>
        </w:trPr>
        <w:tc>
          <w:tcPr>
            <w:tcW w:w="4722" w:type="dxa"/>
            <w:tcBorders>
              <w:top w:val="single" w:sz="4" w:space="0" w:color="auto"/>
              <w:bottom w:val="single" w:sz="4" w:space="0" w:color="auto"/>
            </w:tcBorders>
          </w:tcPr>
          <w:p w:rsidR="004F136C" w:rsidRPr="00CE4A9D" w:rsidRDefault="003B7019" w:rsidP="00212C93">
            <w:pPr>
              <w:numPr>
                <w:ilvl w:val="12"/>
                <w:numId w:val="0"/>
              </w:numPr>
              <w:jc w:val="center"/>
              <w:rPr>
                <w:rFonts w:ascii="Goudy Old Style" w:hAnsi="Goudy Old Style"/>
                <w:color w:val="0000FF"/>
                <w:sz w:val="20"/>
              </w:rPr>
            </w:pPr>
            <w:r>
              <w:rPr>
                <w:noProof/>
              </w:rPr>
              <w:drawing>
                <wp:inline distT="0" distB="0" distL="0" distR="0" wp14:anchorId="1DC4185A" wp14:editId="06E7016D">
                  <wp:extent cx="2808195" cy="2068560"/>
                  <wp:effectExtent l="0" t="0" r="0" b="8255"/>
                  <wp:docPr id="6" name="Chart 6" descr="Figure: Apparent rates of retention from year 10 to year 12, full time secondary students, 2011&#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4F136C" w:rsidRPr="004F136C" w:rsidTr="00212C93">
        <w:trPr>
          <w:trHeight w:val="222"/>
        </w:trPr>
        <w:tc>
          <w:tcPr>
            <w:tcW w:w="4722" w:type="dxa"/>
            <w:tcBorders>
              <w:top w:val="single" w:sz="4" w:space="0" w:color="auto"/>
            </w:tcBorders>
          </w:tcPr>
          <w:p w:rsidR="004F136C" w:rsidRPr="004F136C" w:rsidRDefault="004F136C" w:rsidP="00212C93">
            <w:pPr>
              <w:numPr>
                <w:ilvl w:val="12"/>
                <w:numId w:val="0"/>
              </w:numPr>
              <w:jc w:val="both"/>
              <w:rPr>
                <w:rFonts w:ascii="Goudy Old Style" w:hAnsi="Goudy Old Style"/>
                <w:sz w:val="16"/>
                <w:szCs w:val="16"/>
                <w:highlight w:val="yellow"/>
              </w:rPr>
            </w:pPr>
            <w:r w:rsidRPr="00CE4A9D">
              <w:rPr>
                <w:rFonts w:ascii="Goudy Old Style" w:hAnsi="Goudy Old Style"/>
                <w:sz w:val="16"/>
                <w:szCs w:val="16"/>
              </w:rPr>
              <w:t>See first page for footnote.</w:t>
            </w:r>
          </w:p>
        </w:tc>
      </w:tr>
    </w:tbl>
    <w:tbl>
      <w:tblPr>
        <w:tblpPr w:leftFromText="181" w:rightFromText="181" w:topFromText="255" w:vertAnchor="text" w:horzAnchor="margin" w:tblpXSpec="right" w:tblpY="4537"/>
        <w:tblOverlap w:val="neve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2"/>
      </w:tblGrid>
      <w:tr w:rsidR="004F136C" w:rsidRPr="004F136C" w:rsidTr="005823E5">
        <w:trPr>
          <w:trHeight w:val="540"/>
        </w:trPr>
        <w:tc>
          <w:tcPr>
            <w:tcW w:w="4682" w:type="dxa"/>
          </w:tcPr>
          <w:p w:rsidR="005D5E43" w:rsidRPr="00122215" w:rsidRDefault="005D5E43" w:rsidP="005D5E43">
            <w:pPr>
              <w:rPr>
                <w:rFonts w:ascii="Goudy Old Style" w:hAnsi="Goudy Old Style"/>
              </w:rPr>
            </w:pPr>
          </w:p>
          <w:p w:rsidR="005D5E43" w:rsidRDefault="005D5E43" w:rsidP="005D5E43">
            <w:pPr>
              <w:rPr>
                <w:rFonts w:ascii="Goudy Old Style" w:hAnsi="Goudy Old Style"/>
              </w:rPr>
            </w:pPr>
          </w:p>
          <w:p w:rsidR="0065534E" w:rsidRPr="00122215" w:rsidRDefault="0065534E" w:rsidP="005D5E43">
            <w:pPr>
              <w:rPr>
                <w:rFonts w:ascii="Goudy Old Style" w:hAnsi="Goudy Old Style"/>
              </w:rPr>
            </w:pPr>
          </w:p>
          <w:p w:rsidR="004F136C" w:rsidRPr="004F136C" w:rsidRDefault="004F136C" w:rsidP="005823E5">
            <w:pPr>
              <w:numPr>
                <w:ilvl w:val="12"/>
                <w:numId w:val="0"/>
              </w:numPr>
              <w:rPr>
                <w:rFonts w:ascii="Goudy Old Style" w:hAnsi="Goudy Old Style"/>
                <w:sz w:val="20"/>
                <w:highlight w:val="yellow"/>
              </w:rPr>
            </w:pPr>
            <w:r w:rsidRPr="003F32F8">
              <w:rPr>
                <w:rFonts w:ascii="Goudy Old Style" w:hAnsi="Goudy Old Style"/>
                <w:b/>
                <w:sz w:val="20"/>
              </w:rPr>
              <w:t>Proportion of Indigenous police staff in 201</w:t>
            </w:r>
            <w:r w:rsidR="003F32F8" w:rsidRPr="003F32F8">
              <w:rPr>
                <w:rFonts w:ascii="Goudy Old Style" w:hAnsi="Goudy Old Style"/>
                <w:b/>
                <w:sz w:val="20"/>
              </w:rPr>
              <w:t>1</w:t>
            </w:r>
            <w:r w:rsidR="00E926D4" w:rsidRPr="003F32F8">
              <w:rPr>
                <w:rFonts w:ascii="Goudy Old Style" w:hAnsi="Goudy Old Style"/>
                <w:b/>
                <w:sz w:val="20"/>
              </w:rPr>
              <w:t>-1</w:t>
            </w:r>
            <w:r w:rsidR="003F32F8" w:rsidRPr="003F32F8">
              <w:rPr>
                <w:rFonts w:ascii="Goudy Old Style" w:hAnsi="Goudy Old Style"/>
                <w:b/>
                <w:sz w:val="20"/>
              </w:rPr>
              <w:t>2</w:t>
            </w:r>
            <w:r w:rsidR="00E926D4" w:rsidRPr="003F32F8">
              <w:rPr>
                <w:rFonts w:ascii="Goudy Old Style" w:hAnsi="Goudy Old Style"/>
                <w:b/>
                <w:sz w:val="20"/>
              </w:rPr>
              <w:t xml:space="preserve"> and Indigenous population </w:t>
            </w:r>
            <w:r w:rsidRPr="003F32F8">
              <w:rPr>
                <w:rFonts w:ascii="Goudy Old Style" w:hAnsi="Goudy Old Style"/>
                <w:b/>
                <w:sz w:val="20"/>
              </w:rPr>
              <w:t>aged 20–64 years</w:t>
            </w:r>
            <w:r w:rsidRPr="003F32F8">
              <w:rPr>
                <w:rFonts w:ascii="Goudy Old Style" w:hAnsi="Goudy Old Style"/>
                <w:b/>
                <w:bCs/>
                <w:position w:val="6"/>
                <w:sz w:val="20"/>
              </w:rPr>
              <w:t>a</w:t>
            </w:r>
          </w:p>
        </w:tc>
      </w:tr>
      <w:tr w:rsidR="004F136C" w:rsidRPr="004F136C" w:rsidTr="005823E5">
        <w:tblPrEx>
          <w:tblCellMar>
            <w:left w:w="108" w:type="dxa"/>
            <w:right w:w="108" w:type="dxa"/>
          </w:tblCellMar>
        </w:tblPrEx>
        <w:trPr>
          <w:cantSplit/>
          <w:trHeight w:val="3020"/>
        </w:trPr>
        <w:tc>
          <w:tcPr>
            <w:tcW w:w="4682" w:type="dxa"/>
          </w:tcPr>
          <w:p w:rsidR="004F136C" w:rsidRPr="004F136C" w:rsidRDefault="00F64C52" w:rsidP="005823E5">
            <w:pPr>
              <w:numPr>
                <w:ilvl w:val="12"/>
                <w:numId w:val="0"/>
              </w:numPr>
              <w:jc w:val="center"/>
              <w:rPr>
                <w:rFonts w:ascii="Goudy Old Style" w:hAnsi="Goudy Old Style"/>
                <w:highlight w:val="yellow"/>
              </w:rPr>
            </w:pPr>
            <w:r>
              <w:rPr>
                <w:noProof/>
              </w:rPr>
              <w:drawing>
                <wp:inline distT="0" distB="0" distL="0" distR="0" wp14:anchorId="17F4B2E6" wp14:editId="217FD5B5">
                  <wp:extent cx="2846567" cy="2162755"/>
                  <wp:effectExtent l="0" t="0" r="0" b="0"/>
                  <wp:docPr id="18" name="Chart 18" descr="Figure: Proportion of Indigenous police staff in 2011-12 and Indigenous population aged 20-64 years&#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4F136C" w:rsidRPr="004F136C" w:rsidTr="005823E5">
        <w:trPr>
          <w:trHeight w:val="289"/>
        </w:trPr>
        <w:tc>
          <w:tcPr>
            <w:tcW w:w="4682" w:type="dxa"/>
          </w:tcPr>
          <w:p w:rsidR="004F136C" w:rsidRPr="004F136C" w:rsidRDefault="004F136C" w:rsidP="005823E5">
            <w:pPr>
              <w:numPr>
                <w:ilvl w:val="12"/>
                <w:numId w:val="0"/>
              </w:numPr>
              <w:jc w:val="both"/>
              <w:rPr>
                <w:rFonts w:ascii="Goudy Old Style" w:hAnsi="Goudy Old Style"/>
                <w:sz w:val="16"/>
                <w:szCs w:val="16"/>
                <w:highlight w:val="yellow"/>
              </w:rPr>
            </w:pPr>
            <w:r w:rsidRPr="003F32F8">
              <w:rPr>
                <w:rFonts w:ascii="Goudy Old Style" w:hAnsi="Goudy Old Style"/>
                <w:sz w:val="16"/>
                <w:szCs w:val="16"/>
              </w:rPr>
              <w:t>See first page for footnote.</w:t>
            </w:r>
          </w:p>
        </w:tc>
      </w:tr>
    </w:tbl>
    <w:p w:rsidR="004F136C" w:rsidRDefault="004F136C" w:rsidP="007430BF">
      <w:pPr>
        <w:spacing w:before="120" w:after="120" w:line="240" w:lineRule="atLeast"/>
        <w:ind w:right="51"/>
        <w:jc w:val="both"/>
        <w:rPr>
          <w:rFonts w:ascii="Goudy Old Style" w:hAnsi="Goudy Old Style"/>
          <w:bCs/>
          <w:sz w:val="24"/>
          <w:szCs w:val="24"/>
        </w:rPr>
      </w:pPr>
      <w:r w:rsidRPr="00041FE6">
        <w:rPr>
          <w:rFonts w:ascii="Goudy Old Style" w:hAnsi="Goudy Old Style" w:cs="GoudyOlSt BT"/>
          <w:b/>
          <w:bCs/>
          <w:sz w:val="24"/>
          <w:szCs w:val="24"/>
        </w:rPr>
        <w:t>School education:</w:t>
      </w:r>
      <w:r w:rsidRPr="00041FE6">
        <w:rPr>
          <w:rFonts w:ascii="Goudy Old Style" w:hAnsi="Goudy Old Style" w:cs="GoudyOlSt BT"/>
          <w:bCs/>
          <w:sz w:val="24"/>
          <w:szCs w:val="24"/>
        </w:rPr>
        <w:t xml:space="preserve"> </w:t>
      </w:r>
      <w:r w:rsidR="00403D98">
        <w:rPr>
          <w:rFonts w:ascii="Goudy Old Style" w:hAnsi="Goudy Old Style"/>
          <w:sz w:val="24"/>
          <w:szCs w:val="24"/>
        </w:rPr>
        <w:t xml:space="preserve">The national apparent retention rate </w:t>
      </w:r>
      <w:r w:rsidR="005C2068">
        <w:rPr>
          <w:rFonts w:ascii="Goudy Old Style" w:hAnsi="Goudy Old Style"/>
          <w:sz w:val="24"/>
          <w:szCs w:val="24"/>
        </w:rPr>
        <w:t xml:space="preserve">for all schools </w:t>
      </w:r>
      <w:r w:rsidR="00403D98">
        <w:rPr>
          <w:rFonts w:ascii="Goudy Old Style" w:hAnsi="Goudy Old Style"/>
          <w:sz w:val="24"/>
          <w:szCs w:val="24"/>
        </w:rPr>
        <w:t>from year 10 to year 12 for Indigenous students was 53.5 per cent, compared with 79.5 per cent for all students, in 2011</w:t>
      </w:r>
      <w:r w:rsidR="005C2068">
        <w:rPr>
          <w:rFonts w:ascii="Goudy Old Style" w:hAnsi="Goudy Old Style"/>
          <w:sz w:val="24"/>
          <w:szCs w:val="24"/>
        </w:rPr>
        <w:t>.</w:t>
      </w:r>
      <w:r w:rsidR="00403D98">
        <w:rPr>
          <w:rFonts w:ascii="Goudy Old Style" w:hAnsi="Goudy Old Style"/>
          <w:sz w:val="24"/>
          <w:szCs w:val="24"/>
        </w:rPr>
        <w:t xml:space="preserve"> However, Indigenous </w:t>
      </w:r>
      <w:r w:rsidR="005C2068">
        <w:rPr>
          <w:rFonts w:ascii="Goudy Old Style" w:hAnsi="Goudy Old Style"/>
          <w:sz w:val="24"/>
          <w:szCs w:val="24"/>
        </w:rPr>
        <w:t xml:space="preserve">students’ </w:t>
      </w:r>
      <w:r w:rsidR="00403D98">
        <w:rPr>
          <w:rFonts w:ascii="Goudy Old Style" w:hAnsi="Goudy Old Style"/>
          <w:sz w:val="24"/>
          <w:szCs w:val="24"/>
        </w:rPr>
        <w:t>apparent retention rates from year 10 to year 12 for all schools has risen from 45.7 per cent in 2003 to 53.5 per cent in 2011, with the gap betw</w:t>
      </w:r>
      <w:r w:rsidR="00A852AE">
        <w:rPr>
          <w:rFonts w:ascii="Goudy Old Style" w:hAnsi="Goudy Old Style"/>
          <w:sz w:val="24"/>
          <w:szCs w:val="24"/>
        </w:rPr>
        <w:t>een Indigenous students and non</w:t>
      </w:r>
      <w:r w:rsidR="00A852AE">
        <w:rPr>
          <w:rFonts w:ascii="Goudy Old Style" w:hAnsi="Goudy Old Style"/>
          <w:sz w:val="24"/>
          <w:szCs w:val="24"/>
        </w:rPr>
        <w:noBreakHyphen/>
      </w:r>
      <w:r w:rsidR="00403D98">
        <w:rPr>
          <w:rFonts w:ascii="Goudy Old Style" w:hAnsi="Goudy Old Style"/>
          <w:sz w:val="24"/>
          <w:szCs w:val="24"/>
        </w:rPr>
        <w:t>Indigenous students decreasing from 32.0 pe</w:t>
      </w:r>
      <w:r w:rsidR="00A852AE">
        <w:rPr>
          <w:rFonts w:ascii="Goudy Old Style" w:hAnsi="Goudy Old Style"/>
          <w:sz w:val="24"/>
          <w:szCs w:val="24"/>
        </w:rPr>
        <w:t>rcentage points in 2003 to 27.1 </w:t>
      </w:r>
      <w:r w:rsidR="00403D98">
        <w:rPr>
          <w:rFonts w:ascii="Goudy Old Style" w:hAnsi="Goudy Old Style"/>
          <w:sz w:val="24"/>
          <w:szCs w:val="24"/>
        </w:rPr>
        <w:t>percentage points in 2011.</w:t>
      </w:r>
      <w:r w:rsidR="00403D98">
        <w:rPr>
          <w:rFonts w:ascii="Goudy Old Style" w:hAnsi="Goudy Old Style"/>
          <w:b/>
          <w:bCs/>
          <w:sz w:val="24"/>
          <w:szCs w:val="24"/>
        </w:rPr>
        <w:t xml:space="preserve"> (2013 Report, pp. 4.28–30; 2013</w:t>
      </w:r>
      <w:r w:rsidR="0049708C">
        <w:rPr>
          <w:rFonts w:ascii="Goudy Old Style" w:hAnsi="Goudy Old Style"/>
          <w:b/>
          <w:bCs/>
          <w:sz w:val="24"/>
          <w:szCs w:val="24"/>
        </w:rPr>
        <w:t> </w:t>
      </w:r>
      <w:r w:rsidR="00403D98">
        <w:rPr>
          <w:rFonts w:ascii="Goudy Old Style" w:hAnsi="Goudy Old Style"/>
          <w:b/>
          <w:bCs/>
          <w:sz w:val="24"/>
          <w:szCs w:val="24"/>
        </w:rPr>
        <w:t xml:space="preserve">IC, </w:t>
      </w:r>
      <w:r w:rsidR="00A852AE" w:rsidRPr="0065534E">
        <w:rPr>
          <w:rFonts w:ascii="Goudy Old Style" w:hAnsi="Goudy Old Style"/>
          <w:b/>
          <w:bCs/>
          <w:sz w:val="24"/>
          <w:szCs w:val="24"/>
        </w:rPr>
        <w:t>pp. </w:t>
      </w:r>
      <w:r w:rsidR="0049708C" w:rsidRPr="0065534E">
        <w:rPr>
          <w:rFonts w:ascii="Goudy Old Style" w:hAnsi="Goudy Old Style"/>
          <w:b/>
          <w:bCs/>
          <w:sz w:val="24"/>
          <w:szCs w:val="24"/>
        </w:rPr>
        <w:t>4.9</w:t>
      </w:r>
      <w:r w:rsidR="00A852AE" w:rsidRPr="0065534E">
        <w:rPr>
          <w:rFonts w:ascii="Goudy Old Style" w:hAnsi="Goudy Old Style"/>
          <w:b/>
          <w:bCs/>
          <w:sz w:val="24"/>
          <w:szCs w:val="24"/>
        </w:rPr>
        <w:noBreakHyphen/>
      </w:r>
      <w:r w:rsidR="0049708C" w:rsidRPr="0065534E">
        <w:rPr>
          <w:rFonts w:ascii="Goudy Old Style" w:hAnsi="Goudy Old Style"/>
          <w:b/>
          <w:bCs/>
          <w:sz w:val="24"/>
          <w:szCs w:val="24"/>
        </w:rPr>
        <w:t>13</w:t>
      </w:r>
      <w:r w:rsidR="00403D98">
        <w:rPr>
          <w:rFonts w:ascii="Goudy Old Style" w:hAnsi="Goudy Old Style"/>
          <w:b/>
          <w:bCs/>
          <w:sz w:val="24"/>
          <w:szCs w:val="24"/>
        </w:rPr>
        <w:t>).</w:t>
      </w:r>
      <w:r w:rsidR="005C2068">
        <w:rPr>
          <w:rFonts w:ascii="Goudy Old Style" w:hAnsi="Goudy Old Style"/>
          <w:b/>
          <w:bCs/>
          <w:sz w:val="24"/>
          <w:szCs w:val="24"/>
        </w:rPr>
        <w:t xml:space="preserve"> </w:t>
      </w:r>
      <w:r w:rsidR="005C2068" w:rsidRPr="005C2068">
        <w:rPr>
          <w:rFonts w:ascii="Goudy Old Style" w:hAnsi="Goudy Old Style"/>
          <w:bCs/>
          <w:sz w:val="24"/>
          <w:szCs w:val="24"/>
        </w:rPr>
        <w:t xml:space="preserve">Other school education data such as learning outcomes </w:t>
      </w:r>
      <w:r w:rsidR="00DC38C2">
        <w:rPr>
          <w:rFonts w:ascii="Goudy Old Style" w:hAnsi="Goudy Old Style"/>
          <w:b/>
          <w:bCs/>
          <w:sz w:val="24"/>
          <w:szCs w:val="24"/>
        </w:rPr>
        <w:t xml:space="preserve">(2013 Report, </w:t>
      </w:r>
      <w:r w:rsidR="00DC38C2">
        <w:rPr>
          <w:rFonts w:ascii="Goudy Old Style" w:hAnsi="Goudy Old Style"/>
          <w:b/>
          <w:bCs/>
          <w:sz w:val="24"/>
          <w:szCs w:val="24"/>
        </w:rPr>
        <w:br/>
      </w:r>
      <w:r w:rsidR="0049708C" w:rsidRPr="007430BF">
        <w:rPr>
          <w:rFonts w:ascii="Goudy Old Style" w:hAnsi="Goudy Old Style"/>
          <w:b/>
          <w:bCs/>
          <w:sz w:val="24"/>
          <w:szCs w:val="24"/>
        </w:rPr>
        <w:t>pp.</w:t>
      </w:r>
      <w:r w:rsidR="0049708C">
        <w:rPr>
          <w:rFonts w:ascii="Goudy Old Style" w:hAnsi="Goudy Old Style"/>
          <w:b/>
          <w:bCs/>
          <w:sz w:val="24"/>
          <w:szCs w:val="24"/>
        </w:rPr>
        <w:t> </w:t>
      </w:r>
      <w:r w:rsidR="005C2068" w:rsidRPr="0065534E">
        <w:rPr>
          <w:rFonts w:ascii="Goudy Old Style" w:hAnsi="Goudy Old Style"/>
          <w:b/>
          <w:bCs/>
          <w:sz w:val="24"/>
          <w:szCs w:val="24"/>
        </w:rPr>
        <w:t>4.45–77</w:t>
      </w:r>
      <w:r w:rsidR="0049708C">
        <w:rPr>
          <w:rFonts w:ascii="Goudy Old Style" w:hAnsi="Goudy Old Style"/>
          <w:b/>
          <w:bCs/>
          <w:sz w:val="24"/>
          <w:szCs w:val="24"/>
        </w:rPr>
        <w:t>; 2013 IC pp. </w:t>
      </w:r>
      <w:r w:rsidR="00DC38C2">
        <w:rPr>
          <w:rFonts w:ascii="Goudy Old Style" w:hAnsi="Goudy Old Style"/>
          <w:b/>
          <w:bCs/>
          <w:sz w:val="24"/>
          <w:szCs w:val="24"/>
        </w:rPr>
        <w:t>4.13</w:t>
      </w:r>
      <w:r w:rsidR="00DC38C2">
        <w:rPr>
          <w:rFonts w:ascii="Cambria" w:hAnsi="Cambria"/>
          <w:b/>
          <w:bCs/>
          <w:sz w:val="24"/>
          <w:szCs w:val="24"/>
        </w:rPr>
        <w:t>–</w:t>
      </w:r>
      <w:r w:rsidR="00DC38C2">
        <w:rPr>
          <w:rFonts w:ascii="Goudy Old Style" w:hAnsi="Goudy Old Style"/>
          <w:b/>
          <w:bCs/>
          <w:sz w:val="24"/>
          <w:szCs w:val="24"/>
        </w:rPr>
        <w:t>43</w:t>
      </w:r>
      <w:r w:rsidR="005C2068" w:rsidRPr="0065534E">
        <w:rPr>
          <w:rFonts w:ascii="Goudy Old Style" w:hAnsi="Goudy Old Style"/>
          <w:b/>
          <w:bCs/>
          <w:sz w:val="24"/>
          <w:szCs w:val="24"/>
        </w:rPr>
        <w:t>)</w:t>
      </w:r>
      <w:r w:rsidR="005C2068">
        <w:rPr>
          <w:rFonts w:ascii="Goudy Old Style" w:hAnsi="Goudy Old Style"/>
          <w:bCs/>
          <w:sz w:val="24"/>
          <w:szCs w:val="24"/>
        </w:rPr>
        <w:t xml:space="preserve"> are also reported by Indigenous status.</w:t>
      </w:r>
    </w:p>
    <w:p w:rsidR="0065534E" w:rsidRPr="005C2068" w:rsidRDefault="0065534E" w:rsidP="007430BF">
      <w:pPr>
        <w:spacing w:before="120" w:after="120" w:line="240" w:lineRule="atLeast"/>
        <w:ind w:right="51"/>
        <w:jc w:val="both"/>
        <w:rPr>
          <w:rFonts w:ascii="Goudy Old Style" w:hAnsi="Goudy Old Style" w:cs="GoudyOlSt BT"/>
          <w:bCs/>
          <w:sz w:val="24"/>
          <w:szCs w:val="24"/>
          <w:highlight w:val="yellow"/>
        </w:rPr>
      </w:pPr>
    </w:p>
    <w:p w:rsidR="004F136C" w:rsidRPr="004F136C" w:rsidRDefault="004F136C" w:rsidP="00CA3D9E">
      <w:pPr>
        <w:spacing w:before="120" w:after="120" w:line="240" w:lineRule="atLeast"/>
        <w:ind w:right="51"/>
        <w:jc w:val="both"/>
        <w:rPr>
          <w:rFonts w:ascii="Goudy Old Style" w:hAnsi="Goudy Old Style" w:cs="GoudyOlSt BT"/>
          <w:b/>
          <w:bCs/>
          <w:sz w:val="24"/>
          <w:szCs w:val="24"/>
          <w:highlight w:val="yellow"/>
        </w:rPr>
      </w:pPr>
      <w:r w:rsidRPr="00DA7594">
        <w:rPr>
          <w:rFonts w:ascii="Goudy Old Style" w:hAnsi="Goudy Old Style" w:cs="GoudyOlSt BT"/>
          <w:b/>
          <w:bCs/>
          <w:sz w:val="24"/>
          <w:szCs w:val="24"/>
        </w:rPr>
        <w:t>Police services:</w:t>
      </w:r>
      <w:r w:rsidRPr="00DA7594">
        <w:rPr>
          <w:rFonts w:ascii="Goudy Old Style" w:hAnsi="Goudy Old Style" w:cs="GoudyOlSt BT"/>
          <w:bCs/>
          <w:sz w:val="24"/>
          <w:szCs w:val="24"/>
        </w:rPr>
        <w:t xml:space="preserve"> The proportion of police staff who self-reported as Indigenous in 201</w:t>
      </w:r>
      <w:r w:rsidR="00DA7594" w:rsidRPr="00DA7594">
        <w:rPr>
          <w:rFonts w:ascii="Goudy Old Style" w:hAnsi="Goudy Old Style" w:cs="GoudyOlSt BT"/>
          <w:bCs/>
          <w:sz w:val="24"/>
          <w:szCs w:val="24"/>
        </w:rPr>
        <w:t>1-12</w:t>
      </w:r>
      <w:r w:rsidRPr="00DA7594">
        <w:rPr>
          <w:rFonts w:ascii="Goudy Old Style" w:hAnsi="Goudy Old Style" w:cs="GoudyOlSt BT"/>
          <w:bCs/>
          <w:sz w:val="24"/>
          <w:szCs w:val="24"/>
        </w:rPr>
        <w:t xml:space="preserve"> was similar to the representation of Indigenous people in the population aged </w:t>
      </w:r>
      <w:r w:rsidR="00DC38C2">
        <w:rPr>
          <w:rFonts w:ascii="Goudy Old Style" w:hAnsi="Goudy Old Style" w:cs="GoudyOlSt BT"/>
          <w:bCs/>
          <w:sz w:val="24"/>
          <w:szCs w:val="24"/>
        </w:rPr>
        <w:br/>
      </w:r>
      <w:r w:rsidRPr="00DA7594">
        <w:rPr>
          <w:rFonts w:ascii="Goudy Old Style" w:hAnsi="Goudy Old Style" w:cs="GoudyOlSt BT"/>
          <w:bCs/>
          <w:sz w:val="24"/>
          <w:szCs w:val="24"/>
        </w:rPr>
        <w:t>20</w:t>
      </w:r>
      <w:r w:rsidR="00DC38C2">
        <w:rPr>
          <w:rFonts w:ascii="Goudy Old Style" w:hAnsi="Goudy Old Style" w:cs="GoudyOlSt BT"/>
          <w:bCs/>
          <w:sz w:val="24"/>
          <w:szCs w:val="24"/>
        </w:rPr>
        <w:t>–</w:t>
      </w:r>
      <w:r w:rsidRPr="00DA7594">
        <w:rPr>
          <w:rFonts w:ascii="Goudy Old Style" w:hAnsi="Goudy Old Style" w:cs="GoudyOlSt BT"/>
          <w:bCs/>
          <w:sz w:val="24"/>
          <w:szCs w:val="24"/>
        </w:rPr>
        <w:t xml:space="preserve">64 years for </w:t>
      </w:r>
      <w:r w:rsidR="00955206">
        <w:rPr>
          <w:rFonts w:ascii="Goudy Old Style" w:hAnsi="Goudy Old Style" w:cs="GoudyOlSt BT"/>
          <w:bCs/>
          <w:sz w:val="24"/>
          <w:szCs w:val="24"/>
        </w:rPr>
        <w:t>all</w:t>
      </w:r>
      <w:r w:rsidR="00955206" w:rsidRPr="00DA7594">
        <w:rPr>
          <w:rFonts w:ascii="Goudy Old Style" w:hAnsi="Goudy Old Style" w:cs="GoudyOlSt BT"/>
          <w:bCs/>
          <w:sz w:val="24"/>
          <w:szCs w:val="24"/>
        </w:rPr>
        <w:t xml:space="preserve"> </w:t>
      </w:r>
      <w:r w:rsidRPr="00DA7594">
        <w:rPr>
          <w:rFonts w:ascii="Goudy Old Style" w:hAnsi="Goudy Old Style" w:cs="GoudyOlSt BT"/>
          <w:bCs/>
          <w:sz w:val="24"/>
          <w:szCs w:val="24"/>
        </w:rPr>
        <w:t xml:space="preserve">jurisdictions except the NT. </w:t>
      </w:r>
      <w:r w:rsidR="00694B8E">
        <w:rPr>
          <w:rFonts w:ascii="Goudy Old Style" w:hAnsi="Goudy Old Style" w:cs="GoudyOlSt BT"/>
          <w:bCs/>
          <w:sz w:val="24"/>
          <w:szCs w:val="24"/>
        </w:rPr>
        <w:t>I</w:t>
      </w:r>
      <w:r w:rsidRPr="00DA7594">
        <w:rPr>
          <w:rFonts w:ascii="Goudy Old Style" w:hAnsi="Goudy Old Style" w:cs="GoudyOlSt BT"/>
          <w:bCs/>
          <w:sz w:val="24"/>
          <w:szCs w:val="24"/>
        </w:rPr>
        <w:t>n the NT, Indigenous staff accounted for 7.</w:t>
      </w:r>
      <w:r w:rsidR="00DA7594" w:rsidRPr="00DA7594">
        <w:rPr>
          <w:rFonts w:ascii="Goudy Old Style" w:hAnsi="Goudy Old Style" w:cs="GoudyOlSt BT"/>
          <w:bCs/>
          <w:sz w:val="24"/>
          <w:szCs w:val="24"/>
        </w:rPr>
        <w:t>4</w:t>
      </w:r>
      <w:r w:rsidRPr="00DA7594">
        <w:rPr>
          <w:rFonts w:ascii="Goudy Old Style" w:hAnsi="Goudy Old Style" w:cs="GoudyOlSt BT"/>
          <w:bCs/>
          <w:sz w:val="24"/>
          <w:szCs w:val="24"/>
        </w:rPr>
        <w:t> per cent of total staff</w:t>
      </w:r>
      <w:r w:rsidR="00694B8E">
        <w:rPr>
          <w:rFonts w:ascii="Goudy Old Style" w:hAnsi="Goudy Old Style" w:cs="GoudyOlSt BT"/>
          <w:bCs/>
          <w:sz w:val="24"/>
          <w:szCs w:val="24"/>
        </w:rPr>
        <w:t>,</w:t>
      </w:r>
      <w:r w:rsidRPr="00DA7594">
        <w:rPr>
          <w:rFonts w:ascii="Goudy Old Style" w:hAnsi="Goudy Old Style" w:cs="GoudyOlSt BT"/>
          <w:bCs/>
          <w:sz w:val="24"/>
          <w:szCs w:val="24"/>
        </w:rPr>
        <w:t xml:space="preserve"> compared with Indigenous representation in th</w:t>
      </w:r>
      <w:r w:rsidR="00DA7594" w:rsidRPr="00DA7594">
        <w:rPr>
          <w:rFonts w:ascii="Goudy Old Style" w:hAnsi="Goudy Old Style" w:cs="GoudyOlSt BT"/>
          <w:bCs/>
          <w:sz w:val="24"/>
          <w:szCs w:val="24"/>
        </w:rPr>
        <w:t>e working age population of 25.6</w:t>
      </w:r>
      <w:r w:rsidRPr="00DA7594">
        <w:rPr>
          <w:rFonts w:ascii="Goudy Old Style" w:hAnsi="Goudy Old Style" w:cs="GoudyOlSt BT"/>
          <w:bCs/>
          <w:sz w:val="24"/>
          <w:szCs w:val="24"/>
        </w:rPr>
        <w:t> per cent</w:t>
      </w:r>
      <w:r w:rsidR="00694B8E">
        <w:rPr>
          <w:rFonts w:ascii="Goudy Old Style" w:hAnsi="Goudy Old Style" w:cs="GoudyOlSt BT"/>
          <w:bCs/>
          <w:sz w:val="24"/>
          <w:szCs w:val="24"/>
        </w:rPr>
        <w:t xml:space="preserve"> </w:t>
      </w:r>
      <w:r w:rsidRPr="00DA7594">
        <w:rPr>
          <w:rFonts w:ascii="Goudy Old Style" w:hAnsi="Goudy Old Style" w:cs="GoudyOlSt BT"/>
          <w:b/>
          <w:bCs/>
          <w:sz w:val="24"/>
          <w:szCs w:val="24"/>
        </w:rPr>
        <w:t>(</w:t>
      </w:r>
      <w:r w:rsidRPr="0019413F">
        <w:rPr>
          <w:rFonts w:ascii="Goudy Old Style" w:hAnsi="Goudy Old Style" w:cs="GoudyOlSt BT"/>
          <w:b/>
          <w:bCs/>
          <w:sz w:val="24"/>
          <w:szCs w:val="24"/>
        </w:rPr>
        <w:t>201</w:t>
      </w:r>
      <w:r w:rsidR="00DA7594" w:rsidRPr="0019413F">
        <w:rPr>
          <w:rFonts w:ascii="Goudy Old Style" w:hAnsi="Goudy Old Style" w:cs="GoudyOlSt BT"/>
          <w:b/>
          <w:bCs/>
          <w:sz w:val="24"/>
          <w:szCs w:val="24"/>
        </w:rPr>
        <w:t>3</w:t>
      </w:r>
      <w:r w:rsidRPr="0019413F">
        <w:rPr>
          <w:rFonts w:ascii="Goudy Old Style" w:hAnsi="Goudy Old Style" w:cs="GoudyOlSt BT"/>
          <w:b/>
          <w:bCs/>
          <w:sz w:val="24"/>
          <w:szCs w:val="24"/>
        </w:rPr>
        <w:t> Report, pp. 6.1</w:t>
      </w:r>
      <w:r w:rsidR="0019413F" w:rsidRPr="0019413F">
        <w:rPr>
          <w:rFonts w:ascii="Goudy Old Style" w:hAnsi="Goudy Old Style" w:cs="GoudyOlSt BT"/>
          <w:b/>
          <w:bCs/>
          <w:sz w:val="24"/>
          <w:szCs w:val="24"/>
        </w:rPr>
        <w:t>2-13</w:t>
      </w:r>
      <w:r w:rsidRPr="0019413F">
        <w:rPr>
          <w:rFonts w:ascii="Goudy Old Style" w:hAnsi="Goudy Old Style" w:cs="GoudyOlSt BT"/>
          <w:b/>
          <w:bCs/>
          <w:sz w:val="24"/>
          <w:szCs w:val="24"/>
        </w:rPr>
        <w:t>; 201</w:t>
      </w:r>
      <w:r w:rsidR="0019413F" w:rsidRPr="0019413F">
        <w:rPr>
          <w:rFonts w:ascii="Goudy Old Style" w:hAnsi="Goudy Old Style" w:cs="GoudyOlSt BT"/>
          <w:b/>
          <w:bCs/>
          <w:sz w:val="24"/>
          <w:szCs w:val="24"/>
        </w:rPr>
        <w:t>3</w:t>
      </w:r>
      <w:r w:rsidR="00B13537">
        <w:rPr>
          <w:rFonts w:ascii="Goudy Old Style" w:hAnsi="Goudy Old Style" w:cs="GoudyOlSt BT"/>
          <w:b/>
          <w:bCs/>
          <w:sz w:val="24"/>
          <w:szCs w:val="24"/>
        </w:rPr>
        <w:t xml:space="preserve"> </w:t>
      </w:r>
      <w:r w:rsidRPr="0019413F">
        <w:rPr>
          <w:rFonts w:ascii="Goudy Old Style" w:hAnsi="Goudy Old Style" w:cs="GoudyOlSt BT"/>
          <w:b/>
          <w:bCs/>
          <w:sz w:val="24"/>
          <w:szCs w:val="24"/>
        </w:rPr>
        <w:t xml:space="preserve">IC, </w:t>
      </w:r>
      <w:r w:rsidRPr="0065534E">
        <w:rPr>
          <w:rFonts w:ascii="Goudy Old Style" w:hAnsi="Goudy Old Style" w:cs="GoudyOlSt BT"/>
          <w:b/>
          <w:bCs/>
          <w:sz w:val="24"/>
          <w:szCs w:val="24"/>
        </w:rPr>
        <w:t>pp. </w:t>
      </w:r>
      <w:r w:rsidR="00B13537" w:rsidRPr="0065534E">
        <w:rPr>
          <w:rFonts w:ascii="Goudy Old Style" w:hAnsi="Goudy Old Style" w:cs="GoudyOlSt BT"/>
          <w:b/>
          <w:bCs/>
          <w:sz w:val="24"/>
          <w:szCs w:val="24"/>
        </w:rPr>
        <w:t>6.3</w:t>
      </w:r>
      <w:r w:rsidRPr="0065534E">
        <w:rPr>
          <w:rFonts w:ascii="Goudy Old Style" w:hAnsi="Goudy Old Style" w:cs="GoudyOlSt BT"/>
          <w:b/>
          <w:bCs/>
          <w:sz w:val="24"/>
          <w:szCs w:val="24"/>
        </w:rPr>
        <w:t>–</w:t>
      </w:r>
      <w:r w:rsidR="00B13537" w:rsidRPr="0065534E">
        <w:rPr>
          <w:rFonts w:ascii="Goudy Old Style" w:hAnsi="Goudy Old Style" w:cs="GoudyOlSt BT"/>
          <w:b/>
          <w:bCs/>
          <w:sz w:val="24"/>
          <w:szCs w:val="24"/>
        </w:rPr>
        <w:t>5</w:t>
      </w:r>
      <w:r w:rsidRPr="0019413F">
        <w:rPr>
          <w:rFonts w:ascii="Goudy Old Style" w:hAnsi="Goudy Old Style" w:cs="GoudyOlSt BT"/>
          <w:b/>
          <w:bCs/>
          <w:sz w:val="24"/>
          <w:szCs w:val="24"/>
        </w:rPr>
        <w:t xml:space="preserve"> and table 6A.17).</w:t>
      </w:r>
    </w:p>
    <w:p w:rsidR="004F136C" w:rsidRDefault="004F136C" w:rsidP="004F136C">
      <w:pPr>
        <w:spacing w:before="120" w:after="120" w:line="240" w:lineRule="atLeast"/>
        <w:ind w:right="53"/>
        <w:jc w:val="both"/>
        <w:rPr>
          <w:rFonts w:ascii="Goudy Old Style" w:hAnsi="Goudy Old Style" w:cs="GoudyOlSt BT"/>
          <w:bCs/>
          <w:sz w:val="24"/>
          <w:szCs w:val="24"/>
          <w:highlight w:val="yellow"/>
        </w:rPr>
      </w:pPr>
    </w:p>
    <w:p w:rsidR="00C365D3" w:rsidRPr="004F136C" w:rsidRDefault="00C365D3" w:rsidP="004F136C">
      <w:pPr>
        <w:spacing w:before="120" w:after="120" w:line="240" w:lineRule="atLeast"/>
        <w:ind w:right="53"/>
        <w:jc w:val="both"/>
        <w:rPr>
          <w:rFonts w:ascii="Goudy Old Style" w:hAnsi="Goudy Old Style" w:cs="GoudyOlSt BT"/>
          <w:bCs/>
          <w:sz w:val="24"/>
          <w:szCs w:val="24"/>
          <w:highlight w:val="yellow"/>
        </w:rPr>
        <w:sectPr w:rsidR="00C365D3" w:rsidRPr="004F136C" w:rsidSect="009C6A59">
          <w:footerReference w:type="even" r:id="rId11"/>
          <w:footerReference w:type="default" r:id="rId12"/>
          <w:footerReference w:type="first" r:id="rId13"/>
          <w:pgSz w:w="11907" w:h="16840"/>
          <w:pgMar w:top="851" w:right="1247" w:bottom="360" w:left="1247" w:header="720" w:footer="720" w:gutter="0"/>
          <w:cols w:space="720"/>
          <w:titlePg/>
        </w:sectPr>
      </w:pPr>
    </w:p>
    <w:tbl>
      <w:tblPr>
        <w:tblpPr w:leftFromText="181" w:rightFromText="181" w:topFromText="284" w:vertAnchor="text" w:tblpXSpec="right" w:tblpY="86"/>
        <w:tblOverlap w:val="neve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3"/>
      </w:tblGrid>
      <w:tr w:rsidR="004F136C" w:rsidRPr="004F136C" w:rsidTr="008D1DCF">
        <w:tc>
          <w:tcPr>
            <w:tcW w:w="4683" w:type="dxa"/>
          </w:tcPr>
          <w:p w:rsidR="004F136C" w:rsidRPr="001174BD" w:rsidRDefault="004F136C" w:rsidP="00BF1DC7">
            <w:pPr>
              <w:numPr>
                <w:ilvl w:val="12"/>
                <w:numId w:val="0"/>
              </w:numPr>
              <w:rPr>
                <w:rFonts w:ascii="Goudy Old Style" w:hAnsi="Goudy Old Style"/>
                <w:sz w:val="20"/>
              </w:rPr>
            </w:pPr>
            <w:r w:rsidRPr="001174BD">
              <w:rPr>
                <w:rFonts w:ascii="Goudy Old Style" w:hAnsi="Goudy Old Style"/>
                <w:b/>
                <w:sz w:val="20"/>
              </w:rPr>
              <w:lastRenderedPageBreak/>
              <w:t xml:space="preserve">Indigenous and non-Indigenous </w:t>
            </w:r>
            <w:r w:rsidR="00BF1DC7">
              <w:rPr>
                <w:rFonts w:ascii="Goudy Old Style" w:hAnsi="Goudy Old Style"/>
                <w:b/>
                <w:sz w:val="20"/>
              </w:rPr>
              <w:t>age standardised</w:t>
            </w:r>
            <w:r w:rsidRPr="001174BD">
              <w:rPr>
                <w:rFonts w:ascii="Goudy Old Style" w:hAnsi="Goudy Old Style"/>
                <w:b/>
                <w:sz w:val="20"/>
              </w:rPr>
              <w:t xml:space="preserve"> imprisonment rates, 2</w:t>
            </w:r>
            <w:r w:rsidR="001174BD" w:rsidRPr="001174BD">
              <w:rPr>
                <w:rFonts w:ascii="Goudy Old Style" w:hAnsi="Goudy Old Style"/>
                <w:b/>
                <w:sz w:val="20"/>
              </w:rPr>
              <w:t>011</w:t>
            </w:r>
            <w:r w:rsidRPr="001174BD">
              <w:rPr>
                <w:rFonts w:ascii="Goudy Old Style" w:hAnsi="Goudy Old Style"/>
                <w:b/>
                <w:sz w:val="20"/>
              </w:rPr>
              <w:t>-1</w:t>
            </w:r>
            <w:r w:rsidR="001174BD" w:rsidRPr="001174BD">
              <w:rPr>
                <w:rFonts w:ascii="Goudy Old Style" w:hAnsi="Goudy Old Style"/>
                <w:b/>
                <w:sz w:val="20"/>
              </w:rPr>
              <w:t>2</w:t>
            </w:r>
            <w:r w:rsidRPr="001174BD">
              <w:rPr>
                <w:rFonts w:ascii="Goudy Old Style" w:hAnsi="Goudy Old Style"/>
                <w:b/>
                <w:bCs/>
                <w:position w:val="6"/>
                <w:sz w:val="20"/>
              </w:rPr>
              <w:t>a</w:t>
            </w:r>
          </w:p>
        </w:tc>
      </w:tr>
      <w:tr w:rsidR="004F136C" w:rsidRPr="004F136C" w:rsidTr="00BF1DC7">
        <w:tblPrEx>
          <w:tblCellMar>
            <w:left w:w="108" w:type="dxa"/>
            <w:right w:w="108" w:type="dxa"/>
          </w:tblCellMar>
        </w:tblPrEx>
        <w:tc>
          <w:tcPr>
            <w:tcW w:w="4683" w:type="dxa"/>
          </w:tcPr>
          <w:p w:rsidR="004F136C" w:rsidRPr="001174BD" w:rsidRDefault="00BF1DC7" w:rsidP="008D1DCF">
            <w:pPr>
              <w:numPr>
                <w:ilvl w:val="12"/>
                <w:numId w:val="0"/>
              </w:numPr>
              <w:tabs>
                <w:tab w:val="center" w:pos="2341"/>
              </w:tabs>
              <w:spacing w:after="120"/>
              <w:jc w:val="center"/>
              <w:rPr>
                <w:rFonts w:ascii="Goudy Old Style" w:hAnsi="Goudy Old Style"/>
              </w:rPr>
            </w:pPr>
            <w:r>
              <w:rPr>
                <w:noProof/>
              </w:rPr>
              <w:drawing>
                <wp:inline distT="0" distB="0" distL="0" distR="0" wp14:anchorId="1823D65F" wp14:editId="077F6A1C">
                  <wp:extent cx="2772000" cy="2076180"/>
                  <wp:effectExtent l="0" t="0" r="0" b="635"/>
                  <wp:docPr id="2" name="Chart 2" descr="Figure: Indigenous and non-Indingeous age standardised imprisonment rates, 2011-12&#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4F136C" w:rsidRPr="004F136C" w:rsidTr="008D1DCF">
        <w:trPr>
          <w:trHeight w:val="272"/>
        </w:trPr>
        <w:tc>
          <w:tcPr>
            <w:tcW w:w="4683" w:type="dxa"/>
          </w:tcPr>
          <w:p w:rsidR="004F136C" w:rsidRPr="001174BD" w:rsidRDefault="003E49F4" w:rsidP="008D1DCF">
            <w:pPr>
              <w:numPr>
                <w:ilvl w:val="12"/>
                <w:numId w:val="0"/>
              </w:numPr>
              <w:jc w:val="both"/>
              <w:rPr>
                <w:rFonts w:ascii="Goudy Old Style" w:hAnsi="Goudy Old Style"/>
                <w:sz w:val="16"/>
                <w:szCs w:val="16"/>
              </w:rPr>
            </w:pPr>
            <w:r w:rsidRPr="001174BD">
              <w:rPr>
                <w:rFonts w:ascii="Goudy Old Style" w:hAnsi="Goudy Old Style"/>
                <w:sz w:val="16"/>
                <w:szCs w:val="16"/>
              </w:rPr>
              <w:t>See first page for footnote</w:t>
            </w:r>
          </w:p>
        </w:tc>
      </w:tr>
    </w:tbl>
    <w:p w:rsidR="004F136C" w:rsidRPr="004F136C" w:rsidRDefault="00BF1DC7" w:rsidP="000047BE">
      <w:pPr>
        <w:spacing w:before="120" w:after="120" w:line="240" w:lineRule="atLeast"/>
        <w:ind w:right="5018"/>
        <w:jc w:val="both"/>
        <w:rPr>
          <w:rFonts w:ascii="Goudy Old Style" w:hAnsi="Goudy Old Style" w:cs="GoudyOlSt BT"/>
          <w:bCs/>
          <w:sz w:val="24"/>
          <w:szCs w:val="24"/>
          <w:highlight w:val="yellow"/>
        </w:rPr>
      </w:pPr>
      <w:r w:rsidRPr="00901F58">
        <w:rPr>
          <w:rFonts w:ascii="Goudy Old Style" w:hAnsi="Goudy Old Style" w:cs="GoudyOlSt BT"/>
          <w:b/>
          <w:bCs/>
          <w:sz w:val="24"/>
          <w:szCs w:val="24"/>
        </w:rPr>
        <w:t>Corrective services:</w:t>
      </w:r>
      <w:r w:rsidRPr="00901F58">
        <w:rPr>
          <w:rFonts w:ascii="Goudy Old Style" w:hAnsi="Goudy Old Style" w:cs="GoudyOlSt BT"/>
          <w:bCs/>
          <w:sz w:val="24"/>
          <w:szCs w:val="24"/>
        </w:rPr>
        <w:t xml:space="preserve"> </w:t>
      </w:r>
      <w:r>
        <w:rPr>
          <w:rFonts w:ascii="Goudy Old Style" w:hAnsi="Goudy Old Style" w:cs="GoudyOlSt BT"/>
          <w:bCs/>
          <w:sz w:val="24"/>
          <w:szCs w:val="24"/>
        </w:rPr>
        <w:t>I</w:t>
      </w:r>
      <w:r w:rsidRPr="00901F58">
        <w:rPr>
          <w:rFonts w:ascii="Goudy Old Style" w:hAnsi="Goudy Old Style" w:cs="GoudyOlSt BT"/>
          <w:bCs/>
          <w:sz w:val="24"/>
          <w:szCs w:val="24"/>
        </w:rPr>
        <w:t>n 2011</w:t>
      </w:r>
      <w:r w:rsidRPr="00901F58">
        <w:rPr>
          <w:rFonts w:ascii="Goudy Old Style" w:hAnsi="Goudy Old Style" w:cs="GoudyOlSt BT"/>
          <w:bCs/>
          <w:sz w:val="24"/>
          <w:szCs w:val="24"/>
        </w:rPr>
        <w:noBreakHyphen/>
        <w:t xml:space="preserve">12 </w:t>
      </w:r>
      <w:r>
        <w:rPr>
          <w:rFonts w:ascii="Goudy Old Style" w:hAnsi="Goudy Old Style" w:cs="GoudyOlSt BT"/>
          <w:bCs/>
          <w:sz w:val="24"/>
          <w:szCs w:val="24"/>
        </w:rPr>
        <w:t>t</w:t>
      </w:r>
      <w:r w:rsidRPr="00901F58">
        <w:rPr>
          <w:rFonts w:ascii="Goudy Old Style" w:hAnsi="Goudy Old Style" w:cs="GoudyOlSt BT"/>
          <w:bCs/>
          <w:sz w:val="24"/>
          <w:szCs w:val="24"/>
        </w:rPr>
        <w:t>he national imprisonment rate per 100</w:t>
      </w:r>
      <w:r w:rsidRPr="00901F58">
        <w:rPr>
          <w:rFonts w:ascii="Goudy Old Style" w:hAnsi="Goudy Old Style" w:cs="GoudyOlSt BT"/>
          <w:b/>
          <w:bCs/>
          <w:sz w:val="24"/>
          <w:szCs w:val="24"/>
        </w:rPr>
        <w:t> </w:t>
      </w:r>
      <w:r w:rsidRPr="00901F58">
        <w:rPr>
          <w:rFonts w:ascii="Goudy Old Style" w:hAnsi="Goudy Old Style" w:cs="GoudyOlSt BT"/>
          <w:bCs/>
          <w:sz w:val="24"/>
          <w:szCs w:val="24"/>
        </w:rPr>
        <w:t xml:space="preserve">000 Indigenous adults was </w:t>
      </w:r>
      <w:r>
        <w:rPr>
          <w:rFonts w:ascii="Goudy Old Style" w:hAnsi="Goudy Old Style" w:cs="GoudyOlSt BT"/>
          <w:bCs/>
          <w:sz w:val="24"/>
          <w:szCs w:val="24"/>
        </w:rPr>
        <w:t>1749.7</w:t>
      </w:r>
      <w:r w:rsidRPr="00901F58">
        <w:rPr>
          <w:rFonts w:ascii="Goudy Old Style" w:hAnsi="Goudy Old Style" w:cs="GoudyOlSt BT"/>
          <w:bCs/>
          <w:sz w:val="24"/>
          <w:szCs w:val="24"/>
        </w:rPr>
        <w:t xml:space="preserve"> compared with a rate of </w:t>
      </w:r>
      <w:r>
        <w:rPr>
          <w:rFonts w:ascii="Goudy Old Style" w:hAnsi="Goudy Old Style" w:cs="GoudyOlSt BT"/>
          <w:bCs/>
          <w:sz w:val="24"/>
          <w:szCs w:val="24"/>
        </w:rPr>
        <w:t>129.1</w:t>
      </w:r>
      <w:r w:rsidRPr="00901F58">
        <w:rPr>
          <w:rFonts w:ascii="Goudy Old Style" w:hAnsi="Goudy Old Style" w:cs="GoudyOlSt BT"/>
          <w:bCs/>
          <w:sz w:val="24"/>
          <w:szCs w:val="24"/>
        </w:rPr>
        <w:t xml:space="preserve"> for non</w:t>
      </w:r>
      <w:r w:rsidRPr="00901F58">
        <w:rPr>
          <w:rFonts w:ascii="Goudy Old Style" w:hAnsi="Goudy Old Style" w:cs="GoudyOlSt BT"/>
          <w:bCs/>
          <w:sz w:val="24"/>
          <w:szCs w:val="24"/>
        </w:rPr>
        <w:noBreakHyphen/>
        <w:t xml:space="preserve">Indigenous adults </w:t>
      </w:r>
      <w:r>
        <w:rPr>
          <w:rFonts w:ascii="Goudy Old Style" w:hAnsi="Goudy Old Style" w:cs="GoudyOlSt BT"/>
          <w:bCs/>
          <w:sz w:val="24"/>
          <w:szCs w:val="24"/>
        </w:rPr>
        <w:t>(</w:t>
      </w:r>
      <w:r w:rsidRPr="00901F58">
        <w:rPr>
          <w:rFonts w:ascii="Goudy Old Style" w:hAnsi="Goudy Old Style" w:cs="GoudyOlSt BT"/>
          <w:bCs/>
          <w:sz w:val="24"/>
          <w:szCs w:val="24"/>
        </w:rPr>
        <w:t>age standardised</w:t>
      </w:r>
      <w:r>
        <w:rPr>
          <w:rFonts w:ascii="Goudy Old Style" w:hAnsi="Goudy Old Style" w:cs="GoudyOlSt BT"/>
          <w:bCs/>
          <w:sz w:val="24"/>
          <w:szCs w:val="24"/>
        </w:rPr>
        <w:t xml:space="preserve"> rates)</w:t>
      </w:r>
      <w:r w:rsidRPr="00901F58">
        <w:rPr>
          <w:rFonts w:ascii="Goudy Old Style" w:hAnsi="Goudy Old Style" w:cs="GoudyOlSt BT"/>
          <w:bCs/>
          <w:sz w:val="24"/>
          <w:szCs w:val="24"/>
        </w:rPr>
        <w:t xml:space="preserve"> </w:t>
      </w:r>
      <w:r w:rsidRPr="00901F58">
        <w:rPr>
          <w:rFonts w:ascii="Goudy Old Style" w:hAnsi="Goudy Old Style" w:cs="GoudyOlSt BT"/>
          <w:b/>
          <w:bCs/>
          <w:sz w:val="24"/>
          <w:szCs w:val="24"/>
        </w:rPr>
        <w:t>(2013</w:t>
      </w:r>
      <w:r>
        <w:rPr>
          <w:rFonts w:ascii="Goudy Old Style" w:hAnsi="Goudy Old Style" w:cs="GoudyOlSt BT"/>
          <w:b/>
          <w:bCs/>
          <w:sz w:val="24"/>
          <w:szCs w:val="24"/>
        </w:rPr>
        <w:t> Report, p. 8.7-8</w:t>
      </w:r>
      <w:r w:rsidRPr="00901F58">
        <w:rPr>
          <w:rFonts w:ascii="Goudy Old Style" w:hAnsi="Goudy Old Style" w:cs="GoudyOlSt BT"/>
          <w:b/>
          <w:bCs/>
          <w:sz w:val="24"/>
          <w:szCs w:val="24"/>
        </w:rPr>
        <w:t xml:space="preserve">; </w:t>
      </w:r>
      <w:r>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 </w:t>
      </w:r>
      <w:r>
        <w:rPr>
          <w:rFonts w:ascii="Goudy Old Style" w:hAnsi="Goudy Old Style" w:cs="GoudyOlSt BT"/>
          <w:b/>
          <w:bCs/>
          <w:sz w:val="24"/>
          <w:szCs w:val="24"/>
        </w:rPr>
        <w:t>8.4</w:t>
      </w:r>
      <w:r w:rsidRPr="00901F58">
        <w:rPr>
          <w:rFonts w:ascii="Goudy Old Style" w:hAnsi="Goudy Old Style" w:cs="GoudyOlSt BT"/>
          <w:b/>
          <w:bCs/>
          <w:sz w:val="24"/>
          <w:szCs w:val="24"/>
        </w:rPr>
        <w:t>)</w:t>
      </w:r>
      <w:r w:rsidRPr="00901F58">
        <w:rPr>
          <w:rFonts w:ascii="Goudy Old Style" w:hAnsi="Goudy Old Style" w:cs="GoudyOlSt BT"/>
          <w:bCs/>
          <w:sz w:val="24"/>
          <w:szCs w:val="24"/>
        </w:rPr>
        <w:t>. While imprisonment rates for Indigenous people are higher than those for non-Indigenous people, the majority of prisoners are non</w:t>
      </w:r>
      <w:r w:rsidRPr="00901F58">
        <w:rPr>
          <w:rFonts w:ascii="Goudy Old Style" w:hAnsi="Goudy Old Style" w:cs="GoudyOlSt BT"/>
          <w:bCs/>
          <w:sz w:val="24"/>
          <w:szCs w:val="24"/>
        </w:rPr>
        <w:noBreakHyphen/>
        <w:t>Indigenous (72.4</w:t>
      </w:r>
      <w:r>
        <w:rPr>
          <w:rFonts w:ascii="Goudy Old Style" w:hAnsi="Goudy Old Style" w:cs="GoudyOlSt BT"/>
          <w:bCs/>
          <w:sz w:val="24"/>
          <w:szCs w:val="24"/>
        </w:rPr>
        <w:t xml:space="preserve"> </w:t>
      </w:r>
      <w:r w:rsidRPr="00901F58">
        <w:rPr>
          <w:rFonts w:ascii="Goudy Old Style" w:hAnsi="Goudy Old Style" w:cs="GoudyOlSt BT"/>
          <w:bCs/>
          <w:sz w:val="24"/>
          <w:szCs w:val="24"/>
        </w:rPr>
        <w:t>per cent of all prisoners were non</w:t>
      </w:r>
      <w:r w:rsidRPr="00901F58">
        <w:rPr>
          <w:rFonts w:ascii="Goudy Old Style" w:hAnsi="Goudy Old Style" w:cs="GoudyOlSt BT"/>
          <w:bCs/>
          <w:sz w:val="24"/>
          <w:szCs w:val="24"/>
        </w:rPr>
        <w:noBreakHyphen/>
        <w:t>Indigenous in 2011</w:t>
      </w:r>
      <w:r w:rsidRPr="00901F58">
        <w:rPr>
          <w:rFonts w:ascii="Goudy Old Style" w:hAnsi="Goudy Old Style" w:cs="GoudyOlSt BT"/>
          <w:bCs/>
          <w:sz w:val="24"/>
          <w:szCs w:val="24"/>
        </w:rPr>
        <w:noBreakHyphen/>
        <w:t xml:space="preserve">12) </w:t>
      </w:r>
      <w:r w:rsidRPr="00901F58">
        <w:rPr>
          <w:rFonts w:ascii="Goudy Old Style" w:hAnsi="Goudy Old Style" w:cs="GoudyOlSt BT"/>
          <w:b/>
          <w:bCs/>
          <w:sz w:val="24"/>
          <w:szCs w:val="24"/>
        </w:rPr>
        <w:t xml:space="preserve">(2013 Report, p. 8.8; </w:t>
      </w:r>
      <w:r>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 </w:t>
      </w:r>
      <w:r>
        <w:rPr>
          <w:rFonts w:ascii="Goudy Old Style" w:hAnsi="Goudy Old Style" w:cs="GoudyOlSt BT"/>
          <w:b/>
          <w:bCs/>
          <w:sz w:val="24"/>
          <w:szCs w:val="24"/>
        </w:rPr>
        <w:t>8.5</w:t>
      </w:r>
      <w:r w:rsidRPr="00901F58">
        <w:rPr>
          <w:rFonts w:ascii="Goudy Old Style" w:hAnsi="Goudy Old Style" w:cs="GoudyOlSt BT"/>
          <w:b/>
          <w:bCs/>
          <w:sz w:val="24"/>
          <w:szCs w:val="24"/>
        </w:rPr>
        <w:t>)</w:t>
      </w:r>
      <w:r w:rsidRPr="00901F58">
        <w:rPr>
          <w:rFonts w:ascii="Goudy Old Style" w:hAnsi="Goudy Old Style" w:cs="GoudyOlSt BT"/>
          <w:bCs/>
          <w:sz w:val="24"/>
          <w:szCs w:val="24"/>
        </w:rPr>
        <w:t xml:space="preserve">. Prisoner death rates from apparent unnatural causes in 2011-12 </w:t>
      </w:r>
      <w:r w:rsidRPr="00901F58">
        <w:rPr>
          <w:rFonts w:ascii="Goudy Old Style" w:hAnsi="Goudy Old Style" w:cs="GoudyOlSt BT"/>
          <w:b/>
          <w:bCs/>
          <w:sz w:val="24"/>
          <w:szCs w:val="24"/>
        </w:rPr>
        <w:t xml:space="preserve">(2013 Report, p. 8.16; </w:t>
      </w:r>
      <w:r>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 </w:t>
      </w:r>
      <w:r w:rsidRPr="009D183D">
        <w:rPr>
          <w:rFonts w:ascii="Goudy Old Style" w:hAnsi="Goudy Old Style" w:cs="GoudyOlSt BT"/>
          <w:b/>
          <w:bCs/>
          <w:sz w:val="24"/>
          <w:szCs w:val="24"/>
        </w:rPr>
        <w:t>8.8–10</w:t>
      </w:r>
      <w:r w:rsidRPr="00901F58">
        <w:rPr>
          <w:rFonts w:ascii="Goudy Old Style" w:hAnsi="Goudy Old Style" w:cs="GoudyOlSt BT"/>
          <w:b/>
          <w:bCs/>
          <w:sz w:val="24"/>
          <w:szCs w:val="24"/>
        </w:rPr>
        <w:t>)</w:t>
      </w:r>
      <w:r w:rsidRPr="00036EAE">
        <w:rPr>
          <w:rFonts w:ascii="Goudy Old Style" w:hAnsi="Goudy Old Style" w:cs="GoudyOlSt BT"/>
          <w:bCs/>
          <w:sz w:val="24"/>
          <w:szCs w:val="24"/>
        </w:rPr>
        <w:t xml:space="preserve"> </w:t>
      </w:r>
      <w:r>
        <w:rPr>
          <w:rFonts w:ascii="Goudy Old Style" w:hAnsi="Goudy Old Style" w:cs="GoudyOlSt BT"/>
          <w:bCs/>
          <w:sz w:val="24"/>
          <w:szCs w:val="24"/>
        </w:rPr>
        <w:t xml:space="preserve">and community corrections </w:t>
      </w:r>
      <w:r w:rsidRPr="00901F58">
        <w:rPr>
          <w:rFonts w:ascii="Goudy Old Style" w:hAnsi="Goudy Old Style" w:cs="GoudyOlSt BT"/>
          <w:bCs/>
          <w:sz w:val="24"/>
          <w:szCs w:val="24"/>
        </w:rPr>
        <w:t xml:space="preserve">offender rates </w:t>
      </w:r>
      <w:r w:rsidRPr="00901F58">
        <w:rPr>
          <w:rFonts w:ascii="Goudy Old Style" w:hAnsi="Goudy Old Style" w:cs="GoudyOlSt BT"/>
          <w:b/>
          <w:bCs/>
          <w:sz w:val="24"/>
          <w:szCs w:val="24"/>
        </w:rPr>
        <w:t xml:space="preserve">(2013 Report, pp. 8.8–11; </w:t>
      </w:r>
      <w:r>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pp. 8.5</w:t>
      </w:r>
      <w:r w:rsidRPr="0065534E">
        <w:rPr>
          <w:rFonts w:ascii="Goudy Old Style" w:hAnsi="Goudy Old Style" w:cs="GoudyOlSt BT"/>
          <w:b/>
          <w:bCs/>
          <w:sz w:val="24"/>
          <w:szCs w:val="24"/>
        </w:rPr>
        <w:noBreakHyphen/>
        <w:t>7</w:t>
      </w:r>
      <w:r w:rsidRPr="00901F58">
        <w:rPr>
          <w:rFonts w:ascii="Goudy Old Style" w:hAnsi="Goudy Old Style" w:cs="GoudyOlSt BT"/>
          <w:b/>
          <w:bCs/>
          <w:sz w:val="24"/>
          <w:szCs w:val="24"/>
        </w:rPr>
        <w:t>)</w:t>
      </w:r>
      <w:r w:rsidRPr="00901F58">
        <w:rPr>
          <w:rFonts w:ascii="Goudy Old Style" w:hAnsi="Goudy Old Style" w:cs="GoudyOlSt BT"/>
          <w:bCs/>
          <w:sz w:val="24"/>
          <w:szCs w:val="24"/>
        </w:rPr>
        <w:t xml:space="preserve"> are also reported by Indigenous status.</w:t>
      </w:r>
    </w:p>
    <w:p w:rsidR="0065534E" w:rsidRDefault="0065534E" w:rsidP="004F136C">
      <w:pPr>
        <w:spacing w:before="120" w:after="120" w:line="240" w:lineRule="atLeast"/>
        <w:ind w:right="53"/>
        <w:jc w:val="both"/>
        <w:rPr>
          <w:rFonts w:ascii="Goudy Old Style" w:hAnsi="Goudy Old Style" w:cs="GoudyOlSt BT"/>
          <w:b/>
          <w:bCs/>
          <w:sz w:val="24"/>
          <w:szCs w:val="24"/>
        </w:rPr>
      </w:pPr>
    </w:p>
    <w:p w:rsidR="002B23FA" w:rsidRPr="006179A5" w:rsidRDefault="004F136C" w:rsidP="004F136C">
      <w:pPr>
        <w:spacing w:before="120" w:after="120" w:line="240" w:lineRule="atLeast"/>
        <w:ind w:right="53"/>
        <w:jc w:val="both"/>
        <w:rPr>
          <w:rFonts w:ascii="Goudy Old Style" w:hAnsi="Goudy Old Style" w:cs="GoudyOlSt BT"/>
          <w:bCs/>
          <w:sz w:val="24"/>
          <w:szCs w:val="24"/>
        </w:rPr>
      </w:pPr>
      <w:r w:rsidRPr="00C41439">
        <w:rPr>
          <w:rFonts w:ascii="Goudy Old Style" w:hAnsi="Goudy Old Style" w:cs="GoudyOlSt BT"/>
          <w:b/>
          <w:bCs/>
          <w:sz w:val="24"/>
          <w:szCs w:val="24"/>
        </w:rPr>
        <w:t>Health sector:</w:t>
      </w:r>
      <w:r w:rsidRPr="00C41439">
        <w:rPr>
          <w:rFonts w:ascii="Goudy Old Style" w:hAnsi="Goudy Old Style" w:cs="GoudyOlSt BT"/>
          <w:bCs/>
          <w:sz w:val="24"/>
          <w:szCs w:val="24"/>
        </w:rPr>
        <w:t xml:space="preserve"> For NSW, Queensland, WA, SA and the NT combined, the overall rates of mortality for Indigenous </w:t>
      </w:r>
      <w:r w:rsidR="00C41439">
        <w:rPr>
          <w:rFonts w:ascii="Goudy Old Style" w:hAnsi="Goudy Old Style" w:cs="GoudyOlSt BT"/>
          <w:bCs/>
          <w:sz w:val="24"/>
          <w:szCs w:val="24"/>
        </w:rPr>
        <w:t>Australians</w:t>
      </w:r>
      <w:r w:rsidRPr="00C41439">
        <w:rPr>
          <w:rFonts w:ascii="Goudy Old Style" w:hAnsi="Goudy Old Style" w:cs="GoudyOlSt BT"/>
          <w:bCs/>
          <w:sz w:val="24"/>
          <w:szCs w:val="24"/>
        </w:rPr>
        <w:t xml:space="preserve"> were </w:t>
      </w:r>
      <w:r w:rsidR="00C41439" w:rsidRPr="00C41439">
        <w:rPr>
          <w:rFonts w:ascii="Goudy Old Style" w:hAnsi="Goudy Old Style" w:cs="GoudyOlSt BT"/>
          <w:bCs/>
          <w:sz w:val="24"/>
          <w:szCs w:val="24"/>
        </w:rPr>
        <w:t>nearly</w:t>
      </w:r>
      <w:r w:rsidRPr="00C41439">
        <w:rPr>
          <w:rFonts w:ascii="Goudy Old Style" w:hAnsi="Goudy Old Style" w:cs="GoudyOlSt BT"/>
          <w:bCs/>
          <w:sz w:val="24"/>
          <w:szCs w:val="24"/>
        </w:rPr>
        <w:t xml:space="preserve"> twice as high as mortality rates for non</w:t>
      </w:r>
      <w:r w:rsidRPr="00C41439">
        <w:rPr>
          <w:rFonts w:ascii="Goudy Old Style" w:hAnsi="Goudy Old Style" w:cs="GoudyOlSt BT"/>
          <w:bCs/>
          <w:sz w:val="24"/>
          <w:szCs w:val="24"/>
        </w:rPr>
        <w:noBreakHyphen/>
        <w:t xml:space="preserve">Indigenous </w:t>
      </w:r>
      <w:r w:rsidR="00C41439" w:rsidRPr="00C41439">
        <w:rPr>
          <w:rFonts w:ascii="Goudy Old Style" w:hAnsi="Goudy Old Style" w:cs="GoudyOlSt BT"/>
          <w:bCs/>
          <w:sz w:val="24"/>
          <w:szCs w:val="24"/>
        </w:rPr>
        <w:t>Australians</w:t>
      </w:r>
      <w:r w:rsidR="00C61864">
        <w:rPr>
          <w:rFonts w:ascii="Goudy Old Style" w:hAnsi="Goudy Old Style" w:cs="GoudyOlSt BT"/>
          <w:bCs/>
          <w:sz w:val="24"/>
          <w:szCs w:val="24"/>
        </w:rPr>
        <w:t>,</w:t>
      </w:r>
      <w:r w:rsidRPr="00C41439">
        <w:rPr>
          <w:rFonts w:ascii="Goudy Old Style" w:hAnsi="Goudy Old Style" w:cs="GoudyOlSt BT"/>
          <w:bCs/>
          <w:sz w:val="24"/>
          <w:szCs w:val="24"/>
        </w:rPr>
        <w:t xml:space="preserve"> </w:t>
      </w:r>
      <w:r w:rsidR="00C41439" w:rsidRPr="00C41439">
        <w:rPr>
          <w:rFonts w:ascii="Goudy Old Style" w:hAnsi="Goudy Old Style" w:cs="GoudyOlSt BT"/>
          <w:bCs/>
          <w:sz w:val="24"/>
          <w:szCs w:val="24"/>
        </w:rPr>
        <w:t>based on data for 2007–2011</w:t>
      </w:r>
      <w:r w:rsidRPr="00C41439">
        <w:rPr>
          <w:rFonts w:ascii="Goudy Old Style" w:hAnsi="Goudy Old Style" w:cs="GoudyOlSt BT"/>
          <w:bCs/>
          <w:sz w:val="24"/>
          <w:szCs w:val="24"/>
        </w:rPr>
        <w:t xml:space="preserve"> (</w:t>
      </w:r>
      <w:r w:rsidRPr="00C41439">
        <w:rPr>
          <w:rFonts w:ascii="Goudy Old Style" w:hAnsi="Goudy Old Style" w:cs="GoudyOlSt BT"/>
          <w:b/>
          <w:bCs/>
          <w:sz w:val="24"/>
          <w:szCs w:val="24"/>
        </w:rPr>
        <w:t>201</w:t>
      </w:r>
      <w:r w:rsidR="00C41439" w:rsidRPr="00C41439">
        <w:rPr>
          <w:rFonts w:ascii="Goudy Old Style" w:hAnsi="Goudy Old Style" w:cs="GoudyOlSt BT"/>
          <w:b/>
          <w:bCs/>
          <w:sz w:val="24"/>
          <w:szCs w:val="24"/>
        </w:rPr>
        <w:t>3</w:t>
      </w:r>
      <w:r w:rsidRPr="00C41439">
        <w:rPr>
          <w:rFonts w:ascii="Goudy Old Style" w:hAnsi="Goudy Old Style" w:cs="GoudyOlSt BT"/>
          <w:b/>
          <w:bCs/>
          <w:sz w:val="24"/>
          <w:szCs w:val="24"/>
        </w:rPr>
        <w:t> Report, p</w:t>
      </w:r>
      <w:r w:rsidR="00C41439" w:rsidRPr="00C41439">
        <w:rPr>
          <w:rFonts w:ascii="Goudy Old Style" w:hAnsi="Goudy Old Style" w:cs="GoudyOlSt BT"/>
          <w:b/>
          <w:bCs/>
          <w:sz w:val="24"/>
          <w:szCs w:val="24"/>
        </w:rPr>
        <w:t>p. E.</w:t>
      </w:r>
      <w:r w:rsidRPr="00C41439">
        <w:rPr>
          <w:rFonts w:ascii="Goudy Old Style" w:hAnsi="Goudy Old Style" w:cs="GoudyOlSt BT"/>
          <w:b/>
          <w:bCs/>
          <w:sz w:val="24"/>
          <w:szCs w:val="24"/>
        </w:rPr>
        <w:t>3</w:t>
      </w:r>
      <w:r w:rsidR="00C41439" w:rsidRPr="00C41439">
        <w:rPr>
          <w:rFonts w:ascii="Goudy Old Style" w:hAnsi="Goudy Old Style" w:cs="GoudyOlSt BT"/>
          <w:b/>
          <w:bCs/>
          <w:sz w:val="24"/>
          <w:szCs w:val="24"/>
        </w:rPr>
        <w:t>0–31</w:t>
      </w:r>
      <w:r w:rsidRPr="00C41439">
        <w:rPr>
          <w:rFonts w:ascii="Goudy Old Style" w:hAnsi="Goudy Old Style" w:cs="GoudyOlSt BT"/>
          <w:b/>
          <w:bCs/>
          <w:sz w:val="24"/>
          <w:szCs w:val="24"/>
        </w:rPr>
        <w:t xml:space="preserve">; </w:t>
      </w:r>
      <w:r w:rsidR="00801877">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pp. </w:t>
      </w:r>
      <w:r w:rsidR="00036EAE">
        <w:rPr>
          <w:rFonts w:ascii="Goudy Old Style" w:hAnsi="Goudy Old Style" w:cs="GoudyOlSt BT"/>
          <w:b/>
          <w:bCs/>
          <w:sz w:val="24"/>
          <w:szCs w:val="24"/>
        </w:rPr>
        <w:t>E.19-20</w:t>
      </w:r>
      <w:r w:rsidRPr="00C41439">
        <w:rPr>
          <w:rFonts w:ascii="Goudy Old Style" w:hAnsi="Goudy Old Style" w:cs="GoudyOlSt BT"/>
          <w:b/>
          <w:bCs/>
          <w:sz w:val="24"/>
          <w:szCs w:val="24"/>
        </w:rPr>
        <w:t>)</w:t>
      </w:r>
      <w:r w:rsidR="00C41439" w:rsidRPr="00C41439">
        <w:rPr>
          <w:rFonts w:ascii="Goudy Old Style" w:hAnsi="Goudy Old Style" w:cs="GoudyOlSt BT"/>
          <w:bCs/>
          <w:sz w:val="24"/>
          <w:szCs w:val="24"/>
        </w:rPr>
        <w:t>. Similarly, in 2007–2011</w:t>
      </w:r>
      <w:r w:rsidRPr="00C41439">
        <w:rPr>
          <w:rFonts w:ascii="Goudy Old Style" w:hAnsi="Goudy Old Style" w:cs="GoudyOlSt BT"/>
          <w:bCs/>
          <w:sz w:val="24"/>
          <w:szCs w:val="24"/>
        </w:rPr>
        <w:t xml:space="preserve">, in those jurisdictions for which data are </w:t>
      </w:r>
      <w:r w:rsidR="0012448F">
        <w:rPr>
          <w:rFonts w:ascii="Goudy Old Style" w:hAnsi="Goudy Old Style" w:cs="GoudyOlSt BT"/>
          <w:bCs/>
          <w:sz w:val="24"/>
          <w:szCs w:val="24"/>
        </w:rPr>
        <w:t>of acceptable quality for reporting</w:t>
      </w:r>
      <w:r w:rsidRPr="00C41439">
        <w:rPr>
          <w:rFonts w:ascii="Goudy Old Style" w:hAnsi="Goudy Old Style" w:cs="GoudyOlSt BT"/>
          <w:bCs/>
          <w:sz w:val="24"/>
          <w:szCs w:val="24"/>
        </w:rPr>
        <w:t>, the average mortality rate for Indigenous infants was higher than for non</w:t>
      </w:r>
      <w:r w:rsidRPr="00C41439">
        <w:rPr>
          <w:rFonts w:ascii="Goudy Old Style" w:hAnsi="Goudy Old Style" w:cs="GoudyOlSt BT"/>
          <w:bCs/>
          <w:sz w:val="24"/>
          <w:szCs w:val="24"/>
        </w:rPr>
        <w:noBreakHyphen/>
        <w:t xml:space="preserve">Indigenous infants </w:t>
      </w:r>
      <w:r w:rsidRPr="00C41439">
        <w:rPr>
          <w:rFonts w:ascii="Goudy Old Style" w:hAnsi="Goudy Old Style" w:cs="GoudyOlSt BT"/>
          <w:b/>
          <w:bCs/>
          <w:sz w:val="24"/>
          <w:szCs w:val="24"/>
        </w:rPr>
        <w:t>(201</w:t>
      </w:r>
      <w:r w:rsidR="00C41439" w:rsidRPr="00C41439">
        <w:rPr>
          <w:rFonts w:ascii="Goudy Old Style" w:hAnsi="Goudy Old Style" w:cs="GoudyOlSt BT"/>
          <w:b/>
          <w:bCs/>
          <w:sz w:val="24"/>
          <w:szCs w:val="24"/>
        </w:rPr>
        <w:t>3</w:t>
      </w:r>
      <w:r w:rsidRPr="00C41439">
        <w:rPr>
          <w:rFonts w:ascii="Goudy Old Style" w:hAnsi="Goudy Old Style" w:cs="GoudyOlSt BT"/>
          <w:b/>
          <w:bCs/>
          <w:sz w:val="24"/>
          <w:szCs w:val="24"/>
        </w:rPr>
        <w:t> Report, p. E.</w:t>
      </w:r>
      <w:r w:rsidR="00C41439" w:rsidRPr="00C41439">
        <w:rPr>
          <w:rFonts w:ascii="Goudy Old Style" w:hAnsi="Goudy Old Style" w:cs="GoudyOlSt BT"/>
          <w:b/>
          <w:bCs/>
          <w:sz w:val="24"/>
          <w:szCs w:val="24"/>
        </w:rPr>
        <w:t>30</w:t>
      </w:r>
      <w:r w:rsidRPr="00C41439">
        <w:rPr>
          <w:rFonts w:ascii="Goudy Old Style" w:hAnsi="Goudy Old Style" w:cs="GoudyOlSt BT"/>
          <w:b/>
          <w:bCs/>
          <w:sz w:val="24"/>
          <w:szCs w:val="24"/>
        </w:rPr>
        <w:t xml:space="preserve">; </w:t>
      </w:r>
      <w:r w:rsidRPr="00801877">
        <w:rPr>
          <w:rFonts w:ascii="Goudy Old Style" w:hAnsi="Goudy Old Style" w:cs="GoudyOlSt BT"/>
          <w:b/>
          <w:bCs/>
          <w:sz w:val="24"/>
          <w:szCs w:val="24"/>
        </w:rPr>
        <w:t>201</w:t>
      </w:r>
      <w:r w:rsidR="00801877" w:rsidRPr="00801877">
        <w:rPr>
          <w:rFonts w:ascii="Goudy Old Style" w:hAnsi="Goudy Old Style" w:cs="GoudyOlSt BT"/>
          <w:b/>
          <w:bCs/>
          <w:sz w:val="24"/>
          <w:szCs w:val="24"/>
        </w:rPr>
        <w:t>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 </w:t>
      </w:r>
      <w:r w:rsidR="00036EAE">
        <w:rPr>
          <w:rFonts w:ascii="Goudy Old Style" w:hAnsi="Goudy Old Style" w:cs="GoudyOlSt BT"/>
          <w:b/>
          <w:bCs/>
          <w:sz w:val="24"/>
          <w:szCs w:val="24"/>
        </w:rPr>
        <w:t>E.19</w:t>
      </w:r>
      <w:r w:rsidRPr="00C41439">
        <w:rPr>
          <w:rFonts w:ascii="Goudy Old Style" w:hAnsi="Goudy Old Style" w:cs="GoudyOlSt BT"/>
          <w:b/>
          <w:bCs/>
          <w:sz w:val="24"/>
          <w:szCs w:val="24"/>
        </w:rPr>
        <w:t>)</w:t>
      </w:r>
      <w:r w:rsidRPr="00C41439">
        <w:rPr>
          <w:rFonts w:ascii="Goudy Old Style" w:hAnsi="Goudy Old Style" w:cs="GoudyOlSt BT"/>
          <w:bCs/>
          <w:sz w:val="24"/>
          <w:szCs w:val="24"/>
        </w:rPr>
        <w:t xml:space="preserve">. </w:t>
      </w:r>
      <w:r w:rsidRPr="002B23FA">
        <w:rPr>
          <w:rFonts w:ascii="Goudy Old Style" w:hAnsi="Goudy Old Style" w:cs="GoudyOlSt BT"/>
          <w:bCs/>
          <w:sz w:val="24"/>
          <w:szCs w:val="24"/>
        </w:rPr>
        <w:t xml:space="preserve">The Health sector </w:t>
      </w:r>
      <w:r w:rsidR="006C1581" w:rsidRPr="002B23FA">
        <w:rPr>
          <w:rFonts w:ascii="Goudy Old Style" w:hAnsi="Goudy Old Style" w:cs="GoudyOlSt BT"/>
          <w:bCs/>
          <w:sz w:val="24"/>
          <w:szCs w:val="24"/>
        </w:rPr>
        <w:t>overview</w:t>
      </w:r>
      <w:r w:rsidRPr="002B23FA">
        <w:rPr>
          <w:rFonts w:ascii="Goudy Old Style" w:hAnsi="Goudy Old Style" w:cs="GoudyOlSt BT"/>
          <w:bCs/>
          <w:sz w:val="24"/>
          <w:szCs w:val="24"/>
        </w:rPr>
        <w:t xml:space="preserve"> also includes data </w:t>
      </w:r>
      <w:r w:rsidR="0049708C">
        <w:rPr>
          <w:rFonts w:ascii="Goudy Old Style" w:hAnsi="Goudy Old Style" w:cs="GoudyOlSt BT"/>
          <w:bCs/>
          <w:sz w:val="24"/>
          <w:szCs w:val="24"/>
        </w:rPr>
        <w:t xml:space="preserve">such as </w:t>
      </w:r>
      <w:r w:rsidR="00E13EF4" w:rsidRPr="002B23FA">
        <w:rPr>
          <w:rFonts w:ascii="Goudy Old Style" w:hAnsi="Goudy Old Style" w:cs="GoudyOlSt BT"/>
          <w:bCs/>
          <w:sz w:val="24"/>
          <w:szCs w:val="24"/>
        </w:rPr>
        <w:t>rates of obesity for Indigenous adults and children</w:t>
      </w:r>
      <w:r w:rsidR="0049708C">
        <w:rPr>
          <w:rFonts w:ascii="Goudy Old Style" w:hAnsi="Goudy Old Style" w:cs="GoudyOlSt BT"/>
          <w:bCs/>
          <w:sz w:val="24"/>
          <w:szCs w:val="24"/>
        </w:rPr>
        <w:t xml:space="preserve"> </w:t>
      </w:r>
      <w:r w:rsidR="0049708C" w:rsidRPr="0065534E">
        <w:rPr>
          <w:rFonts w:ascii="Goudy Old Style" w:hAnsi="Goudy Old Style" w:cs="GoudyOlSt BT"/>
          <w:b/>
          <w:bCs/>
          <w:sz w:val="24"/>
          <w:szCs w:val="24"/>
        </w:rPr>
        <w:t>(</w:t>
      </w:r>
      <w:r w:rsidR="00036EAE">
        <w:rPr>
          <w:rFonts w:ascii="Goudy Old Style" w:hAnsi="Goudy Old Style" w:cs="GoudyOlSt BT"/>
          <w:b/>
          <w:bCs/>
          <w:sz w:val="24"/>
          <w:szCs w:val="24"/>
        </w:rPr>
        <w:t xml:space="preserve">2013 Report, </w:t>
      </w:r>
      <w:r w:rsidR="0049708C" w:rsidRPr="0065534E">
        <w:rPr>
          <w:rFonts w:ascii="Goudy Old Style" w:hAnsi="Goudy Old Style" w:cs="GoudyOlSt BT"/>
          <w:b/>
          <w:bCs/>
          <w:sz w:val="24"/>
          <w:szCs w:val="24"/>
        </w:rPr>
        <w:t>p. E.14</w:t>
      </w:r>
      <w:r w:rsidR="00036EAE">
        <w:rPr>
          <w:rFonts w:ascii="Goudy Old Style" w:hAnsi="Goudy Old Style" w:cs="GoudyOlSt BT"/>
          <w:b/>
          <w:bCs/>
          <w:sz w:val="24"/>
          <w:szCs w:val="24"/>
        </w:rPr>
        <w:t>; 2013 IC, p. E.</w:t>
      </w:r>
      <w:r w:rsidR="00BF1FD0">
        <w:rPr>
          <w:rFonts w:ascii="Goudy Old Style" w:hAnsi="Goudy Old Style" w:cs="GoudyOlSt BT"/>
          <w:b/>
          <w:bCs/>
          <w:sz w:val="24"/>
          <w:szCs w:val="24"/>
        </w:rPr>
        <w:t>10-11</w:t>
      </w:r>
      <w:r w:rsidR="0049708C" w:rsidRPr="0065534E">
        <w:rPr>
          <w:rFonts w:ascii="Goudy Old Style" w:hAnsi="Goudy Old Style" w:cs="GoudyOlSt BT"/>
          <w:b/>
          <w:bCs/>
          <w:sz w:val="24"/>
          <w:szCs w:val="24"/>
        </w:rPr>
        <w:t>)</w:t>
      </w:r>
      <w:r w:rsidR="00E13EF4" w:rsidRPr="002B23FA">
        <w:rPr>
          <w:rFonts w:ascii="Goudy Old Style" w:hAnsi="Goudy Old Style" w:cs="GoudyOlSt BT"/>
          <w:bCs/>
          <w:sz w:val="24"/>
          <w:szCs w:val="24"/>
        </w:rPr>
        <w:t>, age standardised mortality rates of potentially avoidable deaths for Indigenous Australians aged under 75 years</w:t>
      </w:r>
      <w:r w:rsidR="0049708C">
        <w:rPr>
          <w:rFonts w:ascii="Goudy Old Style" w:hAnsi="Goudy Old Style" w:cs="GoudyOlSt BT"/>
          <w:bCs/>
          <w:sz w:val="24"/>
          <w:szCs w:val="24"/>
        </w:rPr>
        <w:t xml:space="preserve"> </w:t>
      </w:r>
      <w:r w:rsidR="0049708C" w:rsidRPr="0065534E">
        <w:rPr>
          <w:rFonts w:ascii="Goudy Old Style" w:hAnsi="Goudy Old Style" w:cs="GoudyOlSt BT"/>
          <w:b/>
          <w:bCs/>
          <w:sz w:val="24"/>
          <w:szCs w:val="24"/>
        </w:rPr>
        <w:t>(</w:t>
      </w:r>
      <w:r w:rsidR="00036EAE">
        <w:rPr>
          <w:rFonts w:ascii="Goudy Old Style" w:hAnsi="Goudy Old Style" w:cs="GoudyOlSt BT"/>
          <w:b/>
          <w:bCs/>
          <w:sz w:val="24"/>
          <w:szCs w:val="24"/>
        </w:rPr>
        <w:t xml:space="preserve">2013 Report, </w:t>
      </w:r>
      <w:r w:rsidR="0049708C" w:rsidRPr="0065534E">
        <w:rPr>
          <w:rFonts w:ascii="Goudy Old Style" w:hAnsi="Goudy Old Style" w:cs="GoudyOlSt BT"/>
          <w:b/>
          <w:bCs/>
          <w:sz w:val="24"/>
          <w:szCs w:val="24"/>
        </w:rPr>
        <w:t>p</w:t>
      </w:r>
      <w:r w:rsidR="0049708C">
        <w:rPr>
          <w:rFonts w:ascii="Goudy Old Style" w:hAnsi="Goudy Old Style" w:cs="GoudyOlSt BT"/>
          <w:b/>
          <w:bCs/>
          <w:sz w:val="24"/>
          <w:szCs w:val="24"/>
        </w:rPr>
        <w:t>p</w:t>
      </w:r>
      <w:r w:rsidR="0049708C" w:rsidRPr="0065534E">
        <w:rPr>
          <w:rFonts w:ascii="Goudy Old Style" w:hAnsi="Goudy Old Style" w:cs="GoudyOlSt BT"/>
          <w:b/>
          <w:bCs/>
          <w:sz w:val="24"/>
          <w:szCs w:val="24"/>
        </w:rPr>
        <w:t>. E</w:t>
      </w:r>
      <w:r w:rsidR="0049708C">
        <w:rPr>
          <w:rFonts w:ascii="Goudy Old Style" w:hAnsi="Goudy Old Style" w:cs="GoudyOlSt BT"/>
          <w:b/>
          <w:bCs/>
          <w:sz w:val="24"/>
          <w:szCs w:val="24"/>
        </w:rPr>
        <w:t>.</w:t>
      </w:r>
      <w:r w:rsidR="0049708C" w:rsidRPr="0065534E">
        <w:rPr>
          <w:rFonts w:ascii="Goudy Old Style" w:hAnsi="Goudy Old Style" w:cs="GoudyOlSt BT"/>
          <w:b/>
          <w:bCs/>
          <w:sz w:val="24"/>
          <w:szCs w:val="24"/>
        </w:rPr>
        <w:t>22–24</w:t>
      </w:r>
      <w:r w:rsidR="00036EAE">
        <w:rPr>
          <w:rFonts w:ascii="Goudy Old Style" w:hAnsi="Goudy Old Style" w:cs="GoudyOlSt BT"/>
          <w:b/>
          <w:bCs/>
          <w:sz w:val="24"/>
          <w:szCs w:val="24"/>
        </w:rPr>
        <w:t>; 2013 IC, pp. E.</w:t>
      </w:r>
      <w:r w:rsidR="00BF1FD0">
        <w:rPr>
          <w:rFonts w:ascii="Goudy Old Style" w:hAnsi="Goudy Old Style" w:cs="GoudyOlSt BT"/>
          <w:b/>
          <w:bCs/>
          <w:sz w:val="24"/>
          <w:szCs w:val="24"/>
        </w:rPr>
        <w:t>14-15</w:t>
      </w:r>
      <w:r w:rsidR="0049708C" w:rsidRPr="0065534E">
        <w:rPr>
          <w:rFonts w:ascii="Goudy Old Style" w:hAnsi="Goudy Old Style" w:cs="GoudyOlSt BT"/>
          <w:b/>
          <w:bCs/>
          <w:sz w:val="24"/>
          <w:szCs w:val="24"/>
        </w:rPr>
        <w:t>)</w:t>
      </w:r>
      <w:r w:rsidR="0049708C">
        <w:rPr>
          <w:rFonts w:ascii="Goudy Old Style" w:hAnsi="Goudy Old Style" w:cs="GoudyOlSt BT"/>
          <w:bCs/>
          <w:sz w:val="24"/>
          <w:szCs w:val="24"/>
        </w:rPr>
        <w:t xml:space="preserve"> and</w:t>
      </w:r>
      <w:r w:rsidR="00E13EF4" w:rsidRPr="002B23FA">
        <w:rPr>
          <w:rFonts w:ascii="Goudy Old Style" w:hAnsi="Goudy Old Style" w:cs="GoudyOlSt BT"/>
          <w:bCs/>
          <w:sz w:val="24"/>
          <w:szCs w:val="24"/>
        </w:rPr>
        <w:t xml:space="preserve"> life expectancy</w:t>
      </w:r>
      <w:r w:rsidR="0049708C">
        <w:rPr>
          <w:rFonts w:ascii="Goudy Old Style" w:hAnsi="Goudy Old Style" w:cs="GoudyOlSt BT"/>
          <w:bCs/>
          <w:sz w:val="24"/>
          <w:szCs w:val="24"/>
        </w:rPr>
        <w:t xml:space="preserve"> </w:t>
      </w:r>
      <w:r w:rsidR="0049708C" w:rsidRPr="0065534E">
        <w:rPr>
          <w:rFonts w:ascii="Goudy Old Style" w:hAnsi="Goudy Old Style" w:cs="GoudyOlSt BT"/>
          <w:b/>
          <w:bCs/>
          <w:sz w:val="24"/>
          <w:szCs w:val="24"/>
        </w:rPr>
        <w:t>(</w:t>
      </w:r>
      <w:r w:rsidR="00BF1FD0">
        <w:rPr>
          <w:rFonts w:ascii="Goudy Old Style" w:hAnsi="Goudy Old Style" w:cs="GoudyOlSt BT"/>
          <w:b/>
          <w:bCs/>
          <w:sz w:val="24"/>
          <w:szCs w:val="24"/>
        </w:rPr>
        <w:t>2013 </w:t>
      </w:r>
      <w:r w:rsidR="00036EAE">
        <w:rPr>
          <w:rFonts w:ascii="Goudy Old Style" w:hAnsi="Goudy Old Style" w:cs="GoudyOlSt BT"/>
          <w:b/>
          <w:bCs/>
          <w:sz w:val="24"/>
          <w:szCs w:val="24"/>
        </w:rPr>
        <w:t xml:space="preserve">Report, </w:t>
      </w:r>
      <w:r w:rsidR="00036EAE" w:rsidRPr="00036EAE">
        <w:rPr>
          <w:rFonts w:ascii="Goudy Old Style" w:hAnsi="Goudy Old Style" w:cs="GoudyOlSt BT"/>
          <w:b/>
          <w:bCs/>
          <w:sz w:val="24"/>
          <w:szCs w:val="24"/>
        </w:rPr>
        <w:t>pp.</w:t>
      </w:r>
      <w:r w:rsidR="00036EAE">
        <w:rPr>
          <w:rFonts w:ascii="Goudy Old Style" w:hAnsi="Goudy Old Style" w:cs="GoudyOlSt BT"/>
          <w:b/>
          <w:bCs/>
          <w:sz w:val="24"/>
          <w:szCs w:val="24"/>
        </w:rPr>
        <w:t> </w:t>
      </w:r>
      <w:r w:rsidR="0049708C" w:rsidRPr="0065534E">
        <w:rPr>
          <w:rFonts w:ascii="Goudy Old Style" w:hAnsi="Goudy Old Style" w:cs="GoudyOlSt BT"/>
          <w:b/>
          <w:bCs/>
          <w:sz w:val="24"/>
          <w:szCs w:val="24"/>
        </w:rPr>
        <w:t>E</w:t>
      </w:r>
      <w:r w:rsidR="0049708C">
        <w:rPr>
          <w:rFonts w:ascii="Goudy Old Style" w:hAnsi="Goudy Old Style" w:cs="GoudyOlSt BT"/>
          <w:b/>
          <w:bCs/>
          <w:sz w:val="24"/>
          <w:szCs w:val="24"/>
        </w:rPr>
        <w:t>.</w:t>
      </w:r>
      <w:r w:rsidR="0049708C" w:rsidRPr="0065534E">
        <w:rPr>
          <w:rFonts w:ascii="Goudy Old Style" w:hAnsi="Goudy Old Style" w:cs="GoudyOlSt BT"/>
          <w:b/>
          <w:bCs/>
          <w:sz w:val="24"/>
          <w:szCs w:val="24"/>
        </w:rPr>
        <w:t>26-27</w:t>
      </w:r>
      <w:r w:rsidR="00036EAE">
        <w:rPr>
          <w:rFonts w:ascii="Goudy Old Style" w:hAnsi="Goudy Old Style" w:cs="GoudyOlSt BT"/>
          <w:b/>
          <w:bCs/>
          <w:sz w:val="24"/>
          <w:szCs w:val="24"/>
        </w:rPr>
        <w:t>; 2013 IC, pp. E.</w:t>
      </w:r>
      <w:r w:rsidR="00BF1FD0">
        <w:rPr>
          <w:rFonts w:ascii="Goudy Old Style" w:hAnsi="Goudy Old Style" w:cs="GoudyOlSt BT"/>
          <w:b/>
          <w:bCs/>
          <w:sz w:val="24"/>
          <w:szCs w:val="24"/>
        </w:rPr>
        <w:t>16</w:t>
      </w:r>
      <w:r w:rsidR="0049708C" w:rsidRPr="0065534E">
        <w:rPr>
          <w:rFonts w:ascii="Goudy Old Style" w:hAnsi="Goudy Old Style" w:cs="GoudyOlSt BT"/>
          <w:b/>
          <w:bCs/>
          <w:sz w:val="24"/>
          <w:szCs w:val="24"/>
        </w:rPr>
        <w:t>)</w:t>
      </w:r>
      <w:r w:rsidR="002B23FA" w:rsidRPr="006179A5">
        <w:rPr>
          <w:rFonts w:ascii="Goudy Old Style" w:hAnsi="Goudy Old Style" w:cs="GoudyOlSt BT"/>
          <w:bCs/>
          <w:sz w:val="24"/>
          <w:szCs w:val="24"/>
        </w:rPr>
        <w:t>.</w:t>
      </w:r>
    </w:p>
    <w:p w:rsidR="0065534E" w:rsidRDefault="0065534E" w:rsidP="004F136C">
      <w:pPr>
        <w:spacing w:before="120" w:after="120" w:line="240" w:lineRule="atLeast"/>
        <w:ind w:right="53"/>
        <w:jc w:val="both"/>
        <w:rPr>
          <w:rFonts w:ascii="Goudy Old Style" w:hAnsi="Goudy Old Style" w:cs="GoudyOlSt BT"/>
          <w:b/>
          <w:bCs/>
          <w:sz w:val="24"/>
          <w:szCs w:val="24"/>
        </w:rPr>
      </w:pPr>
    </w:p>
    <w:p w:rsidR="004F136C" w:rsidRPr="006179A5" w:rsidRDefault="004F136C" w:rsidP="004F136C">
      <w:pPr>
        <w:spacing w:before="120" w:after="120" w:line="240" w:lineRule="atLeast"/>
        <w:ind w:right="53"/>
        <w:jc w:val="both"/>
        <w:rPr>
          <w:rFonts w:ascii="Goudy Old Style" w:hAnsi="Goudy Old Style" w:cs="GoudyOlSt BT"/>
          <w:bCs/>
          <w:sz w:val="24"/>
          <w:szCs w:val="24"/>
        </w:rPr>
      </w:pPr>
      <w:r w:rsidRPr="006179A5">
        <w:rPr>
          <w:rFonts w:ascii="Goudy Old Style" w:hAnsi="Goudy Old Style" w:cs="GoudyOlSt BT"/>
          <w:b/>
          <w:bCs/>
          <w:sz w:val="24"/>
          <w:szCs w:val="24"/>
        </w:rPr>
        <w:t>Public hospitals:</w:t>
      </w:r>
      <w:r w:rsidRPr="006179A5">
        <w:rPr>
          <w:rFonts w:ascii="Goudy Old Style" w:hAnsi="Goudy Old Style" w:cs="GoudyOlSt BT"/>
          <w:bCs/>
          <w:sz w:val="24"/>
          <w:szCs w:val="24"/>
        </w:rPr>
        <w:t xml:space="preserve"> The number and proportion of Indigenous patients treated within national benchmarks for emergency department waiting times </w:t>
      </w:r>
      <w:r w:rsidR="00C61864">
        <w:rPr>
          <w:rFonts w:ascii="Goudy Old Style" w:hAnsi="Goudy Old Style" w:cs="GoudyOlSt BT"/>
          <w:bCs/>
          <w:sz w:val="24"/>
          <w:szCs w:val="24"/>
        </w:rPr>
        <w:t>a</w:t>
      </w:r>
      <w:r w:rsidR="00C61864" w:rsidRPr="006179A5">
        <w:rPr>
          <w:rFonts w:ascii="Goudy Old Style" w:hAnsi="Goudy Old Style" w:cs="GoudyOlSt BT"/>
          <w:bCs/>
          <w:sz w:val="24"/>
          <w:szCs w:val="24"/>
        </w:rPr>
        <w:t xml:space="preserve">re </w:t>
      </w:r>
      <w:r w:rsidRPr="006179A5">
        <w:rPr>
          <w:rFonts w:ascii="Goudy Old Style" w:hAnsi="Goudy Old Style" w:cs="GoudyOlSt BT"/>
          <w:bCs/>
          <w:sz w:val="24"/>
          <w:szCs w:val="24"/>
        </w:rPr>
        <w:t>reported for 201</w:t>
      </w:r>
      <w:r w:rsidR="00742ED3" w:rsidRPr="006179A5">
        <w:rPr>
          <w:rFonts w:ascii="Goudy Old Style" w:hAnsi="Goudy Old Style" w:cs="GoudyOlSt BT"/>
          <w:bCs/>
          <w:sz w:val="24"/>
          <w:szCs w:val="24"/>
        </w:rPr>
        <w:t>1</w:t>
      </w:r>
      <w:r w:rsidRPr="006179A5">
        <w:rPr>
          <w:rFonts w:ascii="Goudy Old Style" w:hAnsi="Goudy Old Style" w:cs="GoudyOlSt BT"/>
          <w:bCs/>
          <w:sz w:val="24"/>
          <w:szCs w:val="24"/>
        </w:rPr>
        <w:noBreakHyphen/>
        <w:t>1</w:t>
      </w:r>
      <w:r w:rsidR="00742ED3" w:rsidRPr="006179A5">
        <w:rPr>
          <w:rFonts w:ascii="Goudy Old Style" w:hAnsi="Goudy Old Style" w:cs="GoudyOlSt BT"/>
          <w:bCs/>
          <w:sz w:val="24"/>
          <w:szCs w:val="24"/>
        </w:rPr>
        <w:t>2</w:t>
      </w:r>
      <w:r w:rsidRPr="006179A5">
        <w:rPr>
          <w:rFonts w:ascii="Goudy Old Style" w:hAnsi="Goudy Old Style" w:cs="GoudyOlSt BT"/>
          <w:bCs/>
          <w:sz w:val="24"/>
          <w:szCs w:val="24"/>
        </w:rPr>
        <w:t xml:space="preserve"> </w:t>
      </w:r>
      <w:r w:rsidRPr="006179A5">
        <w:rPr>
          <w:rFonts w:ascii="Goudy Old Style" w:hAnsi="Goudy Old Style" w:cs="GoudyOlSt BT"/>
          <w:b/>
          <w:bCs/>
          <w:sz w:val="24"/>
          <w:szCs w:val="24"/>
        </w:rPr>
        <w:t>(</w:t>
      </w:r>
      <w:r w:rsidR="00BF1FD0">
        <w:rPr>
          <w:rFonts w:ascii="Goudy Old Style" w:hAnsi="Goudy Old Style" w:cs="GoudyOlSt BT"/>
          <w:b/>
          <w:bCs/>
          <w:sz w:val="24"/>
          <w:szCs w:val="24"/>
        </w:rPr>
        <w:t xml:space="preserve">2013 Report, </w:t>
      </w:r>
      <w:r w:rsidR="00AE4A30">
        <w:rPr>
          <w:rFonts w:ascii="Goudy Old Style" w:hAnsi="Goudy Old Style" w:cs="GoudyOlSt BT"/>
          <w:b/>
          <w:bCs/>
          <w:sz w:val="24"/>
          <w:szCs w:val="24"/>
        </w:rPr>
        <w:t>p. 10.19</w:t>
      </w:r>
      <w:r w:rsidR="00BF1FD0">
        <w:rPr>
          <w:rFonts w:ascii="Goudy Old Style" w:hAnsi="Goudy Old Style" w:cs="GoudyOlSt BT"/>
          <w:b/>
          <w:bCs/>
          <w:sz w:val="24"/>
          <w:szCs w:val="24"/>
        </w:rPr>
        <w:t>; 2013 IC, p. 10.7, table 10A.19</w:t>
      </w:r>
      <w:r w:rsidRPr="006179A5">
        <w:rPr>
          <w:rFonts w:ascii="Goudy Old Style" w:hAnsi="Goudy Old Style" w:cs="GoudyOlSt BT"/>
          <w:b/>
          <w:bCs/>
          <w:sz w:val="24"/>
          <w:szCs w:val="24"/>
        </w:rPr>
        <w:t>)</w:t>
      </w:r>
      <w:r w:rsidRPr="006179A5">
        <w:rPr>
          <w:rFonts w:ascii="Goudy Old Style" w:hAnsi="Goudy Old Style" w:cs="GoudyOlSt BT"/>
          <w:bCs/>
          <w:sz w:val="24"/>
          <w:szCs w:val="24"/>
        </w:rPr>
        <w:t>. Waiting times for elective surgery in public hospitals at the 90</w:t>
      </w:r>
      <w:r w:rsidRPr="006179A5">
        <w:rPr>
          <w:rFonts w:ascii="Goudy Old Style" w:hAnsi="Goudy Old Style" w:cs="GoudyOlSt BT"/>
          <w:bCs/>
          <w:sz w:val="24"/>
          <w:szCs w:val="24"/>
          <w:vertAlign w:val="superscript"/>
        </w:rPr>
        <w:t>th</w:t>
      </w:r>
      <w:r w:rsidRPr="006179A5">
        <w:rPr>
          <w:rFonts w:ascii="Goudy Old Style" w:hAnsi="Goudy Old Style" w:cs="GoudyOlSt BT"/>
          <w:bCs/>
          <w:sz w:val="24"/>
          <w:szCs w:val="24"/>
        </w:rPr>
        <w:t xml:space="preserve"> percentile,</w:t>
      </w:r>
      <w:r w:rsidR="006179A5" w:rsidRPr="006179A5">
        <w:rPr>
          <w:rFonts w:ascii="Goudy Old Style" w:hAnsi="Goudy Old Style" w:cs="GoudyOlSt BT"/>
          <w:bCs/>
          <w:sz w:val="24"/>
          <w:szCs w:val="24"/>
        </w:rPr>
        <w:t xml:space="preserve"> reported by procedure, were 259</w:t>
      </w:r>
      <w:r w:rsidRPr="006179A5">
        <w:rPr>
          <w:rFonts w:ascii="Goudy Old Style" w:hAnsi="Goudy Old Style" w:cs="GoudyOlSt BT"/>
          <w:bCs/>
          <w:sz w:val="24"/>
          <w:szCs w:val="24"/>
        </w:rPr>
        <w:t xml:space="preserve"> days for Indigenous people, in comparison to 25</w:t>
      </w:r>
      <w:r w:rsidR="006179A5" w:rsidRPr="006179A5">
        <w:rPr>
          <w:rFonts w:ascii="Goudy Old Style" w:hAnsi="Goudy Old Style" w:cs="GoudyOlSt BT"/>
          <w:bCs/>
          <w:sz w:val="24"/>
          <w:szCs w:val="24"/>
        </w:rPr>
        <w:t>0</w:t>
      </w:r>
      <w:r w:rsidRPr="006179A5">
        <w:rPr>
          <w:rFonts w:ascii="Goudy Old Style" w:hAnsi="Goudy Old Style" w:cs="GoudyOlSt BT"/>
          <w:bCs/>
          <w:sz w:val="24"/>
          <w:szCs w:val="24"/>
        </w:rPr>
        <w:t xml:space="preserve"> days for non</w:t>
      </w:r>
      <w:r w:rsidRPr="006179A5">
        <w:rPr>
          <w:rFonts w:ascii="Goudy Old Style" w:hAnsi="Goudy Old Style" w:cs="GoudyOlSt BT"/>
          <w:bCs/>
          <w:sz w:val="24"/>
          <w:szCs w:val="24"/>
        </w:rPr>
        <w:noBreakHyphen/>
        <w:t>Indigenous people, nationally in 201</w:t>
      </w:r>
      <w:r w:rsidR="006179A5" w:rsidRPr="006179A5">
        <w:rPr>
          <w:rFonts w:ascii="Goudy Old Style" w:hAnsi="Goudy Old Style" w:cs="GoudyOlSt BT"/>
          <w:bCs/>
          <w:sz w:val="24"/>
          <w:szCs w:val="24"/>
        </w:rPr>
        <w:t>1</w:t>
      </w:r>
      <w:r w:rsidRPr="006179A5">
        <w:rPr>
          <w:rFonts w:ascii="Goudy Old Style" w:hAnsi="Goudy Old Style" w:cs="GoudyOlSt BT"/>
          <w:bCs/>
          <w:sz w:val="24"/>
          <w:szCs w:val="24"/>
        </w:rPr>
        <w:noBreakHyphen/>
        <w:t>1</w:t>
      </w:r>
      <w:r w:rsidR="006179A5" w:rsidRPr="006179A5">
        <w:rPr>
          <w:rFonts w:ascii="Goudy Old Style" w:hAnsi="Goudy Old Style" w:cs="GoudyOlSt BT"/>
          <w:bCs/>
          <w:sz w:val="24"/>
          <w:szCs w:val="24"/>
        </w:rPr>
        <w:t>2</w:t>
      </w:r>
      <w:r w:rsidRPr="006179A5">
        <w:rPr>
          <w:rFonts w:ascii="Goudy Old Style" w:hAnsi="Goudy Old Style" w:cs="GoudyOlSt BT"/>
          <w:bCs/>
          <w:sz w:val="24"/>
          <w:szCs w:val="24"/>
        </w:rPr>
        <w:t xml:space="preserve"> </w:t>
      </w:r>
      <w:r w:rsidRPr="006179A5">
        <w:rPr>
          <w:rFonts w:ascii="Goudy Old Style" w:hAnsi="Goudy Old Style" w:cs="GoudyOlSt BT"/>
          <w:b/>
          <w:bCs/>
          <w:sz w:val="24"/>
          <w:szCs w:val="24"/>
        </w:rPr>
        <w:t>(</w:t>
      </w:r>
      <w:r w:rsidR="00BF1FD0">
        <w:rPr>
          <w:rFonts w:ascii="Goudy Old Style" w:hAnsi="Goudy Old Style" w:cs="GoudyOlSt BT"/>
          <w:b/>
          <w:bCs/>
          <w:sz w:val="24"/>
          <w:szCs w:val="24"/>
        </w:rPr>
        <w:t xml:space="preserve">2013 Report, </w:t>
      </w:r>
      <w:r w:rsidR="00AE4A30">
        <w:rPr>
          <w:rFonts w:ascii="Goudy Old Style" w:hAnsi="Goudy Old Style" w:cs="GoudyOlSt BT"/>
          <w:b/>
          <w:bCs/>
          <w:sz w:val="24"/>
          <w:szCs w:val="24"/>
        </w:rPr>
        <w:t>p. 10</w:t>
      </w:r>
      <w:r w:rsidR="00BF1FD0">
        <w:rPr>
          <w:rFonts w:ascii="Goudy Old Style" w:hAnsi="Goudy Old Style" w:cs="GoudyOlSt BT"/>
          <w:b/>
          <w:bCs/>
          <w:sz w:val="24"/>
          <w:szCs w:val="24"/>
        </w:rPr>
        <w:t>.</w:t>
      </w:r>
      <w:r w:rsidR="00AE4A30">
        <w:rPr>
          <w:rFonts w:ascii="Goudy Old Style" w:hAnsi="Goudy Old Style" w:cs="GoudyOlSt BT"/>
          <w:b/>
          <w:bCs/>
          <w:sz w:val="24"/>
          <w:szCs w:val="24"/>
        </w:rPr>
        <w:t>24</w:t>
      </w:r>
      <w:r w:rsidR="00BF1FD0">
        <w:rPr>
          <w:rFonts w:ascii="Goudy Old Style" w:hAnsi="Goudy Old Style" w:cs="GoudyOlSt BT"/>
          <w:b/>
          <w:bCs/>
          <w:sz w:val="24"/>
          <w:szCs w:val="24"/>
        </w:rPr>
        <w:t xml:space="preserve">; 2013 IC, p. 10.9, </w:t>
      </w:r>
      <w:r w:rsidRPr="006179A5">
        <w:rPr>
          <w:rFonts w:ascii="Goudy Old Style" w:hAnsi="Goudy Old Style" w:cs="GoudyOlSt BT"/>
          <w:b/>
          <w:bCs/>
          <w:sz w:val="24"/>
          <w:szCs w:val="24"/>
        </w:rPr>
        <w:t>table</w:t>
      </w:r>
      <w:r w:rsidRPr="006179A5">
        <w:rPr>
          <w:rFonts w:ascii="Goudy Old Style" w:hAnsi="Goudy Old Style" w:cs="GoudyOlSt BT"/>
          <w:bCs/>
          <w:sz w:val="24"/>
          <w:szCs w:val="24"/>
        </w:rPr>
        <w:t> </w:t>
      </w:r>
      <w:r w:rsidRPr="006179A5">
        <w:rPr>
          <w:rFonts w:ascii="Goudy Old Style" w:hAnsi="Goudy Old Style" w:cs="GoudyOlSt BT"/>
          <w:b/>
          <w:bCs/>
          <w:sz w:val="24"/>
          <w:szCs w:val="24"/>
        </w:rPr>
        <w:t>10A.23)</w:t>
      </w:r>
      <w:r w:rsidRPr="006179A5">
        <w:rPr>
          <w:rFonts w:ascii="Goudy Old Style" w:hAnsi="Goudy Old Style" w:cs="GoudyOlSt BT"/>
          <w:bCs/>
          <w:sz w:val="24"/>
          <w:szCs w:val="24"/>
        </w:rPr>
        <w:t>.</w:t>
      </w:r>
      <w:r w:rsidR="0049708C">
        <w:rPr>
          <w:rFonts w:ascii="Goudy Old Style" w:hAnsi="Goudy Old Style" w:cs="GoudyOlSt BT"/>
          <w:bCs/>
          <w:sz w:val="24"/>
          <w:szCs w:val="24"/>
        </w:rPr>
        <w:t xml:space="preserve"> Other public hospitals data such as unplanned hospital readmissions rates </w:t>
      </w:r>
      <w:r w:rsidR="0049708C" w:rsidRPr="0065534E">
        <w:rPr>
          <w:rFonts w:ascii="Goudy Old Style" w:hAnsi="Goudy Old Style" w:cs="GoudyOlSt BT"/>
          <w:b/>
          <w:bCs/>
          <w:sz w:val="24"/>
          <w:szCs w:val="24"/>
        </w:rPr>
        <w:t>(</w:t>
      </w:r>
      <w:r w:rsidR="00AE4A30" w:rsidRPr="00AE4A30">
        <w:rPr>
          <w:rFonts w:ascii="Goudy Old Style" w:hAnsi="Goudy Old Style" w:cs="GoudyOlSt BT"/>
          <w:b/>
          <w:bCs/>
          <w:sz w:val="24"/>
          <w:szCs w:val="24"/>
        </w:rPr>
        <w:t>2013</w:t>
      </w:r>
      <w:r w:rsidR="00AE4A30">
        <w:rPr>
          <w:rFonts w:ascii="Goudy Old Style" w:hAnsi="Goudy Old Style" w:cs="GoudyOlSt BT"/>
          <w:b/>
          <w:bCs/>
          <w:sz w:val="24"/>
          <w:szCs w:val="24"/>
        </w:rPr>
        <w:t> </w:t>
      </w:r>
      <w:r w:rsidR="0049708C" w:rsidRPr="0065534E">
        <w:rPr>
          <w:rFonts w:ascii="Goudy Old Style" w:hAnsi="Goudy Old Style" w:cs="GoudyOlSt BT"/>
          <w:b/>
          <w:bCs/>
          <w:sz w:val="24"/>
          <w:szCs w:val="24"/>
        </w:rPr>
        <w:t xml:space="preserve">Report, </w:t>
      </w:r>
      <w:r w:rsidR="00AE4A30">
        <w:rPr>
          <w:rFonts w:ascii="Goudy Old Style" w:hAnsi="Goudy Old Style" w:cs="GoudyOlSt BT"/>
          <w:b/>
          <w:bCs/>
          <w:sz w:val="24"/>
          <w:szCs w:val="24"/>
        </w:rPr>
        <w:t>p. 10.32</w:t>
      </w:r>
      <w:r w:rsidR="0049708C" w:rsidRPr="0065534E">
        <w:rPr>
          <w:rFonts w:ascii="Goudy Old Style" w:hAnsi="Goudy Old Style" w:cs="GoudyOlSt BT"/>
          <w:b/>
          <w:bCs/>
          <w:sz w:val="24"/>
          <w:szCs w:val="24"/>
        </w:rPr>
        <w:t>; 2013 IC, 10</w:t>
      </w:r>
      <w:r w:rsidR="00AE4A30" w:rsidRPr="0065534E">
        <w:rPr>
          <w:rFonts w:ascii="Goudy Old Style" w:hAnsi="Goudy Old Style" w:cs="GoudyOlSt BT"/>
          <w:b/>
          <w:bCs/>
          <w:sz w:val="24"/>
          <w:szCs w:val="24"/>
        </w:rPr>
        <w:t>A.</w:t>
      </w:r>
      <w:r w:rsidR="00AE4A30">
        <w:rPr>
          <w:rFonts w:ascii="Goudy Old Style" w:hAnsi="Goudy Old Style" w:cs="GoudyOlSt BT"/>
          <w:b/>
          <w:bCs/>
          <w:sz w:val="24"/>
          <w:szCs w:val="24"/>
        </w:rPr>
        <w:t>44</w:t>
      </w:r>
      <w:r w:rsidR="0049708C" w:rsidRPr="0065534E">
        <w:rPr>
          <w:rFonts w:ascii="Goudy Old Style" w:hAnsi="Goudy Old Style" w:cs="GoudyOlSt BT"/>
          <w:b/>
          <w:bCs/>
          <w:sz w:val="24"/>
          <w:szCs w:val="24"/>
        </w:rPr>
        <w:t>)</w:t>
      </w:r>
      <w:r w:rsidR="0049708C">
        <w:rPr>
          <w:rFonts w:ascii="Goudy Old Style" w:hAnsi="Goudy Old Style" w:cs="GoudyOlSt BT"/>
          <w:bCs/>
          <w:sz w:val="24"/>
          <w:szCs w:val="24"/>
        </w:rPr>
        <w:t xml:space="preserve"> and perinatal death rates </w:t>
      </w:r>
      <w:r w:rsidR="0049708C" w:rsidRPr="0065534E">
        <w:rPr>
          <w:rFonts w:ascii="Goudy Old Style" w:hAnsi="Goudy Old Style" w:cs="GoudyOlSt BT"/>
          <w:b/>
          <w:bCs/>
          <w:sz w:val="24"/>
          <w:szCs w:val="24"/>
        </w:rPr>
        <w:t>(</w:t>
      </w:r>
      <w:r w:rsidR="00BF1FD0">
        <w:rPr>
          <w:rFonts w:ascii="Goudy Old Style" w:hAnsi="Goudy Old Style" w:cs="GoudyOlSt BT"/>
          <w:b/>
          <w:bCs/>
          <w:sz w:val="24"/>
          <w:szCs w:val="24"/>
        </w:rPr>
        <w:t xml:space="preserve">2013 Report </w:t>
      </w:r>
      <w:r w:rsidR="00BF1FD0" w:rsidRPr="00BF1FD0">
        <w:rPr>
          <w:rFonts w:ascii="Goudy Old Style" w:hAnsi="Goudy Old Style" w:cs="GoudyOlSt BT"/>
          <w:b/>
          <w:bCs/>
          <w:sz w:val="24"/>
          <w:szCs w:val="24"/>
        </w:rPr>
        <w:t>pp. 10.72–77; 2013</w:t>
      </w:r>
      <w:r w:rsidR="00BF1FD0">
        <w:rPr>
          <w:rFonts w:ascii="Goudy Old Style" w:hAnsi="Goudy Old Style" w:cs="GoudyOlSt BT"/>
          <w:b/>
          <w:bCs/>
          <w:sz w:val="24"/>
          <w:szCs w:val="24"/>
        </w:rPr>
        <w:t> </w:t>
      </w:r>
      <w:r w:rsidR="0049708C" w:rsidRPr="0065534E">
        <w:rPr>
          <w:rFonts w:ascii="Goudy Old Style" w:hAnsi="Goudy Old Style" w:cs="GoudyOlSt BT"/>
          <w:b/>
          <w:bCs/>
          <w:sz w:val="24"/>
          <w:szCs w:val="24"/>
        </w:rPr>
        <w:t>IC, pp. 10.</w:t>
      </w:r>
      <w:r w:rsidR="00AE4A30">
        <w:rPr>
          <w:rFonts w:ascii="Goudy Old Style" w:hAnsi="Goudy Old Style" w:cs="GoudyOlSt BT"/>
          <w:b/>
          <w:bCs/>
          <w:sz w:val="24"/>
          <w:szCs w:val="24"/>
        </w:rPr>
        <w:t>14-15</w:t>
      </w:r>
      <w:r w:rsidR="0049708C" w:rsidRPr="0065534E">
        <w:rPr>
          <w:rFonts w:ascii="Goudy Old Style" w:hAnsi="Goudy Old Style" w:cs="GoudyOlSt BT"/>
          <w:b/>
          <w:bCs/>
          <w:sz w:val="24"/>
          <w:szCs w:val="24"/>
        </w:rPr>
        <w:t>)</w:t>
      </w:r>
      <w:r w:rsidR="0049708C">
        <w:rPr>
          <w:rFonts w:ascii="Goudy Old Style" w:hAnsi="Goudy Old Style" w:cs="GoudyOlSt BT"/>
          <w:bCs/>
          <w:sz w:val="24"/>
          <w:szCs w:val="24"/>
        </w:rPr>
        <w:t xml:space="preserve"> are reported by Indigenous status. </w:t>
      </w:r>
    </w:p>
    <w:p w:rsidR="004F136C" w:rsidRPr="004F136C" w:rsidRDefault="004F136C" w:rsidP="004F136C">
      <w:pPr>
        <w:spacing w:before="120" w:after="120" w:line="240" w:lineRule="atLeast"/>
        <w:ind w:right="53"/>
        <w:jc w:val="both"/>
        <w:rPr>
          <w:rFonts w:ascii="Goudy Old Style" w:hAnsi="Goudy Old Style" w:cs="GoudyOlSt BT"/>
          <w:bCs/>
          <w:sz w:val="24"/>
          <w:szCs w:val="24"/>
          <w:highlight w:val="yellow"/>
        </w:rPr>
        <w:sectPr w:rsidR="004F136C" w:rsidRPr="004F136C" w:rsidSect="009C6A59">
          <w:pgSz w:w="11907" w:h="16840"/>
          <w:pgMar w:top="851" w:right="1247" w:bottom="360" w:left="1247" w:header="720" w:footer="720" w:gutter="0"/>
          <w:cols w:space="720"/>
          <w:titlePg/>
        </w:sectPr>
      </w:pPr>
    </w:p>
    <w:p w:rsidR="004F136C" w:rsidRPr="004F136C" w:rsidRDefault="004F136C" w:rsidP="004F136C">
      <w:pPr>
        <w:spacing w:before="120" w:after="120" w:line="240" w:lineRule="atLeast"/>
        <w:ind w:right="53"/>
        <w:jc w:val="both"/>
        <w:rPr>
          <w:rFonts w:ascii="Goudy Old Style" w:hAnsi="Goudy Old Style" w:cs="GoudyOlSt BT"/>
          <w:bCs/>
          <w:sz w:val="24"/>
          <w:szCs w:val="24"/>
          <w:highlight w:val="yellow"/>
        </w:rPr>
      </w:pPr>
      <w:r w:rsidRPr="00264DF5">
        <w:rPr>
          <w:rFonts w:ascii="Goudy Old Style" w:hAnsi="Goudy Old Style" w:cs="GoudyOlSt BT"/>
          <w:b/>
          <w:bCs/>
          <w:sz w:val="24"/>
          <w:szCs w:val="24"/>
        </w:rPr>
        <w:lastRenderedPageBreak/>
        <w:t>Primary and community health:</w:t>
      </w:r>
      <w:r w:rsidRPr="00264DF5">
        <w:rPr>
          <w:rFonts w:ascii="Goudy Old Style" w:hAnsi="Goudy Old Style" w:cs="GoudyOlSt BT"/>
          <w:bCs/>
          <w:sz w:val="24"/>
          <w:szCs w:val="24"/>
        </w:rPr>
        <w:t xml:space="preserve"> The proportion of Indigenous older </w:t>
      </w:r>
      <w:r w:rsidR="00264DF5" w:rsidRPr="00264DF5">
        <w:rPr>
          <w:rFonts w:ascii="Goudy Old Style" w:hAnsi="Goudy Old Style" w:cs="GoudyOlSt BT"/>
          <w:bCs/>
          <w:sz w:val="24"/>
          <w:szCs w:val="24"/>
        </w:rPr>
        <w:t xml:space="preserve">Australians who received an </w:t>
      </w:r>
      <w:r w:rsidRPr="00264DF5">
        <w:rPr>
          <w:rFonts w:ascii="Goudy Old Style" w:hAnsi="Goudy Old Style" w:cs="GoudyOlSt BT"/>
          <w:bCs/>
          <w:sz w:val="24"/>
          <w:szCs w:val="24"/>
        </w:rPr>
        <w:t>annual health assessment under Medicare was lower t</w:t>
      </w:r>
      <w:r w:rsidR="00264DF5" w:rsidRPr="00264DF5">
        <w:rPr>
          <w:rFonts w:ascii="Goudy Old Style" w:hAnsi="Goudy Old Style" w:cs="GoudyOlSt BT"/>
          <w:bCs/>
          <w:sz w:val="24"/>
          <w:szCs w:val="24"/>
        </w:rPr>
        <w:t xml:space="preserve">han for all older </w:t>
      </w:r>
      <w:r w:rsidR="00264DF5">
        <w:rPr>
          <w:rFonts w:ascii="Goudy Old Style" w:hAnsi="Goudy Old Style" w:cs="GoudyOlSt BT"/>
          <w:bCs/>
          <w:sz w:val="24"/>
          <w:szCs w:val="24"/>
        </w:rPr>
        <w:t>Australians</w:t>
      </w:r>
      <w:r w:rsidR="00264DF5" w:rsidRPr="00264DF5">
        <w:rPr>
          <w:rFonts w:ascii="Goudy Old Style" w:hAnsi="Goudy Old Style" w:cs="GoudyOlSt BT"/>
          <w:bCs/>
          <w:sz w:val="24"/>
          <w:szCs w:val="24"/>
        </w:rPr>
        <w:t xml:space="preserve"> in 2011</w:t>
      </w:r>
      <w:r w:rsidR="00264DF5" w:rsidRPr="00264DF5">
        <w:rPr>
          <w:rFonts w:ascii="Goudy Old Style" w:hAnsi="Goudy Old Style" w:cs="GoudyOlSt BT"/>
          <w:bCs/>
          <w:sz w:val="24"/>
          <w:szCs w:val="24"/>
        </w:rPr>
        <w:noBreakHyphen/>
        <w:t>12</w:t>
      </w:r>
      <w:r w:rsidRPr="00264DF5">
        <w:rPr>
          <w:rFonts w:ascii="Goudy Old Style" w:hAnsi="Goudy Old Style" w:cs="GoudyOlSt BT"/>
          <w:bCs/>
          <w:sz w:val="24"/>
          <w:szCs w:val="24"/>
        </w:rPr>
        <w:t xml:space="preserve"> in most states and territories </w:t>
      </w:r>
      <w:r w:rsidRPr="00264DF5">
        <w:rPr>
          <w:rFonts w:ascii="Goudy Old Style" w:hAnsi="Goudy Old Style" w:cs="GoudyOlSt BT"/>
          <w:b/>
          <w:bCs/>
          <w:sz w:val="24"/>
          <w:szCs w:val="24"/>
        </w:rPr>
        <w:t>(201</w:t>
      </w:r>
      <w:r w:rsidR="00264DF5" w:rsidRPr="00264DF5">
        <w:rPr>
          <w:rFonts w:ascii="Goudy Old Style" w:hAnsi="Goudy Old Style" w:cs="GoudyOlSt BT"/>
          <w:b/>
          <w:bCs/>
          <w:sz w:val="24"/>
          <w:szCs w:val="24"/>
        </w:rPr>
        <w:t>3</w:t>
      </w:r>
      <w:r w:rsidRPr="00264DF5">
        <w:rPr>
          <w:rFonts w:ascii="Goudy Old Style" w:hAnsi="Goudy Old Style" w:cs="GoudyOlSt BT"/>
          <w:b/>
          <w:bCs/>
          <w:sz w:val="24"/>
          <w:szCs w:val="24"/>
        </w:rPr>
        <w:t> Report, pp. 11.2</w:t>
      </w:r>
      <w:r w:rsidR="00264DF5" w:rsidRPr="00264DF5">
        <w:rPr>
          <w:rFonts w:ascii="Goudy Old Style" w:hAnsi="Goudy Old Style" w:cs="GoudyOlSt BT"/>
          <w:b/>
          <w:bCs/>
          <w:sz w:val="24"/>
          <w:szCs w:val="24"/>
        </w:rPr>
        <w:t>4–29</w:t>
      </w:r>
      <w:r w:rsidRPr="00264DF5">
        <w:rPr>
          <w:rFonts w:ascii="Goudy Old Style" w:hAnsi="Goudy Old Style" w:cs="GoudyOlSt BT"/>
          <w:b/>
          <w:bCs/>
          <w:sz w:val="24"/>
          <w:szCs w:val="24"/>
        </w:rPr>
        <w:t xml:space="preserve">; </w:t>
      </w:r>
      <w:r w:rsidR="00801877" w:rsidRPr="00801877">
        <w:rPr>
          <w:rFonts w:ascii="Goudy Old Style" w:hAnsi="Goudy Old Style" w:cs="GoudyOlSt BT"/>
          <w:b/>
          <w:bCs/>
          <w:sz w:val="24"/>
          <w:szCs w:val="24"/>
        </w:rPr>
        <w:t>2013</w:t>
      </w:r>
      <w:r w:rsidRPr="00801877">
        <w:rPr>
          <w:rFonts w:ascii="Goudy Old Style" w:hAnsi="Goudy Old Style" w:cs="GoudyOlSt BT"/>
          <w:b/>
          <w:bCs/>
          <w:sz w:val="24"/>
          <w:szCs w:val="24"/>
        </w:rPr>
        <w:t xml:space="preserve"> IC, </w:t>
      </w:r>
      <w:r w:rsidRPr="0065534E">
        <w:rPr>
          <w:rFonts w:ascii="Goudy Old Style" w:hAnsi="Goudy Old Style" w:cs="GoudyOlSt BT"/>
          <w:b/>
          <w:bCs/>
          <w:sz w:val="24"/>
          <w:szCs w:val="24"/>
        </w:rPr>
        <w:t>pp. </w:t>
      </w:r>
      <w:r w:rsidR="00285429" w:rsidRPr="0065534E">
        <w:rPr>
          <w:rFonts w:ascii="Goudy Old Style" w:hAnsi="Goudy Old Style" w:cs="GoudyOlSt BT"/>
          <w:b/>
          <w:bCs/>
          <w:sz w:val="24"/>
          <w:szCs w:val="24"/>
        </w:rPr>
        <w:t>11.</w:t>
      </w:r>
      <w:r w:rsidR="00285429">
        <w:rPr>
          <w:rFonts w:ascii="Goudy Old Style" w:hAnsi="Goudy Old Style" w:cs="GoudyOlSt BT"/>
          <w:b/>
          <w:bCs/>
          <w:sz w:val="24"/>
          <w:szCs w:val="24"/>
        </w:rPr>
        <w:t>9</w:t>
      </w:r>
      <w:r w:rsidRPr="0065534E">
        <w:rPr>
          <w:rFonts w:ascii="Goudy Old Style" w:hAnsi="Goudy Old Style" w:cs="GoudyOlSt BT"/>
          <w:b/>
          <w:bCs/>
          <w:sz w:val="24"/>
          <w:szCs w:val="24"/>
        </w:rPr>
        <w:t>–</w:t>
      </w:r>
      <w:r w:rsidR="00285429">
        <w:rPr>
          <w:rFonts w:ascii="Goudy Old Style" w:hAnsi="Goudy Old Style" w:cs="GoudyOlSt BT"/>
          <w:b/>
          <w:bCs/>
          <w:sz w:val="24"/>
          <w:szCs w:val="24"/>
        </w:rPr>
        <w:t>11</w:t>
      </w:r>
      <w:r w:rsidRPr="00264DF5">
        <w:rPr>
          <w:rFonts w:ascii="Goudy Old Style" w:hAnsi="Goudy Old Style" w:cs="GoudyOlSt BT"/>
          <w:b/>
          <w:bCs/>
          <w:sz w:val="24"/>
          <w:szCs w:val="24"/>
        </w:rPr>
        <w:t>)</w:t>
      </w:r>
      <w:r w:rsidRPr="00264DF5">
        <w:rPr>
          <w:rFonts w:ascii="Goudy Old Style" w:hAnsi="Goudy Old Style" w:cs="GoudyOlSt BT"/>
          <w:bCs/>
          <w:sz w:val="24"/>
          <w:szCs w:val="24"/>
        </w:rPr>
        <w:t>. The age standardised hospital separation rate for vaccine preventable conditions was higher for Indigenous people than for non</w:t>
      </w:r>
      <w:r w:rsidRPr="00264DF5">
        <w:rPr>
          <w:rFonts w:ascii="Goudy Old Style" w:hAnsi="Goudy Old Style" w:cs="GoudyOlSt BT"/>
          <w:bCs/>
          <w:sz w:val="24"/>
          <w:szCs w:val="24"/>
        </w:rPr>
        <w:noBreakHyphen/>
        <w:t>Indigenous people in 20</w:t>
      </w:r>
      <w:r w:rsidR="00264DF5" w:rsidRPr="00264DF5">
        <w:rPr>
          <w:rFonts w:ascii="Goudy Old Style" w:hAnsi="Goudy Old Style" w:cs="GoudyOlSt BT"/>
          <w:bCs/>
          <w:sz w:val="24"/>
          <w:szCs w:val="24"/>
        </w:rPr>
        <w:t>10</w:t>
      </w:r>
      <w:r w:rsidR="00264DF5" w:rsidRPr="00264DF5">
        <w:rPr>
          <w:rFonts w:ascii="Goudy Old Style" w:hAnsi="Goudy Old Style" w:cs="GoudyOlSt BT"/>
          <w:bCs/>
          <w:sz w:val="24"/>
          <w:szCs w:val="24"/>
        </w:rPr>
        <w:noBreakHyphen/>
        <w:t>11</w:t>
      </w:r>
      <w:r w:rsidRPr="00264DF5">
        <w:rPr>
          <w:rFonts w:ascii="Goudy Old Style" w:hAnsi="Goudy Old Style" w:cs="GoudyOlSt BT"/>
          <w:bCs/>
          <w:sz w:val="24"/>
          <w:szCs w:val="24"/>
        </w:rPr>
        <w:t xml:space="preserve">, </w:t>
      </w:r>
      <w:r w:rsidRPr="00815CE0">
        <w:rPr>
          <w:rFonts w:ascii="Goudy Old Style" w:hAnsi="Goudy Old Style" w:cs="GoudyOlSt BT"/>
          <w:bCs/>
          <w:sz w:val="24"/>
          <w:szCs w:val="24"/>
        </w:rPr>
        <w:t xml:space="preserve">in most jurisdictions </w:t>
      </w:r>
      <w:r w:rsidRPr="00815CE0">
        <w:rPr>
          <w:rFonts w:ascii="Goudy Old Style" w:hAnsi="Goudy Old Style" w:cs="GoudyOlSt BT"/>
          <w:b/>
          <w:bCs/>
          <w:sz w:val="24"/>
          <w:szCs w:val="24"/>
        </w:rPr>
        <w:t>(201</w:t>
      </w:r>
      <w:r w:rsidR="00815CE0">
        <w:rPr>
          <w:rFonts w:ascii="Goudy Old Style" w:hAnsi="Goudy Old Style" w:cs="GoudyOlSt BT"/>
          <w:b/>
          <w:bCs/>
          <w:sz w:val="24"/>
          <w:szCs w:val="24"/>
        </w:rPr>
        <w:t>3</w:t>
      </w:r>
      <w:r w:rsidRPr="00815CE0">
        <w:rPr>
          <w:rFonts w:ascii="Goudy Old Style" w:hAnsi="Goudy Old Style" w:cs="GoudyOlSt BT"/>
          <w:b/>
          <w:bCs/>
          <w:sz w:val="24"/>
          <w:szCs w:val="24"/>
        </w:rPr>
        <w:t xml:space="preserve"> Report, </w:t>
      </w:r>
      <w:r w:rsidR="00815CE0" w:rsidRPr="00815CE0">
        <w:rPr>
          <w:rFonts w:ascii="Goudy Old Style" w:hAnsi="Goudy Old Style" w:cs="GoudyOlSt BT"/>
          <w:b/>
          <w:bCs/>
          <w:sz w:val="24"/>
          <w:szCs w:val="24"/>
        </w:rPr>
        <w:t>pp. 11.7</w:t>
      </w:r>
      <w:r w:rsidR="0055450A">
        <w:rPr>
          <w:rFonts w:ascii="Goudy Old Style" w:hAnsi="Goudy Old Style" w:cs="GoudyOlSt BT"/>
          <w:b/>
          <w:bCs/>
          <w:sz w:val="24"/>
          <w:szCs w:val="24"/>
        </w:rPr>
        <w:t>6</w:t>
      </w:r>
      <w:r w:rsidR="008A4367">
        <w:rPr>
          <w:rFonts w:ascii="Goudy Old Style" w:hAnsi="Goudy Old Style" w:cs="GoudyOlSt BT"/>
          <w:b/>
          <w:bCs/>
          <w:sz w:val="24"/>
          <w:szCs w:val="24"/>
        </w:rPr>
        <w:t>–</w:t>
      </w:r>
      <w:r w:rsidR="0055450A">
        <w:rPr>
          <w:rFonts w:ascii="Goudy Old Style" w:hAnsi="Goudy Old Style" w:cs="GoudyOlSt BT"/>
          <w:b/>
          <w:bCs/>
          <w:sz w:val="24"/>
          <w:szCs w:val="24"/>
        </w:rPr>
        <w:t>79</w:t>
      </w:r>
      <w:r w:rsidRPr="00815CE0">
        <w:rPr>
          <w:rFonts w:ascii="Goudy Old Style" w:hAnsi="Goudy Old Style" w:cs="GoudyOlSt BT"/>
          <w:b/>
          <w:bCs/>
          <w:sz w:val="24"/>
          <w:szCs w:val="24"/>
        </w:rPr>
        <w:t xml:space="preserve">; </w:t>
      </w:r>
      <w:r w:rsidR="00801877" w:rsidRPr="00801877">
        <w:rPr>
          <w:rFonts w:ascii="Goudy Old Style" w:hAnsi="Goudy Old Style" w:cs="GoudyOlSt BT"/>
          <w:b/>
          <w:bCs/>
          <w:sz w:val="24"/>
          <w:szCs w:val="24"/>
        </w:rPr>
        <w:t>2013</w:t>
      </w:r>
      <w:r w:rsidRPr="00801877">
        <w:rPr>
          <w:rFonts w:ascii="Goudy Old Style" w:hAnsi="Goudy Old Style" w:cs="GoudyOlSt BT"/>
          <w:b/>
          <w:bCs/>
          <w:sz w:val="24"/>
          <w:szCs w:val="24"/>
        </w:rPr>
        <w:t> IC</w:t>
      </w:r>
      <w:r w:rsidRPr="005F3D89">
        <w:rPr>
          <w:rFonts w:ascii="Goudy Old Style" w:hAnsi="Goudy Old Style" w:cs="GoudyOlSt BT"/>
          <w:b/>
          <w:bCs/>
          <w:sz w:val="24"/>
          <w:szCs w:val="24"/>
        </w:rPr>
        <w:t xml:space="preserve">, </w:t>
      </w:r>
      <w:r w:rsidRPr="0065534E">
        <w:rPr>
          <w:rFonts w:ascii="Goudy Old Style" w:hAnsi="Goudy Old Style" w:cs="GoudyOlSt BT"/>
          <w:b/>
          <w:bCs/>
          <w:sz w:val="24"/>
          <w:szCs w:val="24"/>
        </w:rPr>
        <w:t>p</w:t>
      </w:r>
      <w:r w:rsidR="0035317B" w:rsidRPr="0065534E">
        <w:rPr>
          <w:rFonts w:ascii="Goudy Old Style" w:hAnsi="Goudy Old Style" w:cs="GoudyOlSt BT"/>
          <w:b/>
          <w:bCs/>
          <w:sz w:val="24"/>
          <w:szCs w:val="24"/>
        </w:rPr>
        <w:t>p</w:t>
      </w:r>
      <w:r w:rsidRPr="0065534E">
        <w:rPr>
          <w:rFonts w:ascii="Goudy Old Style" w:hAnsi="Goudy Old Style" w:cs="GoudyOlSt BT"/>
          <w:b/>
          <w:bCs/>
          <w:sz w:val="24"/>
          <w:szCs w:val="24"/>
        </w:rPr>
        <w:t>. </w:t>
      </w:r>
      <w:r w:rsidR="0035317B">
        <w:rPr>
          <w:rFonts w:ascii="Goudy Old Style" w:hAnsi="Goudy Old Style" w:cs="GoudyOlSt BT"/>
          <w:b/>
          <w:bCs/>
          <w:sz w:val="24"/>
          <w:szCs w:val="24"/>
        </w:rPr>
        <w:t>11.26–28</w:t>
      </w:r>
      <w:r w:rsidRPr="007A37A3">
        <w:rPr>
          <w:rFonts w:ascii="Goudy Old Style" w:hAnsi="Goudy Old Style" w:cs="GoudyOlSt BT"/>
          <w:b/>
          <w:bCs/>
          <w:sz w:val="24"/>
          <w:szCs w:val="24"/>
        </w:rPr>
        <w:t>)</w:t>
      </w:r>
      <w:r w:rsidRPr="007A37A3">
        <w:rPr>
          <w:rFonts w:ascii="Goudy Old Style" w:hAnsi="Goudy Old Style" w:cs="GoudyOlSt BT"/>
          <w:bCs/>
          <w:sz w:val="24"/>
          <w:szCs w:val="24"/>
        </w:rPr>
        <w:t>.</w:t>
      </w:r>
    </w:p>
    <w:p w:rsidR="004F136C" w:rsidRPr="004F136C" w:rsidRDefault="004F136C" w:rsidP="004F136C">
      <w:pPr>
        <w:rPr>
          <w:rFonts w:ascii="Goudy Old Style" w:hAnsi="Goudy Old Style"/>
          <w:highlight w:val="yellow"/>
        </w:rPr>
      </w:pPr>
    </w:p>
    <w:tbl>
      <w:tblPr>
        <w:tblpPr w:leftFromText="181" w:rightFromText="181" w:vertAnchor="text" w:tblpXSpec="right" w:tblpY="1"/>
        <w:tblOverlap w:val="never"/>
        <w:tblW w:w="9418" w:type="dxa"/>
        <w:tblLayout w:type="fixed"/>
        <w:tblCellMar>
          <w:left w:w="0" w:type="dxa"/>
          <w:right w:w="0" w:type="dxa"/>
        </w:tblCellMar>
        <w:tblLook w:val="0000" w:firstRow="0" w:lastRow="0" w:firstColumn="0" w:lastColumn="0" w:noHBand="0" w:noVBand="0"/>
      </w:tblPr>
      <w:tblGrid>
        <w:gridCol w:w="4652"/>
        <w:gridCol w:w="236"/>
        <w:gridCol w:w="4530"/>
      </w:tblGrid>
      <w:tr w:rsidR="004F136C" w:rsidRPr="004F136C" w:rsidTr="000A6A89">
        <w:tc>
          <w:tcPr>
            <w:tcW w:w="4652" w:type="dxa"/>
            <w:tcBorders>
              <w:bottom w:val="single" w:sz="4" w:space="0" w:color="auto"/>
            </w:tcBorders>
          </w:tcPr>
          <w:p w:rsidR="004F136C" w:rsidRPr="004F136C" w:rsidRDefault="004F136C" w:rsidP="00A90A58">
            <w:pPr>
              <w:numPr>
                <w:ilvl w:val="12"/>
                <w:numId w:val="0"/>
              </w:numPr>
              <w:spacing w:after="120"/>
              <w:rPr>
                <w:rFonts w:ascii="Goudy Old Style" w:hAnsi="Goudy Old Style"/>
                <w:b/>
                <w:color w:val="008000"/>
                <w:sz w:val="20"/>
                <w:highlight w:val="yellow"/>
              </w:rPr>
            </w:pPr>
            <w:r w:rsidRPr="00A90A58">
              <w:rPr>
                <w:rFonts w:ascii="Goudy Old Style" w:hAnsi="Goudy Old Style"/>
                <w:b/>
                <w:sz w:val="20"/>
              </w:rPr>
              <w:t>Older people who received an annual health assessment by Indigenous status, 201</w:t>
            </w:r>
            <w:r w:rsidR="00A90A58" w:rsidRPr="00A90A58">
              <w:rPr>
                <w:rFonts w:ascii="Goudy Old Style" w:hAnsi="Goudy Old Style"/>
                <w:b/>
                <w:sz w:val="20"/>
              </w:rPr>
              <w:t>1</w:t>
            </w:r>
            <w:r w:rsidRPr="00A90A58">
              <w:rPr>
                <w:rFonts w:ascii="Goudy Old Style" w:hAnsi="Goudy Old Style"/>
                <w:b/>
                <w:sz w:val="20"/>
              </w:rPr>
              <w:t>-1</w:t>
            </w:r>
            <w:r w:rsidR="00A90A58" w:rsidRPr="00A90A58">
              <w:rPr>
                <w:rFonts w:ascii="Goudy Old Style" w:hAnsi="Goudy Old Style"/>
                <w:b/>
                <w:sz w:val="20"/>
              </w:rPr>
              <w:t>2</w:t>
            </w:r>
            <w:r w:rsidRPr="00A90A58">
              <w:rPr>
                <w:rFonts w:ascii="Goudy Old Style" w:hAnsi="Goudy Old Style"/>
                <w:b/>
                <w:position w:val="6"/>
                <w:sz w:val="20"/>
              </w:rPr>
              <w:t>a</w:t>
            </w:r>
          </w:p>
        </w:tc>
        <w:tc>
          <w:tcPr>
            <w:tcW w:w="236" w:type="dxa"/>
            <w:tcBorders>
              <w:bottom w:val="single" w:sz="4" w:space="0" w:color="auto"/>
            </w:tcBorders>
          </w:tcPr>
          <w:p w:rsidR="004F136C" w:rsidRPr="004F136C" w:rsidRDefault="004F136C" w:rsidP="004F136C">
            <w:pPr>
              <w:numPr>
                <w:ilvl w:val="12"/>
                <w:numId w:val="0"/>
              </w:numPr>
              <w:spacing w:after="120"/>
              <w:rPr>
                <w:rFonts w:ascii="Goudy Old Style" w:hAnsi="Goudy Old Style"/>
                <w:b/>
                <w:color w:val="008000"/>
                <w:sz w:val="20"/>
                <w:highlight w:val="yellow"/>
              </w:rPr>
            </w:pPr>
          </w:p>
        </w:tc>
        <w:tc>
          <w:tcPr>
            <w:tcW w:w="4530" w:type="dxa"/>
            <w:tcBorders>
              <w:bottom w:val="single" w:sz="4" w:space="0" w:color="auto"/>
            </w:tcBorders>
          </w:tcPr>
          <w:p w:rsidR="004F136C" w:rsidRPr="004F136C" w:rsidRDefault="004F136C" w:rsidP="00607A52">
            <w:pPr>
              <w:numPr>
                <w:ilvl w:val="12"/>
                <w:numId w:val="0"/>
              </w:numPr>
              <w:spacing w:after="120"/>
              <w:rPr>
                <w:rFonts w:ascii="Goudy Old Style" w:hAnsi="Goudy Old Style"/>
                <w:b/>
                <w:sz w:val="20"/>
                <w:highlight w:val="yellow"/>
              </w:rPr>
            </w:pPr>
            <w:r w:rsidRPr="00607A52">
              <w:rPr>
                <w:rFonts w:ascii="Goudy Old Style" w:hAnsi="Goudy Old Style"/>
                <w:b/>
                <w:sz w:val="20"/>
              </w:rPr>
              <w:t>Separations for vaccine preventable conditions by Indigenous status, 20</w:t>
            </w:r>
            <w:r w:rsidR="00607A52" w:rsidRPr="00607A52">
              <w:rPr>
                <w:rFonts w:ascii="Goudy Old Style" w:hAnsi="Goudy Old Style"/>
                <w:b/>
                <w:sz w:val="20"/>
              </w:rPr>
              <w:t>10</w:t>
            </w:r>
            <w:r w:rsidRPr="00607A52">
              <w:rPr>
                <w:rFonts w:ascii="Goudy Old Style" w:hAnsi="Goudy Old Style"/>
                <w:b/>
                <w:sz w:val="20"/>
              </w:rPr>
              <w:t>-1</w:t>
            </w:r>
            <w:r w:rsidR="00607A52" w:rsidRPr="00607A52">
              <w:rPr>
                <w:rFonts w:ascii="Goudy Old Style" w:hAnsi="Goudy Old Style"/>
                <w:b/>
                <w:sz w:val="20"/>
              </w:rPr>
              <w:t>1</w:t>
            </w:r>
            <w:r w:rsidRPr="00607A52">
              <w:rPr>
                <w:rFonts w:ascii="Goudy Old Style" w:hAnsi="Goudy Old Style"/>
                <w:b/>
                <w:position w:val="6"/>
                <w:sz w:val="20"/>
              </w:rPr>
              <w:t>a</w:t>
            </w:r>
          </w:p>
        </w:tc>
      </w:tr>
      <w:tr w:rsidR="004F136C" w:rsidRPr="004F136C" w:rsidTr="000A6A89">
        <w:tblPrEx>
          <w:tblCellMar>
            <w:left w:w="108" w:type="dxa"/>
            <w:right w:w="108" w:type="dxa"/>
          </w:tblCellMar>
        </w:tblPrEx>
        <w:trPr>
          <w:trHeight w:val="3587"/>
        </w:trPr>
        <w:tc>
          <w:tcPr>
            <w:tcW w:w="4652" w:type="dxa"/>
            <w:tcBorders>
              <w:top w:val="single" w:sz="4" w:space="0" w:color="auto"/>
              <w:bottom w:val="single" w:sz="4" w:space="0" w:color="auto"/>
            </w:tcBorders>
          </w:tcPr>
          <w:p w:rsidR="004F136C" w:rsidRPr="000A6A89" w:rsidRDefault="003E321F" w:rsidP="004F136C">
            <w:pPr>
              <w:numPr>
                <w:ilvl w:val="12"/>
                <w:numId w:val="0"/>
              </w:numPr>
              <w:spacing w:after="120"/>
              <w:jc w:val="center"/>
              <w:rPr>
                <w:rFonts w:ascii="Goudy Old Style" w:hAnsi="Goudy Old Style"/>
                <w:color w:val="008000"/>
              </w:rPr>
            </w:pPr>
            <w:r w:rsidRPr="000A6A89">
              <w:rPr>
                <w:noProof/>
              </w:rPr>
              <w:drawing>
                <wp:inline distT="0" distB="0" distL="0" distR="0" wp14:anchorId="237DF0B2" wp14:editId="31879456">
                  <wp:extent cx="2772000" cy="2160000"/>
                  <wp:effectExtent l="0" t="0" r="0" b="0"/>
                  <wp:docPr id="7" name="Chart 7" descr="More details can be found within the text surrounding this image. &#10;&#10;Older people who received an annual health assessment by Indigenous status, 201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236" w:type="dxa"/>
            <w:tcBorders>
              <w:top w:val="single" w:sz="4" w:space="0" w:color="auto"/>
              <w:bottom w:val="single" w:sz="4" w:space="0" w:color="auto"/>
            </w:tcBorders>
          </w:tcPr>
          <w:p w:rsidR="004F136C" w:rsidRPr="000A6A89" w:rsidRDefault="004F136C" w:rsidP="004F136C">
            <w:pPr>
              <w:numPr>
                <w:ilvl w:val="12"/>
                <w:numId w:val="0"/>
              </w:numPr>
              <w:spacing w:after="120"/>
              <w:jc w:val="both"/>
              <w:rPr>
                <w:rFonts w:ascii="Goudy Old Style" w:hAnsi="Goudy Old Style"/>
              </w:rPr>
            </w:pPr>
          </w:p>
        </w:tc>
        <w:tc>
          <w:tcPr>
            <w:tcW w:w="4530" w:type="dxa"/>
            <w:tcBorders>
              <w:top w:val="single" w:sz="4" w:space="0" w:color="auto"/>
              <w:bottom w:val="single" w:sz="4" w:space="0" w:color="auto"/>
            </w:tcBorders>
          </w:tcPr>
          <w:p w:rsidR="004F136C" w:rsidRPr="000A6A89" w:rsidRDefault="000A6A89" w:rsidP="004F136C">
            <w:pPr>
              <w:numPr>
                <w:ilvl w:val="12"/>
                <w:numId w:val="0"/>
              </w:numPr>
              <w:spacing w:after="120"/>
              <w:jc w:val="center"/>
              <w:rPr>
                <w:rFonts w:ascii="Goudy Old Style" w:hAnsi="Goudy Old Style"/>
                <w:sz w:val="14"/>
                <w:szCs w:val="14"/>
              </w:rPr>
            </w:pPr>
            <w:r w:rsidRPr="000A6A89">
              <w:rPr>
                <w:noProof/>
              </w:rPr>
              <w:drawing>
                <wp:inline distT="0" distB="0" distL="0" distR="0" wp14:anchorId="39527F82" wp14:editId="2CF27705">
                  <wp:extent cx="2772000" cy="2160000"/>
                  <wp:effectExtent l="0" t="0" r="0" b="0"/>
                  <wp:docPr id="8" name="Chart 8" descr="More details can be found within the text surrounding this image. &#10;&#10;Separations for vaccine preventable conditions by Indigenous status, 2010-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4F136C" w:rsidRPr="004F136C" w:rsidTr="000A6A89">
        <w:trPr>
          <w:trHeight w:val="209"/>
        </w:trPr>
        <w:tc>
          <w:tcPr>
            <w:tcW w:w="4652" w:type="dxa"/>
            <w:tcBorders>
              <w:top w:val="single" w:sz="4" w:space="0" w:color="auto"/>
            </w:tcBorders>
          </w:tcPr>
          <w:p w:rsidR="004F136C" w:rsidRPr="000A6A89" w:rsidRDefault="004F136C" w:rsidP="004F136C">
            <w:pPr>
              <w:numPr>
                <w:ilvl w:val="12"/>
                <w:numId w:val="0"/>
              </w:numPr>
              <w:spacing w:after="120"/>
              <w:jc w:val="both"/>
              <w:rPr>
                <w:rFonts w:ascii="Goudy Old Style" w:hAnsi="Goudy Old Style"/>
                <w:sz w:val="16"/>
                <w:szCs w:val="16"/>
              </w:rPr>
            </w:pPr>
            <w:r w:rsidRPr="000A6A89">
              <w:rPr>
                <w:rFonts w:ascii="Goudy Old Style" w:hAnsi="Goudy Old Style"/>
                <w:sz w:val="16"/>
                <w:szCs w:val="16"/>
              </w:rPr>
              <w:t>See first page for footnote.</w:t>
            </w:r>
          </w:p>
        </w:tc>
        <w:tc>
          <w:tcPr>
            <w:tcW w:w="236" w:type="dxa"/>
            <w:tcBorders>
              <w:top w:val="single" w:sz="4" w:space="0" w:color="auto"/>
            </w:tcBorders>
          </w:tcPr>
          <w:p w:rsidR="004F136C" w:rsidRPr="000A6A89" w:rsidRDefault="004F136C" w:rsidP="004F136C">
            <w:pPr>
              <w:numPr>
                <w:ilvl w:val="12"/>
                <w:numId w:val="0"/>
              </w:numPr>
              <w:spacing w:after="120"/>
              <w:jc w:val="both"/>
              <w:rPr>
                <w:rFonts w:ascii="Goudy Old Style" w:hAnsi="Goudy Old Style"/>
                <w:sz w:val="16"/>
                <w:szCs w:val="16"/>
              </w:rPr>
            </w:pPr>
          </w:p>
        </w:tc>
        <w:tc>
          <w:tcPr>
            <w:tcW w:w="4530" w:type="dxa"/>
            <w:tcBorders>
              <w:top w:val="single" w:sz="4" w:space="0" w:color="auto"/>
            </w:tcBorders>
          </w:tcPr>
          <w:p w:rsidR="004F136C" w:rsidRPr="000A6A89" w:rsidRDefault="004F136C" w:rsidP="004F136C">
            <w:pPr>
              <w:numPr>
                <w:ilvl w:val="12"/>
                <w:numId w:val="0"/>
              </w:numPr>
              <w:spacing w:after="120"/>
              <w:jc w:val="both"/>
              <w:rPr>
                <w:rFonts w:ascii="Goudy Old Style" w:hAnsi="Goudy Old Style"/>
                <w:sz w:val="20"/>
              </w:rPr>
            </w:pPr>
            <w:r w:rsidRPr="000A6A89">
              <w:rPr>
                <w:rFonts w:ascii="Goudy Old Style" w:hAnsi="Goudy Old Style"/>
                <w:sz w:val="16"/>
                <w:szCs w:val="16"/>
              </w:rPr>
              <w:t>See first page for footnote.</w:t>
            </w:r>
          </w:p>
        </w:tc>
      </w:tr>
    </w:tbl>
    <w:p w:rsidR="004F136C" w:rsidRPr="00122215" w:rsidRDefault="004F136C" w:rsidP="004F136C">
      <w:pPr>
        <w:rPr>
          <w:rFonts w:ascii="Goudy Old Style" w:hAnsi="Goudy Old Style"/>
        </w:rPr>
      </w:pPr>
    </w:p>
    <w:tbl>
      <w:tblPr>
        <w:tblpPr w:leftFromText="181" w:rightFromText="181" w:vertAnchor="text" w:tblpXSpec="right" w:tblpY="171"/>
        <w:tblOverlap w:val="never"/>
        <w:tblW w:w="4722" w:type="dxa"/>
        <w:tblLayout w:type="fixed"/>
        <w:tblCellMar>
          <w:left w:w="0" w:type="dxa"/>
          <w:right w:w="0" w:type="dxa"/>
        </w:tblCellMar>
        <w:tblLook w:val="0000" w:firstRow="0" w:lastRow="0" w:firstColumn="0" w:lastColumn="0" w:noHBand="0" w:noVBand="0"/>
      </w:tblPr>
      <w:tblGrid>
        <w:gridCol w:w="4722"/>
      </w:tblGrid>
      <w:tr w:rsidR="004F136C" w:rsidRPr="00122215" w:rsidTr="005823E5">
        <w:trPr>
          <w:trHeight w:val="541"/>
        </w:trPr>
        <w:tc>
          <w:tcPr>
            <w:tcW w:w="4722" w:type="dxa"/>
            <w:tcBorders>
              <w:bottom w:val="single" w:sz="4" w:space="0" w:color="auto"/>
            </w:tcBorders>
          </w:tcPr>
          <w:p w:rsidR="004F136C" w:rsidRPr="00122215" w:rsidRDefault="004F136C" w:rsidP="005823E5">
            <w:pPr>
              <w:keepNext/>
              <w:numPr>
                <w:ilvl w:val="12"/>
                <w:numId w:val="0"/>
              </w:numPr>
              <w:rPr>
                <w:rFonts w:ascii="Goudy Old Style" w:hAnsi="Goudy Old Style"/>
                <w:sz w:val="20"/>
              </w:rPr>
            </w:pPr>
            <w:r w:rsidRPr="00122215">
              <w:rPr>
                <w:rFonts w:ascii="Goudy Old Style" w:hAnsi="Goudy Old Style"/>
                <w:color w:val="0000FF"/>
                <w:sz w:val="20"/>
              </w:rPr>
              <w:br w:type="page"/>
            </w:r>
            <w:r w:rsidRPr="00122215">
              <w:rPr>
                <w:rFonts w:ascii="Goudy Old Style" w:hAnsi="Goudy Old Style"/>
                <w:color w:val="0000FF"/>
                <w:sz w:val="20"/>
              </w:rPr>
              <w:br w:type="page"/>
            </w:r>
            <w:r w:rsidRPr="00122215">
              <w:rPr>
                <w:rFonts w:ascii="Goudy Old Style" w:hAnsi="Goudy Old Style"/>
                <w:b/>
                <w:sz w:val="20"/>
              </w:rPr>
              <w:t>Population using State and Territory specialised public mental health serv</w:t>
            </w:r>
            <w:r w:rsidR="0059351D" w:rsidRPr="00122215">
              <w:rPr>
                <w:rFonts w:ascii="Goudy Old Style" w:hAnsi="Goudy Old Style"/>
                <w:b/>
                <w:sz w:val="20"/>
              </w:rPr>
              <w:t>ices, by Indigenous status, 2010-11</w:t>
            </w:r>
            <w:r w:rsidRPr="00122215">
              <w:rPr>
                <w:rFonts w:ascii="Goudy Old Style" w:hAnsi="Goudy Old Style"/>
                <w:b/>
                <w:bCs/>
                <w:position w:val="6"/>
                <w:sz w:val="20"/>
              </w:rPr>
              <w:t>a</w:t>
            </w:r>
          </w:p>
        </w:tc>
      </w:tr>
      <w:tr w:rsidR="004F136C" w:rsidRPr="00122215" w:rsidTr="005823E5">
        <w:tblPrEx>
          <w:tblCellMar>
            <w:left w:w="108" w:type="dxa"/>
            <w:right w:w="108" w:type="dxa"/>
          </w:tblCellMar>
        </w:tblPrEx>
        <w:trPr>
          <w:trHeight w:val="3306"/>
        </w:trPr>
        <w:tc>
          <w:tcPr>
            <w:tcW w:w="4722" w:type="dxa"/>
            <w:tcBorders>
              <w:top w:val="single" w:sz="4" w:space="0" w:color="auto"/>
              <w:bottom w:val="single" w:sz="4" w:space="0" w:color="auto"/>
            </w:tcBorders>
          </w:tcPr>
          <w:p w:rsidR="004F136C" w:rsidRPr="00122215" w:rsidRDefault="00A71517" w:rsidP="005823E5">
            <w:pPr>
              <w:rPr>
                <w:rFonts w:ascii="Goudy Old Style" w:hAnsi="Goudy Old Style"/>
                <w:color w:val="0000FF"/>
              </w:rPr>
            </w:pPr>
            <w:r w:rsidRPr="00122215">
              <w:rPr>
                <w:noProof/>
              </w:rPr>
              <w:drawing>
                <wp:inline distT="0" distB="0" distL="0" distR="0" wp14:anchorId="6CCCB7A8" wp14:editId="04AE94C2">
                  <wp:extent cx="2894275" cy="2162754"/>
                  <wp:effectExtent l="0" t="0" r="1905" b="0"/>
                  <wp:docPr id="11" name="Chart 11" descr="Figure Population using State and Territory specialised public mental health services, by Indigenous status, 2010-11&#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4F136C" w:rsidRPr="00122215" w:rsidTr="005823E5">
        <w:trPr>
          <w:trHeight w:val="222"/>
        </w:trPr>
        <w:tc>
          <w:tcPr>
            <w:tcW w:w="4722" w:type="dxa"/>
            <w:tcBorders>
              <w:top w:val="single" w:sz="4" w:space="0" w:color="auto"/>
            </w:tcBorders>
          </w:tcPr>
          <w:p w:rsidR="004F136C" w:rsidRPr="00122215" w:rsidRDefault="004F136C" w:rsidP="005823E5">
            <w:pPr>
              <w:numPr>
                <w:ilvl w:val="12"/>
                <w:numId w:val="0"/>
              </w:numPr>
              <w:jc w:val="both"/>
              <w:rPr>
                <w:rFonts w:ascii="Goudy Old Style" w:hAnsi="Goudy Old Style"/>
                <w:sz w:val="16"/>
                <w:szCs w:val="16"/>
              </w:rPr>
            </w:pPr>
            <w:r w:rsidRPr="00122215">
              <w:rPr>
                <w:rFonts w:ascii="Goudy Old Style" w:hAnsi="Goudy Old Style"/>
                <w:sz w:val="16"/>
                <w:szCs w:val="16"/>
              </w:rPr>
              <w:t>See first page for footnote.</w:t>
            </w:r>
          </w:p>
        </w:tc>
      </w:tr>
    </w:tbl>
    <w:p w:rsidR="004F136C" w:rsidRPr="00122215" w:rsidRDefault="004F136C" w:rsidP="000047BE">
      <w:pPr>
        <w:spacing w:before="120" w:after="120" w:line="240" w:lineRule="atLeast"/>
        <w:ind w:right="51"/>
        <w:jc w:val="both"/>
        <w:rPr>
          <w:rFonts w:ascii="Goudy Old Style" w:hAnsi="Goudy Old Style" w:cs="GoudyOlSt BT"/>
          <w:bCs/>
          <w:sz w:val="24"/>
          <w:szCs w:val="24"/>
        </w:rPr>
      </w:pPr>
      <w:r w:rsidRPr="00122215">
        <w:rPr>
          <w:rFonts w:ascii="Goudy Old Style" w:hAnsi="Goudy Old Style" w:cs="GoudyOlSt BT"/>
          <w:b/>
          <w:bCs/>
          <w:sz w:val="24"/>
          <w:szCs w:val="24"/>
        </w:rPr>
        <w:t xml:space="preserve">Mental health management: </w:t>
      </w:r>
      <w:r w:rsidR="002B56A8" w:rsidRPr="00122215">
        <w:rPr>
          <w:rFonts w:ascii="Goudy Old Style" w:hAnsi="Goudy Old Style" w:cs="GoudyOlSt BT"/>
          <w:bCs/>
          <w:sz w:val="24"/>
          <w:szCs w:val="24"/>
        </w:rPr>
        <w:t>Nationally, in 2010-11</w:t>
      </w:r>
      <w:r w:rsidRPr="00122215">
        <w:rPr>
          <w:rFonts w:ascii="Goudy Old Style" w:hAnsi="Goudy Old Style" w:cs="GoudyOlSt BT"/>
          <w:bCs/>
          <w:sz w:val="24"/>
          <w:szCs w:val="24"/>
        </w:rPr>
        <w:t xml:space="preserve">, the proportion of the Indigenous </w:t>
      </w:r>
      <w:r w:rsidR="002B56A8" w:rsidRPr="00122215">
        <w:rPr>
          <w:rFonts w:ascii="Goudy Old Style" w:hAnsi="Goudy Old Style" w:cs="GoudyOlSt BT"/>
          <w:bCs/>
          <w:sz w:val="24"/>
          <w:szCs w:val="24"/>
        </w:rPr>
        <w:t>Australians</w:t>
      </w:r>
      <w:r w:rsidRPr="00122215">
        <w:rPr>
          <w:rFonts w:ascii="Goudy Old Style" w:hAnsi="Goudy Old Style" w:cs="GoudyOlSt BT"/>
          <w:bCs/>
          <w:sz w:val="24"/>
          <w:szCs w:val="24"/>
        </w:rPr>
        <w:t xml:space="preserve"> using </w:t>
      </w:r>
      <w:bookmarkStart w:id="0" w:name="OLE_LINK21"/>
      <w:r w:rsidRPr="00122215">
        <w:rPr>
          <w:rFonts w:ascii="Goudy Old Style" w:hAnsi="Goudy Old Style" w:cs="GoudyOlSt BT"/>
          <w:bCs/>
          <w:sz w:val="24"/>
          <w:szCs w:val="24"/>
        </w:rPr>
        <w:t xml:space="preserve">State and Territory </w:t>
      </w:r>
      <w:r w:rsidR="002B56A8" w:rsidRPr="00122215">
        <w:rPr>
          <w:rFonts w:ascii="Goudy Old Style" w:hAnsi="Goudy Old Style" w:cs="GoudyOlSt BT"/>
          <w:bCs/>
          <w:sz w:val="24"/>
          <w:szCs w:val="24"/>
        </w:rPr>
        <w:t xml:space="preserve">specialised public </w:t>
      </w:r>
      <w:r w:rsidRPr="00122215">
        <w:rPr>
          <w:rFonts w:ascii="Goudy Old Style" w:hAnsi="Goudy Old Style" w:cs="GoudyOlSt BT"/>
          <w:bCs/>
          <w:sz w:val="24"/>
          <w:szCs w:val="24"/>
        </w:rPr>
        <w:t>mental health services</w:t>
      </w:r>
      <w:bookmarkEnd w:id="0"/>
      <w:r w:rsidRPr="00122215">
        <w:rPr>
          <w:rFonts w:ascii="Goudy Old Style" w:hAnsi="Goudy Old Style" w:cs="GoudyOlSt BT"/>
          <w:bCs/>
          <w:sz w:val="24"/>
          <w:szCs w:val="24"/>
        </w:rPr>
        <w:t xml:space="preserve"> </w:t>
      </w:r>
      <w:r w:rsidR="002B56A8" w:rsidRPr="00122215">
        <w:rPr>
          <w:rFonts w:ascii="Goudy Old Style" w:hAnsi="Goudy Old Style" w:cs="GoudyOlSt BT"/>
          <w:bCs/>
          <w:sz w:val="24"/>
          <w:szCs w:val="24"/>
        </w:rPr>
        <w:br/>
      </w:r>
      <w:r w:rsidRPr="00122215">
        <w:rPr>
          <w:rFonts w:ascii="Goudy Old Style" w:hAnsi="Goudy Old Style" w:cs="GoudyOlSt BT"/>
          <w:bCs/>
          <w:sz w:val="24"/>
          <w:szCs w:val="24"/>
        </w:rPr>
        <w:t>(4.</w:t>
      </w:r>
      <w:r w:rsidR="002B56A8" w:rsidRPr="00122215">
        <w:rPr>
          <w:rFonts w:ascii="Goudy Old Style" w:hAnsi="Goudy Old Style" w:cs="GoudyOlSt BT"/>
          <w:bCs/>
          <w:sz w:val="24"/>
          <w:szCs w:val="24"/>
        </w:rPr>
        <w:t>4</w:t>
      </w:r>
      <w:r w:rsidRPr="00122215">
        <w:rPr>
          <w:rFonts w:ascii="Goudy Old Style" w:hAnsi="Goudy Old Style" w:cs="GoudyOlSt BT"/>
          <w:bCs/>
          <w:sz w:val="24"/>
          <w:szCs w:val="24"/>
        </w:rPr>
        <w:t xml:space="preserve"> per cent) was higher than </w:t>
      </w:r>
      <w:bookmarkStart w:id="1" w:name="OLE_LINK22"/>
      <w:bookmarkStart w:id="2" w:name="OLE_LINK23"/>
      <w:r w:rsidRPr="00122215">
        <w:rPr>
          <w:rFonts w:ascii="Goudy Old Style" w:hAnsi="Goudy Old Style" w:cs="GoudyOlSt BT"/>
          <w:bCs/>
          <w:sz w:val="24"/>
          <w:szCs w:val="24"/>
        </w:rPr>
        <w:t>for the proportion of the non-Indigenous population (1.</w:t>
      </w:r>
      <w:r w:rsidR="002B56A8" w:rsidRPr="00122215">
        <w:rPr>
          <w:rFonts w:ascii="Goudy Old Style" w:hAnsi="Goudy Old Style" w:cs="GoudyOlSt BT"/>
          <w:bCs/>
          <w:sz w:val="24"/>
          <w:szCs w:val="24"/>
        </w:rPr>
        <w:t>4</w:t>
      </w:r>
      <w:r w:rsidRPr="00122215">
        <w:rPr>
          <w:rFonts w:ascii="Goudy Old Style" w:hAnsi="Goudy Old Style" w:cs="GoudyOlSt BT"/>
          <w:bCs/>
          <w:sz w:val="24"/>
          <w:szCs w:val="24"/>
        </w:rPr>
        <w:t xml:space="preserve"> per cent) </w:t>
      </w:r>
      <w:r w:rsidRPr="0065534E">
        <w:rPr>
          <w:rFonts w:ascii="Goudy Old Style" w:hAnsi="Goudy Old Style" w:cs="GoudyOlSt BT"/>
          <w:b/>
          <w:bCs/>
          <w:sz w:val="24"/>
          <w:szCs w:val="24"/>
        </w:rPr>
        <w:t>(</w:t>
      </w:r>
      <w:r w:rsidR="0035317B" w:rsidRPr="0065534E">
        <w:rPr>
          <w:rFonts w:ascii="Goudy Old Style" w:hAnsi="Goudy Old Style" w:cs="GoudyOlSt BT"/>
          <w:b/>
          <w:bCs/>
          <w:sz w:val="24"/>
          <w:szCs w:val="24"/>
        </w:rPr>
        <w:t>2013 Report, 12.21–24; 2013 IC, pp. 12.10-11,</w:t>
      </w:r>
      <w:r w:rsidR="0035317B">
        <w:rPr>
          <w:rFonts w:ascii="Goudy Old Style" w:hAnsi="Goudy Old Style" w:cs="GoudyOlSt BT"/>
          <w:bCs/>
          <w:sz w:val="24"/>
          <w:szCs w:val="24"/>
        </w:rPr>
        <w:t xml:space="preserve"> </w:t>
      </w:r>
      <w:r w:rsidRPr="00122215">
        <w:rPr>
          <w:rFonts w:ascii="Goudy Old Style" w:hAnsi="Goudy Old Style" w:cs="GoudyOlSt BT"/>
          <w:b/>
          <w:bCs/>
          <w:sz w:val="24"/>
          <w:szCs w:val="24"/>
        </w:rPr>
        <w:t>table</w:t>
      </w:r>
      <w:r w:rsidRPr="00122215">
        <w:rPr>
          <w:rFonts w:ascii="Goudy Old Style" w:hAnsi="Goudy Old Style" w:cs="GoudyOlSt BT"/>
          <w:bCs/>
          <w:sz w:val="24"/>
          <w:szCs w:val="24"/>
        </w:rPr>
        <w:t> </w:t>
      </w:r>
      <w:r w:rsidRPr="00122215">
        <w:rPr>
          <w:rFonts w:ascii="Goudy Old Style" w:hAnsi="Goudy Old Style" w:cs="GoudyOlSt BT"/>
          <w:b/>
          <w:bCs/>
          <w:sz w:val="24"/>
          <w:szCs w:val="24"/>
        </w:rPr>
        <w:t>12A.</w:t>
      </w:r>
      <w:r w:rsidR="0018361C" w:rsidRPr="00122215">
        <w:rPr>
          <w:rFonts w:ascii="Goudy Old Style" w:hAnsi="Goudy Old Style" w:cs="GoudyOlSt BT"/>
          <w:b/>
          <w:bCs/>
          <w:sz w:val="24"/>
          <w:szCs w:val="24"/>
        </w:rPr>
        <w:t>26</w:t>
      </w:r>
      <w:r w:rsidRPr="00122215">
        <w:rPr>
          <w:rFonts w:ascii="Goudy Old Style" w:hAnsi="Goudy Old Style" w:cs="GoudyOlSt BT"/>
          <w:bCs/>
          <w:sz w:val="24"/>
          <w:szCs w:val="24"/>
        </w:rPr>
        <w:t>).</w:t>
      </w:r>
      <w:bookmarkEnd w:id="1"/>
      <w:bookmarkEnd w:id="2"/>
    </w:p>
    <w:p w:rsidR="004F136C" w:rsidRPr="004F136C" w:rsidRDefault="004F136C" w:rsidP="004F136C">
      <w:pPr>
        <w:spacing w:before="120" w:after="120" w:line="240" w:lineRule="atLeast"/>
        <w:ind w:right="53"/>
        <w:jc w:val="both"/>
        <w:rPr>
          <w:rFonts w:ascii="Goudy Old Style" w:hAnsi="Goudy Old Style" w:cs="GoudyOlSt BT"/>
          <w:bCs/>
          <w:sz w:val="24"/>
          <w:szCs w:val="24"/>
          <w:highlight w:val="yellow"/>
        </w:rPr>
      </w:pPr>
      <w:r w:rsidRPr="004F136C">
        <w:rPr>
          <w:rFonts w:ascii="Goudy Old Style" w:hAnsi="Goudy Old Style" w:cs="GoudyOlSt BT"/>
          <w:bCs/>
          <w:sz w:val="24"/>
          <w:szCs w:val="24"/>
          <w:highlight w:val="yellow"/>
        </w:rPr>
        <w:br w:type="page"/>
      </w:r>
    </w:p>
    <w:tbl>
      <w:tblPr>
        <w:tblpPr w:leftFromText="181" w:rightFromText="181" w:topFromText="301" w:horzAnchor="margin" w:tblpXSpec="right" w:tblpY="29"/>
        <w:tblOverlap w:val="never"/>
        <w:tblW w:w="0" w:type="auto"/>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2"/>
      </w:tblGrid>
      <w:tr w:rsidR="004F136C" w:rsidRPr="001F45CC" w:rsidTr="005823E5">
        <w:tc>
          <w:tcPr>
            <w:tcW w:w="4682" w:type="dxa"/>
          </w:tcPr>
          <w:p w:rsidR="004F136C" w:rsidRPr="001F45CC" w:rsidRDefault="004F136C" w:rsidP="005823E5">
            <w:pPr>
              <w:numPr>
                <w:ilvl w:val="12"/>
                <w:numId w:val="0"/>
              </w:numPr>
              <w:spacing w:after="120"/>
              <w:rPr>
                <w:rFonts w:ascii="Goudy Old Style" w:hAnsi="Goudy Old Style"/>
                <w:b/>
                <w:color w:val="0000FF"/>
                <w:sz w:val="20"/>
              </w:rPr>
            </w:pPr>
            <w:r w:rsidRPr="001F45CC">
              <w:rPr>
                <w:rFonts w:ascii="Goudy Old Style" w:hAnsi="Goudy Old Style"/>
                <w:b/>
                <w:color w:val="0000FF"/>
                <w:sz w:val="20"/>
              </w:rPr>
              <w:lastRenderedPageBreak/>
              <w:br w:type="page"/>
            </w:r>
            <w:r w:rsidRPr="001F45CC">
              <w:rPr>
                <w:rFonts w:ascii="Goudy Old Style" w:hAnsi="Goudy Old Style"/>
                <w:b/>
                <w:color w:val="0000FF"/>
                <w:sz w:val="20"/>
              </w:rPr>
              <w:br w:type="page"/>
            </w:r>
            <w:r w:rsidRPr="001F45CC">
              <w:rPr>
                <w:rFonts w:ascii="Goudy Old Style" w:hAnsi="Goudy Old Style"/>
                <w:b/>
                <w:sz w:val="20"/>
              </w:rPr>
              <w:t xml:space="preserve">CACP recipients per 1000 target population, </w:t>
            </w:r>
            <w:r w:rsidRPr="001F45CC">
              <w:rPr>
                <w:rFonts w:ascii="Goudy Old Style" w:hAnsi="Goudy Old Style"/>
                <w:b/>
                <w:sz w:val="20"/>
              </w:rPr>
              <w:br/>
              <w:t>30 June 201</w:t>
            </w:r>
            <w:r w:rsidR="001F45CC" w:rsidRPr="001F45CC">
              <w:rPr>
                <w:rFonts w:ascii="Goudy Old Style" w:hAnsi="Goudy Old Style"/>
                <w:b/>
                <w:sz w:val="20"/>
              </w:rPr>
              <w:t>2</w:t>
            </w:r>
            <w:r w:rsidRPr="001F45CC">
              <w:rPr>
                <w:rFonts w:ascii="Goudy Old Style" w:hAnsi="Goudy Old Style"/>
                <w:b/>
                <w:bCs/>
                <w:position w:val="6"/>
                <w:sz w:val="20"/>
              </w:rPr>
              <w:t>a</w:t>
            </w:r>
          </w:p>
        </w:tc>
      </w:tr>
      <w:tr w:rsidR="004F136C" w:rsidRPr="001F45CC" w:rsidTr="00AE34FF">
        <w:tblPrEx>
          <w:tblCellMar>
            <w:left w:w="108" w:type="dxa"/>
            <w:right w:w="108" w:type="dxa"/>
          </w:tblCellMar>
        </w:tblPrEx>
        <w:trPr>
          <w:trHeight w:val="3107"/>
        </w:trPr>
        <w:tc>
          <w:tcPr>
            <w:tcW w:w="4682" w:type="dxa"/>
          </w:tcPr>
          <w:p w:rsidR="004F136C" w:rsidRPr="001F45CC" w:rsidRDefault="009B6410" w:rsidP="005823E5">
            <w:pPr>
              <w:numPr>
                <w:ilvl w:val="12"/>
                <w:numId w:val="0"/>
              </w:numPr>
              <w:jc w:val="center"/>
              <w:rPr>
                <w:rFonts w:ascii="Goudy Old Style" w:hAnsi="Goudy Old Style"/>
                <w:snapToGrid w:val="0"/>
                <w:color w:val="0000FF"/>
                <w:szCs w:val="14"/>
                <w:lang w:eastAsia="en-US"/>
              </w:rPr>
            </w:pPr>
            <w:r>
              <w:rPr>
                <w:noProof/>
              </w:rPr>
              <w:drawing>
                <wp:inline distT="0" distB="0" distL="0" distR="0" wp14:anchorId="0E1C059A" wp14:editId="640F9E0A">
                  <wp:extent cx="2772000" cy="2160000"/>
                  <wp:effectExtent l="0" t="0" r="0" b="0"/>
                  <wp:docPr id="3" name="Chart 3" descr="Figure CACP recipients per 1000 target population, 30 June 2012&#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4F136C" w:rsidRPr="001F45CC" w:rsidTr="005823E5">
        <w:trPr>
          <w:trHeight w:val="145"/>
        </w:trPr>
        <w:tc>
          <w:tcPr>
            <w:tcW w:w="4682" w:type="dxa"/>
          </w:tcPr>
          <w:p w:rsidR="004F136C" w:rsidRPr="001F45CC" w:rsidRDefault="004F136C" w:rsidP="005823E5">
            <w:pPr>
              <w:numPr>
                <w:ilvl w:val="12"/>
                <w:numId w:val="0"/>
              </w:numPr>
              <w:jc w:val="both"/>
              <w:rPr>
                <w:rFonts w:ascii="Goudy Old Style" w:hAnsi="Goudy Old Style"/>
                <w:position w:val="6"/>
                <w:sz w:val="16"/>
                <w:szCs w:val="16"/>
              </w:rPr>
            </w:pPr>
            <w:r w:rsidRPr="001F45CC">
              <w:rPr>
                <w:rFonts w:ascii="Goudy Old Style" w:hAnsi="Goudy Old Style"/>
                <w:position w:val="6"/>
                <w:sz w:val="16"/>
                <w:szCs w:val="16"/>
              </w:rPr>
              <w:t>See first page for footnote.</w:t>
            </w:r>
          </w:p>
        </w:tc>
      </w:tr>
    </w:tbl>
    <w:p w:rsidR="000A2A35" w:rsidRDefault="004F136C" w:rsidP="000A2A35">
      <w:pPr>
        <w:spacing w:before="120" w:after="120" w:line="240" w:lineRule="atLeast"/>
        <w:ind w:right="4871"/>
        <w:jc w:val="both"/>
        <w:rPr>
          <w:rFonts w:ascii="Goudy Old Style" w:hAnsi="Goudy Old Style" w:cs="GoudyOlSt BT"/>
          <w:bCs/>
          <w:snapToGrid w:val="0"/>
          <w:sz w:val="24"/>
          <w:szCs w:val="24"/>
          <w:lang w:eastAsia="en-US"/>
        </w:rPr>
      </w:pPr>
      <w:r w:rsidRPr="001F45CC">
        <w:rPr>
          <w:rFonts w:ascii="Goudy Old Style" w:hAnsi="Goudy Old Style" w:cs="GoudyOlSt BT"/>
          <w:b/>
          <w:bCs/>
          <w:sz w:val="24"/>
          <w:szCs w:val="24"/>
        </w:rPr>
        <w:t>Aged care services:</w:t>
      </w:r>
      <w:r w:rsidRPr="001F45CC">
        <w:rPr>
          <w:rFonts w:ascii="Goudy Old Style" w:hAnsi="Goudy Old Style" w:cs="GoudyOlSt BT"/>
          <w:bCs/>
          <w:snapToGrid w:val="0"/>
          <w:sz w:val="24"/>
          <w:szCs w:val="24"/>
          <w:lang w:eastAsia="en-US"/>
        </w:rPr>
        <w:t xml:space="preserve"> Nationally, at 30 June 201</w:t>
      </w:r>
      <w:r w:rsidR="00202A3C" w:rsidRPr="001F45CC">
        <w:rPr>
          <w:rFonts w:ascii="Goudy Old Style" w:hAnsi="Goudy Old Style" w:cs="GoudyOlSt BT"/>
          <w:bCs/>
          <w:snapToGrid w:val="0"/>
          <w:sz w:val="24"/>
          <w:szCs w:val="24"/>
          <w:lang w:eastAsia="en-US"/>
        </w:rPr>
        <w:t>2, Indigenous Australians</w:t>
      </w:r>
      <w:r w:rsidRPr="001F45CC">
        <w:rPr>
          <w:rFonts w:ascii="Goudy Old Style" w:hAnsi="Goudy Old Style" w:cs="GoudyOlSt BT"/>
          <w:bCs/>
          <w:snapToGrid w:val="0"/>
          <w:sz w:val="24"/>
          <w:szCs w:val="24"/>
          <w:lang w:eastAsia="en-US"/>
        </w:rPr>
        <w:t xml:space="preserve"> aged 50 years or over had a lower rate of residential aged care use than the total target population for residential aged care (Indigenous people aged 50–</w:t>
      </w:r>
      <w:r w:rsidRPr="00801877">
        <w:rPr>
          <w:rFonts w:ascii="Goudy Old Style" w:hAnsi="Goudy Old Style" w:cs="GoudyOlSt BT"/>
          <w:bCs/>
          <w:snapToGrid w:val="0"/>
          <w:sz w:val="24"/>
          <w:szCs w:val="24"/>
          <w:lang w:eastAsia="en-US"/>
        </w:rPr>
        <w:t>6</w:t>
      </w:r>
      <w:r w:rsidR="00E5152C" w:rsidRPr="00801877">
        <w:rPr>
          <w:rFonts w:ascii="Goudy Old Style" w:hAnsi="Goudy Old Style" w:cs="GoudyOlSt BT"/>
          <w:bCs/>
          <w:snapToGrid w:val="0"/>
          <w:sz w:val="24"/>
          <w:szCs w:val="24"/>
          <w:lang w:eastAsia="en-US"/>
        </w:rPr>
        <w:t>4</w:t>
      </w:r>
      <w:r w:rsidRPr="001F45CC">
        <w:rPr>
          <w:rFonts w:ascii="Goudy Old Style" w:hAnsi="Goudy Old Style" w:cs="GoudyOlSt BT"/>
          <w:bCs/>
          <w:snapToGrid w:val="0"/>
          <w:sz w:val="24"/>
          <w:szCs w:val="24"/>
          <w:lang w:eastAsia="en-US"/>
        </w:rPr>
        <w:t xml:space="preserve"> years and all people aged </w:t>
      </w:r>
      <w:r w:rsidR="00E5152C" w:rsidRPr="00801877">
        <w:rPr>
          <w:rFonts w:ascii="Goudy Old Style" w:hAnsi="Goudy Old Style" w:cs="GoudyOlSt BT"/>
          <w:bCs/>
          <w:snapToGrid w:val="0"/>
          <w:sz w:val="24"/>
          <w:szCs w:val="24"/>
          <w:lang w:eastAsia="en-US"/>
        </w:rPr>
        <w:t>65</w:t>
      </w:r>
      <w:r w:rsidRPr="001F45CC">
        <w:rPr>
          <w:rFonts w:ascii="Goudy Old Style" w:hAnsi="Goudy Old Style" w:cs="GoudyOlSt BT"/>
          <w:bCs/>
          <w:snapToGrid w:val="0"/>
          <w:sz w:val="24"/>
          <w:szCs w:val="24"/>
          <w:lang w:eastAsia="en-US"/>
        </w:rPr>
        <w:t xml:space="preserve"> years or over)</w:t>
      </w:r>
      <w:r w:rsidR="00E76142">
        <w:rPr>
          <w:rFonts w:ascii="Goudy Old Style" w:hAnsi="Goudy Old Style" w:cs="GoudyOlSt BT"/>
          <w:bCs/>
          <w:snapToGrid w:val="0"/>
          <w:sz w:val="24"/>
          <w:szCs w:val="24"/>
          <w:lang w:eastAsia="en-US"/>
        </w:rPr>
        <w:t xml:space="preserve"> </w:t>
      </w:r>
      <w:r w:rsidR="00E76142" w:rsidRPr="00E76142">
        <w:rPr>
          <w:rFonts w:ascii="Goudy Old Style" w:hAnsi="Goudy Old Style" w:cs="GoudyOlSt BT"/>
          <w:b/>
          <w:bCs/>
          <w:snapToGrid w:val="0"/>
          <w:sz w:val="24"/>
          <w:szCs w:val="24"/>
          <w:lang w:eastAsia="en-US"/>
        </w:rPr>
        <w:t>(</w:t>
      </w:r>
      <w:r w:rsidR="00E76142" w:rsidRPr="00E76142">
        <w:rPr>
          <w:rFonts w:ascii="Goudy Old Style" w:hAnsi="Goudy Old Style" w:cs="GoudyOlSt BT"/>
          <w:b/>
          <w:bCs/>
          <w:sz w:val="24"/>
          <w:szCs w:val="24"/>
        </w:rPr>
        <w:t xml:space="preserve">2013 Report, </w:t>
      </w:r>
      <w:r w:rsidR="00E76142" w:rsidRPr="00E76142">
        <w:rPr>
          <w:rFonts w:ascii="Goudy Old Style" w:hAnsi="Goudy Old Style" w:cs="GoudyOlSt BT"/>
          <w:b/>
          <w:bCs/>
          <w:snapToGrid w:val="0"/>
          <w:sz w:val="24"/>
          <w:szCs w:val="24"/>
          <w:lang w:eastAsia="en-US"/>
        </w:rPr>
        <w:t>pp. 13.</w:t>
      </w:r>
      <w:r w:rsidR="00E76142" w:rsidRPr="0065534E">
        <w:rPr>
          <w:rFonts w:ascii="Goudy Old Style" w:hAnsi="Goudy Old Style" w:cs="GoudyOlSt BT"/>
          <w:b/>
          <w:bCs/>
          <w:snapToGrid w:val="0"/>
          <w:sz w:val="24"/>
          <w:szCs w:val="24"/>
          <w:lang w:eastAsia="en-US"/>
        </w:rPr>
        <w:t>39-40</w:t>
      </w:r>
      <w:r w:rsidR="00E76142" w:rsidRPr="00E76142">
        <w:rPr>
          <w:rFonts w:ascii="Goudy Old Style" w:hAnsi="Goudy Old Style" w:cs="GoudyOlSt BT"/>
          <w:b/>
          <w:bCs/>
          <w:sz w:val="24"/>
          <w:szCs w:val="24"/>
        </w:rPr>
        <w:t xml:space="preserve">; 2013 IC, </w:t>
      </w:r>
      <w:r w:rsidR="00E76142" w:rsidRPr="0065534E">
        <w:rPr>
          <w:rFonts w:ascii="Goudy Old Style" w:hAnsi="Goudy Old Style" w:cs="GoudyOlSt BT"/>
          <w:b/>
          <w:bCs/>
          <w:sz w:val="24"/>
          <w:szCs w:val="24"/>
        </w:rPr>
        <w:t>pp. </w:t>
      </w:r>
      <w:r w:rsidR="00E76142">
        <w:rPr>
          <w:rFonts w:ascii="Goudy Old Style" w:hAnsi="Goudy Old Style" w:cs="GoudyOlSt BT"/>
          <w:b/>
          <w:bCs/>
          <w:sz w:val="24"/>
          <w:szCs w:val="24"/>
        </w:rPr>
        <w:t>13.12</w:t>
      </w:r>
      <w:r w:rsidR="00E76142" w:rsidRPr="00B906C9">
        <w:rPr>
          <w:rFonts w:ascii="Goudy Old Style" w:hAnsi="Goudy Old Style" w:cs="GoudyOlSt BT"/>
          <w:b/>
          <w:bCs/>
          <w:snapToGrid w:val="0"/>
          <w:sz w:val="24"/>
          <w:szCs w:val="24"/>
          <w:lang w:eastAsia="en-US"/>
        </w:rPr>
        <w:t>)</w:t>
      </w:r>
      <w:r w:rsidRPr="001F45CC">
        <w:rPr>
          <w:rFonts w:ascii="Goudy Old Style" w:hAnsi="Goudy Old Style" w:cs="GoudyOlSt BT"/>
          <w:bCs/>
          <w:snapToGrid w:val="0"/>
          <w:sz w:val="24"/>
          <w:szCs w:val="24"/>
          <w:lang w:eastAsia="en-US"/>
        </w:rPr>
        <w:t>. For Community Aged Care Packages (CACP), Indigenous people had a higher rate of use than did the total population</w:t>
      </w:r>
      <w:r w:rsidR="00E76142">
        <w:rPr>
          <w:rFonts w:ascii="Goudy Old Style" w:hAnsi="Goudy Old Style" w:cs="GoudyOlSt BT"/>
          <w:bCs/>
          <w:snapToGrid w:val="0"/>
          <w:sz w:val="24"/>
          <w:szCs w:val="24"/>
          <w:lang w:eastAsia="en-US"/>
        </w:rPr>
        <w:t xml:space="preserve"> </w:t>
      </w:r>
      <w:r w:rsidR="00E76142" w:rsidRPr="00E76142">
        <w:rPr>
          <w:rFonts w:ascii="Goudy Old Style" w:hAnsi="Goudy Old Style" w:cs="GoudyOlSt BT"/>
          <w:b/>
          <w:bCs/>
          <w:snapToGrid w:val="0"/>
          <w:sz w:val="24"/>
          <w:szCs w:val="24"/>
          <w:lang w:eastAsia="en-US"/>
        </w:rPr>
        <w:t>(</w:t>
      </w:r>
      <w:r w:rsidR="00E76142" w:rsidRPr="00E76142">
        <w:rPr>
          <w:rFonts w:ascii="Goudy Old Style" w:hAnsi="Goudy Old Style" w:cs="GoudyOlSt BT"/>
          <w:b/>
          <w:bCs/>
          <w:sz w:val="24"/>
          <w:szCs w:val="24"/>
        </w:rPr>
        <w:t xml:space="preserve">2013 Report, </w:t>
      </w:r>
      <w:r w:rsidR="00E76142" w:rsidRPr="00E76142">
        <w:rPr>
          <w:rFonts w:ascii="Goudy Old Style" w:hAnsi="Goudy Old Style" w:cs="GoudyOlSt BT"/>
          <w:b/>
          <w:bCs/>
          <w:snapToGrid w:val="0"/>
          <w:sz w:val="24"/>
          <w:szCs w:val="24"/>
          <w:lang w:eastAsia="en-US"/>
        </w:rPr>
        <w:t>pp. 13.</w:t>
      </w:r>
      <w:r w:rsidR="00E76142">
        <w:rPr>
          <w:rFonts w:ascii="Goudy Old Style" w:hAnsi="Goudy Old Style" w:cs="GoudyOlSt BT"/>
          <w:b/>
          <w:bCs/>
          <w:snapToGrid w:val="0"/>
          <w:sz w:val="24"/>
          <w:szCs w:val="24"/>
          <w:lang w:eastAsia="en-US"/>
        </w:rPr>
        <w:t>40</w:t>
      </w:r>
      <w:r w:rsidR="00E76142" w:rsidRPr="00401CF7">
        <w:rPr>
          <w:rFonts w:ascii="Goudy Old Style" w:hAnsi="Goudy Old Style" w:cs="GoudyOlSt BT"/>
          <w:b/>
          <w:bCs/>
          <w:snapToGrid w:val="0"/>
          <w:sz w:val="24"/>
          <w:szCs w:val="24"/>
          <w:lang w:eastAsia="en-US"/>
        </w:rPr>
        <w:t>-4</w:t>
      </w:r>
      <w:r w:rsidR="00E76142">
        <w:rPr>
          <w:rFonts w:ascii="Goudy Old Style" w:hAnsi="Goudy Old Style" w:cs="GoudyOlSt BT"/>
          <w:b/>
          <w:bCs/>
          <w:snapToGrid w:val="0"/>
          <w:sz w:val="24"/>
          <w:szCs w:val="24"/>
          <w:lang w:eastAsia="en-US"/>
        </w:rPr>
        <w:t>1</w:t>
      </w:r>
      <w:r w:rsidR="00E76142" w:rsidRPr="00E76142">
        <w:rPr>
          <w:rFonts w:ascii="Goudy Old Style" w:hAnsi="Goudy Old Style" w:cs="GoudyOlSt BT"/>
          <w:b/>
          <w:bCs/>
          <w:sz w:val="24"/>
          <w:szCs w:val="24"/>
        </w:rPr>
        <w:t xml:space="preserve">; 2013 IC, </w:t>
      </w:r>
      <w:r w:rsidR="00E76142" w:rsidRPr="00401CF7">
        <w:rPr>
          <w:rFonts w:ascii="Goudy Old Style" w:hAnsi="Goudy Old Style" w:cs="GoudyOlSt BT"/>
          <w:b/>
          <w:bCs/>
          <w:sz w:val="24"/>
          <w:szCs w:val="24"/>
        </w:rPr>
        <w:t>pp. </w:t>
      </w:r>
      <w:r w:rsidR="00E76142">
        <w:rPr>
          <w:rFonts w:ascii="Goudy Old Style" w:hAnsi="Goudy Old Style" w:cs="GoudyOlSt BT"/>
          <w:b/>
          <w:bCs/>
          <w:sz w:val="24"/>
          <w:szCs w:val="24"/>
        </w:rPr>
        <w:t>13.12-13</w:t>
      </w:r>
      <w:r w:rsidR="00E76142" w:rsidRPr="00B906C9">
        <w:rPr>
          <w:rFonts w:ascii="Goudy Old Style" w:hAnsi="Goudy Old Style" w:cs="GoudyOlSt BT"/>
          <w:b/>
          <w:bCs/>
          <w:snapToGrid w:val="0"/>
          <w:sz w:val="24"/>
          <w:szCs w:val="24"/>
          <w:lang w:eastAsia="en-US"/>
        </w:rPr>
        <w:t>)</w:t>
      </w:r>
      <w:r w:rsidR="006071A0" w:rsidRPr="001F45CC">
        <w:rPr>
          <w:rFonts w:ascii="Goudy Old Style" w:hAnsi="Goudy Old Style" w:cs="GoudyOlSt BT"/>
          <w:bCs/>
          <w:snapToGrid w:val="0"/>
          <w:sz w:val="24"/>
          <w:szCs w:val="24"/>
          <w:lang w:eastAsia="en-US"/>
        </w:rPr>
        <w:t>.</w:t>
      </w:r>
      <w:r w:rsidRPr="001F45CC">
        <w:rPr>
          <w:rFonts w:ascii="Goudy Old Style" w:hAnsi="Goudy Old Style" w:cs="GoudyOlSt BT"/>
          <w:bCs/>
          <w:snapToGrid w:val="0"/>
          <w:sz w:val="24"/>
          <w:szCs w:val="24"/>
          <w:lang w:eastAsia="en-US"/>
        </w:rPr>
        <w:t xml:space="preserve"> </w:t>
      </w:r>
      <w:r w:rsidR="006071A0" w:rsidRPr="001F45CC">
        <w:rPr>
          <w:rFonts w:ascii="Goudy Old Style" w:hAnsi="Goudy Old Style" w:cs="GoudyOlSt BT"/>
          <w:bCs/>
          <w:snapToGrid w:val="0"/>
          <w:sz w:val="24"/>
          <w:szCs w:val="24"/>
          <w:lang w:eastAsia="en-US"/>
        </w:rPr>
        <w:t>Nationally, the number of Indigenous Home and Community Care (HACC) recipients per 1000 Indigenous Australians aged 50 years or over was 219.1, compared to a total of 225</w:t>
      </w:r>
      <w:bookmarkStart w:id="3" w:name="_GoBack"/>
      <w:bookmarkEnd w:id="3"/>
      <w:r w:rsidR="006071A0" w:rsidRPr="001F45CC">
        <w:rPr>
          <w:rFonts w:ascii="Goudy Old Style" w:hAnsi="Goudy Old Style" w:cs="GoudyOlSt BT"/>
          <w:bCs/>
          <w:snapToGrid w:val="0"/>
          <w:sz w:val="24"/>
          <w:szCs w:val="24"/>
          <w:lang w:eastAsia="en-US"/>
        </w:rPr>
        <w:t xml:space="preserve">.3 per 1000 of the aged care target population (people aged 65 years or over and Indigenous Australians aged 50–64 years) </w:t>
      </w:r>
      <w:r w:rsidR="006071A0" w:rsidRPr="001F45CC">
        <w:rPr>
          <w:rFonts w:ascii="Goudy Old Style" w:hAnsi="Goudy Old Style" w:cs="GoudyOlSt BT"/>
          <w:b/>
          <w:bCs/>
          <w:snapToGrid w:val="0"/>
          <w:sz w:val="24"/>
          <w:szCs w:val="24"/>
          <w:lang w:eastAsia="en-US"/>
        </w:rPr>
        <w:t>(</w:t>
      </w:r>
      <w:r w:rsidR="006071A0" w:rsidRPr="001F45CC">
        <w:rPr>
          <w:rFonts w:ascii="Goudy Old Style" w:hAnsi="Goudy Old Style" w:cs="GoudyOlSt BT"/>
          <w:b/>
          <w:bCs/>
          <w:sz w:val="24"/>
          <w:szCs w:val="24"/>
        </w:rPr>
        <w:t xml:space="preserve">2013 Report, </w:t>
      </w:r>
      <w:r w:rsidR="006071A0" w:rsidRPr="00B906C9">
        <w:rPr>
          <w:rFonts w:ascii="Goudy Old Style" w:hAnsi="Goudy Old Style" w:cs="GoudyOlSt BT"/>
          <w:b/>
          <w:bCs/>
          <w:snapToGrid w:val="0"/>
          <w:sz w:val="24"/>
          <w:szCs w:val="24"/>
          <w:lang w:eastAsia="en-US"/>
        </w:rPr>
        <w:t>pp. 13.</w:t>
      </w:r>
      <w:r w:rsidR="00E76142">
        <w:rPr>
          <w:rFonts w:ascii="Goudy Old Style" w:hAnsi="Goudy Old Style" w:cs="GoudyOlSt BT"/>
          <w:b/>
          <w:bCs/>
          <w:snapToGrid w:val="0"/>
          <w:sz w:val="24"/>
          <w:szCs w:val="24"/>
          <w:lang w:eastAsia="en-US"/>
        </w:rPr>
        <w:t>41</w:t>
      </w:r>
      <w:r w:rsidR="006071A0" w:rsidRPr="00B906C9">
        <w:rPr>
          <w:rFonts w:ascii="Goudy Old Style" w:hAnsi="Goudy Old Style" w:cs="GoudyOlSt BT"/>
          <w:b/>
          <w:bCs/>
          <w:snapToGrid w:val="0"/>
          <w:sz w:val="24"/>
          <w:szCs w:val="24"/>
          <w:lang w:eastAsia="en-US"/>
        </w:rPr>
        <w:t>-4</w:t>
      </w:r>
      <w:r w:rsidR="00E76142">
        <w:rPr>
          <w:rFonts w:ascii="Goudy Old Style" w:hAnsi="Goudy Old Style" w:cs="GoudyOlSt BT"/>
          <w:b/>
          <w:bCs/>
          <w:snapToGrid w:val="0"/>
          <w:sz w:val="24"/>
          <w:szCs w:val="24"/>
          <w:lang w:eastAsia="en-US"/>
        </w:rPr>
        <w:t>2</w:t>
      </w:r>
      <w:r w:rsidR="006071A0" w:rsidRPr="00B906C9">
        <w:rPr>
          <w:rFonts w:ascii="Goudy Old Style" w:hAnsi="Goudy Old Style" w:cs="GoudyOlSt BT"/>
          <w:b/>
          <w:bCs/>
          <w:sz w:val="24"/>
          <w:szCs w:val="24"/>
        </w:rPr>
        <w:t xml:space="preserve">; </w:t>
      </w:r>
      <w:r w:rsidR="00801877" w:rsidRPr="00801877">
        <w:rPr>
          <w:rFonts w:ascii="Goudy Old Style" w:hAnsi="Goudy Old Style" w:cs="GoudyOlSt BT"/>
          <w:b/>
          <w:bCs/>
          <w:sz w:val="24"/>
          <w:szCs w:val="24"/>
        </w:rPr>
        <w:t>2013</w:t>
      </w:r>
      <w:r w:rsidR="006071A0" w:rsidRPr="00801877">
        <w:rPr>
          <w:rFonts w:ascii="Goudy Old Style" w:hAnsi="Goudy Old Style" w:cs="GoudyOlSt BT"/>
          <w:b/>
          <w:bCs/>
          <w:sz w:val="24"/>
          <w:szCs w:val="24"/>
        </w:rPr>
        <w:t xml:space="preserve"> IC, </w:t>
      </w:r>
      <w:r w:rsidR="006071A0" w:rsidRPr="0065534E">
        <w:rPr>
          <w:rFonts w:ascii="Goudy Old Style" w:hAnsi="Goudy Old Style" w:cs="GoudyOlSt BT"/>
          <w:b/>
          <w:bCs/>
          <w:sz w:val="24"/>
          <w:szCs w:val="24"/>
        </w:rPr>
        <w:t>pp. </w:t>
      </w:r>
      <w:r w:rsidR="00E76142">
        <w:rPr>
          <w:rFonts w:ascii="Goudy Old Style" w:hAnsi="Goudy Old Style" w:cs="GoudyOlSt BT"/>
          <w:b/>
          <w:bCs/>
          <w:sz w:val="24"/>
          <w:szCs w:val="24"/>
        </w:rPr>
        <w:t>13.13–15</w:t>
      </w:r>
      <w:r w:rsidR="006071A0" w:rsidRPr="00B906C9">
        <w:rPr>
          <w:rFonts w:ascii="Goudy Old Style" w:hAnsi="Goudy Old Style" w:cs="GoudyOlSt BT"/>
          <w:b/>
          <w:bCs/>
          <w:snapToGrid w:val="0"/>
          <w:sz w:val="24"/>
          <w:szCs w:val="24"/>
          <w:lang w:eastAsia="en-US"/>
        </w:rPr>
        <w:t>)</w:t>
      </w:r>
      <w:r w:rsidR="006071A0" w:rsidRPr="00B906C9">
        <w:rPr>
          <w:rFonts w:ascii="Goudy Old Style" w:hAnsi="Goudy Old Style" w:cs="GoudyOlSt BT"/>
          <w:bCs/>
          <w:snapToGrid w:val="0"/>
          <w:sz w:val="24"/>
          <w:szCs w:val="24"/>
          <w:lang w:eastAsia="en-US"/>
        </w:rPr>
        <w:t>.</w:t>
      </w:r>
    </w:p>
    <w:tbl>
      <w:tblPr>
        <w:tblpPr w:leftFromText="181" w:rightFromText="181" w:vertAnchor="text" w:tblpXSpec="right" w:tblpY="1"/>
        <w:tblOverlap w:val="never"/>
        <w:tblW w:w="4530" w:type="dxa"/>
        <w:tblLayout w:type="fixed"/>
        <w:tblCellMar>
          <w:left w:w="0" w:type="dxa"/>
          <w:right w:w="0" w:type="dxa"/>
        </w:tblCellMar>
        <w:tblLook w:val="0000" w:firstRow="0" w:lastRow="0" w:firstColumn="0" w:lastColumn="0" w:noHBand="0" w:noVBand="0"/>
      </w:tblPr>
      <w:tblGrid>
        <w:gridCol w:w="4530"/>
      </w:tblGrid>
      <w:tr w:rsidR="000A2A35" w:rsidRPr="00AC61C5" w:rsidTr="0093395F">
        <w:tc>
          <w:tcPr>
            <w:tcW w:w="4530" w:type="dxa"/>
            <w:tcBorders>
              <w:bottom w:val="single" w:sz="4" w:space="0" w:color="auto"/>
            </w:tcBorders>
            <w:shd w:val="clear" w:color="auto" w:fill="auto"/>
          </w:tcPr>
          <w:p w:rsidR="0065534E" w:rsidRDefault="0065534E" w:rsidP="0093395F">
            <w:pPr>
              <w:numPr>
                <w:ilvl w:val="12"/>
                <w:numId w:val="0"/>
              </w:numPr>
              <w:spacing w:after="120"/>
              <w:rPr>
                <w:rFonts w:ascii="Goudy Old Style" w:hAnsi="Goudy Old Style"/>
                <w:b/>
                <w:sz w:val="20"/>
              </w:rPr>
            </w:pPr>
          </w:p>
          <w:p w:rsidR="000A2A35" w:rsidRPr="00AC61C5" w:rsidRDefault="0065534E" w:rsidP="0093395F">
            <w:pPr>
              <w:numPr>
                <w:ilvl w:val="12"/>
                <w:numId w:val="0"/>
              </w:numPr>
              <w:spacing w:after="120"/>
              <w:rPr>
                <w:rFonts w:ascii="Goudy Old Style" w:hAnsi="Goudy Old Style"/>
                <w:b/>
                <w:sz w:val="20"/>
              </w:rPr>
            </w:pPr>
            <w:r>
              <w:rPr>
                <w:rFonts w:ascii="Goudy Old Style" w:hAnsi="Goudy Old Style"/>
                <w:b/>
                <w:sz w:val="20"/>
              </w:rPr>
              <w:br/>
            </w:r>
            <w:r w:rsidR="000A2A35" w:rsidRPr="00AC61C5">
              <w:rPr>
                <w:rFonts w:ascii="Goudy Old Style" w:hAnsi="Goudy Old Style"/>
                <w:b/>
                <w:sz w:val="20"/>
              </w:rPr>
              <w:t>Users of community access services per 1000 potential population, by Indigenous status, 2010-11</w:t>
            </w:r>
            <w:r w:rsidR="000A2A35" w:rsidRPr="00AC61C5">
              <w:rPr>
                <w:rFonts w:ascii="Goudy Old Style" w:hAnsi="Goudy Old Style"/>
                <w:b/>
                <w:position w:val="6"/>
                <w:sz w:val="20"/>
              </w:rPr>
              <w:t>a</w:t>
            </w:r>
          </w:p>
        </w:tc>
      </w:tr>
      <w:tr w:rsidR="000A2A35" w:rsidRPr="00AC61C5" w:rsidTr="0093395F">
        <w:tblPrEx>
          <w:tblCellMar>
            <w:left w:w="108" w:type="dxa"/>
            <w:right w:w="108" w:type="dxa"/>
          </w:tblCellMar>
        </w:tblPrEx>
        <w:trPr>
          <w:trHeight w:val="3587"/>
        </w:trPr>
        <w:tc>
          <w:tcPr>
            <w:tcW w:w="4530" w:type="dxa"/>
            <w:tcBorders>
              <w:top w:val="single" w:sz="4" w:space="0" w:color="auto"/>
              <w:bottom w:val="single" w:sz="4" w:space="0" w:color="auto"/>
            </w:tcBorders>
            <w:shd w:val="clear" w:color="auto" w:fill="auto"/>
          </w:tcPr>
          <w:p w:rsidR="000A2A35" w:rsidRPr="00AC61C5" w:rsidRDefault="000A2A35" w:rsidP="0093395F">
            <w:pPr>
              <w:numPr>
                <w:ilvl w:val="12"/>
                <w:numId w:val="0"/>
              </w:numPr>
              <w:spacing w:after="120"/>
              <w:jc w:val="center"/>
              <w:rPr>
                <w:rFonts w:ascii="Goudy Old Style" w:hAnsi="Goudy Old Style"/>
                <w:sz w:val="14"/>
                <w:szCs w:val="14"/>
              </w:rPr>
            </w:pPr>
            <w:r>
              <w:rPr>
                <w:noProof/>
              </w:rPr>
              <w:drawing>
                <wp:inline distT="0" distB="0" distL="0" distR="0" wp14:anchorId="5DA29221" wp14:editId="40CCF599">
                  <wp:extent cx="2774950" cy="2159000"/>
                  <wp:effectExtent l="0" t="0" r="6350" b="0"/>
                  <wp:docPr id="1" name="Chart 1" descr="Figure Users of community access services per 1000 potential population, by Indigenous status, 2010-11&#10;&#10;More details can be found within the text surrounding this image. "/>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0A2A35" w:rsidRPr="00AC61C5" w:rsidTr="0093395F">
        <w:trPr>
          <w:trHeight w:val="209"/>
        </w:trPr>
        <w:tc>
          <w:tcPr>
            <w:tcW w:w="4530" w:type="dxa"/>
            <w:tcBorders>
              <w:top w:val="single" w:sz="4" w:space="0" w:color="auto"/>
            </w:tcBorders>
            <w:shd w:val="clear" w:color="auto" w:fill="auto"/>
          </w:tcPr>
          <w:p w:rsidR="000A2A35" w:rsidRPr="00AC61C5" w:rsidRDefault="000A2A35" w:rsidP="0093395F">
            <w:pPr>
              <w:numPr>
                <w:ilvl w:val="12"/>
                <w:numId w:val="0"/>
              </w:numPr>
              <w:spacing w:after="120"/>
              <w:jc w:val="both"/>
              <w:rPr>
                <w:rFonts w:ascii="Goudy Old Style" w:hAnsi="Goudy Old Style"/>
                <w:sz w:val="20"/>
              </w:rPr>
            </w:pPr>
            <w:r w:rsidRPr="00AC61C5">
              <w:rPr>
                <w:rFonts w:ascii="Goudy Old Style" w:hAnsi="Goudy Old Style"/>
                <w:sz w:val="16"/>
                <w:szCs w:val="16"/>
              </w:rPr>
              <w:t>See first page for footnote.</w:t>
            </w:r>
          </w:p>
        </w:tc>
      </w:tr>
    </w:tbl>
    <w:p w:rsidR="0065534E" w:rsidRDefault="0065534E" w:rsidP="0065534E">
      <w:pPr>
        <w:spacing w:before="120" w:after="120" w:line="240" w:lineRule="atLeast"/>
        <w:ind w:right="4871"/>
        <w:jc w:val="both"/>
        <w:rPr>
          <w:rFonts w:ascii="Goudy Old Style" w:hAnsi="Goudy Old Style" w:cs="GoudyOlSt BT"/>
          <w:b/>
          <w:bCs/>
          <w:sz w:val="24"/>
          <w:szCs w:val="24"/>
        </w:rPr>
      </w:pPr>
    </w:p>
    <w:p w:rsidR="000A2A35" w:rsidRDefault="004F136C" w:rsidP="0065534E">
      <w:pPr>
        <w:spacing w:before="120" w:after="120" w:line="240" w:lineRule="atLeast"/>
        <w:ind w:right="4871"/>
        <w:jc w:val="both"/>
        <w:rPr>
          <w:rFonts w:ascii="Goudy Old Style" w:hAnsi="Goudy Old Style" w:cs="GoudyOlSt BT"/>
          <w:b/>
          <w:bCs/>
          <w:sz w:val="24"/>
          <w:szCs w:val="24"/>
        </w:rPr>
      </w:pPr>
      <w:r w:rsidRPr="00B906C9">
        <w:rPr>
          <w:rFonts w:ascii="Goudy Old Style" w:hAnsi="Goudy Old Style" w:cs="GoudyOlSt BT"/>
          <w:b/>
          <w:bCs/>
          <w:sz w:val="24"/>
          <w:szCs w:val="24"/>
        </w:rPr>
        <w:t>Services for people with disability:</w:t>
      </w:r>
      <w:r w:rsidRPr="00B906C9">
        <w:rPr>
          <w:rFonts w:ascii="Goudy Old Style" w:hAnsi="Goudy Old Style" w:cs="GoudyOlSt BT"/>
          <w:bCs/>
          <w:sz w:val="24"/>
          <w:szCs w:val="24"/>
        </w:rPr>
        <w:t xml:space="preserve"> </w:t>
      </w:r>
      <w:r w:rsidR="007430BF">
        <w:rPr>
          <w:rFonts w:ascii="Goudy Old Style" w:hAnsi="Goudy Old Style" w:cs="GoudyOlSt BT"/>
          <w:bCs/>
          <w:sz w:val="24"/>
          <w:szCs w:val="24"/>
        </w:rPr>
        <w:t>Nationally, t</w:t>
      </w:r>
      <w:r w:rsidR="007430BF" w:rsidRPr="00B906C9">
        <w:rPr>
          <w:rFonts w:ascii="Goudy Old Style" w:hAnsi="Goudy Old Style" w:cs="GoudyOlSt BT"/>
          <w:bCs/>
          <w:sz w:val="24"/>
          <w:szCs w:val="24"/>
        </w:rPr>
        <w:t xml:space="preserve">he </w:t>
      </w:r>
      <w:r w:rsidRPr="00B906C9">
        <w:rPr>
          <w:rFonts w:ascii="Goudy Old Style" w:hAnsi="Goudy Old Style" w:cs="GoudyOlSt BT"/>
          <w:bCs/>
          <w:sz w:val="24"/>
          <w:szCs w:val="24"/>
        </w:rPr>
        <w:t>proportion of the Indigenous potential population who used NDA fund</w:t>
      </w:r>
      <w:r w:rsidR="00B906C9" w:rsidRPr="00B906C9">
        <w:rPr>
          <w:rFonts w:ascii="Goudy Old Style" w:hAnsi="Goudy Old Style" w:cs="GoudyOlSt BT"/>
          <w:bCs/>
          <w:sz w:val="24"/>
          <w:szCs w:val="24"/>
        </w:rPr>
        <w:t>ed community access services (81</w:t>
      </w:r>
      <w:r w:rsidRPr="00B906C9">
        <w:rPr>
          <w:rFonts w:ascii="Goudy Old Style" w:hAnsi="Goudy Old Style" w:cs="GoudyOlSt BT"/>
          <w:bCs/>
          <w:sz w:val="24"/>
          <w:szCs w:val="24"/>
        </w:rPr>
        <w:t>.4 service users per 1000 potential population) was lower than the proportion of the non-Indigenous potential popula</w:t>
      </w:r>
      <w:r w:rsidR="00B906C9" w:rsidRPr="00B906C9">
        <w:rPr>
          <w:rFonts w:ascii="Goudy Old Style" w:hAnsi="Goudy Old Style" w:cs="GoudyOlSt BT"/>
          <w:bCs/>
          <w:sz w:val="24"/>
          <w:szCs w:val="24"/>
        </w:rPr>
        <w:t>tion who used these services (95.2</w:t>
      </w:r>
      <w:r w:rsidRPr="00B906C9">
        <w:rPr>
          <w:rFonts w:ascii="Goudy Old Style" w:hAnsi="Goudy Old Style" w:cs="GoudyOlSt BT"/>
          <w:bCs/>
          <w:sz w:val="24"/>
          <w:szCs w:val="24"/>
        </w:rPr>
        <w:t xml:space="preserve"> service users per 1000 potential population)</w:t>
      </w:r>
      <w:r w:rsidR="007430BF">
        <w:rPr>
          <w:rFonts w:ascii="Goudy Old Style" w:hAnsi="Goudy Old Style" w:cs="GoudyOlSt BT"/>
          <w:bCs/>
          <w:sz w:val="24"/>
          <w:szCs w:val="24"/>
        </w:rPr>
        <w:t xml:space="preserve">. However, nationally for accommodation support services users per 1000 potential population were similar for Indigenous and non-Indigenous </w:t>
      </w:r>
      <w:r w:rsidRPr="00B906C9">
        <w:rPr>
          <w:rFonts w:ascii="Goudy Old Style" w:hAnsi="Goudy Old Style" w:cs="GoudyOlSt BT"/>
          <w:b/>
          <w:bCs/>
          <w:sz w:val="24"/>
          <w:szCs w:val="24"/>
        </w:rPr>
        <w:t>(201</w:t>
      </w:r>
      <w:r w:rsidR="00B906C9">
        <w:rPr>
          <w:rFonts w:ascii="Goudy Old Style" w:hAnsi="Goudy Old Style" w:cs="GoudyOlSt BT"/>
          <w:b/>
          <w:bCs/>
          <w:sz w:val="24"/>
          <w:szCs w:val="24"/>
        </w:rPr>
        <w:t>3</w:t>
      </w:r>
      <w:r w:rsidRPr="00B906C9">
        <w:rPr>
          <w:rFonts w:ascii="Goudy Old Style" w:hAnsi="Goudy Old Style" w:cs="GoudyOlSt BT"/>
          <w:b/>
          <w:bCs/>
          <w:sz w:val="24"/>
          <w:szCs w:val="24"/>
        </w:rPr>
        <w:t xml:space="preserve"> Report, </w:t>
      </w:r>
      <w:r w:rsidR="00B906C9" w:rsidRPr="00B906C9">
        <w:rPr>
          <w:rFonts w:ascii="Goudy Old Style" w:hAnsi="Goudy Old Style" w:cs="GoudyOlSt BT"/>
          <w:b/>
          <w:bCs/>
          <w:sz w:val="24"/>
          <w:szCs w:val="24"/>
        </w:rPr>
        <w:t>pp. 14.38</w:t>
      </w:r>
      <w:r w:rsidR="007430BF">
        <w:rPr>
          <w:rFonts w:ascii="Goudy Old Style" w:hAnsi="Goudy Old Style" w:cs="GoudyOlSt BT"/>
          <w:b/>
          <w:bCs/>
          <w:sz w:val="24"/>
          <w:szCs w:val="24"/>
        </w:rPr>
        <w:t>–</w:t>
      </w:r>
      <w:r w:rsidR="00B906C9" w:rsidRPr="00B906C9">
        <w:rPr>
          <w:rFonts w:ascii="Goudy Old Style" w:hAnsi="Goudy Old Style" w:cs="GoudyOlSt BT"/>
          <w:b/>
          <w:bCs/>
          <w:sz w:val="24"/>
          <w:szCs w:val="24"/>
        </w:rPr>
        <w:t>42</w:t>
      </w:r>
      <w:r w:rsidRPr="00B906C9">
        <w:rPr>
          <w:rFonts w:ascii="Goudy Old Style" w:hAnsi="Goudy Old Style" w:cs="GoudyOlSt BT"/>
          <w:b/>
          <w:bCs/>
          <w:sz w:val="24"/>
          <w:szCs w:val="24"/>
        </w:rPr>
        <w:t xml:space="preserve">; </w:t>
      </w:r>
      <w:r w:rsidR="00F334E6" w:rsidRPr="00F334E6">
        <w:rPr>
          <w:rFonts w:ascii="Goudy Old Style" w:hAnsi="Goudy Old Style" w:cs="GoudyOlSt BT"/>
          <w:b/>
          <w:bCs/>
          <w:sz w:val="24"/>
          <w:szCs w:val="24"/>
        </w:rPr>
        <w:t>2013</w:t>
      </w:r>
      <w:r w:rsidRPr="00F334E6">
        <w:rPr>
          <w:rFonts w:ascii="Goudy Old Style" w:hAnsi="Goudy Old Style" w:cs="GoudyOlSt BT"/>
          <w:b/>
          <w:bCs/>
          <w:sz w:val="24"/>
          <w:szCs w:val="24"/>
        </w:rPr>
        <w:t xml:space="preserve"> IC, </w:t>
      </w:r>
      <w:r w:rsidR="00A13616">
        <w:rPr>
          <w:rFonts w:ascii="Goudy Old Style" w:hAnsi="Goudy Old Style" w:cs="GoudyOlSt BT"/>
          <w:b/>
          <w:bCs/>
          <w:sz w:val="24"/>
          <w:szCs w:val="24"/>
        </w:rPr>
        <w:br/>
      </w:r>
      <w:r w:rsidRPr="0065534E">
        <w:rPr>
          <w:rFonts w:ascii="Goudy Old Style" w:hAnsi="Goudy Old Style" w:cs="GoudyOlSt BT"/>
          <w:b/>
          <w:bCs/>
          <w:sz w:val="24"/>
          <w:szCs w:val="24"/>
        </w:rPr>
        <w:t>p. </w:t>
      </w:r>
      <w:r w:rsidR="00E76142">
        <w:rPr>
          <w:rFonts w:ascii="Goudy Old Style" w:hAnsi="Goudy Old Style" w:cs="GoudyOlSt BT"/>
          <w:b/>
          <w:bCs/>
          <w:sz w:val="24"/>
          <w:szCs w:val="24"/>
        </w:rPr>
        <w:t>14.</w:t>
      </w:r>
      <w:r w:rsidR="00A13616">
        <w:rPr>
          <w:rFonts w:ascii="Goudy Old Style" w:hAnsi="Goudy Old Style" w:cs="GoudyOlSt BT"/>
          <w:b/>
          <w:bCs/>
          <w:sz w:val="24"/>
          <w:szCs w:val="24"/>
        </w:rPr>
        <w:t>8–12</w:t>
      </w:r>
      <w:r w:rsidRPr="00B906C9">
        <w:rPr>
          <w:rFonts w:ascii="Goudy Old Style" w:hAnsi="Goudy Old Style" w:cs="GoudyOlSt BT"/>
          <w:b/>
          <w:bCs/>
          <w:sz w:val="24"/>
          <w:szCs w:val="24"/>
        </w:rPr>
        <w:t>)</w:t>
      </w:r>
      <w:r w:rsidRPr="00B906C9">
        <w:rPr>
          <w:rFonts w:ascii="Goudy Old Style" w:hAnsi="Goudy Old Style" w:cs="GoudyOlSt BT"/>
          <w:bCs/>
          <w:sz w:val="24"/>
          <w:szCs w:val="24"/>
        </w:rPr>
        <w:t>.</w:t>
      </w:r>
      <w:r w:rsidR="007430BF">
        <w:rPr>
          <w:rFonts w:ascii="Goudy Old Style" w:hAnsi="Goudy Old Style" w:cs="GoudyOlSt BT"/>
          <w:bCs/>
          <w:sz w:val="24"/>
          <w:szCs w:val="24"/>
        </w:rPr>
        <w:t xml:space="preserve"> Other disability services data such as employment </w:t>
      </w:r>
      <w:r w:rsidR="007430BF" w:rsidRPr="0065534E">
        <w:rPr>
          <w:rFonts w:ascii="Goudy Old Style" w:hAnsi="Goudy Old Style" w:cs="GoudyOlSt BT"/>
          <w:b/>
          <w:bCs/>
          <w:sz w:val="24"/>
          <w:szCs w:val="24"/>
        </w:rPr>
        <w:t>(2013 Report, p. 14.42; 2013 IC p. 14.</w:t>
      </w:r>
      <w:r w:rsidR="00A13616">
        <w:rPr>
          <w:rFonts w:ascii="Goudy Old Style" w:hAnsi="Goudy Old Style" w:cs="GoudyOlSt BT"/>
          <w:b/>
          <w:bCs/>
          <w:sz w:val="24"/>
          <w:szCs w:val="24"/>
        </w:rPr>
        <w:t>13</w:t>
      </w:r>
      <w:r w:rsidR="007430BF" w:rsidRPr="0065534E">
        <w:rPr>
          <w:rFonts w:ascii="Goudy Old Style" w:hAnsi="Goudy Old Style" w:cs="GoudyOlSt BT"/>
          <w:b/>
          <w:bCs/>
          <w:sz w:val="24"/>
          <w:szCs w:val="24"/>
        </w:rPr>
        <w:t>)</w:t>
      </w:r>
      <w:r w:rsidR="007430BF">
        <w:rPr>
          <w:rFonts w:ascii="Goudy Old Style" w:hAnsi="Goudy Old Style" w:cs="GoudyOlSt BT"/>
          <w:bCs/>
          <w:sz w:val="24"/>
          <w:szCs w:val="24"/>
        </w:rPr>
        <w:t xml:space="preserve"> are reported by Indigenous status.</w:t>
      </w:r>
    </w:p>
    <w:p w:rsidR="007430BF" w:rsidRDefault="007430BF">
      <w:pPr>
        <w:rPr>
          <w:rFonts w:ascii="Goudy Old Style" w:hAnsi="Goudy Old Style" w:cs="GoudyOlSt BT"/>
          <w:b/>
          <w:bCs/>
          <w:sz w:val="24"/>
          <w:szCs w:val="24"/>
        </w:rPr>
      </w:pPr>
      <w:r>
        <w:rPr>
          <w:rFonts w:ascii="Goudy Old Style" w:hAnsi="Goudy Old Style" w:cs="GoudyOlSt BT"/>
          <w:b/>
          <w:bCs/>
          <w:sz w:val="24"/>
          <w:szCs w:val="24"/>
        </w:rPr>
        <w:br w:type="page"/>
      </w:r>
    </w:p>
    <w:p w:rsidR="00F334E6" w:rsidRDefault="000E50E6" w:rsidP="0065534E">
      <w:pPr>
        <w:spacing w:before="120" w:after="120" w:line="240" w:lineRule="atLeast"/>
        <w:ind w:right="51"/>
        <w:jc w:val="both"/>
        <w:rPr>
          <w:rFonts w:ascii="Goudy Old Style" w:hAnsi="Goudy Old Style" w:cs="GoudyOlSt BT"/>
          <w:bCs/>
          <w:snapToGrid w:val="0"/>
          <w:sz w:val="24"/>
          <w:szCs w:val="24"/>
          <w:lang w:eastAsia="en-US"/>
        </w:rPr>
      </w:pPr>
      <w:r>
        <w:rPr>
          <w:rFonts w:ascii="Goudy Old Style" w:hAnsi="Goudy Old Style" w:cs="GoudyOlSt BT"/>
          <w:b/>
          <w:bCs/>
          <w:sz w:val="24"/>
          <w:szCs w:val="24"/>
        </w:rPr>
        <w:lastRenderedPageBreak/>
        <w:t>Child p</w:t>
      </w:r>
      <w:r w:rsidRPr="00727E47">
        <w:rPr>
          <w:rFonts w:ascii="Goudy Old Style" w:hAnsi="Goudy Old Style" w:cs="GoudyOlSt BT"/>
          <w:b/>
          <w:bCs/>
          <w:sz w:val="24"/>
          <w:szCs w:val="24"/>
        </w:rPr>
        <w:t xml:space="preserve">rotection </w:t>
      </w:r>
      <w:r w:rsidR="004F136C" w:rsidRPr="00727E47">
        <w:rPr>
          <w:rFonts w:ascii="Goudy Old Style" w:hAnsi="Goudy Old Style" w:cs="GoudyOlSt BT"/>
          <w:b/>
          <w:bCs/>
          <w:sz w:val="24"/>
          <w:szCs w:val="24"/>
        </w:rPr>
        <w:t>services:</w:t>
      </w:r>
      <w:r w:rsidR="004F136C" w:rsidRPr="00727E47">
        <w:rPr>
          <w:rFonts w:ascii="Goudy Old Style" w:hAnsi="Goudy Old Style" w:cs="GoudyOlSt BT"/>
          <w:bCs/>
          <w:sz w:val="24"/>
          <w:szCs w:val="24"/>
        </w:rPr>
        <w:t xml:space="preserve"> </w:t>
      </w:r>
      <w:r w:rsidR="004F136C" w:rsidRPr="00727E47">
        <w:rPr>
          <w:rFonts w:ascii="Goudy Old Style" w:hAnsi="Goudy Old Style" w:cs="GoudyOlSt BT"/>
          <w:bCs/>
          <w:snapToGrid w:val="0"/>
          <w:sz w:val="24"/>
          <w:szCs w:val="24"/>
          <w:lang w:eastAsia="en-US"/>
        </w:rPr>
        <w:t xml:space="preserve">The </w:t>
      </w:r>
      <w:r w:rsidR="00572703">
        <w:rPr>
          <w:rFonts w:ascii="Goudy Old Style" w:hAnsi="Goudy Old Style" w:cs="GoudyOlSt BT"/>
          <w:bCs/>
          <w:snapToGrid w:val="0"/>
          <w:sz w:val="24"/>
          <w:szCs w:val="24"/>
          <w:lang w:eastAsia="en-US"/>
        </w:rPr>
        <w:t xml:space="preserve">child protection substantiation rate for Indigenous </w:t>
      </w:r>
      <w:r w:rsidR="004F136C" w:rsidRPr="00727E47">
        <w:rPr>
          <w:rFonts w:ascii="Goudy Old Style" w:hAnsi="Goudy Old Style" w:cs="GoudyOlSt BT"/>
          <w:bCs/>
          <w:snapToGrid w:val="0"/>
          <w:sz w:val="24"/>
          <w:szCs w:val="24"/>
          <w:lang w:eastAsia="en-US"/>
        </w:rPr>
        <w:t xml:space="preserve">children </w:t>
      </w:r>
      <w:r w:rsidR="00727E47" w:rsidRPr="00727E47">
        <w:rPr>
          <w:rFonts w:ascii="Goudy Old Style" w:hAnsi="Goudy Old Style" w:cs="GoudyOlSt BT"/>
          <w:bCs/>
          <w:snapToGrid w:val="0"/>
          <w:sz w:val="24"/>
          <w:szCs w:val="24"/>
          <w:lang w:eastAsia="en-US"/>
        </w:rPr>
        <w:t xml:space="preserve">was 41.9 </w:t>
      </w:r>
      <w:r w:rsidR="00572703" w:rsidRPr="00727E47">
        <w:rPr>
          <w:rFonts w:ascii="Goudy Old Style" w:hAnsi="Goudy Old Style" w:cs="GoudyOlSt BT"/>
          <w:bCs/>
          <w:snapToGrid w:val="0"/>
          <w:sz w:val="24"/>
          <w:szCs w:val="24"/>
          <w:lang w:eastAsia="en-US"/>
        </w:rPr>
        <w:t>per 1000 children aged 0–17 years</w:t>
      </w:r>
      <w:r w:rsidR="00572703">
        <w:rPr>
          <w:rFonts w:ascii="Goudy Old Style" w:hAnsi="Goudy Old Style" w:cs="GoudyOlSt BT"/>
          <w:bCs/>
          <w:snapToGrid w:val="0"/>
          <w:sz w:val="24"/>
          <w:szCs w:val="24"/>
          <w:lang w:eastAsia="en-US"/>
        </w:rPr>
        <w:t xml:space="preserve">, compared with </w:t>
      </w:r>
      <w:r w:rsidR="00727E47" w:rsidRPr="00727E47">
        <w:rPr>
          <w:rFonts w:ascii="Goudy Old Style" w:hAnsi="Goudy Old Style" w:cs="GoudyOlSt BT"/>
          <w:bCs/>
          <w:snapToGrid w:val="0"/>
          <w:sz w:val="24"/>
          <w:szCs w:val="24"/>
          <w:lang w:eastAsia="en-US"/>
        </w:rPr>
        <w:t>5.4</w:t>
      </w:r>
      <w:r w:rsidR="004F136C" w:rsidRPr="00727E47">
        <w:rPr>
          <w:rFonts w:ascii="Goudy Old Style" w:hAnsi="Goudy Old Style" w:cs="GoudyOlSt BT"/>
          <w:bCs/>
          <w:snapToGrid w:val="0"/>
          <w:sz w:val="24"/>
          <w:szCs w:val="24"/>
          <w:lang w:eastAsia="en-US"/>
        </w:rPr>
        <w:t xml:space="preserve"> for non-Indigenous children in 201</w:t>
      </w:r>
      <w:r w:rsidR="00727E47" w:rsidRPr="00727E47">
        <w:rPr>
          <w:rFonts w:ascii="Goudy Old Style" w:hAnsi="Goudy Old Style" w:cs="GoudyOlSt BT"/>
          <w:bCs/>
          <w:snapToGrid w:val="0"/>
          <w:sz w:val="24"/>
          <w:szCs w:val="24"/>
          <w:lang w:eastAsia="en-US"/>
        </w:rPr>
        <w:t>1</w:t>
      </w:r>
      <w:r>
        <w:rPr>
          <w:rFonts w:ascii="Goudy Old Style" w:hAnsi="Goudy Old Style" w:cs="GoudyOlSt BT"/>
          <w:bCs/>
          <w:snapToGrid w:val="0"/>
          <w:sz w:val="24"/>
          <w:szCs w:val="24"/>
          <w:lang w:eastAsia="en-US"/>
        </w:rPr>
        <w:noBreakHyphen/>
      </w:r>
      <w:r w:rsidR="004F136C" w:rsidRPr="00727E47">
        <w:rPr>
          <w:rFonts w:ascii="Goudy Old Style" w:hAnsi="Goudy Old Style" w:cs="GoudyOlSt BT"/>
          <w:bCs/>
          <w:snapToGrid w:val="0"/>
          <w:sz w:val="24"/>
          <w:szCs w:val="24"/>
          <w:lang w:eastAsia="en-US"/>
        </w:rPr>
        <w:t>1</w:t>
      </w:r>
      <w:r w:rsidR="00727E47" w:rsidRPr="00727E47">
        <w:rPr>
          <w:rFonts w:ascii="Goudy Old Style" w:hAnsi="Goudy Old Style" w:cs="GoudyOlSt BT"/>
          <w:bCs/>
          <w:snapToGrid w:val="0"/>
          <w:sz w:val="24"/>
          <w:szCs w:val="24"/>
          <w:lang w:eastAsia="en-US"/>
        </w:rPr>
        <w:t>2</w:t>
      </w:r>
      <w:r w:rsidR="004F136C" w:rsidRPr="00727E47">
        <w:rPr>
          <w:rFonts w:ascii="Goudy Old Style" w:hAnsi="Goudy Old Style" w:cs="GoudyOlSt BT"/>
          <w:bCs/>
          <w:snapToGrid w:val="0"/>
          <w:sz w:val="24"/>
          <w:szCs w:val="24"/>
          <w:lang w:eastAsia="en-US"/>
        </w:rPr>
        <w:t xml:space="preserve"> </w:t>
      </w:r>
      <w:r w:rsidR="004F136C" w:rsidRPr="00727E47">
        <w:rPr>
          <w:rFonts w:ascii="Goudy Old Style" w:hAnsi="Goudy Old Style" w:cs="GoudyOlSt BT"/>
          <w:b/>
          <w:bCs/>
          <w:snapToGrid w:val="0"/>
          <w:sz w:val="24"/>
          <w:szCs w:val="24"/>
          <w:lang w:eastAsia="en-US"/>
        </w:rPr>
        <w:t>(</w:t>
      </w:r>
      <w:r w:rsidR="004F136C" w:rsidRPr="00727E47">
        <w:rPr>
          <w:rFonts w:ascii="Goudy Old Style" w:hAnsi="Goudy Old Style" w:cs="GoudyOlSt BT"/>
          <w:b/>
          <w:bCs/>
          <w:sz w:val="24"/>
          <w:szCs w:val="24"/>
        </w:rPr>
        <w:t>201</w:t>
      </w:r>
      <w:r w:rsidR="00727E47" w:rsidRPr="00727E47">
        <w:rPr>
          <w:rFonts w:ascii="Goudy Old Style" w:hAnsi="Goudy Old Style" w:cs="GoudyOlSt BT"/>
          <w:b/>
          <w:bCs/>
          <w:sz w:val="24"/>
          <w:szCs w:val="24"/>
        </w:rPr>
        <w:t>3</w:t>
      </w:r>
      <w:r w:rsidR="004F136C" w:rsidRPr="00727E47">
        <w:rPr>
          <w:rFonts w:ascii="Goudy Old Style" w:hAnsi="Goudy Old Style" w:cs="GoudyOlSt BT"/>
          <w:b/>
          <w:bCs/>
          <w:sz w:val="24"/>
          <w:szCs w:val="24"/>
        </w:rPr>
        <w:t xml:space="preserve"> Report, </w:t>
      </w:r>
      <w:r w:rsidR="00727E47" w:rsidRPr="00727E47">
        <w:rPr>
          <w:rFonts w:ascii="Goudy Old Style" w:hAnsi="Goudy Old Style" w:cs="GoudyOlSt BT"/>
          <w:b/>
          <w:bCs/>
          <w:snapToGrid w:val="0"/>
          <w:sz w:val="24"/>
          <w:szCs w:val="24"/>
          <w:lang w:eastAsia="en-US"/>
        </w:rPr>
        <w:t>p. </w:t>
      </w:r>
      <w:r w:rsidR="00CB6594" w:rsidRPr="00727E47">
        <w:rPr>
          <w:rFonts w:ascii="Goudy Old Style" w:hAnsi="Goudy Old Style" w:cs="GoudyOlSt BT"/>
          <w:b/>
          <w:bCs/>
          <w:snapToGrid w:val="0"/>
          <w:sz w:val="24"/>
          <w:szCs w:val="24"/>
          <w:lang w:eastAsia="en-US"/>
        </w:rPr>
        <w:t>1</w:t>
      </w:r>
      <w:r w:rsidR="00CB6594">
        <w:rPr>
          <w:rFonts w:ascii="Goudy Old Style" w:hAnsi="Goudy Old Style" w:cs="GoudyOlSt BT"/>
          <w:b/>
          <w:bCs/>
          <w:snapToGrid w:val="0"/>
          <w:sz w:val="24"/>
          <w:szCs w:val="24"/>
          <w:lang w:eastAsia="en-US"/>
        </w:rPr>
        <w:t>5</w:t>
      </w:r>
      <w:r w:rsidR="004F136C" w:rsidRPr="00727E47">
        <w:rPr>
          <w:rFonts w:ascii="Goudy Old Style" w:hAnsi="Goudy Old Style" w:cs="GoudyOlSt BT"/>
          <w:b/>
          <w:bCs/>
          <w:snapToGrid w:val="0"/>
          <w:sz w:val="24"/>
          <w:szCs w:val="24"/>
          <w:lang w:eastAsia="en-US"/>
        </w:rPr>
        <w:t>.1</w:t>
      </w:r>
      <w:r w:rsidR="00727E47" w:rsidRPr="00727E47">
        <w:rPr>
          <w:rFonts w:ascii="Goudy Old Style" w:hAnsi="Goudy Old Style" w:cs="GoudyOlSt BT"/>
          <w:b/>
          <w:bCs/>
          <w:snapToGrid w:val="0"/>
          <w:sz w:val="24"/>
          <w:szCs w:val="24"/>
          <w:lang w:eastAsia="en-US"/>
        </w:rPr>
        <w:t>4</w:t>
      </w:r>
      <w:r w:rsidR="004F136C" w:rsidRPr="00727E47">
        <w:rPr>
          <w:rFonts w:ascii="Goudy Old Style" w:hAnsi="Goudy Old Style" w:cs="GoudyOlSt BT"/>
          <w:b/>
          <w:bCs/>
          <w:sz w:val="24"/>
          <w:szCs w:val="24"/>
        </w:rPr>
        <w:t xml:space="preserve">; </w:t>
      </w:r>
      <w:r w:rsidR="00F334E6">
        <w:rPr>
          <w:rFonts w:ascii="Goudy Old Style" w:hAnsi="Goudy Old Style" w:cs="GoudyOlSt BT"/>
          <w:b/>
          <w:bCs/>
          <w:sz w:val="24"/>
          <w:szCs w:val="24"/>
        </w:rPr>
        <w:t>2013</w:t>
      </w:r>
      <w:r w:rsidR="004F136C" w:rsidRPr="00F334E6">
        <w:rPr>
          <w:rFonts w:ascii="Goudy Old Style" w:hAnsi="Goudy Old Style" w:cs="GoudyOlSt BT"/>
          <w:b/>
          <w:bCs/>
          <w:sz w:val="24"/>
          <w:szCs w:val="24"/>
        </w:rPr>
        <w:t xml:space="preserve"> IC, </w:t>
      </w:r>
      <w:r w:rsidR="004F136C" w:rsidRPr="0065534E">
        <w:rPr>
          <w:rFonts w:ascii="Goudy Old Style" w:hAnsi="Goudy Old Style" w:cs="GoudyOlSt BT"/>
          <w:b/>
          <w:bCs/>
          <w:sz w:val="24"/>
          <w:szCs w:val="24"/>
        </w:rPr>
        <w:t>p. </w:t>
      </w:r>
      <w:r>
        <w:rPr>
          <w:rFonts w:ascii="Goudy Old Style" w:hAnsi="Goudy Old Style" w:cs="GoudyOlSt BT"/>
          <w:b/>
          <w:bCs/>
          <w:sz w:val="24"/>
          <w:szCs w:val="24"/>
        </w:rPr>
        <w:t>15.12, table 15A</w:t>
      </w:r>
      <w:r w:rsidRPr="000E50E6">
        <w:rPr>
          <w:rFonts w:ascii="Goudy Old Style" w:hAnsi="Goudy Old Style" w:cs="GoudyOlSt BT"/>
          <w:b/>
          <w:bCs/>
          <w:sz w:val="24"/>
          <w:szCs w:val="24"/>
        </w:rPr>
        <w:t>.8</w:t>
      </w:r>
      <w:r w:rsidR="004F136C" w:rsidRPr="000E50E6">
        <w:rPr>
          <w:rFonts w:ascii="Goudy Old Style" w:hAnsi="Goudy Old Style" w:cs="GoudyOlSt BT"/>
          <w:b/>
          <w:bCs/>
          <w:snapToGrid w:val="0"/>
          <w:sz w:val="24"/>
          <w:szCs w:val="24"/>
          <w:lang w:eastAsia="en-US"/>
        </w:rPr>
        <w:t>)</w:t>
      </w:r>
      <w:r w:rsidR="004F136C" w:rsidRPr="008E38F3">
        <w:rPr>
          <w:rFonts w:ascii="Goudy Old Style" w:hAnsi="Goudy Old Style" w:cs="GoudyOlSt BT"/>
          <w:bCs/>
          <w:snapToGrid w:val="0"/>
          <w:sz w:val="24"/>
          <w:szCs w:val="24"/>
          <w:lang w:eastAsia="en-US"/>
        </w:rPr>
        <w:t>.</w:t>
      </w:r>
      <w:r w:rsidR="004F136C" w:rsidRPr="00727E47">
        <w:rPr>
          <w:rFonts w:ascii="Goudy Old Style" w:hAnsi="Goudy Old Style" w:cs="GoudyOlSt BT"/>
          <w:bCs/>
          <w:snapToGrid w:val="0"/>
          <w:sz w:val="24"/>
          <w:szCs w:val="24"/>
          <w:lang w:eastAsia="en-US"/>
        </w:rPr>
        <w:t xml:space="preserve"> </w:t>
      </w:r>
      <w:r w:rsidR="008B4B17">
        <w:rPr>
          <w:rFonts w:ascii="Goudy Old Style" w:hAnsi="Goudy Old Style" w:cs="GoudyOlSt BT"/>
          <w:bCs/>
          <w:snapToGrid w:val="0"/>
          <w:sz w:val="24"/>
          <w:szCs w:val="24"/>
          <w:lang w:eastAsia="en-US"/>
        </w:rPr>
        <w:t>D</w:t>
      </w:r>
      <w:r w:rsidR="004F136C" w:rsidRPr="00727E47">
        <w:rPr>
          <w:rFonts w:ascii="Goudy Old Style" w:hAnsi="Goudy Old Style" w:cs="GoudyOlSt BT"/>
          <w:bCs/>
          <w:snapToGrid w:val="0"/>
          <w:sz w:val="24"/>
          <w:szCs w:val="24"/>
          <w:lang w:eastAsia="en-US"/>
        </w:rPr>
        <w:t xml:space="preserve">ata on the placement of Indigenous children in out-of-home care, placed in accordance with the Aboriginal Child Placement Principle </w:t>
      </w:r>
      <w:r w:rsidR="008B4B17">
        <w:rPr>
          <w:rFonts w:ascii="Goudy Old Style" w:hAnsi="Goudy Old Style" w:cs="GoudyOlSt BT"/>
          <w:bCs/>
          <w:snapToGrid w:val="0"/>
          <w:sz w:val="24"/>
          <w:szCs w:val="24"/>
          <w:lang w:eastAsia="en-US"/>
        </w:rPr>
        <w:t>are also reported</w:t>
      </w:r>
      <w:r w:rsidR="004F136C" w:rsidRPr="00727E47">
        <w:rPr>
          <w:rFonts w:ascii="Goudy Old Style" w:hAnsi="Goudy Old Style" w:cs="GoudyOlSt BT"/>
          <w:bCs/>
          <w:snapToGrid w:val="0"/>
          <w:sz w:val="24"/>
          <w:szCs w:val="24"/>
          <w:lang w:eastAsia="en-US"/>
        </w:rPr>
        <w:t>.</w:t>
      </w:r>
      <w:r w:rsidR="004F136C" w:rsidRPr="00727E47">
        <w:rPr>
          <w:rFonts w:ascii="Goudy Old Style" w:hAnsi="Goudy Old Style" w:cs="GoudyOlSt BT"/>
          <w:b/>
          <w:bCs/>
          <w:snapToGrid w:val="0"/>
          <w:sz w:val="24"/>
          <w:szCs w:val="24"/>
          <w:lang w:eastAsia="en-US"/>
        </w:rPr>
        <w:t xml:space="preserve"> </w:t>
      </w:r>
      <w:r w:rsidR="004F136C" w:rsidRPr="00727E47">
        <w:rPr>
          <w:rFonts w:ascii="Goudy Old Style" w:hAnsi="Goudy Old Style" w:cs="GoudyOlSt BT"/>
          <w:bCs/>
          <w:snapToGrid w:val="0"/>
          <w:sz w:val="24"/>
          <w:szCs w:val="24"/>
          <w:lang w:eastAsia="en-US"/>
        </w:rPr>
        <w:t>N</w:t>
      </w:r>
      <w:r w:rsidR="004F136C" w:rsidRPr="001F1D10">
        <w:rPr>
          <w:rFonts w:ascii="Goudy Old Style" w:hAnsi="Goudy Old Style" w:cs="GoudyOlSt BT"/>
          <w:bCs/>
          <w:snapToGrid w:val="0"/>
          <w:sz w:val="24"/>
          <w:szCs w:val="24"/>
          <w:lang w:eastAsia="en-US"/>
        </w:rPr>
        <w:t>ationally, at 30 June 201</w:t>
      </w:r>
      <w:r w:rsidR="001F1D10" w:rsidRPr="001F1D10">
        <w:rPr>
          <w:rFonts w:ascii="Goudy Old Style" w:hAnsi="Goudy Old Style" w:cs="GoudyOlSt BT"/>
          <w:bCs/>
          <w:snapToGrid w:val="0"/>
          <w:sz w:val="24"/>
          <w:szCs w:val="24"/>
          <w:lang w:eastAsia="en-US"/>
        </w:rPr>
        <w:t>2</w:t>
      </w:r>
      <w:r w:rsidR="004F136C" w:rsidRPr="001F1D10">
        <w:rPr>
          <w:rFonts w:ascii="Goudy Old Style" w:hAnsi="Goudy Old Style" w:cs="GoudyOlSt BT"/>
          <w:bCs/>
          <w:snapToGrid w:val="0"/>
          <w:sz w:val="24"/>
          <w:szCs w:val="24"/>
          <w:lang w:eastAsia="en-US"/>
        </w:rPr>
        <w:t xml:space="preserve">, </w:t>
      </w:r>
      <w:r w:rsidR="004F136C" w:rsidRPr="001F1D10">
        <w:rPr>
          <w:rFonts w:ascii="Goudy Old Style" w:hAnsi="Goudy Old Style" w:cs="GoudyOlSt BT"/>
          <w:bCs/>
          <w:sz w:val="24"/>
          <w:szCs w:val="24"/>
        </w:rPr>
        <w:t>52.</w:t>
      </w:r>
      <w:r w:rsidR="001F1D10" w:rsidRPr="001F1D10">
        <w:rPr>
          <w:rFonts w:ascii="Goudy Old Style" w:hAnsi="Goudy Old Style" w:cs="GoudyOlSt BT"/>
          <w:bCs/>
          <w:sz w:val="24"/>
          <w:szCs w:val="24"/>
        </w:rPr>
        <w:t>4</w:t>
      </w:r>
      <w:r w:rsidR="004F136C" w:rsidRPr="001F1D10">
        <w:rPr>
          <w:rFonts w:ascii="Goudy Old Style" w:hAnsi="Goudy Old Style" w:cs="GoudyOlSt BT"/>
          <w:bCs/>
          <w:sz w:val="24"/>
          <w:szCs w:val="24"/>
        </w:rPr>
        <w:t xml:space="preserve"> per cent of Indigenous children in out-of-home care we</w:t>
      </w:r>
      <w:r w:rsidR="001F1D10" w:rsidRPr="001F1D10">
        <w:rPr>
          <w:rFonts w:ascii="Goudy Old Style" w:hAnsi="Goudy Old Style" w:cs="GoudyOlSt BT"/>
          <w:bCs/>
          <w:sz w:val="24"/>
          <w:szCs w:val="24"/>
        </w:rPr>
        <w:t>re placed with relatives/kin (38.2</w:t>
      </w:r>
      <w:r w:rsidR="004F136C" w:rsidRPr="001F1D10">
        <w:rPr>
          <w:rFonts w:ascii="Goudy Old Style" w:hAnsi="Goudy Old Style" w:cs="GoudyOlSt BT"/>
          <w:bCs/>
          <w:sz w:val="24"/>
          <w:szCs w:val="24"/>
        </w:rPr>
        <w:t xml:space="preserve"> per cent with</w:t>
      </w:r>
      <w:r w:rsidR="001F1D10" w:rsidRPr="001F1D10">
        <w:rPr>
          <w:rFonts w:ascii="Goudy Old Style" w:hAnsi="Goudy Old Style" w:cs="GoudyOlSt BT"/>
          <w:bCs/>
          <w:sz w:val="24"/>
          <w:szCs w:val="24"/>
        </w:rPr>
        <w:t xml:space="preserve"> Indigenous relatives/kin and 14.1</w:t>
      </w:r>
      <w:r w:rsidR="004F136C" w:rsidRPr="001F1D10">
        <w:rPr>
          <w:rFonts w:ascii="Goudy Old Style" w:hAnsi="Goudy Old Style" w:cs="GoudyOlSt BT"/>
          <w:bCs/>
          <w:sz w:val="24"/>
          <w:szCs w:val="24"/>
        </w:rPr>
        <w:t xml:space="preserve"> per cent with non</w:t>
      </w:r>
      <w:r w:rsidR="004F136C" w:rsidRPr="001F1D10">
        <w:rPr>
          <w:rFonts w:ascii="Goudy Old Style" w:hAnsi="Goudy Old Style" w:cs="GoudyOlSt BT"/>
          <w:bCs/>
          <w:sz w:val="24"/>
          <w:szCs w:val="24"/>
        </w:rPr>
        <w:noBreakHyphen/>
        <w:t>Indigenous relatives/kin). A further 16.</w:t>
      </w:r>
      <w:r w:rsidR="001F1D10" w:rsidRPr="001F1D10">
        <w:rPr>
          <w:rFonts w:ascii="Goudy Old Style" w:hAnsi="Goudy Old Style" w:cs="GoudyOlSt BT"/>
          <w:bCs/>
          <w:sz w:val="24"/>
          <w:szCs w:val="24"/>
        </w:rPr>
        <w:t>4</w:t>
      </w:r>
      <w:r w:rsidR="004F136C" w:rsidRPr="001F1D10">
        <w:rPr>
          <w:rFonts w:ascii="Goudy Old Style" w:hAnsi="Goudy Old Style" w:cs="GoudyOlSt BT"/>
          <w:bCs/>
          <w:sz w:val="24"/>
          <w:szCs w:val="24"/>
        </w:rPr>
        <w:t xml:space="preserve"> per cent of Indigenous children in out-of-home care were placed with other Indigenous carers or in Indigenous residential care</w:t>
      </w:r>
      <w:r w:rsidR="004F136C" w:rsidRPr="001F1D10">
        <w:rPr>
          <w:rFonts w:ascii="Goudy Old Style" w:hAnsi="Goudy Old Style" w:cs="GoudyOlSt BT"/>
          <w:bCs/>
          <w:snapToGrid w:val="0"/>
          <w:sz w:val="24"/>
          <w:szCs w:val="24"/>
          <w:lang w:eastAsia="en-US"/>
        </w:rPr>
        <w:t xml:space="preserve"> </w:t>
      </w:r>
      <w:r w:rsidRPr="00727E47">
        <w:rPr>
          <w:rFonts w:ascii="Goudy Old Style" w:hAnsi="Goudy Old Style" w:cs="GoudyOlSt BT"/>
          <w:b/>
          <w:bCs/>
          <w:snapToGrid w:val="0"/>
          <w:sz w:val="24"/>
          <w:szCs w:val="24"/>
          <w:lang w:eastAsia="en-US"/>
        </w:rPr>
        <w:t>(</w:t>
      </w:r>
      <w:r w:rsidRPr="00727E47">
        <w:rPr>
          <w:rFonts w:ascii="Goudy Old Style" w:hAnsi="Goudy Old Style" w:cs="GoudyOlSt BT"/>
          <w:b/>
          <w:bCs/>
          <w:sz w:val="24"/>
          <w:szCs w:val="24"/>
        </w:rPr>
        <w:t xml:space="preserve">2013 Report, </w:t>
      </w:r>
      <w:r>
        <w:rPr>
          <w:rFonts w:ascii="Goudy Old Style" w:hAnsi="Goudy Old Style" w:cs="GoudyOlSt BT"/>
          <w:b/>
          <w:bCs/>
          <w:snapToGrid w:val="0"/>
          <w:sz w:val="24"/>
          <w:szCs w:val="24"/>
          <w:lang w:eastAsia="en-US"/>
        </w:rPr>
        <w:t>pp. 15.35</w:t>
      </w:r>
      <w:r w:rsidRPr="00727E47">
        <w:rPr>
          <w:rFonts w:ascii="Goudy Old Style" w:hAnsi="Goudy Old Style" w:cs="GoudyOlSt BT"/>
          <w:b/>
          <w:bCs/>
          <w:sz w:val="24"/>
          <w:szCs w:val="24"/>
        </w:rPr>
        <w:t>–</w:t>
      </w:r>
      <w:r w:rsidRPr="00727E47">
        <w:rPr>
          <w:rFonts w:ascii="Goudy Old Style" w:hAnsi="Goudy Old Style" w:cs="GoudyOlSt BT"/>
          <w:b/>
          <w:bCs/>
          <w:snapToGrid w:val="0"/>
          <w:sz w:val="24"/>
          <w:szCs w:val="24"/>
          <w:lang w:eastAsia="en-US"/>
        </w:rPr>
        <w:t>39</w:t>
      </w:r>
      <w:r w:rsidRPr="00727E47">
        <w:rPr>
          <w:rFonts w:ascii="Goudy Old Style" w:hAnsi="Goudy Old Style" w:cs="GoudyOlSt BT"/>
          <w:b/>
          <w:bCs/>
          <w:sz w:val="24"/>
          <w:szCs w:val="24"/>
        </w:rPr>
        <w:t xml:space="preserve">; </w:t>
      </w:r>
      <w:r>
        <w:rPr>
          <w:rFonts w:ascii="Goudy Old Style" w:hAnsi="Goudy Old Style" w:cs="GoudyOlSt BT"/>
          <w:b/>
          <w:bCs/>
          <w:sz w:val="24"/>
          <w:szCs w:val="24"/>
        </w:rPr>
        <w:t>2013</w:t>
      </w:r>
      <w:r w:rsidRPr="00F334E6">
        <w:rPr>
          <w:rFonts w:ascii="Goudy Old Style" w:hAnsi="Goudy Old Style" w:cs="GoudyOlSt BT"/>
          <w:b/>
          <w:bCs/>
          <w:sz w:val="24"/>
          <w:szCs w:val="24"/>
        </w:rPr>
        <w:t xml:space="preserve"> IC, </w:t>
      </w:r>
      <w:r w:rsidRPr="00401CF7">
        <w:rPr>
          <w:rFonts w:ascii="Goudy Old Style" w:hAnsi="Goudy Old Style" w:cs="GoudyOlSt BT"/>
          <w:b/>
          <w:bCs/>
          <w:sz w:val="24"/>
          <w:szCs w:val="24"/>
        </w:rPr>
        <w:t>pp. 15.19–21</w:t>
      </w:r>
      <w:r w:rsidRPr="00727E47">
        <w:rPr>
          <w:rFonts w:ascii="Goudy Old Style" w:hAnsi="Goudy Old Style" w:cs="GoudyOlSt BT"/>
          <w:b/>
          <w:bCs/>
          <w:snapToGrid w:val="0"/>
          <w:sz w:val="24"/>
          <w:szCs w:val="24"/>
          <w:lang w:eastAsia="en-US"/>
        </w:rPr>
        <w:t>)</w:t>
      </w:r>
      <w:r w:rsidR="004F136C" w:rsidRPr="001F1D10">
        <w:rPr>
          <w:rFonts w:ascii="Goudy Old Style" w:hAnsi="Goudy Old Style" w:cs="GoudyOlSt BT"/>
          <w:bCs/>
          <w:snapToGrid w:val="0"/>
          <w:sz w:val="24"/>
          <w:szCs w:val="24"/>
          <w:lang w:eastAsia="en-US"/>
        </w:rPr>
        <w:t>.</w:t>
      </w:r>
    </w:p>
    <w:p w:rsidR="00EA6266" w:rsidRDefault="00EA6266" w:rsidP="004F136C">
      <w:pPr>
        <w:spacing w:before="120" w:after="120" w:line="240" w:lineRule="atLeast"/>
        <w:ind w:right="53"/>
        <w:jc w:val="both"/>
        <w:rPr>
          <w:rFonts w:ascii="Goudy Old Style" w:hAnsi="Goudy Old Style" w:cs="GoudyOlSt BT"/>
          <w:b/>
          <w:bCs/>
          <w:snapToGrid w:val="0"/>
          <w:sz w:val="24"/>
          <w:szCs w:val="24"/>
          <w:lang w:eastAsia="en-US"/>
        </w:rPr>
      </w:pPr>
    </w:p>
    <w:p w:rsidR="00FF2805" w:rsidRPr="004F136C" w:rsidRDefault="004F136C" w:rsidP="004F136C">
      <w:pPr>
        <w:spacing w:before="120" w:after="120" w:line="240" w:lineRule="atLeast"/>
        <w:ind w:right="53"/>
        <w:jc w:val="both"/>
        <w:rPr>
          <w:rFonts w:ascii="Goudy Old Style" w:hAnsi="Goudy Old Style" w:cs="GoudyOlSt BT"/>
          <w:bCs/>
          <w:snapToGrid w:val="0"/>
          <w:sz w:val="24"/>
          <w:szCs w:val="24"/>
          <w:highlight w:val="yellow"/>
          <w:lang w:eastAsia="en-US"/>
        </w:rPr>
      </w:pPr>
      <w:r w:rsidRPr="00607C83">
        <w:rPr>
          <w:rFonts w:ascii="Goudy Old Style" w:hAnsi="Goudy Old Style" w:cs="GoudyOlSt BT"/>
          <w:b/>
          <w:bCs/>
          <w:snapToGrid w:val="0"/>
          <w:sz w:val="24"/>
          <w:szCs w:val="24"/>
          <w:lang w:eastAsia="en-US"/>
        </w:rPr>
        <w:t xml:space="preserve">Housing services: </w:t>
      </w:r>
      <w:r w:rsidRPr="00607C83">
        <w:rPr>
          <w:rFonts w:ascii="Goudy Old Style" w:hAnsi="Goudy Old Style" w:cs="GoudyOlSt BT"/>
          <w:bCs/>
          <w:snapToGrid w:val="0"/>
          <w:sz w:val="24"/>
          <w:szCs w:val="24"/>
          <w:lang w:eastAsia="en-US"/>
        </w:rPr>
        <w:t>The proportion of overcrowded households varied across social housing programs. Na</w:t>
      </w:r>
      <w:r w:rsidR="00607C83" w:rsidRPr="00607C83">
        <w:rPr>
          <w:rFonts w:ascii="Goudy Old Style" w:hAnsi="Goudy Old Style" w:cs="GoudyOlSt BT"/>
          <w:bCs/>
          <w:snapToGrid w:val="0"/>
          <w:sz w:val="24"/>
          <w:szCs w:val="24"/>
          <w:lang w:eastAsia="en-US"/>
        </w:rPr>
        <w:t>tionally, 9.8</w:t>
      </w:r>
      <w:r w:rsidRPr="00607C83">
        <w:rPr>
          <w:rFonts w:ascii="Goudy Old Style" w:hAnsi="Goudy Old Style" w:cs="GoudyOlSt BT"/>
          <w:bCs/>
          <w:snapToGrid w:val="0"/>
          <w:sz w:val="24"/>
          <w:szCs w:val="24"/>
          <w:lang w:eastAsia="en-US"/>
        </w:rPr>
        <w:t xml:space="preserve"> per cent of SOMIH households were overcrowded, at 30 June 201</w:t>
      </w:r>
      <w:r w:rsidR="00607C83" w:rsidRPr="00607C83">
        <w:rPr>
          <w:rFonts w:ascii="Goudy Old Style" w:hAnsi="Goudy Old Style" w:cs="GoudyOlSt BT"/>
          <w:bCs/>
          <w:snapToGrid w:val="0"/>
          <w:sz w:val="24"/>
          <w:szCs w:val="24"/>
          <w:lang w:eastAsia="en-US"/>
        </w:rPr>
        <w:t>2</w:t>
      </w:r>
      <w:r w:rsidRPr="00607C83">
        <w:rPr>
          <w:rFonts w:ascii="Goudy Old Style" w:hAnsi="Goudy Old Style" w:cs="GoudyOlSt BT"/>
          <w:bCs/>
          <w:snapToGrid w:val="0"/>
          <w:sz w:val="24"/>
          <w:szCs w:val="24"/>
          <w:lang w:eastAsia="en-US"/>
        </w:rPr>
        <w:t>. By contrast, in public housing and community housing, the rates of over</w:t>
      </w:r>
      <w:r w:rsidR="00607C83" w:rsidRPr="00607C83">
        <w:rPr>
          <w:rFonts w:ascii="Goudy Old Style" w:hAnsi="Goudy Old Style" w:cs="GoudyOlSt BT"/>
          <w:bCs/>
          <w:snapToGrid w:val="0"/>
          <w:sz w:val="24"/>
          <w:szCs w:val="24"/>
          <w:lang w:eastAsia="en-US"/>
        </w:rPr>
        <w:t>crowding were 4.3 per cent and 2</w:t>
      </w:r>
      <w:r w:rsidRPr="00607C83">
        <w:rPr>
          <w:rFonts w:ascii="Goudy Old Style" w:hAnsi="Goudy Old Style" w:cs="GoudyOlSt BT"/>
          <w:bCs/>
          <w:snapToGrid w:val="0"/>
          <w:sz w:val="24"/>
          <w:szCs w:val="24"/>
          <w:lang w:eastAsia="en-US"/>
        </w:rPr>
        <w:t xml:space="preserve">.8 per cent respectively </w:t>
      </w:r>
      <w:r w:rsidRPr="00607C83">
        <w:rPr>
          <w:rFonts w:ascii="Goudy Old Style" w:hAnsi="Goudy Old Style" w:cs="GoudyOlSt BT"/>
          <w:b/>
          <w:bCs/>
          <w:snapToGrid w:val="0"/>
          <w:sz w:val="24"/>
          <w:szCs w:val="24"/>
          <w:lang w:eastAsia="en-US"/>
        </w:rPr>
        <w:t>(</w:t>
      </w:r>
      <w:r w:rsidRPr="00607C83">
        <w:rPr>
          <w:rFonts w:ascii="Goudy Old Style" w:hAnsi="Goudy Old Style" w:cs="GoudyOlSt BT"/>
          <w:b/>
          <w:bCs/>
          <w:sz w:val="24"/>
          <w:szCs w:val="24"/>
        </w:rPr>
        <w:t>201</w:t>
      </w:r>
      <w:r w:rsidR="00607C83" w:rsidRPr="00607C83">
        <w:rPr>
          <w:rFonts w:ascii="Goudy Old Style" w:hAnsi="Goudy Old Style" w:cs="GoudyOlSt BT"/>
          <w:b/>
          <w:bCs/>
          <w:sz w:val="24"/>
          <w:szCs w:val="24"/>
        </w:rPr>
        <w:t>3</w:t>
      </w:r>
      <w:r w:rsidRPr="00607C83">
        <w:rPr>
          <w:rFonts w:ascii="Goudy Old Style" w:hAnsi="Goudy Old Style" w:cs="GoudyOlSt BT"/>
          <w:b/>
          <w:bCs/>
          <w:sz w:val="24"/>
          <w:szCs w:val="24"/>
        </w:rPr>
        <w:t xml:space="preserve"> Report, </w:t>
      </w:r>
      <w:r w:rsidRPr="00607C83">
        <w:rPr>
          <w:rFonts w:ascii="Goudy Old Style" w:hAnsi="Goudy Old Style" w:cs="GoudyOlSt BT"/>
          <w:b/>
          <w:bCs/>
          <w:snapToGrid w:val="0"/>
          <w:sz w:val="24"/>
          <w:szCs w:val="24"/>
          <w:lang w:eastAsia="en-US"/>
        </w:rPr>
        <w:t>p. 16.4</w:t>
      </w:r>
      <w:r w:rsidR="00607C83" w:rsidRPr="00607C83">
        <w:rPr>
          <w:rFonts w:ascii="Goudy Old Style" w:hAnsi="Goudy Old Style" w:cs="GoudyOlSt BT"/>
          <w:b/>
          <w:bCs/>
          <w:snapToGrid w:val="0"/>
          <w:sz w:val="24"/>
          <w:szCs w:val="24"/>
          <w:lang w:eastAsia="en-US"/>
        </w:rPr>
        <w:t>5</w:t>
      </w:r>
      <w:r w:rsidRPr="00607C83">
        <w:rPr>
          <w:rFonts w:ascii="Goudy Old Style" w:hAnsi="Goudy Old Style" w:cs="GoudyOlSt BT"/>
          <w:b/>
          <w:bCs/>
          <w:sz w:val="24"/>
          <w:szCs w:val="24"/>
        </w:rPr>
        <w:t xml:space="preserve">; </w:t>
      </w:r>
      <w:r w:rsidR="00F334E6">
        <w:rPr>
          <w:rFonts w:ascii="Goudy Old Style" w:hAnsi="Goudy Old Style" w:cs="GoudyOlSt BT"/>
          <w:b/>
          <w:bCs/>
          <w:sz w:val="24"/>
          <w:szCs w:val="24"/>
        </w:rPr>
        <w:t>2013</w:t>
      </w:r>
      <w:r w:rsidRPr="00F334E6">
        <w:rPr>
          <w:rFonts w:ascii="Goudy Old Style" w:hAnsi="Goudy Old Style" w:cs="GoudyOlSt BT"/>
          <w:b/>
          <w:bCs/>
          <w:sz w:val="24"/>
          <w:szCs w:val="24"/>
        </w:rPr>
        <w:t xml:space="preserve"> IC, </w:t>
      </w:r>
      <w:r w:rsidRPr="0065534E">
        <w:rPr>
          <w:rFonts w:ascii="Goudy Old Style" w:hAnsi="Goudy Old Style" w:cs="GoudyOlSt BT"/>
          <w:b/>
          <w:bCs/>
          <w:sz w:val="24"/>
          <w:szCs w:val="24"/>
        </w:rPr>
        <w:t>p. </w:t>
      </w:r>
      <w:r w:rsidR="00E31E76">
        <w:rPr>
          <w:rFonts w:ascii="Goudy Old Style" w:hAnsi="Goudy Old Style" w:cs="GoudyOlSt BT"/>
          <w:b/>
          <w:bCs/>
          <w:sz w:val="24"/>
          <w:szCs w:val="24"/>
        </w:rPr>
        <w:t>16.</w:t>
      </w:r>
      <w:r w:rsidR="00E51C58">
        <w:rPr>
          <w:rFonts w:ascii="Goudy Old Style" w:hAnsi="Goudy Old Style" w:cs="GoudyOlSt BT"/>
          <w:b/>
          <w:bCs/>
          <w:sz w:val="24"/>
          <w:szCs w:val="24"/>
        </w:rPr>
        <w:t>35-36</w:t>
      </w:r>
      <w:r w:rsidRPr="00607C83">
        <w:rPr>
          <w:rFonts w:ascii="Goudy Old Style" w:hAnsi="Goudy Old Style" w:cs="GoudyOlSt BT"/>
          <w:b/>
          <w:bCs/>
          <w:snapToGrid w:val="0"/>
          <w:sz w:val="24"/>
          <w:szCs w:val="24"/>
          <w:lang w:eastAsia="en-US"/>
        </w:rPr>
        <w:t>)</w:t>
      </w:r>
      <w:r w:rsidRPr="00607C83">
        <w:rPr>
          <w:rFonts w:ascii="Goudy Old Style" w:hAnsi="Goudy Old Style" w:cs="GoudyOlSt BT"/>
          <w:bCs/>
          <w:snapToGrid w:val="0"/>
          <w:sz w:val="24"/>
          <w:szCs w:val="24"/>
          <w:lang w:eastAsia="en-US"/>
        </w:rPr>
        <w:t>.</w:t>
      </w:r>
    </w:p>
    <w:p w:rsidR="00EA6266" w:rsidRDefault="00EA6266" w:rsidP="004F136C">
      <w:pPr>
        <w:spacing w:before="120" w:after="120" w:line="240" w:lineRule="atLeast"/>
        <w:ind w:right="53"/>
        <w:jc w:val="both"/>
        <w:rPr>
          <w:rFonts w:ascii="Goudy Old Style" w:hAnsi="Goudy Old Style" w:cs="GoudyOlSt BT"/>
          <w:b/>
          <w:bCs/>
          <w:snapToGrid w:val="0"/>
          <w:sz w:val="24"/>
          <w:szCs w:val="24"/>
          <w:lang w:eastAsia="en-US"/>
        </w:rPr>
      </w:pPr>
    </w:p>
    <w:p w:rsidR="00572703" w:rsidRDefault="004F136C" w:rsidP="004F136C">
      <w:pPr>
        <w:spacing w:before="120" w:after="120" w:line="240" w:lineRule="atLeast"/>
        <w:ind w:right="53"/>
        <w:jc w:val="both"/>
        <w:rPr>
          <w:rFonts w:ascii="Goudy Old Style" w:hAnsi="Goudy Old Style" w:cs="GoudyOlSt BT"/>
          <w:bCs/>
          <w:snapToGrid w:val="0"/>
          <w:sz w:val="24"/>
          <w:szCs w:val="24"/>
          <w:lang w:eastAsia="en-US"/>
        </w:rPr>
      </w:pPr>
      <w:r w:rsidRPr="00692693">
        <w:rPr>
          <w:rFonts w:ascii="Goudy Old Style" w:hAnsi="Goudy Old Style" w:cs="GoudyOlSt BT"/>
          <w:b/>
          <w:bCs/>
          <w:snapToGrid w:val="0"/>
          <w:sz w:val="24"/>
          <w:szCs w:val="24"/>
          <w:lang w:eastAsia="en-US"/>
        </w:rPr>
        <w:t>Data on other services to Indigenous people:</w:t>
      </w:r>
      <w:r w:rsidRPr="00692693">
        <w:rPr>
          <w:rFonts w:ascii="Goudy Old Style" w:hAnsi="Goudy Old Style" w:cs="GoudyOlSt BT"/>
          <w:bCs/>
          <w:snapToGrid w:val="0"/>
          <w:sz w:val="24"/>
          <w:szCs w:val="24"/>
          <w:lang w:eastAsia="en-US"/>
        </w:rPr>
        <w:t xml:space="preserve"> The Report also contains data on Indigenous people in relation to service areas not covered in this factsheet</w:t>
      </w:r>
      <w:r w:rsidR="00572703">
        <w:rPr>
          <w:rFonts w:ascii="Goudy Old Style" w:hAnsi="Goudy Old Style" w:cs="GoudyOlSt BT"/>
          <w:bCs/>
          <w:snapToGrid w:val="0"/>
          <w:sz w:val="24"/>
          <w:szCs w:val="24"/>
          <w:lang w:eastAsia="en-US"/>
        </w:rPr>
        <w:t>, including:</w:t>
      </w:r>
    </w:p>
    <w:p w:rsidR="00A852AE" w:rsidRDefault="00A852AE" w:rsidP="00801877">
      <w:pPr>
        <w:pStyle w:val="ListParagraph"/>
        <w:numPr>
          <w:ilvl w:val="0"/>
          <w:numId w:val="15"/>
        </w:numPr>
        <w:spacing w:before="120" w:after="120" w:line="240" w:lineRule="atLeast"/>
        <w:ind w:right="53"/>
        <w:jc w:val="both"/>
        <w:rPr>
          <w:rFonts w:ascii="Goudy Old Style" w:hAnsi="Goudy Old Style" w:cs="GoudyOlSt BT"/>
          <w:bCs/>
          <w:snapToGrid w:val="0"/>
          <w:sz w:val="24"/>
          <w:szCs w:val="24"/>
          <w:lang w:eastAsia="en-US"/>
        </w:rPr>
      </w:pPr>
      <w:r>
        <w:rPr>
          <w:rFonts w:ascii="Goudy Old Style" w:hAnsi="Goudy Old Style" w:cs="GoudyOlSt BT"/>
          <w:bCs/>
          <w:snapToGrid w:val="0"/>
          <w:sz w:val="24"/>
          <w:szCs w:val="24"/>
          <w:lang w:eastAsia="en-US"/>
        </w:rPr>
        <w:t>Early childhood education and care</w:t>
      </w:r>
    </w:p>
    <w:p w:rsidR="00A852AE" w:rsidRDefault="00A852AE" w:rsidP="00801877">
      <w:pPr>
        <w:pStyle w:val="ListParagraph"/>
        <w:numPr>
          <w:ilvl w:val="0"/>
          <w:numId w:val="15"/>
        </w:numPr>
        <w:spacing w:before="120" w:after="120" w:line="240" w:lineRule="atLeast"/>
        <w:ind w:right="53"/>
        <w:jc w:val="both"/>
        <w:rPr>
          <w:rFonts w:ascii="Goudy Old Style" w:hAnsi="Goudy Old Style" w:cs="GoudyOlSt BT"/>
          <w:bCs/>
          <w:snapToGrid w:val="0"/>
          <w:sz w:val="24"/>
          <w:szCs w:val="24"/>
          <w:lang w:eastAsia="en-US"/>
        </w:rPr>
      </w:pPr>
      <w:r>
        <w:rPr>
          <w:rFonts w:ascii="Goudy Old Style" w:hAnsi="Goudy Old Style" w:cs="GoudyOlSt BT"/>
          <w:bCs/>
          <w:snapToGrid w:val="0"/>
          <w:sz w:val="24"/>
          <w:szCs w:val="24"/>
          <w:lang w:eastAsia="en-US"/>
        </w:rPr>
        <w:t>Vocational education and training</w:t>
      </w:r>
    </w:p>
    <w:p w:rsidR="00A852AE" w:rsidRDefault="00F334E6" w:rsidP="00801877">
      <w:pPr>
        <w:pStyle w:val="ListParagraph"/>
        <w:numPr>
          <w:ilvl w:val="0"/>
          <w:numId w:val="15"/>
        </w:numPr>
        <w:spacing w:before="120" w:after="120" w:line="240" w:lineRule="atLeast"/>
        <w:ind w:right="53"/>
        <w:jc w:val="both"/>
        <w:rPr>
          <w:rFonts w:ascii="Goudy Old Style" w:hAnsi="Goudy Old Style" w:cs="GoudyOlSt BT"/>
          <w:bCs/>
          <w:snapToGrid w:val="0"/>
          <w:sz w:val="24"/>
          <w:szCs w:val="24"/>
          <w:lang w:eastAsia="en-US"/>
        </w:rPr>
      </w:pPr>
      <w:r>
        <w:rPr>
          <w:rFonts w:ascii="Goudy Old Style" w:hAnsi="Goudy Old Style" w:cs="GoudyOlSt BT"/>
          <w:bCs/>
          <w:snapToGrid w:val="0"/>
          <w:sz w:val="24"/>
          <w:szCs w:val="24"/>
          <w:lang w:eastAsia="en-US"/>
        </w:rPr>
        <w:t>Youth justice services</w:t>
      </w:r>
    </w:p>
    <w:p w:rsidR="004F136C" w:rsidRPr="00801877" w:rsidRDefault="00A852AE" w:rsidP="00801877">
      <w:pPr>
        <w:pStyle w:val="ListParagraph"/>
        <w:numPr>
          <w:ilvl w:val="0"/>
          <w:numId w:val="15"/>
        </w:numPr>
        <w:spacing w:before="120" w:after="120" w:line="240" w:lineRule="atLeast"/>
        <w:ind w:right="53"/>
        <w:jc w:val="both"/>
        <w:rPr>
          <w:rFonts w:ascii="Goudy Old Style" w:hAnsi="Goudy Old Style" w:cs="GoudyOlSt BT"/>
          <w:bCs/>
          <w:snapToGrid w:val="0"/>
          <w:sz w:val="24"/>
          <w:szCs w:val="24"/>
          <w:lang w:eastAsia="en-US"/>
        </w:rPr>
      </w:pPr>
      <w:r>
        <w:rPr>
          <w:rFonts w:ascii="Goudy Old Style" w:hAnsi="Goudy Old Style" w:cs="GoudyOlSt BT"/>
          <w:bCs/>
          <w:snapToGrid w:val="0"/>
          <w:sz w:val="24"/>
          <w:szCs w:val="24"/>
          <w:lang w:eastAsia="en-US"/>
        </w:rPr>
        <w:t>Homelessness services</w:t>
      </w:r>
      <w:r w:rsidR="004F136C" w:rsidRPr="00801877">
        <w:rPr>
          <w:rFonts w:ascii="Goudy Old Style" w:hAnsi="Goudy Old Style" w:cs="GoudyOlSt BT"/>
          <w:bCs/>
          <w:snapToGrid w:val="0"/>
          <w:sz w:val="24"/>
          <w:szCs w:val="24"/>
          <w:lang w:eastAsia="en-US"/>
        </w:rPr>
        <w:t>.</w:t>
      </w:r>
    </w:p>
    <w:p w:rsidR="00AB1A0A" w:rsidRPr="003F4125" w:rsidRDefault="00AB1A0A" w:rsidP="00203126">
      <w:pPr>
        <w:pStyle w:val="FS-text"/>
      </w:pPr>
    </w:p>
    <w:tbl>
      <w:tblPr>
        <w:tblW w:w="9498" w:type="dxa"/>
        <w:tblLayout w:type="fixed"/>
        <w:tblCellMar>
          <w:left w:w="0" w:type="dxa"/>
          <w:right w:w="0" w:type="dxa"/>
        </w:tblCellMar>
        <w:tblLook w:val="0000" w:firstRow="0" w:lastRow="0" w:firstColumn="0" w:lastColumn="0" w:noHBand="0" w:noVBand="0"/>
      </w:tblPr>
      <w:tblGrid>
        <w:gridCol w:w="2835"/>
        <w:gridCol w:w="3969"/>
        <w:gridCol w:w="2694"/>
      </w:tblGrid>
      <w:tr w:rsidR="0013196B" w:rsidRPr="00435788" w:rsidTr="007C464D">
        <w:tc>
          <w:tcPr>
            <w:tcW w:w="2835" w:type="dxa"/>
          </w:tcPr>
          <w:p w:rsidR="0013196B" w:rsidRPr="00435788" w:rsidRDefault="0013196B" w:rsidP="00931103">
            <w:pPr>
              <w:spacing w:before="120"/>
              <w:jc w:val="both"/>
              <w:rPr>
                <w:rFonts w:ascii="Goudy Old Style" w:hAnsi="Goudy Old Style"/>
                <w:sz w:val="20"/>
              </w:rPr>
            </w:pPr>
            <w:r w:rsidRPr="00435788">
              <w:rPr>
                <w:rFonts w:ascii="Goudy Old Style" w:hAnsi="Goudy Old Style"/>
                <w:b/>
                <w:sz w:val="20"/>
              </w:rPr>
              <w:t>Background information:</w:t>
            </w:r>
          </w:p>
        </w:tc>
        <w:tc>
          <w:tcPr>
            <w:tcW w:w="3969" w:type="dxa"/>
          </w:tcPr>
          <w:p w:rsidR="0013196B" w:rsidRPr="00435788" w:rsidRDefault="0013196B" w:rsidP="00931103">
            <w:pPr>
              <w:spacing w:before="120"/>
              <w:jc w:val="both"/>
              <w:rPr>
                <w:rFonts w:ascii="Goudy Old Style" w:hAnsi="Goudy Old Style"/>
                <w:sz w:val="20"/>
              </w:rPr>
            </w:pPr>
            <w:r w:rsidRPr="00435788">
              <w:rPr>
                <w:rFonts w:ascii="Goudy Old Style" w:hAnsi="Goudy Old Style"/>
                <w:sz w:val="20"/>
              </w:rPr>
              <w:t>Lawrence McDonald, Head of Secretariat</w:t>
            </w:r>
          </w:p>
        </w:tc>
        <w:tc>
          <w:tcPr>
            <w:tcW w:w="2694" w:type="dxa"/>
          </w:tcPr>
          <w:p w:rsidR="0013196B" w:rsidRPr="00435788" w:rsidRDefault="0013196B" w:rsidP="00931103">
            <w:pPr>
              <w:spacing w:before="120"/>
              <w:jc w:val="center"/>
              <w:rPr>
                <w:rFonts w:ascii="Goudy Old Style" w:hAnsi="Goudy Old Style"/>
                <w:sz w:val="20"/>
              </w:rPr>
            </w:pPr>
            <w:r w:rsidRPr="00435788">
              <w:rPr>
                <w:rFonts w:ascii="Goudy Old Style" w:hAnsi="Goudy Old Style"/>
                <w:sz w:val="20"/>
              </w:rPr>
              <w:t>03 9653 2178</w:t>
            </w:r>
            <w:r w:rsidR="007C464D" w:rsidRPr="00435788">
              <w:rPr>
                <w:rFonts w:ascii="Goudy Old Style" w:hAnsi="Goudy Old Style"/>
                <w:sz w:val="20"/>
              </w:rPr>
              <w:t xml:space="preserve"> </w:t>
            </w:r>
            <w:r w:rsidRPr="00435788">
              <w:rPr>
                <w:rFonts w:ascii="Goudy Old Style" w:hAnsi="Goudy Old Style"/>
                <w:sz w:val="20"/>
              </w:rPr>
              <w:t>/</w:t>
            </w:r>
            <w:r w:rsidR="007C464D" w:rsidRPr="00435788">
              <w:rPr>
                <w:rFonts w:ascii="Goudy Old Style" w:hAnsi="Goudy Old Style"/>
                <w:sz w:val="20"/>
              </w:rPr>
              <w:t xml:space="preserve"> </w:t>
            </w:r>
            <w:r w:rsidRPr="00435788">
              <w:rPr>
                <w:rFonts w:ascii="Goudy Old Style" w:hAnsi="Goudy Old Style"/>
                <w:sz w:val="20"/>
              </w:rPr>
              <w:t>0421 584 905</w:t>
            </w:r>
          </w:p>
        </w:tc>
      </w:tr>
      <w:tr w:rsidR="0013196B" w:rsidRPr="00435788" w:rsidTr="007C464D">
        <w:tc>
          <w:tcPr>
            <w:tcW w:w="2835" w:type="dxa"/>
          </w:tcPr>
          <w:p w:rsidR="0013196B" w:rsidRPr="00435788" w:rsidRDefault="0013196B" w:rsidP="00931103">
            <w:pPr>
              <w:spacing w:before="120"/>
              <w:jc w:val="both"/>
              <w:rPr>
                <w:rFonts w:ascii="Goudy Old Style" w:hAnsi="Goudy Old Style"/>
                <w:sz w:val="20"/>
              </w:rPr>
            </w:pPr>
            <w:r w:rsidRPr="00435788">
              <w:rPr>
                <w:rFonts w:ascii="Goudy Old Style" w:hAnsi="Goudy Old Style"/>
                <w:b/>
                <w:sz w:val="20"/>
              </w:rPr>
              <w:t>Other information:</w:t>
            </w:r>
          </w:p>
        </w:tc>
        <w:tc>
          <w:tcPr>
            <w:tcW w:w="3969" w:type="dxa"/>
          </w:tcPr>
          <w:p w:rsidR="0013196B" w:rsidRPr="00435788" w:rsidRDefault="0013196B" w:rsidP="00931103">
            <w:pPr>
              <w:spacing w:before="120"/>
              <w:jc w:val="both"/>
              <w:rPr>
                <w:rFonts w:ascii="Goudy Old Style" w:hAnsi="Goudy Old Style"/>
                <w:sz w:val="20"/>
              </w:rPr>
            </w:pPr>
            <w:r w:rsidRPr="00435788">
              <w:rPr>
                <w:rFonts w:ascii="Goudy Old Style" w:hAnsi="Goudy Old Style"/>
                <w:sz w:val="20"/>
              </w:rPr>
              <w:t>Clair Angel, Media and Publications</w:t>
            </w:r>
          </w:p>
        </w:tc>
        <w:tc>
          <w:tcPr>
            <w:tcW w:w="2694" w:type="dxa"/>
          </w:tcPr>
          <w:p w:rsidR="0013196B" w:rsidRPr="00435788" w:rsidRDefault="0013196B" w:rsidP="00931103">
            <w:pPr>
              <w:spacing w:before="120"/>
              <w:jc w:val="center"/>
              <w:rPr>
                <w:rFonts w:ascii="Goudy Old Style" w:hAnsi="Goudy Old Style"/>
                <w:sz w:val="20"/>
              </w:rPr>
            </w:pPr>
            <w:r w:rsidRPr="00435788">
              <w:rPr>
                <w:rFonts w:ascii="Goudy Old Style" w:hAnsi="Goudy Old Style"/>
                <w:sz w:val="20"/>
              </w:rPr>
              <w:t>02 6240 3239</w:t>
            </w:r>
            <w:r w:rsidR="007C464D" w:rsidRPr="00435788">
              <w:rPr>
                <w:rFonts w:ascii="Goudy Old Style" w:hAnsi="Goudy Old Style"/>
                <w:sz w:val="20"/>
              </w:rPr>
              <w:t xml:space="preserve"> </w:t>
            </w:r>
            <w:r w:rsidRPr="00435788">
              <w:rPr>
                <w:rFonts w:ascii="Goudy Old Style" w:hAnsi="Goudy Old Style"/>
                <w:sz w:val="20"/>
              </w:rPr>
              <w:t>/</w:t>
            </w:r>
            <w:r w:rsidR="007C464D" w:rsidRPr="00435788">
              <w:rPr>
                <w:rFonts w:ascii="Goudy Old Style" w:hAnsi="Goudy Old Style"/>
                <w:sz w:val="20"/>
              </w:rPr>
              <w:t xml:space="preserve"> </w:t>
            </w:r>
            <w:r w:rsidRPr="00435788">
              <w:rPr>
                <w:rFonts w:ascii="Goudy Old Style" w:hAnsi="Goudy Old Style"/>
                <w:sz w:val="20"/>
              </w:rPr>
              <w:t>0417 665 443</w:t>
            </w:r>
          </w:p>
        </w:tc>
      </w:tr>
      <w:tr w:rsidR="0013196B" w:rsidRPr="00435788" w:rsidTr="00931103">
        <w:trPr>
          <w:cantSplit/>
        </w:trPr>
        <w:tc>
          <w:tcPr>
            <w:tcW w:w="9498" w:type="dxa"/>
            <w:gridSpan w:val="3"/>
          </w:tcPr>
          <w:p w:rsidR="0013196B" w:rsidRPr="00435788" w:rsidRDefault="0013196B" w:rsidP="00837888">
            <w:pPr>
              <w:spacing w:before="120"/>
              <w:rPr>
                <w:rFonts w:ascii="Goudy Old Style" w:hAnsi="Goudy Old Style"/>
                <w:sz w:val="20"/>
              </w:rPr>
            </w:pPr>
            <w:r w:rsidRPr="00435788">
              <w:rPr>
                <w:rFonts w:ascii="Goudy Old Style" w:hAnsi="Goudy Old Style"/>
                <w:b/>
                <w:sz w:val="20"/>
              </w:rPr>
              <w:t xml:space="preserve">Please do not approach other parties for comment before </w:t>
            </w:r>
            <w:r w:rsidR="00445D14">
              <w:rPr>
                <w:rFonts w:ascii="Goudy Old Style" w:hAnsi="Goudy Old Style"/>
                <w:b/>
                <w:sz w:val="20"/>
              </w:rPr>
              <w:t xml:space="preserve">12.15 am on </w:t>
            </w:r>
            <w:r w:rsidR="00837888">
              <w:rPr>
                <w:rFonts w:ascii="Goudy Old Style" w:hAnsi="Goudy Old Style"/>
                <w:b/>
                <w:sz w:val="20"/>
              </w:rPr>
              <w:t>19 April</w:t>
            </w:r>
            <w:r w:rsidRPr="00435788">
              <w:rPr>
                <w:rFonts w:ascii="Goudy Old Style" w:hAnsi="Goudy Old Style"/>
                <w:b/>
                <w:sz w:val="20"/>
              </w:rPr>
              <w:t xml:space="preserve"> 2013.</w:t>
            </w:r>
          </w:p>
        </w:tc>
      </w:tr>
      <w:tr w:rsidR="0013196B" w:rsidRPr="00435788" w:rsidTr="00931103">
        <w:trPr>
          <w:cantSplit/>
        </w:trPr>
        <w:tc>
          <w:tcPr>
            <w:tcW w:w="9498" w:type="dxa"/>
            <w:gridSpan w:val="3"/>
          </w:tcPr>
          <w:p w:rsidR="0013196B" w:rsidRDefault="0013196B" w:rsidP="00931103">
            <w:pPr>
              <w:spacing w:before="120"/>
              <w:rPr>
                <w:rFonts w:ascii="Goudy Old Style" w:hAnsi="Goudy Old Style"/>
                <w:i/>
                <w:sz w:val="20"/>
              </w:rPr>
            </w:pPr>
            <w:r w:rsidRPr="00435788">
              <w:rPr>
                <w:rFonts w:ascii="Goudy Old Style" w:hAnsi="Goudy Old Style"/>
                <w:i/>
                <w:sz w:val="20"/>
              </w:rPr>
              <w:t xml:space="preserve">The </w:t>
            </w:r>
            <w:r w:rsidR="006735FB">
              <w:rPr>
                <w:rFonts w:ascii="Goudy Old Style" w:hAnsi="Goudy Old Style"/>
                <w:i/>
                <w:sz w:val="20"/>
              </w:rPr>
              <w:t>R</w:t>
            </w:r>
            <w:r w:rsidRPr="00435788">
              <w:rPr>
                <w:rFonts w:ascii="Goudy Old Style" w:hAnsi="Goudy Old Style"/>
                <w:i/>
                <w:sz w:val="20"/>
              </w:rPr>
              <w:t xml:space="preserve">eport </w:t>
            </w:r>
            <w:r w:rsidR="00203126" w:rsidRPr="00435788">
              <w:rPr>
                <w:rFonts w:ascii="Goudy Old Style" w:hAnsi="Goudy Old Style"/>
                <w:i/>
                <w:sz w:val="20"/>
              </w:rPr>
              <w:t xml:space="preserve">can be accessed via the Review’s website </w:t>
            </w:r>
            <w:r w:rsidRPr="00435788">
              <w:rPr>
                <w:rFonts w:ascii="Goudy Old Style" w:hAnsi="Goudy Old Style"/>
                <w:i/>
                <w:sz w:val="20"/>
              </w:rPr>
              <w:t xml:space="preserve">at </w:t>
            </w:r>
            <w:r w:rsidRPr="00AD0AEF">
              <w:rPr>
                <w:rFonts w:ascii="Goudy Old Style" w:hAnsi="Goudy Old Style"/>
                <w:i/>
                <w:sz w:val="20"/>
              </w:rPr>
              <w:t>www.pc.gov.au</w:t>
            </w:r>
            <w:r w:rsidR="00203126" w:rsidRPr="00AD0AEF">
              <w:rPr>
                <w:rFonts w:ascii="Goudy Old Style" w:hAnsi="Goudy Old Style"/>
                <w:i/>
                <w:sz w:val="20"/>
              </w:rPr>
              <w:t>/gsp</w:t>
            </w:r>
            <w:r w:rsidRPr="00435788">
              <w:rPr>
                <w:rFonts w:ascii="Goudy Old Style" w:hAnsi="Goudy Old Style"/>
                <w:i/>
                <w:sz w:val="20"/>
              </w:rPr>
              <w:t>.</w:t>
            </w:r>
          </w:p>
          <w:p w:rsidR="0013196B" w:rsidRPr="00435788" w:rsidRDefault="006735FB" w:rsidP="00CC22F3">
            <w:pPr>
              <w:spacing w:before="120"/>
              <w:rPr>
                <w:rFonts w:ascii="Goudy Old Style" w:hAnsi="Goudy Old Style"/>
                <w:sz w:val="20"/>
              </w:rPr>
            </w:pPr>
            <w:r w:rsidRPr="00CC22F3">
              <w:rPr>
                <w:rFonts w:ascii="Goudy Old Style" w:hAnsi="Goudy Old Style"/>
                <w:i/>
                <w:sz w:val="20"/>
              </w:rPr>
              <w:t>Tables with a ‘number</w:t>
            </w:r>
            <w:r w:rsidR="00CC22F3" w:rsidRPr="00CC22F3">
              <w:rPr>
                <w:rFonts w:ascii="Goudy Old Style" w:hAnsi="Goudy Old Style"/>
                <w:i/>
                <w:sz w:val="20"/>
              </w:rPr>
              <w:t xml:space="preserve"> </w:t>
            </w:r>
            <w:r w:rsidRPr="00CC22F3">
              <w:rPr>
                <w:rFonts w:ascii="Goudy Old Style" w:hAnsi="Goudy Old Style"/>
                <w:i/>
                <w:sz w:val="20"/>
              </w:rPr>
              <w:t xml:space="preserve">A’ prefix (eg. table 3A.1) are in the attachments to the 2013 Report on Government Services and the </w:t>
            </w:r>
            <w:r w:rsidR="00CC22F3" w:rsidRPr="00CC22F3">
              <w:rPr>
                <w:rFonts w:ascii="Goudy Old Style" w:hAnsi="Goudy Old Style"/>
                <w:i/>
                <w:sz w:val="20"/>
              </w:rPr>
              <w:br/>
            </w:r>
            <w:r w:rsidRPr="00CC22F3">
              <w:rPr>
                <w:rFonts w:ascii="Goudy Old Style" w:hAnsi="Goudy Old Style"/>
                <w:i/>
                <w:sz w:val="20"/>
              </w:rPr>
              <w:t>2013 Indigenous Compendium on the Review website.</w:t>
            </w:r>
          </w:p>
        </w:tc>
      </w:tr>
    </w:tbl>
    <w:p w:rsidR="00F72FFA" w:rsidRPr="004E5B13" w:rsidRDefault="00F72FFA" w:rsidP="00F72FFA">
      <w:pPr>
        <w:jc w:val="center"/>
        <w:rPr>
          <w:rFonts w:ascii="Goudy Old Style" w:hAnsi="Goudy Old Style"/>
          <w:sz w:val="24"/>
        </w:rPr>
      </w:pPr>
      <w:r w:rsidRPr="004E5B13">
        <w:rPr>
          <w:rFonts w:ascii="Goudy Old Style" w:hAnsi="Goudy Old Style"/>
          <w:sz w:val="24"/>
        </w:rPr>
        <w:t>[END]</w:t>
      </w:r>
    </w:p>
    <w:sectPr w:rsidR="00F72FFA" w:rsidRPr="004E5B13">
      <w:footerReference w:type="first" r:id="rId20"/>
      <w:pgSz w:w="11907" w:h="16840"/>
      <w:pgMar w:top="1134" w:right="1247" w:bottom="1021" w:left="1247"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E6" w:rsidRDefault="000E50E6">
      <w:r>
        <w:separator/>
      </w:r>
    </w:p>
  </w:endnote>
  <w:endnote w:type="continuationSeparator" w:id="0">
    <w:p w:rsidR="000E50E6" w:rsidRDefault="000E5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6" w:rsidRDefault="000E50E6" w:rsidP="009C6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50E6" w:rsidRDefault="000E50E6" w:rsidP="009C6A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6" w:rsidRPr="00234B02" w:rsidRDefault="000E50E6" w:rsidP="009C6A59">
    <w:pPr>
      <w:pStyle w:val="Footer"/>
      <w:ind w:right="360"/>
      <w:jc w:val="right"/>
      <w:rPr>
        <w:rFonts w:ascii="Goudy Old Style" w:hAnsi="Goudy Old Style"/>
      </w:rPr>
    </w:pPr>
    <w:r w:rsidRPr="00234B02">
      <w:rPr>
        <w:rFonts w:ascii="Goudy Old Style" w:hAnsi="Goudy Old Style"/>
        <w:sz w:val="24"/>
      </w:rPr>
      <w:t>[MORE]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6" w:rsidRPr="00CC3F69" w:rsidRDefault="000E50E6" w:rsidP="009C6A59">
    <w:pPr>
      <w:pStyle w:val="Footer"/>
      <w:ind w:right="57"/>
      <w:jc w:val="right"/>
    </w:pPr>
    <w:r>
      <w:t>[MORE]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E6" w:rsidRPr="00C700A4" w:rsidRDefault="000E50E6" w:rsidP="00BB1396">
    <w:pPr>
      <w:pStyle w:val="FS-footer"/>
    </w:pPr>
  </w:p>
  <w:p w:rsidR="000E50E6" w:rsidRDefault="000E50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E6" w:rsidRDefault="000E50E6">
      <w:r>
        <w:separator/>
      </w:r>
    </w:p>
  </w:footnote>
  <w:footnote w:type="continuationSeparator" w:id="0">
    <w:p w:rsidR="000E50E6" w:rsidRDefault="000E5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4B87"/>
    <w:multiLevelType w:val="singleLevel"/>
    <w:tmpl w:val="E7705C56"/>
    <w:lvl w:ilvl="0">
      <w:numFmt w:val="bullet"/>
      <w:lvlText w:val="–"/>
      <w:lvlJc w:val="left"/>
      <w:pPr>
        <w:tabs>
          <w:tab w:val="num" w:pos="360"/>
        </w:tabs>
        <w:ind w:left="284" w:hanging="284"/>
      </w:pPr>
      <w:rPr>
        <w:rFonts w:ascii="Times New Roman" w:hAnsi="Times New Roman" w:hint="default"/>
      </w:rPr>
    </w:lvl>
  </w:abstractNum>
  <w:abstractNum w:abstractNumId="1">
    <w:nsid w:val="30E90CE4"/>
    <w:multiLevelType w:val="singleLevel"/>
    <w:tmpl w:val="9B4C5A5C"/>
    <w:lvl w:ilvl="0">
      <w:start w:val="1"/>
      <w:numFmt w:val="bullet"/>
      <w:lvlText w:val=""/>
      <w:lvlJc w:val="left"/>
      <w:pPr>
        <w:tabs>
          <w:tab w:val="num" w:pos="360"/>
        </w:tabs>
        <w:ind w:left="284" w:hanging="284"/>
      </w:pPr>
      <w:rPr>
        <w:rFonts w:ascii="Symbol" w:hAnsi="Symbol" w:hint="default"/>
        <w:sz w:val="18"/>
      </w:rPr>
    </w:lvl>
  </w:abstractNum>
  <w:abstractNum w:abstractNumId="2">
    <w:nsid w:val="43444BEE"/>
    <w:multiLevelType w:val="hybridMultilevel"/>
    <w:tmpl w:val="80EA1050"/>
    <w:lvl w:ilvl="0" w:tplc="D284CD88">
      <w:start w:val="1"/>
      <w:numFmt w:val="bullet"/>
      <w:pStyle w:val="FS-bulletlist2"/>
      <w:lvlText w:val="–"/>
      <w:lvlJc w:val="left"/>
      <w:pPr>
        <w:ind w:left="700" w:hanging="360"/>
      </w:pPr>
      <w:rPr>
        <w:rFonts w:ascii="Goudy Old Style" w:hAnsi="Goudy Old Style" w:hint="default"/>
      </w:rPr>
    </w:lvl>
    <w:lvl w:ilvl="1" w:tplc="0C090003" w:tentative="1">
      <w:start w:val="1"/>
      <w:numFmt w:val="bullet"/>
      <w:lvlText w:val="o"/>
      <w:lvlJc w:val="left"/>
      <w:pPr>
        <w:ind w:left="2073" w:hanging="360"/>
      </w:pPr>
      <w:rPr>
        <w:rFonts w:ascii="Courier New" w:hAnsi="Courier New" w:cs="Courier New" w:hint="default"/>
      </w:rPr>
    </w:lvl>
    <w:lvl w:ilvl="2" w:tplc="0C090005" w:tentative="1">
      <w:start w:val="1"/>
      <w:numFmt w:val="bullet"/>
      <w:lvlText w:val=""/>
      <w:lvlJc w:val="left"/>
      <w:pPr>
        <w:ind w:left="2793" w:hanging="360"/>
      </w:pPr>
      <w:rPr>
        <w:rFonts w:ascii="Wingdings" w:hAnsi="Wingdings" w:hint="default"/>
      </w:rPr>
    </w:lvl>
    <w:lvl w:ilvl="3" w:tplc="0C090001" w:tentative="1">
      <w:start w:val="1"/>
      <w:numFmt w:val="bullet"/>
      <w:lvlText w:val=""/>
      <w:lvlJc w:val="left"/>
      <w:pPr>
        <w:ind w:left="3513" w:hanging="360"/>
      </w:pPr>
      <w:rPr>
        <w:rFonts w:ascii="Symbol" w:hAnsi="Symbol" w:hint="default"/>
      </w:rPr>
    </w:lvl>
    <w:lvl w:ilvl="4" w:tplc="0C090003" w:tentative="1">
      <w:start w:val="1"/>
      <w:numFmt w:val="bullet"/>
      <w:lvlText w:val="o"/>
      <w:lvlJc w:val="left"/>
      <w:pPr>
        <w:ind w:left="4233" w:hanging="360"/>
      </w:pPr>
      <w:rPr>
        <w:rFonts w:ascii="Courier New" w:hAnsi="Courier New" w:cs="Courier New" w:hint="default"/>
      </w:rPr>
    </w:lvl>
    <w:lvl w:ilvl="5" w:tplc="0C090005" w:tentative="1">
      <w:start w:val="1"/>
      <w:numFmt w:val="bullet"/>
      <w:lvlText w:val=""/>
      <w:lvlJc w:val="left"/>
      <w:pPr>
        <w:ind w:left="4953" w:hanging="360"/>
      </w:pPr>
      <w:rPr>
        <w:rFonts w:ascii="Wingdings" w:hAnsi="Wingdings" w:hint="default"/>
      </w:rPr>
    </w:lvl>
    <w:lvl w:ilvl="6" w:tplc="0C090001" w:tentative="1">
      <w:start w:val="1"/>
      <w:numFmt w:val="bullet"/>
      <w:lvlText w:val=""/>
      <w:lvlJc w:val="left"/>
      <w:pPr>
        <w:ind w:left="5673" w:hanging="360"/>
      </w:pPr>
      <w:rPr>
        <w:rFonts w:ascii="Symbol" w:hAnsi="Symbol" w:hint="default"/>
      </w:rPr>
    </w:lvl>
    <w:lvl w:ilvl="7" w:tplc="0C090003" w:tentative="1">
      <w:start w:val="1"/>
      <w:numFmt w:val="bullet"/>
      <w:lvlText w:val="o"/>
      <w:lvlJc w:val="left"/>
      <w:pPr>
        <w:ind w:left="6393" w:hanging="360"/>
      </w:pPr>
      <w:rPr>
        <w:rFonts w:ascii="Courier New" w:hAnsi="Courier New" w:cs="Courier New" w:hint="default"/>
      </w:rPr>
    </w:lvl>
    <w:lvl w:ilvl="8" w:tplc="0C090005" w:tentative="1">
      <w:start w:val="1"/>
      <w:numFmt w:val="bullet"/>
      <w:lvlText w:val=""/>
      <w:lvlJc w:val="left"/>
      <w:pPr>
        <w:ind w:left="7113" w:hanging="360"/>
      </w:pPr>
      <w:rPr>
        <w:rFonts w:ascii="Wingdings" w:hAnsi="Wingdings" w:hint="default"/>
      </w:rPr>
    </w:lvl>
  </w:abstractNum>
  <w:abstractNum w:abstractNumId="3">
    <w:nsid w:val="52221B3E"/>
    <w:multiLevelType w:val="singleLevel"/>
    <w:tmpl w:val="CDE8B58C"/>
    <w:lvl w:ilvl="0">
      <w:start w:val="1"/>
      <w:numFmt w:val="bullet"/>
      <w:pStyle w:val="BoxListBullet"/>
      <w:lvlText w:val=""/>
      <w:lvlJc w:val="left"/>
      <w:pPr>
        <w:tabs>
          <w:tab w:val="num" w:pos="360"/>
        </w:tabs>
        <w:ind w:left="284" w:hanging="284"/>
      </w:pPr>
      <w:rPr>
        <w:rFonts w:ascii="Symbol" w:hAnsi="Symbol" w:hint="default"/>
        <w:sz w:val="18"/>
      </w:rPr>
    </w:lvl>
  </w:abstractNum>
  <w:abstractNum w:abstractNumId="4">
    <w:nsid w:val="54382D6E"/>
    <w:multiLevelType w:val="singleLevel"/>
    <w:tmpl w:val="5114DFF8"/>
    <w:lvl w:ilvl="0">
      <w:numFmt w:val="bullet"/>
      <w:lvlText w:val=""/>
      <w:lvlJc w:val="left"/>
      <w:pPr>
        <w:tabs>
          <w:tab w:val="num" w:pos="360"/>
        </w:tabs>
        <w:ind w:left="340" w:hanging="340"/>
      </w:pPr>
      <w:rPr>
        <w:rFonts w:ascii="Symbol" w:hAnsi="Symbol" w:hint="default"/>
        <w:color w:val="auto"/>
        <w:sz w:val="18"/>
      </w:rPr>
    </w:lvl>
  </w:abstractNum>
  <w:abstractNum w:abstractNumId="5">
    <w:nsid w:val="577025F5"/>
    <w:multiLevelType w:val="hybridMultilevel"/>
    <w:tmpl w:val="6E565296"/>
    <w:lvl w:ilvl="0" w:tplc="954634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6385044"/>
    <w:multiLevelType w:val="hybridMultilevel"/>
    <w:tmpl w:val="7C44E2B8"/>
    <w:lvl w:ilvl="0" w:tplc="2CF4FB3C">
      <w:start w:val="1"/>
      <w:numFmt w:val="bullet"/>
      <w:pStyle w:val="FS-bulletlist"/>
      <w:lvlText w:val=""/>
      <w:lvlJc w:val="left"/>
      <w:pPr>
        <w:ind w:left="-720" w:hanging="360"/>
      </w:pPr>
      <w:rPr>
        <w:rFonts w:ascii="Symbol" w:hAnsi="Symbol" w:hint="default"/>
      </w:rPr>
    </w:lvl>
    <w:lvl w:ilvl="1" w:tplc="8796F806">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7">
    <w:nsid w:val="6BE87BC9"/>
    <w:multiLevelType w:val="hybridMultilevel"/>
    <w:tmpl w:val="2CF4E62C"/>
    <w:lvl w:ilvl="0" w:tplc="9546341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6"/>
  </w:num>
  <w:num w:numId="12">
    <w:abstractNumId w:val="4"/>
  </w:num>
  <w:num w:numId="13">
    <w:abstractNumId w:val="2"/>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A29"/>
    <w:rsid w:val="000047BE"/>
    <w:rsid w:val="00020EEC"/>
    <w:rsid w:val="0003504C"/>
    <w:rsid w:val="00036EAE"/>
    <w:rsid w:val="00041FE6"/>
    <w:rsid w:val="0005455D"/>
    <w:rsid w:val="00055C47"/>
    <w:rsid w:val="000562AD"/>
    <w:rsid w:val="0006385C"/>
    <w:rsid w:val="00063D07"/>
    <w:rsid w:val="000802EA"/>
    <w:rsid w:val="00097110"/>
    <w:rsid w:val="000A0861"/>
    <w:rsid w:val="000A2A35"/>
    <w:rsid w:val="000A2A76"/>
    <w:rsid w:val="000A473A"/>
    <w:rsid w:val="000A6A89"/>
    <w:rsid w:val="000C7F4A"/>
    <w:rsid w:val="000E50E6"/>
    <w:rsid w:val="000E644D"/>
    <w:rsid w:val="000E7E10"/>
    <w:rsid w:val="000F1733"/>
    <w:rsid w:val="00113D0A"/>
    <w:rsid w:val="001174BD"/>
    <w:rsid w:val="00122215"/>
    <w:rsid w:val="0012448F"/>
    <w:rsid w:val="0013196B"/>
    <w:rsid w:val="001539C5"/>
    <w:rsid w:val="00154B02"/>
    <w:rsid w:val="00177ADB"/>
    <w:rsid w:val="0018361C"/>
    <w:rsid w:val="0019413F"/>
    <w:rsid w:val="00194F41"/>
    <w:rsid w:val="001B78D7"/>
    <w:rsid w:val="001F1D10"/>
    <w:rsid w:val="001F45CC"/>
    <w:rsid w:val="00202A3C"/>
    <w:rsid w:val="00203126"/>
    <w:rsid w:val="00207136"/>
    <w:rsid w:val="00207F1A"/>
    <w:rsid w:val="00212C93"/>
    <w:rsid w:val="00223D17"/>
    <w:rsid w:val="002305FA"/>
    <w:rsid w:val="00234B02"/>
    <w:rsid w:val="00254F63"/>
    <w:rsid w:val="00264DF5"/>
    <w:rsid w:val="00283489"/>
    <w:rsid w:val="00285429"/>
    <w:rsid w:val="002B23FA"/>
    <w:rsid w:val="002B29AB"/>
    <w:rsid w:val="002B56A8"/>
    <w:rsid w:val="002B68A3"/>
    <w:rsid w:val="00302C16"/>
    <w:rsid w:val="00304904"/>
    <w:rsid w:val="00312D09"/>
    <w:rsid w:val="003360BC"/>
    <w:rsid w:val="00352891"/>
    <w:rsid w:val="0035317B"/>
    <w:rsid w:val="00373DC1"/>
    <w:rsid w:val="0037722B"/>
    <w:rsid w:val="00382FA1"/>
    <w:rsid w:val="003A3AC3"/>
    <w:rsid w:val="003A4FEF"/>
    <w:rsid w:val="003B2F1E"/>
    <w:rsid w:val="003B7019"/>
    <w:rsid w:val="003E18BB"/>
    <w:rsid w:val="003E321F"/>
    <w:rsid w:val="003E49F4"/>
    <w:rsid w:val="003F2036"/>
    <w:rsid w:val="003F32F8"/>
    <w:rsid w:val="003F4125"/>
    <w:rsid w:val="003F57CF"/>
    <w:rsid w:val="00403D98"/>
    <w:rsid w:val="00423169"/>
    <w:rsid w:val="00435788"/>
    <w:rsid w:val="00445D14"/>
    <w:rsid w:val="0045454C"/>
    <w:rsid w:val="00460C00"/>
    <w:rsid w:val="0049708C"/>
    <w:rsid w:val="004B316A"/>
    <w:rsid w:val="004B4925"/>
    <w:rsid w:val="004C3A9D"/>
    <w:rsid w:val="004C7325"/>
    <w:rsid w:val="004D2AA0"/>
    <w:rsid w:val="004D3225"/>
    <w:rsid w:val="004E5B13"/>
    <w:rsid w:val="004F136C"/>
    <w:rsid w:val="005330C8"/>
    <w:rsid w:val="00536B58"/>
    <w:rsid w:val="0054470F"/>
    <w:rsid w:val="00551127"/>
    <w:rsid w:val="0055450A"/>
    <w:rsid w:val="00572703"/>
    <w:rsid w:val="005823E5"/>
    <w:rsid w:val="00587DA6"/>
    <w:rsid w:val="0059351D"/>
    <w:rsid w:val="005A24D4"/>
    <w:rsid w:val="005A5CA3"/>
    <w:rsid w:val="005C2068"/>
    <w:rsid w:val="005C5969"/>
    <w:rsid w:val="005D5E43"/>
    <w:rsid w:val="005F22A3"/>
    <w:rsid w:val="005F3D89"/>
    <w:rsid w:val="00605EDD"/>
    <w:rsid w:val="006071A0"/>
    <w:rsid w:val="00607A52"/>
    <w:rsid w:val="00607C83"/>
    <w:rsid w:val="006179A5"/>
    <w:rsid w:val="00653A91"/>
    <w:rsid w:val="0065534E"/>
    <w:rsid w:val="006735FB"/>
    <w:rsid w:val="0068015F"/>
    <w:rsid w:val="00692693"/>
    <w:rsid w:val="00694B8E"/>
    <w:rsid w:val="006A19B8"/>
    <w:rsid w:val="006A2EF7"/>
    <w:rsid w:val="006B47AC"/>
    <w:rsid w:val="006C1581"/>
    <w:rsid w:val="006E6183"/>
    <w:rsid w:val="006F4440"/>
    <w:rsid w:val="00727E47"/>
    <w:rsid w:val="00742ED3"/>
    <w:rsid w:val="007430BF"/>
    <w:rsid w:val="00744F8E"/>
    <w:rsid w:val="00751818"/>
    <w:rsid w:val="007822EB"/>
    <w:rsid w:val="00786028"/>
    <w:rsid w:val="007A37A3"/>
    <w:rsid w:val="007B7B43"/>
    <w:rsid w:val="007C3127"/>
    <w:rsid w:val="007C464D"/>
    <w:rsid w:val="007F0D83"/>
    <w:rsid w:val="007F497E"/>
    <w:rsid w:val="00801877"/>
    <w:rsid w:val="00815CE0"/>
    <w:rsid w:val="00837888"/>
    <w:rsid w:val="00853A42"/>
    <w:rsid w:val="00875A77"/>
    <w:rsid w:val="00880D34"/>
    <w:rsid w:val="00890068"/>
    <w:rsid w:val="008A4367"/>
    <w:rsid w:val="008B4B17"/>
    <w:rsid w:val="008D1DCF"/>
    <w:rsid w:val="008E0CA8"/>
    <w:rsid w:val="008E38F3"/>
    <w:rsid w:val="008F3D64"/>
    <w:rsid w:val="008F3E79"/>
    <w:rsid w:val="00901F58"/>
    <w:rsid w:val="00931103"/>
    <w:rsid w:val="00931557"/>
    <w:rsid w:val="0093395F"/>
    <w:rsid w:val="00955206"/>
    <w:rsid w:val="009760E9"/>
    <w:rsid w:val="00992627"/>
    <w:rsid w:val="00995259"/>
    <w:rsid w:val="00997D68"/>
    <w:rsid w:val="009B6410"/>
    <w:rsid w:val="009B7868"/>
    <w:rsid w:val="009C6A59"/>
    <w:rsid w:val="009D183D"/>
    <w:rsid w:val="009D2313"/>
    <w:rsid w:val="009D6847"/>
    <w:rsid w:val="009D7A29"/>
    <w:rsid w:val="009F534A"/>
    <w:rsid w:val="00A11619"/>
    <w:rsid w:val="00A13616"/>
    <w:rsid w:val="00A14FCC"/>
    <w:rsid w:val="00A6364C"/>
    <w:rsid w:val="00A70EC5"/>
    <w:rsid w:val="00A71517"/>
    <w:rsid w:val="00A842F9"/>
    <w:rsid w:val="00A852AE"/>
    <w:rsid w:val="00A87FED"/>
    <w:rsid w:val="00A90A58"/>
    <w:rsid w:val="00AA4208"/>
    <w:rsid w:val="00AB1505"/>
    <w:rsid w:val="00AB1A0A"/>
    <w:rsid w:val="00AB7460"/>
    <w:rsid w:val="00AC61C5"/>
    <w:rsid w:val="00AD0AEF"/>
    <w:rsid w:val="00AD1D5C"/>
    <w:rsid w:val="00AE34FF"/>
    <w:rsid w:val="00AE4A30"/>
    <w:rsid w:val="00B1068B"/>
    <w:rsid w:val="00B13537"/>
    <w:rsid w:val="00B562EF"/>
    <w:rsid w:val="00B609BB"/>
    <w:rsid w:val="00B657FC"/>
    <w:rsid w:val="00B66220"/>
    <w:rsid w:val="00B72036"/>
    <w:rsid w:val="00B75B34"/>
    <w:rsid w:val="00B906C9"/>
    <w:rsid w:val="00BA1C8C"/>
    <w:rsid w:val="00BB1396"/>
    <w:rsid w:val="00BB5C9B"/>
    <w:rsid w:val="00BC4D28"/>
    <w:rsid w:val="00BC682B"/>
    <w:rsid w:val="00BF0931"/>
    <w:rsid w:val="00BF1DC7"/>
    <w:rsid w:val="00BF1FD0"/>
    <w:rsid w:val="00C11BF5"/>
    <w:rsid w:val="00C11F47"/>
    <w:rsid w:val="00C213E1"/>
    <w:rsid w:val="00C35C5A"/>
    <w:rsid w:val="00C365D3"/>
    <w:rsid w:val="00C36992"/>
    <w:rsid w:val="00C41439"/>
    <w:rsid w:val="00C43753"/>
    <w:rsid w:val="00C5349D"/>
    <w:rsid w:val="00C61864"/>
    <w:rsid w:val="00C700A4"/>
    <w:rsid w:val="00C71B56"/>
    <w:rsid w:val="00CA1518"/>
    <w:rsid w:val="00CA3D9E"/>
    <w:rsid w:val="00CA4950"/>
    <w:rsid w:val="00CB0B1B"/>
    <w:rsid w:val="00CB5F27"/>
    <w:rsid w:val="00CB6594"/>
    <w:rsid w:val="00CC22F3"/>
    <w:rsid w:val="00CD563A"/>
    <w:rsid w:val="00CD79D2"/>
    <w:rsid w:val="00CE4A9D"/>
    <w:rsid w:val="00CE7CC5"/>
    <w:rsid w:val="00D01621"/>
    <w:rsid w:val="00D03C8D"/>
    <w:rsid w:val="00D11E32"/>
    <w:rsid w:val="00D13AA2"/>
    <w:rsid w:val="00D167F0"/>
    <w:rsid w:val="00D20A50"/>
    <w:rsid w:val="00D42B8B"/>
    <w:rsid w:val="00D51DA5"/>
    <w:rsid w:val="00D63FAC"/>
    <w:rsid w:val="00D73B81"/>
    <w:rsid w:val="00D84615"/>
    <w:rsid w:val="00D87A77"/>
    <w:rsid w:val="00DA7594"/>
    <w:rsid w:val="00DC38C2"/>
    <w:rsid w:val="00DC3EE1"/>
    <w:rsid w:val="00DF1EE3"/>
    <w:rsid w:val="00E13EF4"/>
    <w:rsid w:val="00E26F7A"/>
    <w:rsid w:val="00E31A48"/>
    <w:rsid w:val="00E31E76"/>
    <w:rsid w:val="00E43888"/>
    <w:rsid w:val="00E45B5A"/>
    <w:rsid w:val="00E5152C"/>
    <w:rsid w:val="00E51C58"/>
    <w:rsid w:val="00E63635"/>
    <w:rsid w:val="00E76142"/>
    <w:rsid w:val="00E830F3"/>
    <w:rsid w:val="00E926D4"/>
    <w:rsid w:val="00E9730E"/>
    <w:rsid w:val="00EA6266"/>
    <w:rsid w:val="00EE55E2"/>
    <w:rsid w:val="00EF320C"/>
    <w:rsid w:val="00EF38E9"/>
    <w:rsid w:val="00F02AE4"/>
    <w:rsid w:val="00F334E6"/>
    <w:rsid w:val="00F64C52"/>
    <w:rsid w:val="00F72FFA"/>
    <w:rsid w:val="00F745C9"/>
    <w:rsid w:val="00F76E42"/>
    <w:rsid w:val="00F9055A"/>
    <w:rsid w:val="00F97566"/>
    <w:rsid w:val="00FB2057"/>
    <w:rsid w:val="00FC1E66"/>
    <w:rsid w:val="00FC4427"/>
    <w:rsid w:val="00FD2238"/>
    <w:rsid w:val="00FF22A3"/>
    <w:rsid w:val="00FF2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31"/>
    <w:rPr>
      <w:sz w:val="26"/>
    </w:rPr>
  </w:style>
  <w:style w:type="paragraph" w:styleId="Heading2">
    <w:name w:val="heading 2"/>
    <w:basedOn w:val="Normal"/>
    <w:next w:val="BodyText"/>
    <w:link w:val="Heading2Char"/>
    <w:qFormat/>
    <w:rsid w:val="00203126"/>
    <w:pPr>
      <w:keepNext/>
      <w:tabs>
        <w:tab w:val="left" w:pos="709"/>
        <w:tab w:val="left" w:pos="851"/>
        <w:tab w:val="left" w:pos="992"/>
      </w:tabs>
      <w:spacing w:before="480" w:after="140"/>
      <w:ind w:left="567" w:hanging="567"/>
      <w:outlineLvl w:val="1"/>
    </w:pPr>
    <w:rPr>
      <w:rFonts w:ascii="Arial" w:hAnsi="Arial"/>
      <w:b/>
      <w:sz w:val="24"/>
    </w:rPr>
  </w:style>
  <w:style w:type="paragraph" w:styleId="Heading3">
    <w:name w:val="heading 3"/>
    <w:basedOn w:val="Normal"/>
    <w:next w:val="BodyText"/>
    <w:qFormat/>
    <w:rsid w:val="00AB1505"/>
    <w:pPr>
      <w:keepNext/>
      <w:tabs>
        <w:tab w:val="left" w:pos="567"/>
        <w:tab w:val="left" w:pos="709"/>
        <w:tab w:val="left" w:pos="851"/>
        <w:tab w:val="left" w:pos="992"/>
      </w:tabs>
      <w:spacing w:before="120" w:after="120" w:line="240" w:lineRule="atLeast"/>
      <w:outlineLvl w:val="2"/>
    </w:pPr>
    <w:rPr>
      <w:rFonts w:ascii="Arial" w:hAnsi="Arial"/>
      <w:b/>
    </w:rPr>
  </w:style>
  <w:style w:type="paragraph" w:styleId="Heading4">
    <w:name w:val="heading 4"/>
    <w:basedOn w:val="Normal"/>
    <w:next w:val="Normal"/>
    <w:qFormat/>
    <w:pPr>
      <w:keepNext/>
      <w:spacing w:before="140" w:after="140" w:line="240" w:lineRule="atLeast"/>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ew">
    <w:name w:val="a new"/>
    <w:basedOn w:val="Normal"/>
    <w:pPr>
      <w:ind w:left="567" w:hanging="567"/>
    </w:pPr>
  </w:style>
  <w:style w:type="paragraph" w:styleId="BodyText">
    <w:name w:val="Body Text"/>
    <w:basedOn w:val="Normal"/>
    <w:pPr>
      <w:spacing w:after="120"/>
    </w:pPr>
  </w:style>
  <w:style w:type="paragraph" w:styleId="Caption">
    <w:name w:val="caption"/>
    <w:basedOn w:val="Normal"/>
    <w:next w:val="Normal"/>
    <w:qFormat/>
    <w:pPr>
      <w:spacing w:before="120" w:after="120"/>
    </w:pPr>
    <w:rPr>
      <w:b/>
    </w:rPr>
  </w:style>
  <w:style w:type="paragraph" w:customStyle="1" w:styleId="Box">
    <w:name w:val="Box"/>
    <w:basedOn w:val="BodyText"/>
    <w:pPr>
      <w:pBdr>
        <w:top w:val="single" w:sz="6" w:space="8" w:color="auto"/>
        <w:left w:val="single" w:sz="6" w:space="8" w:color="auto"/>
        <w:bottom w:val="single" w:sz="6" w:space="8" w:color="auto"/>
        <w:right w:val="single" w:sz="6" w:space="8" w:color="auto"/>
      </w:pBdr>
      <w:spacing w:after="140" w:line="300" w:lineRule="atLeast"/>
      <w:ind w:left="227" w:right="227"/>
      <w:jc w:val="both"/>
    </w:pPr>
    <w:rPr>
      <w:sz w:val="22"/>
    </w:rPr>
  </w:style>
  <w:style w:type="paragraph" w:styleId="Header">
    <w:name w:val="header"/>
    <w:basedOn w:val="FS-text"/>
    <w:rsid w:val="00AA4208"/>
    <w:rPr>
      <w:sz w:val="22"/>
      <w:szCs w:val="2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Figure">
    <w:name w:val="Figure"/>
    <w:basedOn w:val="BodyText"/>
    <w:next w:val="Normal"/>
    <w:rsid w:val="00AA4208"/>
    <w:pPr>
      <w:keepNext/>
      <w:pBdr>
        <w:top w:val="single" w:sz="6" w:space="1" w:color="auto"/>
        <w:bottom w:val="single" w:sz="6" w:space="1" w:color="auto"/>
      </w:pBdr>
      <w:spacing w:before="120" w:line="300" w:lineRule="atLeast"/>
      <w:jc w:val="center"/>
    </w:pPr>
  </w:style>
  <w:style w:type="paragraph" w:customStyle="1" w:styleId="FigureTitle">
    <w:name w:val="Figure Title"/>
    <w:basedOn w:val="Caption"/>
    <w:pPr>
      <w:keepNext/>
      <w:keepLines/>
      <w:tabs>
        <w:tab w:val="left" w:pos="1418"/>
        <w:tab w:val="left" w:pos="1559"/>
        <w:tab w:val="left" w:pos="1701"/>
      </w:tabs>
      <w:ind w:left="1418" w:hanging="1418"/>
    </w:pPr>
    <w:rPr>
      <w:rFonts w:ascii="Arial" w:hAnsi="Arial"/>
      <w:b w:val="0"/>
    </w:rPr>
  </w:style>
  <w:style w:type="paragraph" w:customStyle="1" w:styleId="References">
    <w:name w:val="References"/>
    <w:basedOn w:val="BodyText"/>
    <w:pPr>
      <w:keepLines/>
      <w:spacing w:after="140" w:line="300" w:lineRule="atLeast"/>
      <w:ind w:left="567" w:hanging="567"/>
      <w:jc w:val="both"/>
    </w:pPr>
  </w:style>
  <w:style w:type="paragraph" w:customStyle="1" w:styleId="TableBodyText">
    <w:name w:val="Table Body Text"/>
    <w:basedOn w:val="BodyText"/>
    <w:pPr>
      <w:keepNext/>
      <w:keepLines/>
      <w:spacing w:before="60" w:after="60" w:line="240" w:lineRule="atLeast"/>
      <w:ind w:left="113" w:right="113"/>
      <w:jc w:val="right"/>
    </w:pPr>
    <w:rPr>
      <w:sz w:val="20"/>
    </w:rPr>
  </w:style>
  <w:style w:type="paragraph" w:customStyle="1" w:styleId="TableNotes">
    <w:name w:val="Table Notes"/>
    <w:basedOn w:val="Normal"/>
    <w:rsid w:val="00C700A4"/>
    <w:pPr>
      <w:pBdr>
        <w:top w:val="single" w:sz="12" w:space="8" w:color="auto" w:shadow="1"/>
        <w:left w:val="single" w:sz="12" w:space="8" w:color="auto" w:shadow="1"/>
        <w:bottom w:val="single" w:sz="12" w:space="8" w:color="auto" w:shadow="1"/>
        <w:right w:val="single" w:sz="12" w:space="8" w:color="auto" w:shadow="1"/>
      </w:pBdr>
      <w:tabs>
        <w:tab w:val="left" w:pos="450"/>
        <w:tab w:val="left" w:pos="994"/>
      </w:tabs>
      <w:spacing w:line="240" w:lineRule="atLeast"/>
      <w:ind w:left="227" w:right="227"/>
    </w:pPr>
    <w:rPr>
      <w:sz w:val="18"/>
    </w:rPr>
  </w:style>
  <w:style w:type="paragraph" w:customStyle="1" w:styleId="BoxListBullet">
    <w:name w:val="Box List Bullet"/>
    <w:basedOn w:val="Box"/>
    <w:pPr>
      <w:keepNext/>
      <w:numPr>
        <w:numId w:val="2"/>
      </w:numPr>
      <w:pBdr>
        <w:top w:val="none" w:sz="0" w:space="0" w:color="auto"/>
        <w:left w:val="none" w:sz="0" w:space="0" w:color="auto"/>
        <w:bottom w:val="none" w:sz="0" w:space="0" w:color="auto"/>
        <w:right w:val="none" w:sz="0" w:space="0" w:color="auto"/>
      </w:pBdr>
      <w:tabs>
        <w:tab w:val="left" w:pos="284"/>
      </w:tabs>
      <w:spacing w:before="120" w:after="0" w:line="280" w:lineRule="atLeast"/>
      <w:ind w:right="0"/>
    </w:pPr>
    <w:rPr>
      <w:rFonts w:ascii="Arial" w:hAnsi="Arial"/>
    </w:rPr>
  </w:style>
  <w:style w:type="paragraph" w:styleId="BalloonText">
    <w:name w:val="Balloon Text"/>
    <w:basedOn w:val="Normal"/>
    <w:semiHidden/>
    <w:rsid w:val="006A2EF7"/>
    <w:rPr>
      <w:rFonts w:ascii="Tahoma" w:hAnsi="Tahoma" w:cs="Tahoma"/>
      <w:sz w:val="16"/>
      <w:szCs w:val="16"/>
    </w:rPr>
  </w:style>
  <w:style w:type="table" w:styleId="TableGrid">
    <w:name w:val="Table Grid"/>
    <w:basedOn w:val="TableNormal"/>
    <w:uiPriority w:val="59"/>
    <w:rsid w:val="003F2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title">
    <w:name w:val="FS-title"/>
    <w:basedOn w:val="Normal"/>
    <w:qFormat/>
    <w:rsid w:val="00E830F3"/>
    <w:pPr>
      <w:spacing w:before="240" w:after="240"/>
      <w:ind w:left="357" w:hanging="357"/>
      <w:contextualSpacing/>
      <w:jc w:val="center"/>
    </w:pPr>
    <w:rPr>
      <w:rFonts w:ascii="Goudy Old Style" w:hAnsi="Goudy Old Style"/>
      <w:b/>
      <w:caps/>
      <w:sz w:val="28"/>
    </w:rPr>
  </w:style>
  <w:style w:type="paragraph" w:customStyle="1" w:styleId="FS-text">
    <w:name w:val="FS-text"/>
    <w:basedOn w:val="Normal"/>
    <w:link w:val="FS-textChar"/>
    <w:qFormat/>
    <w:rsid w:val="007C464D"/>
    <w:pPr>
      <w:spacing w:after="240"/>
    </w:pPr>
    <w:rPr>
      <w:rFonts w:ascii="Goudy Old Style" w:hAnsi="Goudy Old Style"/>
      <w:sz w:val="24"/>
    </w:rPr>
  </w:style>
  <w:style w:type="paragraph" w:customStyle="1" w:styleId="FS-bulletlist">
    <w:name w:val="FS-bullet list"/>
    <w:basedOn w:val="Normal"/>
    <w:link w:val="FS-bulletlistChar"/>
    <w:qFormat/>
    <w:rsid w:val="004B316A"/>
    <w:pPr>
      <w:numPr>
        <w:numId w:val="11"/>
      </w:numPr>
      <w:spacing w:after="120"/>
      <w:ind w:left="340" w:hanging="340"/>
    </w:pPr>
    <w:rPr>
      <w:rFonts w:ascii="Goudy Old Style" w:hAnsi="Goudy Old Style"/>
      <w:sz w:val="24"/>
    </w:rPr>
  </w:style>
  <w:style w:type="character" w:customStyle="1" w:styleId="FS-textChar">
    <w:name w:val="FS-text Char"/>
    <w:basedOn w:val="DefaultParagraphFont"/>
    <w:link w:val="FS-text"/>
    <w:rsid w:val="007C464D"/>
    <w:rPr>
      <w:rFonts w:ascii="Goudy Old Style" w:hAnsi="Goudy Old Style"/>
      <w:sz w:val="24"/>
    </w:rPr>
  </w:style>
  <w:style w:type="paragraph" w:customStyle="1" w:styleId="FS-heading2">
    <w:name w:val="FS-heading 2"/>
    <w:basedOn w:val="Heading2"/>
    <w:link w:val="FS-heading2Char"/>
    <w:qFormat/>
    <w:rsid w:val="00203126"/>
    <w:pPr>
      <w:spacing w:before="360"/>
    </w:pPr>
    <w:rPr>
      <w:rFonts w:ascii="Goudy Old Style" w:hAnsi="Goudy Old Style"/>
    </w:rPr>
  </w:style>
  <w:style w:type="character" w:customStyle="1" w:styleId="FS-bulletlistChar">
    <w:name w:val="FS-bullet list Char"/>
    <w:basedOn w:val="DefaultParagraphFont"/>
    <w:link w:val="FS-bulletlist"/>
    <w:rsid w:val="004B316A"/>
    <w:rPr>
      <w:rFonts w:ascii="Goudy Old Style" w:hAnsi="Goudy Old Style"/>
      <w:sz w:val="24"/>
    </w:rPr>
  </w:style>
  <w:style w:type="character" w:customStyle="1" w:styleId="Heading2Char">
    <w:name w:val="Heading 2 Char"/>
    <w:basedOn w:val="DefaultParagraphFont"/>
    <w:link w:val="Heading2"/>
    <w:rsid w:val="00203126"/>
    <w:rPr>
      <w:rFonts w:ascii="Arial" w:hAnsi="Arial"/>
      <w:b/>
      <w:sz w:val="24"/>
    </w:rPr>
  </w:style>
  <w:style w:type="character" w:customStyle="1" w:styleId="FS-heading2Char">
    <w:name w:val="FS-heading 2 Char"/>
    <w:basedOn w:val="Heading2Char"/>
    <w:link w:val="FS-heading2"/>
    <w:rsid w:val="00203126"/>
    <w:rPr>
      <w:rFonts w:ascii="Goudy Old Style" w:hAnsi="Goudy Old Style"/>
      <w:b/>
      <w:sz w:val="24"/>
    </w:rPr>
  </w:style>
  <w:style w:type="character" w:customStyle="1" w:styleId="DraftingNote">
    <w:name w:val="Drafting Note"/>
    <w:basedOn w:val="DefaultParagraphFont"/>
    <w:rsid w:val="000F1733"/>
    <w:rPr>
      <w:b/>
      <w:color w:val="FF0000"/>
      <w:sz w:val="24"/>
      <w:u w:val="dotted"/>
    </w:rPr>
  </w:style>
  <w:style w:type="paragraph" w:customStyle="1" w:styleId="FS-figuretitle">
    <w:name w:val="FS-figure title"/>
    <w:basedOn w:val="Normal"/>
    <w:qFormat/>
    <w:rsid w:val="00BB1396"/>
    <w:pPr>
      <w:keepNext/>
      <w:keepLines/>
      <w:spacing w:after="240"/>
    </w:pPr>
    <w:rPr>
      <w:rFonts w:ascii="Goudy Old Style" w:hAnsi="Goudy Old Style"/>
      <w:b/>
      <w:sz w:val="24"/>
    </w:rPr>
  </w:style>
  <w:style w:type="paragraph" w:customStyle="1" w:styleId="FS-footer">
    <w:name w:val="FS-footer"/>
    <w:basedOn w:val="Footer"/>
    <w:qFormat/>
    <w:rsid w:val="00BB1396"/>
    <w:pPr>
      <w:pBdr>
        <w:top w:val="single" w:sz="4" w:space="1" w:color="auto"/>
      </w:pBdr>
      <w:jc w:val="center"/>
    </w:pPr>
    <w:rPr>
      <w:rFonts w:ascii="Goudy Old Style" w:hAnsi="Goudy Old Style"/>
      <w:sz w:val="22"/>
      <w:szCs w:val="22"/>
    </w:rPr>
  </w:style>
  <w:style w:type="paragraph" w:customStyle="1" w:styleId="BoxListBullet2">
    <w:name w:val="Box List Bullet 2"/>
    <w:basedOn w:val="Normal"/>
    <w:rsid w:val="003F57CF"/>
    <w:pPr>
      <w:keepNext/>
      <w:tabs>
        <w:tab w:val="left" w:pos="284"/>
        <w:tab w:val="left" w:pos="567"/>
      </w:tabs>
      <w:spacing w:before="60" w:line="280" w:lineRule="atLeast"/>
      <w:jc w:val="both"/>
    </w:pPr>
    <w:rPr>
      <w:rFonts w:ascii="Arial" w:hAnsi="Arial"/>
      <w:sz w:val="22"/>
      <w:lang w:eastAsia="en-US"/>
    </w:rPr>
  </w:style>
  <w:style w:type="paragraph" w:customStyle="1" w:styleId="FS-bulletlist2">
    <w:name w:val="FS-bullet list 2"/>
    <w:basedOn w:val="FS-bulletlist"/>
    <w:qFormat/>
    <w:rsid w:val="004B316A"/>
    <w:pPr>
      <w:numPr>
        <w:numId w:val="13"/>
      </w:numPr>
    </w:pPr>
  </w:style>
  <w:style w:type="paragraph" w:styleId="ListBullet">
    <w:name w:val="List Bullet"/>
    <w:aliases w:val="List Bullet Char1,List Bullet Char Char,List Bullet Char1 Char Char"/>
    <w:basedOn w:val="Normal"/>
    <w:link w:val="ListBulletChar"/>
    <w:autoRedefine/>
    <w:rsid w:val="00B609BB"/>
    <w:pPr>
      <w:spacing w:before="120" w:after="120" w:line="240" w:lineRule="atLeast"/>
      <w:ind w:right="53"/>
      <w:jc w:val="both"/>
    </w:pPr>
    <w:rPr>
      <w:rFonts w:ascii="GoudyOlSt BT" w:hAnsi="GoudyOlSt BT" w:cs="GoudyOlSt BT"/>
      <w:bCs/>
      <w:sz w:val="24"/>
      <w:szCs w:val="24"/>
    </w:rPr>
  </w:style>
  <w:style w:type="character" w:customStyle="1" w:styleId="ListBulletChar">
    <w:name w:val="List Bullet Char"/>
    <w:aliases w:val="List Bullet Char1 Char,List Bullet Char Char Char,List Bullet Char1 Char Char Char"/>
    <w:basedOn w:val="DefaultParagraphFont"/>
    <w:link w:val="ListBullet"/>
    <w:rsid w:val="00B609BB"/>
    <w:rPr>
      <w:rFonts w:ascii="GoudyOlSt BT" w:hAnsi="GoudyOlSt BT" w:cs="GoudyOlSt BT"/>
      <w:bCs/>
      <w:sz w:val="24"/>
      <w:szCs w:val="24"/>
    </w:rPr>
  </w:style>
  <w:style w:type="character" w:customStyle="1" w:styleId="FooterChar">
    <w:name w:val="Footer Char"/>
    <w:basedOn w:val="DefaultParagraphFont"/>
    <w:link w:val="Footer"/>
    <w:rsid w:val="004F136C"/>
    <w:rPr>
      <w:sz w:val="26"/>
    </w:rPr>
  </w:style>
  <w:style w:type="character" w:styleId="CommentReference">
    <w:name w:val="annotation reference"/>
    <w:basedOn w:val="DefaultParagraphFont"/>
    <w:uiPriority w:val="99"/>
    <w:semiHidden/>
    <w:unhideWhenUsed/>
    <w:rsid w:val="00572703"/>
    <w:rPr>
      <w:sz w:val="16"/>
      <w:szCs w:val="16"/>
    </w:rPr>
  </w:style>
  <w:style w:type="paragraph" w:styleId="CommentText">
    <w:name w:val="annotation text"/>
    <w:basedOn w:val="Normal"/>
    <w:link w:val="CommentTextChar"/>
    <w:uiPriority w:val="99"/>
    <w:semiHidden/>
    <w:unhideWhenUsed/>
    <w:rsid w:val="00572703"/>
    <w:rPr>
      <w:sz w:val="20"/>
    </w:rPr>
  </w:style>
  <w:style w:type="character" w:customStyle="1" w:styleId="CommentTextChar">
    <w:name w:val="Comment Text Char"/>
    <w:basedOn w:val="DefaultParagraphFont"/>
    <w:link w:val="CommentText"/>
    <w:uiPriority w:val="99"/>
    <w:semiHidden/>
    <w:rsid w:val="00572703"/>
  </w:style>
  <w:style w:type="paragraph" w:styleId="CommentSubject">
    <w:name w:val="annotation subject"/>
    <w:basedOn w:val="CommentText"/>
    <w:next w:val="CommentText"/>
    <w:link w:val="CommentSubjectChar"/>
    <w:uiPriority w:val="99"/>
    <w:semiHidden/>
    <w:unhideWhenUsed/>
    <w:rsid w:val="00572703"/>
    <w:rPr>
      <w:b/>
      <w:bCs/>
    </w:rPr>
  </w:style>
  <w:style w:type="character" w:customStyle="1" w:styleId="CommentSubjectChar">
    <w:name w:val="Comment Subject Char"/>
    <w:basedOn w:val="CommentTextChar"/>
    <w:link w:val="CommentSubject"/>
    <w:uiPriority w:val="99"/>
    <w:semiHidden/>
    <w:rsid w:val="00572703"/>
    <w:rPr>
      <w:b/>
      <w:bCs/>
    </w:rPr>
  </w:style>
  <w:style w:type="paragraph" w:styleId="ListParagraph">
    <w:name w:val="List Paragraph"/>
    <w:basedOn w:val="Normal"/>
    <w:uiPriority w:val="34"/>
    <w:qFormat/>
    <w:rsid w:val="00572703"/>
    <w:pPr>
      <w:ind w:left="720"/>
      <w:contextualSpacing/>
    </w:pPr>
  </w:style>
  <w:style w:type="paragraph" w:styleId="Revision">
    <w:name w:val="Revision"/>
    <w:hidden/>
    <w:uiPriority w:val="99"/>
    <w:semiHidden/>
    <w:rsid w:val="007430BF"/>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31"/>
    <w:rPr>
      <w:sz w:val="26"/>
    </w:rPr>
  </w:style>
  <w:style w:type="paragraph" w:styleId="Heading2">
    <w:name w:val="heading 2"/>
    <w:basedOn w:val="Normal"/>
    <w:next w:val="BodyText"/>
    <w:link w:val="Heading2Char"/>
    <w:qFormat/>
    <w:rsid w:val="00203126"/>
    <w:pPr>
      <w:keepNext/>
      <w:tabs>
        <w:tab w:val="left" w:pos="709"/>
        <w:tab w:val="left" w:pos="851"/>
        <w:tab w:val="left" w:pos="992"/>
      </w:tabs>
      <w:spacing w:before="480" w:after="140"/>
      <w:ind w:left="567" w:hanging="567"/>
      <w:outlineLvl w:val="1"/>
    </w:pPr>
    <w:rPr>
      <w:rFonts w:ascii="Arial" w:hAnsi="Arial"/>
      <w:b/>
      <w:sz w:val="24"/>
    </w:rPr>
  </w:style>
  <w:style w:type="paragraph" w:styleId="Heading3">
    <w:name w:val="heading 3"/>
    <w:basedOn w:val="Normal"/>
    <w:next w:val="BodyText"/>
    <w:qFormat/>
    <w:rsid w:val="00AB1505"/>
    <w:pPr>
      <w:keepNext/>
      <w:tabs>
        <w:tab w:val="left" w:pos="567"/>
        <w:tab w:val="left" w:pos="709"/>
        <w:tab w:val="left" w:pos="851"/>
        <w:tab w:val="left" w:pos="992"/>
      </w:tabs>
      <w:spacing w:before="120" w:after="120" w:line="240" w:lineRule="atLeast"/>
      <w:outlineLvl w:val="2"/>
    </w:pPr>
    <w:rPr>
      <w:rFonts w:ascii="Arial" w:hAnsi="Arial"/>
      <w:b/>
    </w:rPr>
  </w:style>
  <w:style w:type="paragraph" w:styleId="Heading4">
    <w:name w:val="heading 4"/>
    <w:basedOn w:val="Normal"/>
    <w:next w:val="Normal"/>
    <w:qFormat/>
    <w:pPr>
      <w:keepNext/>
      <w:spacing w:before="140" w:after="140" w:line="240" w:lineRule="atLeast"/>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ew">
    <w:name w:val="a new"/>
    <w:basedOn w:val="Normal"/>
    <w:pPr>
      <w:ind w:left="567" w:hanging="567"/>
    </w:pPr>
  </w:style>
  <w:style w:type="paragraph" w:styleId="BodyText">
    <w:name w:val="Body Text"/>
    <w:basedOn w:val="Normal"/>
    <w:pPr>
      <w:spacing w:after="120"/>
    </w:pPr>
  </w:style>
  <w:style w:type="paragraph" w:styleId="Caption">
    <w:name w:val="caption"/>
    <w:basedOn w:val="Normal"/>
    <w:next w:val="Normal"/>
    <w:qFormat/>
    <w:pPr>
      <w:spacing w:before="120" w:after="120"/>
    </w:pPr>
    <w:rPr>
      <w:b/>
    </w:rPr>
  </w:style>
  <w:style w:type="paragraph" w:customStyle="1" w:styleId="Box">
    <w:name w:val="Box"/>
    <w:basedOn w:val="BodyText"/>
    <w:pPr>
      <w:pBdr>
        <w:top w:val="single" w:sz="6" w:space="8" w:color="auto"/>
        <w:left w:val="single" w:sz="6" w:space="8" w:color="auto"/>
        <w:bottom w:val="single" w:sz="6" w:space="8" w:color="auto"/>
        <w:right w:val="single" w:sz="6" w:space="8" w:color="auto"/>
      </w:pBdr>
      <w:spacing w:after="140" w:line="300" w:lineRule="atLeast"/>
      <w:ind w:left="227" w:right="227"/>
      <w:jc w:val="both"/>
    </w:pPr>
    <w:rPr>
      <w:sz w:val="22"/>
    </w:rPr>
  </w:style>
  <w:style w:type="paragraph" w:styleId="Header">
    <w:name w:val="header"/>
    <w:basedOn w:val="FS-text"/>
    <w:rsid w:val="00AA4208"/>
    <w:rPr>
      <w:sz w:val="22"/>
      <w:szCs w:val="22"/>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customStyle="1" w:styleId="Figure">
    <w:name w:val="Figure"/>
    <w:basedOn w:val="BodyText"/>
    <w:next w:val="Normal"/>
    <w:rsid w:val="00AA4208"/>
    <w:pPr>
      <w:keepNext/>
      <w:pBdr>
        <w:top w:val="single" w:sz="6" w:space="1" w:color="auto"/>
        <w:bottom w:val="single" w:sz="6" w:space="1" w:color="auto"/>
      </w:pBdr>
      <w:spacing w:before="120" w:line="300" w:lineRule="atLeast"/>
      <w:jc w:val="center"/>
    </w:pPr>
  </w:style>
  <w:style w:type="paragraph" w:customStyle="1" w:styleId="FigureTitle">
    <w:name w:val="Figure Title"/>
    <w:basedOn w:val="Caption"/>
    <w:pPr>
      <w:keepNext/>
      <w:keepLines/>
      <w:tabs>
        <w:tab w:val="left" w:pos="1418"/>
        <w:tab w:val="left" w:pos="1559"/>
        <w:tab w:val="left" w:pos="1701"/>
      </w:tabs>
      <w:ind w:left="1418" w:hanging="1418"/>
    </w:pPr>
    <w:rPr>
      <w:rFonts w:ascii="Arial" w:hAnsi="Arial"/>
      <w:b w:val="0"/>
    </w:rPr>
  </w:style>
  <w:style w:type="paragraph" w:customStyle="1" w:styleId="References">
    <w:name w:val="References"/>
    <w:basedOn w:val="BodyText"/>
    <w:pPr>
      <w:keepLines/>
      <w:spacing w:after="140" w:line="300" w:lineRule="atLeast"/>
      <w:ind w:left="567" w:hanging="567"/>
      <w:jc w:val="both"/>
    </w:pPr>
  </w:style>
  <w:style w:type="paragraph" w:customStyle="1" w:styleId="TableBodyText">
    <w:name w:val="Table Body Text"/>
    <w:basedOn w:val="BodyText"/>
    <w:pPr>
      <w:keepNext/>
      <w:keepLines/>
      <w:spacing w:before="60" w:after="60" w:line="240" w:lineRule="atLeast"/>
      <w:ind w:left="113" w:right="113"/>
      <w:jc w:val="right"/>
    </w:pPr>
    <w:rPr>
      <w:sz w:val="20"/>
    </w:rPr>
  </w:style>
  <w:style w:type="paragraph" w:customStyle="1" w:styleId="TableNotes">
    <w:name w:val="Table Notes"/>
    <w:basedOn w:val="Normal"/>
    <w:rsid w:val="00C700A4"/>
    <w:pPr>
      <w:pBdr>
        <w:top w:val="single" w:sz="12" w:space="8" w:color="auto" w:shadow="1"/>
        <w:left w:val="single" w:sz="12" w:space="8" w:color="auto" w:shadow="1"/>
        <w:bottom w:val="single" w:sz="12" w:space="8" w:color="auto" w:shadow="1"/>
        <w:right w:val="single" w:sz="12" w:space="8" w:color="auto" w:shadow="1"/>
      </w:pBdr>
      <w:tabs>
        <w:tab w:val="left" w:pos="450"/>
        <w:tab w:val="left" w:pos="994"/>
      </w:tabs>
      <w:spacing w:line="240" w:lineRule="atLeast"/>
      <w:ind w:left="227" w:right="227"/>
    </w:pPr>
    <w:rPr>
      <w:sz w:val="18"/>
    </w:rPr>
  </w:style>
  <w:style w:type="paragraph" w:customStyle="1" w:styleId="BoxListBullet">
    <w:name w:val="Box List Bullet"/>
    <w:basedOn w:val="Box"/>
    <w:pPr>
      <w:keepNext/>
      <w:numPr>
        <w:numId w:val="2"/>
      </w:numPr>
      <w:pBdr>
        <w:top w:val="none" w:sz="0" w:space="0" w:color="auto"/>
        <w:left w:val="none" w:sz="0" w:space="0" w:color="auto"/>
        <w:bottom w:val="none" w:sz="0" w:space="0" w:color="auto"/>
        <w:right w:val="none" w:sz="0" w:space="0" w:color="auto"/>
      </w:pBdr>
      <w:tabs>
        <w:tab w:val="left" w:pos="284"/>
      </w:tabs>
      <w:spacing w:before="120" w:after="0" w:line="280" w:lineRule="atLeast"/>
      <w:ind w:right="0"/>
    </w:pPr>
    <w:rPr>
      <w:rFonts w:ascii="Arial" w:hAnsi="Arial"/>
    </w:rPr>
  </w:style>
  <w:style w:type="paragraph" w:styleId="BalloonText">
    <w:name w:val="Balloon Text"/>
    <w:basedOn w:val="Normal"/>
    <w:semiHidden/>
    <w:rsid w:val="006A2EF7"/>
    <w:rPr>
      <w:rFonts w:ascii="Tahoma" w:hAnsi="Tahoma" w:cs="Tahoma"/>
      <w:sz w:val="16"/>
      <w:szCs w:val="16"/>
    </w:rPr>
  </w:style>
  <w:style w:type="table" w:styleId="TableGrid">
    <w:name w:val="Table Grid"/>
    <w:basedOn w:val="TableNormal"/>
    <w:uiPriority w:val="59"/>
    <w:rsid w:val="003F20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S-title">
    <w:name w:val="FS-title"/>
    <w:basedOn w:val="Normal"/>
    <w:qFormat/>
    <w:rsid w:val="00E830F3"/>
    <w:pPr>
      <w:spacing w:before="240" w:after="240"/>
      <w:ind w:left="357" w:hanging="357"/>
      <w:contextualSpacing/>
      <w:jc w:val="center"/>
    </w:pPr>
    <w:rPr>
      <w:rFonts w:ascii="Goudy Old Style" w:hAnsi="Goudy Old Style"/>
      <w:b/>
      <w:caps/>
      <w:sz w:val="28"/>
    </w:rPr>
  </w:style>
  <w:style w:type="paragraph" w:customStyle="1" w:styleId="FS-text">
    <w:name w:val="FS-text"/>
    <w:basedOn w:val="Normal"/>
    <w:link w:val="FS-textChar"/>
    <w:qFormat/>
    <w:rsid w:val="007C464D"/>
    <w:pPr>
      <w:spacing w:after="240"/>
    </w:pPr>
    <w:rPr>
      <w:rFonts w:ascii="Goudy Old Style" w:hAnsi="Goudy Old Style"/>
      <w:sz w:val="24"/>
    </w:rPr>
  </w:style>
  <w:style w:type="paragraph" w:customStyle="1" w:styleId="FS-bulletlist">
    <w:name w:val="FS-bullet list"/>
    <w:basedOn w:val="Normal"/>
    <w:link w:val="FS-bulletlistChar"/>
    <w:qFormat/>
    <w:rsid w:val="004B316A"/>
    <w:pPr>
      <w:numPr>
        <w:numId w:val="11"/>
      </w:numPr>
      <w:spacing w:after="120"/>
      <w:ind w:left="340" w:hanging="340"/>
    </w:pPr>
    <w:rPr>
      <w:rFonts w:ascii="Goudy Old Style" w:hAnsi="Goudy Old Style"/>
      <w:sz w:val="24"/>
    </w:rPr>
  </w:style>
  <w:style w:type="character" w:customStyle="1" w:styleId="FS-textChar">
    <w:name w:val="FS-text Char"/>
    <w:basedOn w:val="DefaultParagraphFont"/>
    <w:link w:val="FS-text"/>
    <w:rsid w:val="007C464D"/>
    <w:rPr>
      <w:rFonts w:ascii="Goudy Old Style" w:hAnsi="Goudy Old Style"/>
      <w:sz w:val="24"/>
    </w:rPr>
  </w:style>
  <w:style w:type="paragraph" w:customStyle="1" w:styleId="FS-heading2">
    <w:name w:val="FS-heading 2"/>
    <w:basedOn w:val="Heading2"/>
    <w:link w:val="FS-heading2Char"/>
    <w:qFormat/>
    <w:rsid w:val="00203126"/>
    <w:pPr>
      <w:spacing w:before="360"/>
    </w:pPr>
    <w:rPr>
      <w:rFonts w:ascii="Goudy Old Style" w:hAnsi="Goudy Old Style"/>
    </w:rPr>
  </w:style>
  <w:style w:type="character" w:customStyle="1" w:styleId="FS-bulletlistChar">
    <w:name w:val="FS-bullet list Char"/>
    <w:basedOn w:val="DefaultParagraphFont"/>
    <w:link w:val="FS-bulletlist"/>
    <w:rsid w:val="004B316A"/>
    <w:rPr>
      <w:rFonts w:ascii="Goudy Old Style" w:hAnsi="Goudy Old Style"/>
      <w:sz w:val="24"/>
    </w:rPr>
  </w:style>
  <w:style w:type="character" w:customStyle="1" w:styleId="Heading2Char">
    <w:name w:val="Heading 2 Char"/>
    <w:basedOn w:val="DefaultParagraphFont"/>
    <w:link w:val="Heading2"/>
    <w:rsid w:val="00203126"/>
    <w:rPr>
      <w:rFonts w:ascii="Arial" w:hAnsi="Arial"/>
      <w:b/>
      <w:sz w:val="24"/>
    </w:rPr>
  </w:style>
  <w:style w:type="character" w:customStyle="1" w:styleId="FS-heading2Char">
    <w:name w:val="FS-heading 2 Char"/>
    <w:basedOn w:val="Heading2Char"/>
    <w:link w:val="FS-heading2"/>
    <w:rsid w:val="00203126"/>
    <w:rPr>
      <w:rFonts w:ascii="Goudy Old Style" w:hAnsi="Goudy Old Style"/>
      <w:b/>
      <w:sz w:val="24"/>
    </w:rPr>
  </w:style>
  <w:style w:type="character" w:customStyle="1" w:styleId="DraftingNote">
    <w:name w:val="Drafting Note"/>
    <w:basedOn w:val="DefaultParagraphFont"/>
    <w:rsid w:val="000F1733"/>
    <w:rPr>
      <w:b/>
      <w:color w:val="FF0000"/>
      <w:sz w:val="24"/>
      <w:u w:val="dotted"/>
    </w:rPr>
  </w:style>
  <w:style w:type="paragraph" w:customStyle="1" w:styleId="FS-figuretitle">
    <w:name w:val="FS-figure title"/>
    <w:basedOn w:val="Normal"/>
    <w:qFormat/>
    <w:rsid w:val="00BB1396"/>
    <w:pPr>
      <w:keepNext/>
      <w:keepLines/>
      <w:spacing w:after="240"/>
    </w:pPr>
    <w:rPr>
      <w:rFonts w:ascii="Goudy Old Style" w:hAnsi="Goudy Old Style"/>
      <w:b/>
      <w:sz w:val="24"/>
    </w:rPr>
  </w:style>
  <w:style w:type="paragraph" w:customStyle="1" w:styleId="FS-footer">
    <w:name w:val="FS-footer"/>
    <w:basedOn w:val="Footer"/>
    <w:qFormat/>
    <w:rsid w:val="00BB1396"/>
    <w:pPr>
      <w:pBdr>
        <w:top w:val="single" w:sz="4" w:space="1" w:color="auto"/>
      </w:pBdr>
      <w:jc w:val="center"/>
    </w:pPr>
    <w:rPr>
      <w:rFonts w:ascii="Goudy Old Style" w:hAnsi="Goudy Old Style"/>
      <w:sz w:val="22"/>
      <w:szCs w:val="22"/>
    </w:rPr>
  </w:style>
  <w:style w:type="paragraph" w:customStyle="1" w:styleId="BoxListBullet2">
    <w:name w:val="Box List Bullet 2"/>
    <w:basedOn w:val="Normal"/>
    <w:rsid w:val="003F57CF"/>
    <w:pPr>
      <w:keepNext/>
      <w:tabs>
        <w:tab w:val="left" w:pos="284"/>
        <w:tab w:val="left" w:pos="567"/>
      </w:tabs>
      <w:spacing w:before="60" w:line="280" w:lineRule="atLeast"/>
      <w:jc w:val="both"/>
    </w:pPr>
    <w:rPr>
      <w:rFonts w:ascii="Arial" w:hAnsi="Arial"/>
      <w:sz w:val="22"/>
      <w:lang w:eastAsia="en-US"/>
    </w:rPr>
  </w:style>
  <w:style w:type="paragraph" w:customStyle="1" w:styleId="FS-bulletlist2">
    <w:name w:val="FS-bullet list 2"/>
    <w:basedOn w:val="FS-bulletlist"/>
    <w:qFormat/>
    <w:rsid w:val="004B316A"/>
    <w:pPr>
      <w:numPr>
        <w:numId w:val="13"/>
      </w:numPr>
    </w:pPr>
  </w:style>
  <w:style w:type="paragraph" w:styleId="ListBullet">
    <w:name w:val="List Bullet"/>
    <w:aliases w:val="List Bullet Char1,List Bullet Char Char,List Bullet Char1 Char Char"/>
    <w:basedOn w:val="Normal"/>
    <w:link w:val="ListBulletChar"/>
    <w:autoRedefine/>
    <w:rsid w:val="00B609BB"/>
    <w:pPr>
      <w:spacing w:before="120" w:after="120" w:line="240" w:lineRule="atLeast"/>
      <w:ind w:right="53"/>
      <w:jc w:val="both"/>
    </w:pPr>
    <w:rPr>
      <w:rFonts w:ascii="GoudyOlSt BT" w:hAnsi="GoudyOlSt BT" w:cs="GoudyOlSt BT"/>
      <w:bCs/>
      <w:sz w:val="24"/>
      <w:szCs w:val="24"/>
    </w:rPr>
  </w:style>
  <w:style w:type="character" w:customStyle="1" w:styleId="ListBulletChar">
    <w:name w:val="List Bullet Char"/>
    <w:aliases w:val="List Bullet Char1 Char,List Bullet Char Char Char,List Bullet Char1 Char Char Char"/>
    <w:basedOn w:val="DefaultParagraphFont"/>
    <w:link w:val="ListBullet"/>
    <w:rsid w:val="00B609BB"/>
    <w:rPr>
      <w:rFonts w:ascii="GoudyOlSt BT" w:hAnsi="GoudyOlSt BT" w:cs="GoudyOlSt BT"/>
      <w:bCs/>
      <w:sz w:val="24"/>
      <w:szCs w:val="24"/>
    </w:rPr>
  </w:style>
  <w:style w:type="character" w:customStyle="1" w:styleId="FooterChar">
    <w:name w:val="Footer Char"/>
    <w:basedOn w:val="DefaultParagraphFont"/>
    <w:link w:val="Footer"/>
    <w:rsid w:val="004F136C"/>
    <w:rPr>
      <w:sz w:val="26"/>
    </w:rPr>
  </w:style>
  <w:style w:type="character" w:styleId="CommentReference">
    <w:name w:val="annotation reference"/>
    <w:basedOn w:val="DefaultParagraphFont"/>
    <w:uiPriority w:val="99"/>
    <w:semiHidden/>
    <w:unhideWhenUsed/>
    <w:rsid w:val="00572703"/>
    <w:rPr>
      <w:sz w:val="16"/>
      <w:szCs w:val="16"/>
    </w:rPr>
  </w:style>
  <w:style w:type="paragraph" w:styleId="CommentText">
    <w:name w:val="annotation text"/>
    <w:basedOn w:val="Normal"/>
    <w:link w:val="CommentTextChar"/>
    <w:uiPriority w:val="99"/>
    <w:semiHidden/>
    <w:unhideWhenUsed/>
    <w:rsid w:val="00572703"/>
    <w:rPr>
      <w:sz w:val="20"/>
    </w:rPr>
  </w:style>
  <w:style w:type="character" w:customStyle="1" w:styleId="CommentTextChar">
    <w:name w:val="Comment Text Char"/>
    <w:basedOn w:val="DefaultParagraphFont"/>
    <w:link w:val="CommentText"/>
    <w:uiPriority w:val="99"/>
    <w:semiHidden/>
    <w:rsid w:val="00572703"/>
  </w:style>
  <w:style w:type="paragraph" w:styleId="CommentSubject">
    <w:name w:val="annotation subject"/>
    <w:basedOn w:val="CommentText"/>
    <w:next w:val="CommentText"/>
    <w:link w:val="CommentSubjectChar"/>
    <w:uiPriority w:val="99"/>
    <w:semiHidden/>
    <w:unhideWhenUsed/>
    <w:rsid w:val="00572703"/>
    <w:rPr>
      <w:b/>
      <w:bCs/>
    </w:rPr>
  </w:style>
  <w:style w:type="character" w:customStyle="1" w:styleId="CommentSubjectChar">
    <w:name w:val="Comment Subject Char"/>
    <w:basedOn w:val="CommentTextChar"/>
    <w:link w:val="CommentSubject"/>
    <w:uiPriority w:val="99"/>
    <w:semiHidden/>
    <w:rsid w:val="00572703"/>
    <w:rPr>
      <w:b/>
      <w:bCs/>
    </w:rPr>
  </w:style>
  <w:style w:type="paragraph" w:styleId="ListParagraph">
    <w:name w:val="List Paragraph"/>
    <w:basedOn w:val="Normal"/>
    <w:uiPriority w:val="34"/>
    <w:qFormat/>
    <w:rsid w:val="00572703"/>
    <w:pPr>
      <w:ind w:left="720"/>
      <w:contextualSpacing/>
    </w:pPr>
  </w:style>
  <w:style w:type="paragraph" w:styleId="Revision">
    <w:name w:val="Revision"/>
    <w:hidden/>
    <w:uiPriority w:val="99"/>
    <w:semiHidden/>
    <w:rsid w:val="007430BF"/>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chart" Target="charts/chart2.xml"/><Relationship Id="rId19" Type="http://schemas.openxmlformats.org/officeDocument/2006/relationships/chart" Target="charts/chart8.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mel_1\groups\Monitor\05%20Current%20Report%20-%20WIP\2013%20Report\2013%20Factsheets%20and%20media%20release\Data%20for%202013%20Report%20-%20Indigenous%20fact%20sheet\Chapter%204%20School%20education%20data%20for%20Indigenous%20factsheet%202013%20Report.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hmignot\Desktop\Data%20for%202013%20Report%20-%20Indigenous%20factsheet\Chapter%208%20Corrective%20services%20data%20for%20Indigenous%20factsheet%202013%20Repor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74747474747476"/>
          <c:y val="0.18554791739180879"/>
          <c:w val="0.84369985569985573"/>
          <c:h val="0.71136056000309389"/>
        </c:manualLayout>
      </c:layout>
      <c:barChart>
        <c:barDir val="col"/>
        <c:grouping val="clustered"/>
        <c:varyColors val="0"/>
        <c:ser>
          <c:idx val="0"/>
          <c:order val="0"/>
          <c:tx>
            <c:strRef>
              <c:f>'Figures 4.13 and 4.14'!$A$3</c:f>
              <c:strCache>
                <c:ptCount val="1"/>
                <c:pt idx="0">
                  <c:v>Indigenous students</c:v>
                </c:pt>
              </c:strCache>
            </c:strRef>
          </c:tx>
          <c:spPr>
            <a:solidFill>
              <a:sysClr val="window" lastClr="FFFFFF">
                <a:lumMod val="75000"/>
              </a:sysClr>
            </a:solidFill>
            <a:ln>
              <a:solidFill>
                <a:srgbClr val="000000"/>
              </a:solidFill>
            </a:ln>
          </c:spPr>
          <c:invertIfNegative val="0"/>
          <c:cat>
            <c:strRef>
              <c:f>'Figures 4.13 and 4.14'!$B$2:$J$2</c:f>
              <c:strCache>
                <c:ptCount val="9"/>
                <c:pt idx="0">
                  <c:v>NSW</c:v>
                </c:pt>
                <c:pt idx="1">
                  <c:v>Vic</c:v>
                </c:pt>
                <c:pt idx="2">
                  <c:v>Qld</c:v>
                </c:pt>
                <c:pt idx="3">
                  <c:v>WA</c:v>
                </c:pt>
                <c:pt idx="4">
                  <c:v>SA</c:v>
                </c:pt>
                <c:pt idx="5">
                  <c:v>Tas</c:v>
                </c:pt>
                <c:pt idx="6">
                  <c:v>ACT</c:v>
                </c:pt>
                <c:pt idx="7">
                  <c:v>NT</c:v>
                </c:pt>
                <c:pt idx="8">
                  <c:v>Aust</c:v>
                </c:pt>
              </c:strCache>
            </c:strRef>
          </c:cat>
          <c:val>
            <c:numRef>
              <c:f>'Figures 4.13 and 4.14'!$B$3:$J$3</c:f>
              <c:numCache>
                <c:formatCode>0.0</c:formatCode>
                <c:ptCount val="9"/>
                <c:pt idx="0">
                  <c:v>49</c:v>
                </c:pt>
                <c:pt idx="1">
                  <c:v>58.3</c:v>
                </c:pt>
                <c:pt idx="2">
                  <c:v>61.8</c:v>
                </c:pt>
                <c:pt idx="3">
                  <c:v>44.2</c:v>
                </c:pt>
                <c:pt idx="4">
                  <c:v>69.8</c:v>
                </c:pt>
                <c:pt idx="5">
                  <c:v>41.6</c:v>
                </c:pt>
                <c:pt idx="6">
                  <c:v>78.400000000000006</c:v>
                </c:pt>
                <c:pt idx="7">
                  <c:v>43.8</c:v>
                </c:pt>
                <c:pt idx="8">
                  <c:v>53.5</c:v>
                </c:pt>
              </c:numCache>
            </c:numRef>
          </c:val>
        </c:ser>
        <c:ser>
          <c:idx val="1"/>
          <c:order val="1"/>
          <c:tx>
            <c:strRef>
              <c:f>'Figures 4.13 and 4.14'!$A$4</c:f>
              <c:strCache>
                <c:ptCount val="1"/>
                <c:pt idx="0">
                  <c:v>All students</c:v>
                </c:pt>
              </c:strCache>
            </c:strRef>
          </c:tx>
          <c:spPr>
            <a:pattFill prst="wdUpDiag">
              <a:fgClr>
                <a:schemeClr val="tx1"/>
              </a:fgClr>
              <a:bgClr>
                <a:schemeClr val="bg1"/>
              </a:bgClr>
            </a:pattFill>
            <a:ln>
              <a:solidFill>
                <a:sysClr val="windowText" lastClr="000000"/>
              </a:solidFill>
            </a:ln>
          </c:spPr>
          <c:invertIfNegative val="0"/>
          <c:cat>
            <c:strRef>
              <c:f>'Figures 4.13 and 4.14'!$B$2:$J$2</c:f>
              <c:strCache>
                <c:ptCount val="9"/>
                <c:pt idx="0">
                  <c:v>NSW</c:v>
                </c:pt>
                <c:pt idx="1">
                  <c:v>Vic</c:v>
                </c:pt>
                <c:pt idx="2">
                  <c:v>Qld</c:v>
                </c:pt>
                <c:pt idx="3">
                  <c:v>WA</c:v>
                </c:pt>
                <c:pt idx="4">
                  <c:v>SA</c:v>
                </c:pt>
                <c:pt idx="5">
                  <c:v>Tas</c:v>
                </c:pt>
                <c:pt idx="6">
                  <c:v>ACT</c:v>
                </c:pt>
                <c:pt idx="7">
                  <c:v>NT</c:v>
                </c:pt>
                <c:pt idx="8">
                  <c:v>Aust</c:v>
                </c:pt>
              </c:strCache>
            </c:strRef>
          </c:cat>
          <c:val>
            <c:numRef>
              <c:f>'Figures 4.13 and 4.14'!$B$4:$J$4</c:f>
              <c:numCache>
                <c:formatCode>0.0</c:formatCode>
                <c:ptCount val="9"/>
                <c:pt idx="0">
                  <c:v>76.7</c:v>
                </c:pt>
                <c:pt idx="1">
                  <c:v>82</c:v>
                </c:pt>
                <c:pt idx="2">
                  <c:v>81.8</c:v>
                </c:pt>
                <c:pt idx="3">
                  <c:v>76.400000000000006</c:v>
                </c:pt>
                <c:pt idx="4">
                  <c:v>83.9</c:v>
                </c:pt>
                <c:pt idx="5">
                  <c:v>70</c:v>
                </c:pt>
                <c:pt idx="6">
                  <c:v>90</c:v>
                </c:pt>
                <c:pt idx="7">
                  <c:v>62.9</c:v>
                </c:pt>
                <c:pt idx="8">
                  <c:v>79.5</c:v>
                </c:pt>
              </c:numCache>
            </c:numRef>
          </c:val>
        </c:ser>
        <c:dLbls>
          <c:showLegendKey val="0"/>
          <c:showVal val="0"/>
          <c:showCatName val="0"/>
          <c:showSerName val="0"/>
          <c:showPercent val="0"/>
          <c:showBubbleSize val="0"/>
        </c:dLbls>
        <c:gapWidth val="150"/>
        <c:axId val="149342464"/>
        <c:axId val="175357952"/>
      </c:barChart>
      <c:catAx>
        <c:axId val="149342464"/>
        <c:scaling>
          <c:orientation val="minMax"/>
        </c:scaling>
        <c:delete val="0"/>
        <c:axPos val="b"/>
        <c:numFmt formatCode="General" sourceLinked="1"/>
        <c:majorTickMark val="out"/>
        <c:minorTickMark val="none"/>
        <c:tickLblPos val="nextTo"/>
        <c:txPr>
          <a:bodyPr/>
          <a:lstStyle/>
          <a:p>
            <a:pPr>
              <a:defRPr sz="800"/>
            </a:pPr>
            <a:endParaRPr lang="en-US"/>
          </a:p>
        </c:txPr>
        <c:crossAx val="175357952"/>
        <c:crosses val="autoZero"/>
        <c:auto val="1"/>
        <c:lblAlgn val="ctr"/>
        <c:lblOffset val="100"/>
        <c:noMultiLvlLbl val="0"/>
      </c:catAx>
      <c:valAx>
        <c:axId val="175357952"/>
        <c:scaling>
          <c:orientation val="minMax"/>
          <c:min val="0"/>
        </c:scaling>
        <c:delete val="0"/>
        <c:axPos val="l"/>
        <c:majorGridlines/>
        <c:title>
          <c:tx>
            <c:rich>
              <a:bodyPr rot="-5400000" vert="horz"/>
              <a:lstStyle/>
              <a:p>
                <a:pPr>
                  <a:defRPr sz="800" baseline="0"/>
                </a:pPr>
                <a:r>
                  <a:rPr lang="en-US" sz="800" baseline="0"/>
                  <a:t>Per cent</a:t>
                </a:r>
              </a:p>
            </c:rich>
          </c:tx>
          <c:layout>
            <c:manualLayout>
              <c:xMode val="edge"/>
              <c:yMode val="edge"/>
              <c:x val="0"/>
              <c:y val="0.33061642156862747"/>
            </c:manualLayout>
          </c:layout>
          <c:overlay val="0"/>
        </c:title>
        <c:numFmt formatCode="###\ ###\ ##0;0###\ ###\ ##0;&quot;0&quot;" sourceLinked="0"/>
        <c:majorTickMark val="out"/>
        <c:minorTickMark val="none"/>
        <c:tickLblPos val="nextTo"/>
        <c:spPr>
          <a:ln>
            <a:solidFill>
              <a:schemeClr val="tx1"/>
            </a:solidFill>
          </a:ln>
        </c:spPr>
        <c:txPr>
          <a:bodyPr/>
          <a:lstStyle/>
          <a:p>
            <a:pPr>
              <a:defRPr sz="800" baseline="0"/>
            </a:pPr>
            <a:endParaRPr lang="en-US"/>
          </a:p>
        </c:txPr>
        <c:crossAx val="149342464"/>
        <c:crosses val="autoZero"/>
        <c:crossBetween val="between"/>
        <c:majorUnit val="20"/>
        <c:minorUnit val="10"/>
      </c:valAx>
      <c:spPr>
        <a:noFill/>
        <a:ln>
          <a:solidFill>
            <a:schemeClr val="tx1"/>
          </a:solidFill>
        </a:ln>
      </c:spPr>
    </c:plotArea>
    <c:legend>
      <c:legendPos val="t"/>
      <c:layout>
        <c:manualLayout>
          <c:xMode val="edge"/>
          <c:yMode val="edge"/>
          <c:x val="4.4211317234023988E-2"/>
          <c:y val="3.6837220095138644E-2"/>
          <c:w val="0.93769877091868625"/>
          <c:h val="8.6341706307769661E-2"/>
        </c:manualLayout>
      </c:layout>
      <c:overlay val="0"/>
      <c:spPr>
        <a:ln>
          <a:solidFill>
            <a:sysClr val="windowText" lastClr="000000"/>
          </a:solidFill>
        </a:ln>
      </c:spPr>
      <c:txPr>
        <a:bodyPr/>
        <a:lstStyle/>
        <a:p>
          <a:pPr>
            <a:defRPr sz="800"/>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43253968253967"/>
          <c:y val="0.18724027777777777"/>
          <c:w val="0.79417063492063489"/>
          <c:h val="0.69362870370370366"/>
        </c:manualLayout>
      </c:layout>
      <c:barChart>
        <c:barDir val="col"/>
        <c:grouping val="clustered"/>
        <c:varyColors val="0"/>
        <c:ser>
          <c:idx val="0"/>
          <c:order val="0"/>
          <c:tx>
            <c:strRef>
              <c:f>'Police services'!$A$3</c:f>
              <c:strCache>
                <c:ptCount val="1"/>
                <c:pt idx="0">
                  <c:v>Indigenous staff</c:v>
                </c:pt>
              </c:strCache>
            </c:strRef>
          </c:tx>
          <c:spPr>
            <a:solidFill>
              <a:sysClr val="window" lastClr="FFFFFF">
                <a:lumMod val="75000"/>
              </a:sysClr>
            </a:solidFill>
            <a:ln>
              <a:solidFill>
                <a:srgbClr val="000000"/>
              </a:solidFill>
            </a:ln>
          </c:spPr>
          <c:invertIfNegative val="0"/>
          <c:cat>
            <c:strRef>
              <c:f>'Police services'!$C$2:$J$2</c:f>
              <c:strCache>
                <c:ptCount val="8"/>
                <c:pt idx="0">
                  <c:v>NSW</c:v>
                </c:pt>
                <c:pt idx="1">
                  <c:v>Vic</c:v>
                </c:pt>
                <c:pt idx="2">
                  <c:v>Qld</c:v>
                </c:pt>
                <c:pt idx="3">
                  <c:v>WA</c:v>
                </c:pt>
                <c:pt idx="4">
                  <c:v>SA</c:v>
                </c:pt>
                <c:pt idx="5">
                  <c:v>Tas</c:v>
                </c:pt>
                <c:pt idx="6">
                  <c:v>ACT</c:v>
                </c:pt>
                <c:pt idx="7">
                  <c:v>NT</c:v>
                </c:pt>
              </c:strCache>
            </c:strRef>
          </c:cat>
          <c:val>
            <c:numRef>
              <c:f>'Police services'!$C$3:$J$3</c:f>
              <c:numCache>
                <c:formatCode>#\ ###\ ##0.0;\-#\ ###\ ##0.0;"–"</c:formatCode>
                <c:ptCount val="8"/>
                <c:pt idx="0">
                  <c:v>2.3536105938340572</c:v>
                </c:pt>
                <c:pt idx="1">
                  <c:v>0.2977127571068362</c:v>
                </c:pt>
                <c:pt idx="2">
                  <c:v>2.1673936750272627</c:v>
                </c:pt>
                <c:pt idx="3">
                  <c:v>1.5308770108977685</c:v>
                </c:pt>
                <c:pt idx="4">
                  <c:v>0.97535023940414967</c:v>
                </c:pt>
                <c:pt idx="5">
                  <c:v>1.6512549537648615</c:v>
                </c:pt>
                <c:pt idx="6">
                  <c:v>0.9483667017913594</c:v>
                </c:pt>
                <c:pt idx="7">
                  <c:v>7.4009324009324011</c:v>
                </c:pt>
              </c:numCache>
            </c:numRef>
          </c:val>
        </c:ser>
        <c:ser>
          <c:idx val="1"/>
          <c:order val="1"/>
          <c:tx>
            <c:strRef>
              <c:f>'Police services'!$A$4</c:f>
              <c:strCache>
                <c:ptCount val="1"/>
                <c:pt idx="0">
                  <c:v>Indigenous people aged 20–64 years</c:v>
                </c:pt>
              </c:strCache>
            </c:strRef>
          </c:tx>
          <c:spPr>
            <a:pattFill prst="wdUpDiag">
              <a:fgClr>
                <a:schemeClr val="tx1"/>
              </a:fgClr>
              <a:bgClr>
                <a:schemeClr val="bg1"/>
              </a:bgClr>
            </a:pattFill>
            <a:ln>
              <a:solidFill>
                <a:sysClr val="windowText" lastClr="000000"/>
              </a:solidFill>
            </a:ln>
          </c:spPr>
          <c:invertIfNegative val="0"/>
          <c:cat>
            <c:strRef>
              <c:f>'Police services'!$C$2:$J$2</c:f>
              <c:strCache>
                <c:ptCount val="8"/>
                <c:pt idx="0">
                  <c:v>NSW</c:v>
                </c:pt>
                <c:pt idx="1">
                  <c:v>Vic</c:v>
                </c:pt>
                <c:pt idx="2">
                  <c:v>Qld</c:v>
                </c:pt>
                <c:pt idx="3">
                  <c:v>WA</c:v>
                </c:pt>
                <c:pt idx="4">
                  <c:v>SA</c:v>
                </c:pt>
                <c:pt idx="5">
                  <c:v>Tas</c:v>
                </c:pt>
                <c:pt idx="6">
                  <c:v>ACT</c:v>
                </c:pt>
                <c:pt idx="7">
                  <c:v>NT</c:v>
                </c:pt>
              </c:strCache>
            </c:strRef>
          </c:cat>
          <c:val>
            <c:numRef>
              <c:f>'Police services'!$C$4:$J$4</c:f>
              <c:numCache>
                <c:formatCode>0.0</c:formatCode>
                <c:ptCount val="8"/>
                <c:pt idx="0">
                  <c:v>1.7583928074051944</c:v>
                </c:pt>
                <c:pt idx="1">
                  <c:v>0.52212543610085038</c:v>
                </c:pt>
                <c:pt idx="2">
                  <c:v>2.8238497266664564</c:v>
                </c:pt>
                <c:pt idx="3">
                  <c:v>2.6584474211854396</c:v>
                </c:pt>
                <c:pt idx="4">
                  <c:v>1.437282701282961</c:v>
                </c:pt>
                <c:pt idx="5">
                  <c:v>3.1833063279604161</c:v>
                </c:pt>
                <c:pt idx="6">
                  <c:v>1.0411415100368526</c:v>
                </c:pt>
                <c:pt idx="7">
                  <c:v>25.649356472044044</c:v>
                </c:pt>
              </c:numCache>
            </c:numRef>
          </c:val>
        </c:ser>
        <c:dLbls>
          <c:showLegendKey val="0"/>
          <c:showVal val="0"/>
          <c:showCatName val="0"/>
          <c:showSerName val="0"/>
          <c:showPercent val="0"/>
          <c:showBubbleSize val="0"/>
        </c:dLbls>
        <c:gapWidth val="150"/>
        <c:axId val="175563136"/>
        <c:axId val="183774592"/>
      </c:barChart>
      <c:catAx>
        <c:axId val="175563136"/>
        <c:scaling>
          <c:orientation val="minMax"/>
        </c:scaling>
        <c:delete val="0"/>
        <c:axPos val="b"/>
        <c:majorTickMark val="out"/>
        <c:minorTickMark val="none"/>
        <c:tickLblPos val="nextTo"/>
        <c:crossAx val="183774592"/>
        <c:crosses val="autoZero"/>
        <c:auto val="1"/>
        <c:lblAlgn val="ctr"/>
        <c:lblOffset val="100"/>
        <c:noMultiLvlLbl val="0"/>
      </c:catAx>
      <c:valAx>
        <c:axId val="183774592"/>
        <c:scaling>
          <c:orientation val="minMax"/>
          <c:max val="30"/>
          <c:min val="0"/>
        </c:scaling>
        <c:delete val="0"/>
        <c:axPos val="l"/>
        <c:majorGridlines/>
        <c:title>
          <c:tx>
            <c:rich>
              <a:bodyPr rot="-5400000" vert="horz"/>
              <a:lstStyle/>
              <a:p>
                <a:pPr>
                  <a:defRPr/>
                </a:pPr>
                <a:r>
                  <a:rPr lang="en-AU"/>
                  <a:t>Per cent</a:t>
                </a:r>
              </a:p>
            </c:rich>
          </c:tx>
          <c:layout>
            <c:manualLayout>
              <c:xMode val="edge"/>
              <c:yMode val="edge"/>
              <c:x val="1.8326118326118326E-2"/>
              <c:y val="0.40595231481481475"/>
            </c:manualLayout>
          </c:layout>
          <c:overlay val="0"/>
        </c:title>
        <c:numFmt formatCode="###\ ###\ ##0;0###\ ###\ ##0;&quot;0&quot;" sourceLinked="0"/>
        <c:majorTickMark val="out"/>
        <c:minorTickMark val="none"/>
        <c:tickLblPos val="nextTo"/>
        <c:spPr>
          <a:ln>
            <a:solidFill>
              <a:schemeClr val="tx1"/>
            </a:solidFill>
          </a:ln>
        </c:spPr>
        <c:crossAx val="175563136"/>
        <c:crosses val="autoZero"/>
        <c:crossBetween val="between"/>
        <c:majorUnit val="5"/>
        <c:minorUnit val="2"/>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1.14287037037037E-2"/>
          <c:y val="2.6458333333333334E-2"/>
          <c:w val="0.98004437229437225"/>
          <c:h val="7.5244097222222223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1499242424242423"/>
          <c:y val="0.18724027777777777"/>
          <c:w val="0.76526731601731601"/>
          <c:h val="0.69362870370370366"/>
        </c:manualLayout>
      </c:layout>
      <c:barChart>
        <c:barDir val="col"/>
        <c:grouping val="clustered"/>
        <c:varyColors val="0"/>
        <c:ser>
          <c:idx val="0"/>
          <c:order val="0"/>
          <c:tx>
            <c:strRef>
              <c:f>'Figure 8.3'!$A$3</c:f>
              <c:strCache>
                <c:ptCount val="1"/>
                <c:pt idx="0">
                  <c:v>Indigenous prisoners</c:v>
                </c:pt>
              </c:strCache>
            </c:strRef>
          </c:tx>
          <c:spPr>
            <a:solidFill>
              <a:sysClr val="window" lastClr="FFFFFF">
                <a:lumMod val="75000"/>
              </a:sysClr>
            </a:solidFill>
            <a:ln>
              <a:solidFill>
                <a:srgbClr val="000000"/>
              </a:solidFill>
            </a:ln>
          </c:spPr>
          <c:invertIfNegative val="0"/>
          <c:cat>
            <c:strRef>
              <c:f>'Figure 8.3'!$B$2:$I$2</c:f>
              <c:strCache>
                <c:ptCount val="8"/>
                <c:pt idx="0">
                  <c:v>NSW</c:v>
                </c:pt>
                <c:pt idx="1">
                  <c:v>Vic</c:v>
                </c:pt>
                <c:pt idx="2">
                  <c:v>Qld</c:v>
                </c:pt>
                <c:pt idx="3">
                  <c:v>WA</c:v>
                </c:pt>
                <c:pt idx="4">
                  <c:v>SA</c:v>
                </c:pt>
                <c:pt idx="5">
                  <c:v>Tas</c:v>
                </c:pt>
                <c:pt idx="6">
                  <c:v>ACT</c:v>
                </c:pt>
                <c:pt idx="7">
                  <c:v>NT</c:v>
                </c:pt>
              </c:strCache>
            </c:strRef>
          </c:cat>
          <c:val>
            <c:numRef>
              <c:f>'Figure 8.3'!$B$3:$I$3</c:f>
              <c:numCache>
                <c:formatCode>###\ ###\ ##0.0;\-###\ ###\ ##0.0;\–</c:formatCode>
                <c:ptCount val="8"/>
                <c:pt idx="0">
                  <c:v>1762.4799099645109</c:v>
                </c:pt>
                <c:pt idx="1">
                  <c:v>1099.5763617487282</c:v>
                </c:pt>
                <c:pt idx="2">
                  <c:v>1320.0476235510412</c:v>
                </c:pt>
                <c:pt idx="3">
                  <c:v>3045.7292499791856</c:v>
                </c:pt>
                <c:pt idx="4">
                  <c:v>2048.0168643578718</c:v>
                </c:pt>
                <c:pt idx="5">
                  <c:v>467.82223661168683</c:v>
                </c:pt>
                <c:pt idx="6">
                  <c:v>1027.8161129067273</c:v>
                </c:pt>
                <c:pt idx="7">
                  <c:v>1953.1392206333437</c:v>
                </c:pt>
              </c:numCache>
            </c:numRef>
          </c:val>
        </c:ser>
        <c:ser>
          <c:idx val="1"/>
          <c:order val="1"/>
          <c:tx>
            <c:strRef>
              <c:f>'Figure 8.3'!$A$4</c:f>
              <c:strCache>
                <c:ptCount val="1"/>
                <c:pt idx="0">
                  <c:v>Non-Indigenous prisoners</c:v>
                </c:pt>
              </c:strCache>
            </c:strRef>
          </c:tx>
          <c:spPr>
            <a:pattFill prst="wdUpDiag">
              <a:fgClr>
                <a:schemeClr val="tx1"/>
              </a:fgClr>
              <a:bgClr>
                <a:schemeClr val="bg1"/>
              </a:bgClr>
            </a:pattFill>
            <a:ln>
              <a:solidFill>
                <a:sysClr val="windowText" lastClr="000000"/>
              </a:solidFill>
            </a:ln>
          </c:spPr>
          <c:invertIfNegative val="0"/>
          <c:cat>
            <c:strRef>
              <c:f>'Figure 8.3'!$B$2:$I$2</c:f>
              <c:strCache>
                <c:ptCount val="8"/>
                <c:pt idx="0">
                  <c:v>NSW</c:v>
                </c:pt>
                <c:pt idx="1">
                  <c:v>Vic</c:v>
                </c:pt>
                <c:pt idx="2">
                  <c:v>Qld</c:v>
                </c:pt>
                <c:pt idx="3">
                  <c:v>WA</c:v>
                </c:pt>
                <c:pt idx="4">
                  <c:v>SA</c:v>
                </c:pt>
                <c:pt idx="5">
                  <c:v>Tas</c:v>
                </c:pt>
                <c:pt idx="6">
                  <c:v>ACT</c:v>
                </c:pt>
                <c:pt idx="7">
                  <c:v>NT</c:v>
                </c:pt>
              </c:strCache>
            </c:strRef>
          </c:cat>
          <c:val>
            <c:numRef>
              <c:f>'Figure 8.3'!$B$4:$I$4</c:f>
              <c:numCache>
                <c:formatCode>###\ ###\ ##0.0;\-###\ ###\ ##0.0;\–</c:formatCode>
                <c:ptCount val="8"/>
                <c:pt idx="0">
                  <c:v>140.81117738256444</c:v>
                </c:pt>
                <c:pt idx="1">
                  <c:v>105.77436189931547</c:v>
                </c:pt>
                <c:pt idx="2">
                  <c:v>119.44507081472517</c:v>
                </c:pt>
                <c:pt idx="3">
                  <c:v>164.61607424941855</c:v>
                </c:pt>
                <c:pt idx="4">
                  <c:v>137.51912481246103</c:v>
                </c:pt>
                <c:pt idx="5">
                  <c:v>133.68772256182197</c:v>
                </c:pt>
                <c:pt idx="6">
                  <c:v>69.577485115716513</c:v>
                </c:pt>
                <c:pt idx="7">
                  <c:v>165.63591730042108</c:v>
                </c:pt>
              </c:numCache>
            </c:numRef>
          </c:val>
        </c:ser>
        <c:dLbls>
          <c:showLegendKey val="0"/>
          <c:showVal val="0"/>
          <c:showCatName val="0"/>
          <c:showSerName val="0"/>
          <c:showPercent val="0"/>
          <c:showBubbleSize val="0"/>
        </c:dLbls>
        <c:gapWidth val="150"/>
        <c:axId val="34775808"/>
        <c:axId val="34777344"/>
      </c:barChart>
      <c:catAx>
        <c:axId val="34775808"/>
        <c:scaling>
          <c:orientation val="minMax"/>
        </c:scaling>
        <c:delete val="0"/>
        <c:axPos val="b"/>
        <c:majorTickMark val="out"/>
        <c:minorTickMark val="none"/>
        <c:tickLblPos val="nextTo"/>
        <c:crossAx val="34777344"/>
        <c:crosses val="autoZero"/>
        <c:auto val="1"/>
        <c:lblAlgn val="ctr"/>
        <c:lblOffset val="100"/>
        <c:noMultiLvlLbl val="0"/>
      </c:catAx>
      <c:valAx>
        <c:axId val="34777344"/>
        <c:scaling>
          <c:orientation val="minMax"/>
          <c:max val="4000"/>
          <c:min val="0"/>
        </c:scaling>
        <c:delete val="0"/>
        <c:axPos val="l"/>
        <c:majorGridlines/>
        <c:title>
          <c:tx>
            <c:rich>
              <a:bodyPr rot="-5400000" vert="horz"/>
              <a:lstStyle/>
              <a:p>
                <a:pPr>
                  <a:defRPr/>
                </a:pPr>
                <a:r>
                  <a:rPr lang="en-US"/>
                  <a:t>Prisoners/100 000 adults</a:t>
                </a:r>
              </a:p>
              <a:p>
                <a:pPr>
                  <a:defRPr/>
                </a:pPr>
                <a:endParaRPr lang="en-US"/>
              </a:p>
            </c:rich>
          </c:tx>
          <c:layout>
            <c:manualLayout>
              <c:xMode val="edge"/>
              <c:yMode val="edge"/>
              <c:x val="0"/>
              <c:y val="0.24132268518518515"/>
            </c:manualLayout>
          </c:layout>
          <c:overlay val="0"/>
        </c:title>
        <c:numFmt formatCode="###\ ###\ ##0;0###\ ###\ ##0;&quot;0&quot;" sourceLinked="0"/>
        <c:majorTickMark val="out"/>
        <c:minorTickMark val="none"/>
        <c:tickLblPos val="nextTo"/>
        <c:spPr>
          <a:ln>
            <a:solidFill>
              <a:schemeClr val="tx1"/>
            </a:solidFill>
          </a:ln>
        </c:spPr>
        <c:txPr>
          <a:bodyPr/>
          <a:lstStyle/>
          <a:p>
            <a:pPr>
              <a:defRPr baseline="0"/>
            </a:pPr>
            <a:endParaRPr lang="en-US"/>
          </a:p>
        </c:txPr>
        <c:crossAx val="34775808"/>
        <c:crosses val="autoZero"/>
        <c:crossBetween val="between"/>
        <c:majorUnit val="1000"/>
        <c:minorUnit val="500"/>
      </c:valAx>
      <c:spPr>
        <a:noFill/>
        <a:ln>
          <a:solidFill>
            <a:schemeClr val="tx1"/>
          </a:solidFill>
        </a:ln>
      </c:spPr>
    </c:plotArea>
    <c:legend>
      <c:legendPos val="t"/>
      <c:legendEntry>
        <c:idx val="0"/>
        <c:txPr>
          <a:bodyPr/>
          <a:lstStyle/>
          <a:p>
            <a:pPr>
              <a:defRPr sz="800" baseline="0"/>
            </a:pPr>
            <a:endParaRPr lang="en-US"/>
          </a:p>
        </c:txPr>
      </c:legendEntry>
      <c:layout>
        <c:manualLayout>
          <c:xMode val="edge"/>
          <c:yMode val="edge"/>
          <c:x val="1.14287037037037E-2"/>
          <c:y val="2.6458333333333334E-2"/>
          <c:w val="0.94797366522366522"/>
          <c:h val="7.5244097222222223E-2"/>
        </c:manualLayout>
      </c:layout>
      <c:overlay val="0"/>
      <c:spPr>
        <a:ln>
          <a:solidFill>
            <a:schemeClr val="tx1"/>
          </a:solidFill>
        </a:ln>
      </c:spPr>
      <c:txPr>
        <a:bodyPr/>
        <a:lstStyle/>
        <a:p>
          <a:pPr>
            <a:defRPr sz="800" baseline="0"/>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43253968253967"/>
          <c:y val="0.18724027777777777"/>
          <c:w val="0.79417063492063489"/>
          <c:h val="0.69362870370370366"/>
        </c:manualLayout>
      </c:layout>
      <c:barChart>
        <c:barDir val="col"/>
        <c:grouping val="clustered"/>
        <c:varyColors val="0"/>
        <c:ser>
          <c:idx val="0"/>
          <c:order val="0"/>
          <c:tx>
            <c:strRef>
              <c:f>'Figure 1'!$A$3</c:f>
              <c:strCache>
                <c:ptCount val="1"/>
                <c:pt idx="0">
                  <c:v>Indigenous people</c:v>
                </c:pt>
              </c:strCache>
            </c:strRef>
          </c:tx>
          <c:spPr>
            <a:solidFill>
              <a:sysClr val="window" lastClr="FFFFFF">
                <a:lumMod val="75000"/>
              </a:sysClr>
            </a:solidFill>
            <a:ln>
              <a:solidFill>
                <a:srgbClr val="000000"/>
              </a:solidFill>
            </a:ln>
          </c:spPr>
          <c:invertIfNegative val="0"/>
          <c:cat>
            <c:strRef>
              <c:f>'Figure 1'!$C$2:$K$2</c:f>
              <c:strCache>
                <c:ptCount val="9"/>
                <c:pt idx="0">
                  <c:v>NSW</c:v>
                </c:pt>
                <c:pt idx="1">
                  <c:v>Vic</c:v>
                </c:pt>
                <c:pt idx="2">
                  <c:v>Qld</c:v>
                </c:pt>
                <c:pt idx="3">
                  <c:v>WA</c:v>
                </c:pt>
                <c:pt idx="4">
                  <c:v>SA</c:v>
                </c:pt>
                <c:pt idx="5">
                  <c:v>Tas</c:v>
                </c:pt>
                <c:pt idx="6">
                  <c:v>ACT</c:v>
                </c:pt>
                <c:pt idx="7">
                  <c:v>NT</c:v>
                </c:pt>
                <c:pt idx="8">
                  <c:v>Aust</c:v>
                </c:pt>
              </c:strCache>
            </c:strRef>
          </c:cat>
          <c:val>
            <c:numRef>
              <c:f>'Figure 1'!$C$3:$K$3</c:f>
              <c:numCache>
                <c:formatCode>###\ ###\ ##0.0;\-###\ ###\ ##0.0;\–</c:formatCode>
                <c:ptCount val="9"/>
                <c:pt idx="0">
                  <c:v>25.115207373271893</c:v>
                </c:pt>
                <c:pt idx="1">
                  <c:v>14.564643799472297</c:v>
                </c:pt>
                <c:pt idx="2">
                  <c:v>32.875332709876986</c:v>
                </c:pt>
                <c:pt idx="3">
                  <c:v>23.521681997371878</c:v>
                </c:pt>
                <c:pt idx="4">
                  <c:v>18.467153284671532</c:v>
                </c:pt>
                <c:pt idx="5">
                  <c:v>13.980137509549273</c:v>
                </c:pt>
                <c:pt idx="6">
                  <c:v>18.604651162790699</c:v>
                </c:pt>
                <c:pt idx="7">
                  <c:v>28.55004988360492</c:v>
                </c:pt>
                <c:pt idx="8" formatCode="0.0">
                  <c:v>25.526658495480316</c:v>
                </c:pt>
              </c:numCache>
            </c:numRef>
          </c:val>
        </c:ser>
        <c:ser>
          <c:idx val="1"/>
          <c:order val="1"/>
          <c:tx>
            <c:strRef>
              <c:f>'Figure 1'!$A$4</c:f>
              <c:strCache>
                <c:ptCount val="1"/>
                <c:pt idx="0">
                  <c:v>Non-Indigenous people</c:v>
                </c:pt>
              </c:strCache>
            </c:strRef>
          </c:tx>
          <c:spPr>
            <a:pattFill prst="wdUpDiag">
              <a:fgClr>
                <a:schemeClr val="tx1"/>
              </a:fgClr>
              <a:bgClr>
                <a:schemeClr val="bg1"/>
              </a:bgClr>
            </a:pattFill>
            <a:ln>
              <a:solidFill>
                <a:sysClr val="windowText" lastClr="000000"/>
              </a:solidFill>
            </a:ln>
          </c:spPr>
          <c:invertIfNegative val="0"/>
          <c:cat>
            <c:strRef>
              <c:f>'Figure 1'!$C$2:$K$2</c:f>
              <c:strCache>
                <c:ptCount val="9"/>
                <c:pt idx="0">
                  <c:v>NSW</c:v>
                </c:pt>
                <c:pt idx="1">
                  <c:v>Vic</c:v>
                </c:pt>
                <c:pt idx="2">
                  <c:v>Qld</c:v>
                </c:pt>
                <c:pt idx="3">
                  <c:v>WA</c:v>
                </c:pt>
                <c:pt idx="4">
                  <c:v>SA</c:v>
                </c:pt>
                <c:pt idx="5">
                  <c:v>Tas</c:v>
                </c:pt>
                <c:pt idx="6">
                  <c:v>ACT</c:v>
                </c:pt>
                <c:pt idx="7">
                  <c:v>NT</c:v>
                </c:pt>
                <c:pt idx="8">
                  <c:v>Aust</c:v>
                </c:pt>
              </c:strCache>
            </c:strRef>
          </c:cat>
          <c:val>
            <c:numRef>
              <c:f>'Figure 1'!$C$4:$K$4</c:f>
              <c:numCache>
                <c:formatCode>###\ ###\ ##0.0;\-###\ ###\ ##0.0;\–</c:formatCode>
                <c:ptCount val="9"/>
                <c:pt idx="0">
                  <c:v>28.137275468190214</c:v>
                </c:pt>
                <c:pt idx="1">
                  <c:v>26.245226983453541</c:v>
                </c:pt>
                <c:pt idx="2">
                  <c:v>31.385297580838888</c:v>
                </c:pt>
                <c:pt idx="3">
                  <c:v>25.202315811208969</c:v>
                </c:pt>
                <c:pt idx="4">
                  <c:v>25.838409214798663</c:v>
                </c:pt>
                <c:pt idx="5">
                  <c:v>31.795753174031162</c:v>
                </c:pt>
                <c:pt idx="6">
                  <c:v>19.569131060969756</c:v>
                </c:pt>
                <c:pt idx="7">
                  <c:v>9.6183679801427235</c:v>
                </c:pt>
                <c:pt idx="8" formatCode="0.0">
                  <c:v>27.718311214035069</c:v>
                </c:pt>
              </c:numCache>
            </c:numRef>
          </c:val>
        </c:ser>
        <c:dLbls>
          <c:showLegendKey val="0"/>
          <c:showVal val="0"/>
          <c:showCatName val="0"/>
          <c:showSerName val="0"/>
          <c:showPercent val="0"/>
          <c:showBubbleSize val="0"/>
        </c:dLbls>
        <c:gapWidth val="150"/>
        <c:axId val="34769920"/>
        <c:axId val="34874112"/>
      </c:barChart>
      <c:catAx>
        <c:axId val="34769920"/>
        <c:scaling>
          <c:orientation val="minMax"/>
        </c:scaling>
        <c:delete val="0"/>
        <c:axPos val="b"/>
        <c:majorTickMark val="out"/>
        <c:minorTickMark val="none"/>
        <c:tickLblPos val="nextTo"/>
        <c:crossAx val="34874112"/>
        <c:crosses val="autoZero"/>
        <c:auto val="1"/>
        <c:lblAlgn val="ctr"/>
        <c:lblOffset val="100"/>
        <c:noMultiLvlLbl val="0"/>
      </c:catAx>
      <c:valAx>
        <c:axId val="34874112"/>
        <c:scaling>
          <c:orientation val="minMax"/>
          <c:max val="40"/>
          <c:min val="0"/>
        </c:scaling>
        <c:delete val="0"/>
        <c:axPos val="l"/>
        <c:majorGridlines/>
        <c:title>
          <c:tx>
            <c:rich>
              <a:bodyPr rot="-5400000" vert="horz"/>
              <a:lstStyle/>
              <a:p>
                <a:pPr>
                  <a:defRPr/>
                </a:pPr>
                <a:r>
                  <a:rPr lang="en-AU"/>
                  <a:t>Per cent</a:t>
                </a:r>
              </a:p>
            </c:rich>
          </c:tx>
          <c:layout>
            <c:manualLayout>
              <c:xMode val="edge"/>
              <c:yMode val="edge"/>
              <c:x val="1.8326118326118326E-2"/>
              <c:y val="0.40595231481481475"/>
            </c:manualLayout>
          </c:layout>
          <c:overlay val="0"/>
        </c:title>
        <c:numFmt formatCode="###\ ###\ ##0;0###\ ###\ ##0;&quot;0&quot;" sourceLinked="0"/>
        <c:majorTickMark val="out"/>
        <c:minorTickMark val="none"/>
        <c:tickLblPos val="nextTo"/>
        <c:spPr>
          <a:ln>
            <a:solidFill>
              <a:schemeClr val="tx1"/>
            </a:solidFill>
          </a:ln>
        </c:spPr>
        <c:crossAx val="34769920"/>
        <c:crosses val="autoZero"/>
        <c:crossBetween val="between"/>
        <c:majorUnit val="10"/>
        <c:minorUnit val="5"/>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1.14287037037037E-2"/>
          <c:y val="2.6458333333333334E-2"/>
          <c:w val="0.98004437229437225"/>
          <c:h val="7.5244097222222223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543253968253967"/>
          <c:y val="0.18724027777777777"/>
          <c:w val="0.79417063492063489"/>
          <c:h val="0.69362870370370366"/>
        </c:manualLayout>
      </c:layout>
      <c:barChart>
        <c:barDir val="col"/>
        <c:grouping val="clustered"/>
        <c:varyColors val="0"/>
        <c:ser>
          <c:idx val="0"/>
          <c:order val="0"/>
          <c:tx>
            <c:strRef>
              <c:f>'Figure 11.45'!$A$3</c:f>
              <c:strCache>
                <c:ptCount val="1"/>
                <c:pt idx="0">
                  <c:v>Indigenous people</c:v>
                </c:pt>
              </c:strCache>
            </c:strRef>
          </c:tx>
          <c:spPr>
            <a:solidFill>
              <a:sysClr val="window" lastClr="FFFFFF">
                <a:lumMod val="75000"/>
              </a:sysClr>
            </a:solidFill>
            <a:ln>
              <a:solidFill>
                <a:srgbClr val="000000"/>
              </a:solidFill>
            </a:ln>
          </c:spPr>
          <c:invertIfNegative val="0"/>
          <c:cat>
            <c:strRef>
              <c:f>'Figure 11.45'!$C$2:$K$2</c:f>
              <c:strCache>
                <c:ptCount val="9"/>
                <c:pt idx="0">
                  <c:v>NSW</c:v>
                </c:pt>
                <c:pt idx="1">
                  <c:v>Vic</c:v>
                </c:pt>
                <c:pt idx="2">
                  <c:v>Qld</c:v>
                </c:pt>
                <c:pt idx="3">
                  <c:v>WA</c:v>
                </c:pt>
                <c:pt idx="4">
                  <c:v>SA</c:v>
                </c:pt>
                <c:pt idx="5">
                  <c:v>Tas</c:v>
                </c:pt>
                <c:pt idx="6">
                  <c:v>ACT</c:v>
                </c:pt>
                <c:pt idx="7">
                  <c:v>NT</c:v>
                </c:pt>
                <c:pt idx="8">
                  <c:v>Aust</c:v>
                </c:pt>
              </c:strCache>
            </c:strRef>
          </c:cat>
          <c:val>
            <c:numRef>
              <c:f>'Figure 11.45'!$C$3:$K$3</c:f>
              <c:numCache>
                <c:formatCode>###\ ###\ ##0.0;\-###\ ###\ ##0.0;\–</c:formatCode>
                <c:ptCount val="9"/>
                <c:pt idx="0">
                  <c:v>1.6672384868000001</c:v>
                </c:pt>
                <c:pt idx="1">
                  <c:v>1.5741594242000003</c:v>
                </c:pt>
                <c:pt idx="2">
                  <c:v>2.9461217469999998</c:v>
                </c:pt>
                <c:pt idx="3">
                  <c:v>3.979062753</c:v>
                </c:pt>
                <c:pt idx="4">
                  <c:v>3.6983621415000001</c:v>
                </c:pt>
                <c:pt idx="5">
                  <c:v>0.54948594829999997</c:v>
                </c:pt>
                <c:pt idx="6">
                  <c:v>0.41168869330000002</c:v>
                </c:pt>
                <c:pt idx="7">
                  <c:v>9.5925032994000006</c:v>
                </c:pt>
                <c:pt idx="8" formatCode="0.0">
                  <c:v>3.3550860176000001</c:v>
                </c:pt>
              </c:numCache>
            </c:numRef>
          </c:val>
        </c:ser>
        <c:ser>
          <c:idx val="1"/>
          <c:order val="1"/>
          <c:tx>
            <c:strRef>
              <c:f>'Figure 11.45'!$A$4</c:f>
              <c:strCache>
                <c:ptCount val="1"/>
                <c:pt idx="0">
                  <c:v>Non-Indigenous people</c:v>
                </c:pt>
              </c:strCache>
            </c:strRef>
          </c:tx>
          <c:spPr>
            <a:pattFill prst="wdUpDiag">
              <a:fgClr>
                <a:schemeClr val="tx1"/>
              </a:fgClr>
              <a:bgClr>
                <a:schemeClr val="bg1"/>
              </a:bgClr>
            </a:pattFill>
            <a:ln>
              <a:solidFill>
                <a:sysClr val="windowText" lastClr="000000"/>
              </a:solidFill>
            </a:ln>
          </c:spPr>
          <c:invertIfNegative val="0"/>
          <c:cat>
            <c:strRef>
              <c:f>'Figure 11.45'!$C$2:$K$2</c:f>
              <c:strCache>
                <c:ptCount val="9"/>
                <c:pt idx="0">
                  <c:v>NSW</c:v>
                </c:pt>
                <c:pt idx="1">
                  <c:v>Vic</c:v>
                </c:pt>
                <c:pt idx="2">
                  <c:v>Qld</c:v>
                </c:pt>
                <c:pt idx="3">
                  <c:v>WA</c:v>
                </c:pt>
                <c:pt idx="4">
                  <c:v>SA</c:v>
                </c:pt>
                <c:pt idx="5">
                  <c:v>Tas</c:v>
                </c:pt>
                <c:pt idx="6">
                  <c:v>ACT</c:v>
                </c:pt>
                <c:pt idx="7">
                  <c:v>NT</c:v>
                </c:pt>
                <c:pt idx="8">
                  <c:v>Aust</c:v>
                </c:pt>
              </c:strCache>
            </c:strRef>
          </c:cat>
          <c:val>
            <c:numRef>
              <c:f>'Figure 11.45'!$C$4:$K$4</c:f>
              <c:numCache>
                <c:formatCode>###\ ###\ ##0.0;\-###\ ###\ ##0.0;\–</c:formatCode>
                <c:ptCount val="9"/>
                <c:pt idx="0">
                  <c:v>0.63035641440000001</c:v>
                </c:pt>
                <c:pt idx="1">
                  <c:v>0.78947153390000002</c:v>
                </c:pt>
                <c:pt idx="2">
                  <c:v>0.75815569120000004</c:v>
                </c:pt>
                <c:pt idx="3">
                  <c:v>0.54786736449999995</c:v>
                </c:pt>
                <c:pt idx="4">
                  <c:v>0.94837709739999998</c:v>
                </c:pt>
                <c:pt idx="5">
                  <c:v>0.35053225850000003</c:v>
                </c:pt>
                <c:pt idx="6">
                  <c:v>0.45613278060000001</c:v>
                </c:pt>
                <c:pt idx="7">
                  <c:v>0.98631629509999996</c:v>
                </c:pt>
                <c:pt idx="8" formatCode="0.0">
                  <c:v>0.70498764479999987</c:v>
                </c:pt>
              </c:numCache>
            </c:numRef>
          </c:val>
        </c:ser>
        <c:dLbls>
          <c:showLegendKey val="0"/>
          <c:showVal val="0"/>
          <c:showCatName val="0"/>
          <c:showSerName val="0"/>
          <c:showPercent val="0"/>
          <c:showBubbleSize val="0"/>
        </c:dLbls>
        <c:gapWidth val="150"/>
        <c:axId val="146385152"/>
        <c:axId val="146391040"/>
      </c:barChart>
      <c:catAx>
        <c:axId val="146385152"/>
        <c:scaling>
          <c:orientation val="minMax"/>
        </c:scaling>
        <c:delete val="0"/>
        <c:axPos val="b"/>
        <c:majorTickMark val="out"/>
        <c:minorTickMark val="none"/>
        <c:tickLblPos val="nextTo"/>
        <c:crossAx val="146391040"/>
        <c:crosses val="autoZero"/>
        <c:auto val="1"/>
        <c:lblAlgn val="ctr"/>
        <c:lblOffset val="100"/>
        <c:noMultiLvlLbl val="0"/>
      </c:catAx>
      <c:valAx>
        <c:axId val="146391040"/>
        <c:scaling>
          <c:orientation val="minMax"/>
          <c:max val="10"/>
          <c:min val="0"/>
        </c:scaling>
        <c:delete val="0"/>
        <c:axPos val="l"/>
        <c:majorGridlines/>
        <c:title>
          <c:tx>
            <c:rich>
              <a:bodyPr rot="-5400000" vert="horz"/>
              <a:lstStyle/>
              <a:p>
                <a:pPr>
                  <a:defRPr/>
                </a:pPr>
                <a:r>
                  <a:rPr lang="en-AU"/>
                  <a:t>Per cent</a:t>
                </a:r>
              </a:p>
            </c:rich>
          </c:tx>
          <c:layout>
            <c:manualLayout>
              <c:xMode val="edge"/>
              <c:yMode val="edge"/>
              <c:x val="1.8326118326118326E-2"/>
              <c:y val="0.40595231481481475"/>
            </c:manualLayout>
          </c:layout>
          <c:overlay val="0"/>
        </c:title>
        <c:numFmt formatCode="###\ ###\ ##0;0###\ ###\ ##0;&quot;0&quot;" sourceLinked="0"/>
        <c:majorTickMark val="out"/>
        <c:minorTickMark val="none"/>
        <c:tickLblPos val="nextTo"/>
        <c:spPr>
          <a:ln>
            <a:solidFill>
              <a:schemeClr val="tx1"/>
            </a:solidFill>
          </a:ln>
        </c:spPr>
        <c:crossAx val="146385152"/>
        <c:crosses val="autoZero"/>
        <c:crossBetween val="between"/>
        <c:majorUnit val="2"/>
        <c:minorUnit val="1"/>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1.14287037037037E-2"/>
          <c:y val="2.6458333333333334E-2"/>
          <c:w val="0.98004437229437225"/>
          <c:h val="7.5244097222222223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8510101010101"/>
          <c:y val="0.20487916666666667"/>
          <c:w val="0.79417063492063489"/>
          <c:h val="0.69362870370370366"/>
        </c:manualLayout>
      </c:layout>
      <c:barChart>
        <c:barDir val="col"/>
        <c:grouping val="clustered"/>
        <c:varyColors val="0"/>
        <c:ser>
          <c:idx val="0"/>
          <c:order val="0"/>
          <c:tx>
            <c:strRef>
              <c:f>'Figure 12.11'!$A$4</c:f>
              <c:strCache>
                <c:ptCount val="1"/>
                <c:pt idx="0">
                  <c:v>Indigenous</c:v>
                </c:pt>
              </c:strCache>
            </c:strRef>
          </c:tx>
          <c:spPr>
            <a:solidFill>
              <a:sysClr val="window" lastClr="FFFFFF">
                <a:lumMod val="75000"/>
              </a:sysClr>
            </a:solidFill>
            <a:ln>
              <a:solidFill>
                <a:srgbClr val="000000"/>
              </a:solidFill>
            </a:ln>
          </c:spPr>
          <c:invertIfNegative val="0"/>
          <c:cat>
            <c:strRef>
              <c:f>'Figure 12.11'!$C$2:$K$2</c:f>
              <c:strCache>
                <c:ptCount val="9"/>
                <c:pt idx="0">
                  <c:v>NSW</c:v>
                </c:pt>
                <c:pt idx="1">
                  <c:v>Vic</c:v>
                </c:pt>
                <c:pt idx="2">
                  <c:v>Qld</c:v>
                </c:pt>
                <c:pt idx="3">
                  <c:v>WA</c:v>
                </c:pt>
                <c:pt idx="4">
                  <c:v>SA</c:v>
                </c:pt>
                <c:pt idx="5">
                  <c:v>Tas</c:v>
                </c:pt>
                <c:pt idx="6">
                  <c:v>ACT</c:v>
                </c:pt>
                <c:pt idx="7">
                  <c:v>NT</c:v>
                </c:pt>
                <c:pt idx="8">
                  <c:v>Aust</c:v>
                </c:pt>
              </c:strCache>
            </c:strRef>
          </c:cat>
          <c:val>
            <c:numRef>
              <c:f>'Figure 12.11'!$C$4:$K$4</c:f>
              <c:numCache>
                <c:formatCode>###\ ###\ ##0.0;\-###\ ###\ ##0.0;\–</c:formatCode>
                <c:ptCount val="9"/>
                <c:pt idx="0">
                  <c:v>4.8</c:v>
                </c:pt>
                <c:pt idx="1">
                  <c:v>3.1</c:v>
                </c:pt>
                <c:pt idx="2">
                  <c:v>4.4000000000000004</c:v>
                </c:pt>
                <c:pt idx="3">
                  <c:v>4.8</c:v>
                </c:pt>
                <c:pt idx="4">
                  <c:v>5.8</c:v>
                </c:pt>
                <c:pt idx="5">
                  <c:v>1.9</c:v>
                </c:pt>
                <c:pt idx="6">
                  <c:v>6.4</c:v>
                </c:pt>
                <c:pt idx="7">
                  <c:v>3.7</c:v>
                </c:pt>
                <c:pt idx="8">
                  <c:v>4.4000000000000004</c:v>
                </c:pt>
              </c:numCache>
            </c:numRef>
          </c:val>
        </c:ser>
        <c:ser>
          <c:idx val="1"/>
          <c:order val="1"/>
          <c:tx>
            <c:strRef>
              <c:f>'Figure 12.11'!$A$5</c:f>
              <c:strCache>
                <c:ptCount val="1"/>
                <c:pt idx="0">
                  <c:v>Non-Indigenous</c:v>
                </c:pt>
              </c:strCache>
            </c:strRef>
          </c:tx>
          <c:spPr>
            <a:pattFill prst="wdUpDiag">
              <a:fgClr>
                <a:schemeClr val="tx1"/>
              </a:fgClr>
              <a:bgClr>
                <a:schemeClr val="bg1"/>
              </a:bgClr>
            </a:pattFill>
            <a:ln>
              <a:solidFill>
                <a:sysClr val="windowText" lastClr="000000"/>
              </a:solidFill>
            </a:ln>
          </c:spPr>
          <c:invertIfNegative val="0"/>
          <c:cat>
            <c:strRef>
              <c:f>'Figure 12.11'!$C$2:$K$2</c:f>
              <c:strCache>
                <c:ptCount val="9"/>
                <c:pt idx="0">
                  <c:v>NSW</c:v>
                </c:pt>
                <c:pt idx="1">
                  <c:v>Vic</c:v>
                </c:pt>
                <c:pt idx="2">
                  <c:v>Qld</c:v>
                </c:pt>
                <c:pt idx="3">
                  <c:v>WA</c:v>
                </c:pt>
                <c:pt idx="4">
                  <c:v>SA</c:v>
                </c:pt>
                <c:pt idx="5">
                  <c:v>Tas</c:v>
                </c:pt>
                <c:pt idx="6">
                  <c:v>ACT</c:v>
                </c:pt>
                <c:pt idx="7">
                  <c:v>NT</c:v>
                </c:pt>
                <c:pt idx="8">
                  <c:v>Aust</c:v>
                </c:pt>
              </c:strCache>
            </c:strRef>
          </c:cat>
          <c:val>
            <c:numRef>
              <c:f>'Figure 12.11'!$C$5:$K$5</c:f>
              <c:numCache>
                <c:formatCode>###\ ###\ ##0.0;\-###\ ###\ ##0.0;\–</c:formatCode>
                <c:ptCount val="9"/>
                <c:pt idx="0">
                  <c:v>1.2</c:v>
                </c:pt>
                <c:pt idx="1">
                  <c:v>1</c:v>
                </c:pt>
                <c:pt idx="2">
                  <c:v>1.6</c:v>
                </c:pt>
                <c:pt idx="3">
                  <c:v>1.7</c:v>
                </c:pt>
                <c:pt idx="4">
                  <c:v>1.6</c:v>
                </c:pt>
                <c:pt idx="5">
                  <c:v>1.6</c:v>
                </c:pt>
                <c:pt idx="6">
                  <c:v>1.8</c:v>
                </c:pt>
                <c:pt idx="7">
                  <c:v>2</c:v>
                </c:pt>
                <c:pt idx="8">
                  <c:v>1.4</c:v>
                </c:pt>
              </c:numCache>
            </c:numRef>
          </c:val>
        </c:ser>
        <c:dLbls>
          <c:showLegendKey val="0"/>
          <c:showVal val="0"/>
          <c:showCatName val="0"/>
          <c:showSerName val="0"/>
          <c:showPercent val="0"/>
          <c:showBubbleSize val="0"/>
        </c:dLbls>
        <c:gapWidth val="150"/>
        <c:axId val="155129728"/>
        <c:axId val="155131264"/>
      </c:barChart>
      <c:catAx>
        <c:axId val="155129728"/>
        <c:scaling>
          <c:orientation val="minMax"/>
        </c:scaling>
        <c:delete val="0"/>
        <c:axPos val="b"/>
        <c:majorTickMark val="out"/>
        <c:minorTickMark val="none"/>
        <c:tickLblPos val="nextTo"/>
        <c:crossAx val="155131264"/>
        <c:crosses val="autoZero"/>
        <c:auto val="1"/>
        <c:lblAlgn val="ctr"/>
        <c:lblOffset val="100"/>
        <c:noMultiLvlLbl val="0"/>
      </c:catAx>
      <c:valAx>
        <c:axId val="155131264"/>
        <c:scaling>
          <c:orientation val="minMax"/>
          <c:max val="8"/>
          <c:min val="0"/>
        </c:scaling>
        <c:delete val="0"/>
        <c:axPos val="l"/>
        <c:majorGridlines/>
        <c:title>
          <c:tx>
            <c:rich>
              <a:bodyPr rot="-5400000" vert="horz"/>
              <a:lstStyle/>
              <a:p>
                <a:pPr>
                  <a:defRPr/>
                </a:pPr>
                <a:r>
                  <a:rPr lang="en-AU"/>
                  <a:t>Per cent</a:t>
                </a:r>
              </a:p>
            </c:rich>
          </c:tx>
          <c:layout>
            <c:manualLayout>
              <c:xMode val="edge"/>
              <c:yMode val="edge"/>
              <c:x val="1.8326118326118326E-2"/>
              <c:y val="0.40595231481481475"/>
            </c:manualLayout>
          </c:layout>
          <c:overlay val="0"/>
        </c:title>
        <c:numFmt formatCode="###\ ###\ ##0;0###\ ###\ ##0;&quot;0&quot;" sourceLinked="0"/>
        <c:majorTickMark val="out"/>
        <c:minorTickMark val="none"/>
        <c:tickLblPos val="nextTo"/>
        <c:spPr>
          <a:ln>
            <a:solidFill>
              <a:schemeClr val="tx1"/>
            </a:solidFill>
          </a:ln>
        </c:spPr>
        <c:crossAx val="155129728"/>
        <c:crosses val="autoZero"/>
        <c:crossBetween val="between"/>
        <c:majorUnit val="2"/>
        <c:minorUnit val="1"/>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1.14287037037037E-2"/>
          <c:y val="2.6458333333333334E-2"/>
          <c:w val="0.98004437229437225"/>
          <c:h val="7.5244097222222223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9666630591630591"/>
          <c:y val="0.20487916666666667"/>
          <c:w val="0.77584451659451659"/>
          <c:h val="0.69362870370370366"/>
        </c:manualLayout>
      </c:layout>
      <c:barChart>
        <c:barDir val="col"/>
        <c:grouping val="clustered"/>
        <c:varyColors val="0"/>
        <c:ser>
          <c:idx val="1"/>
          <c:order val="0"/>
          <c:tx>
            <c:strRef>
              <c:f>'Figure 13.13'!$A$5</c:f>
              <c:strCache>
                <c:ptCount val="1"/>
                <c:pt idx="0">
                  <c:v>Indigenous recipients</c:v>
                </c:pt>
              </c:strCache>
            </c:strRef>
          </c:tx>
          <c:spPr>
            <a:solidFill>
              <a:sysClr val="window" lastClr="FFFFFF">
                <a:lumMod val="75000"/>
              </a:sysClr>
            </a:solidFill>
            <a:ln>
              <a:solidFill>
                <a:sysClr val="windowText" lastClr="000000"/>
              </a:solidFill>
            </a:ln>
          </c:spPr>
          <c:invertIfNegative val="0"/>
          <c:cat>
            <c:strRef>
              <c:f>'Figure 13.13'!$B$2:$J$2</c:f>
              <c:strCache>
                <c:ptCount val="9"/>
                <c:pt idx="0">
                  <c:v>NSW</c:v>
                </c:pt>
                <c:pt idx="1">
                  <c:v>Vic</c:v>
                </c:pt>
                <c:pt idx="2">
                  <c:v>Qld</c:v>
                </c:pt>
                <c:pt idx="3">
                  <c:v>WA</c:v>
                </c:pt>
                <c:pt idx="4">
                  <c:v>SA</c:v>
                </c:pt>
                <c:pt idx="5">
                  <c:v>Tas</c:v>
                </c:pt>
                <c:pt idx="6">
                  <c:v>ACT</c:v>
                </c:pt>
                <c:pt idx="7">
                  <c:v>NT</c:v>
                </c:pt>
                <c:pt idx="8">
                  <c:v>Aust</c:v>
                </c:pt>
              </c:strCache>
            </c:strRef>
          </c:cat>
          <c:val>
            <c:numRef>
              <c:f>'Figure 13.13'!$B$5:$J$5</c:f>
              <c:numCache>
                <c:formatCode>0.0</c:formatCode>
                <c:ptCount val="9"/>
                <c:pt idx="0">
                  <c:v>17.902828199940998</c:v>
                </c:pt>
                <c:pt idx="1">
                  <c:v>65.820169424106993</c:v>
                </c:pt>
                <c:pt idx="2">
                  <c:v>13.343065188437</c:v>
                </c:pt>
                <c:pt idx="3">
                  <c:v>15.308882802319999</c:v>
                </c:pt>
                <c:pt idx="4">
                  <c:v>29.089437149782</c:v>
                </c:pt>
                <c:pt idx="5">
                  <c:v>22.703097203786999</c:v>
                </c:pt>
                <c:pt idx="6">
                  <c:v>67.237966553389995</c:v>
                </c:pt>
                <c:pt idx="7">
                  <c:v>49.779196432229</c:v>
                </c:pt>
                <c:pt idx="8">
                  <c:v>24.547077700035999</c:v>
                </c:pt>
              </c:numCache>
            </c:numRef>
          </c:val>
        </c:ser>
        <c:ser>
          <c:idx val="0"/>
          <c:order val="1"/>
          <c:tx>
            <c:strRef>
              <c:f>'Figure 13.13'!$A$4</c:f>
              <c:strCache>
                <c:ptCount val="1"/>
                <c:pt idx="0">
                  <c:v>All recipients</c:v>
                </c:pt>
              </c:strCache>
            </c:strRef>
          </c:tx>
          <c:spPr>
            <a:pattFill prst="wdUpDiag">
              <a:fgClr>
                <a:sysClr val="windowText" lastClr="000000"/>
              </a:fgClr>
              <a:bgClr>
                <a:sysClr val="window" lastClr="FFFFFF"/>
              </a:bgClr>
            </a:pattFill>
            <a:ln>
              <a:solidFill>
                <a:srgbClr val="000000"/>
              </a:solidFill>
            </a:ln>
          </c:spPr>
          <c:invertIfNegative val="0"/>
          <c:cat>
            <c:strRef>
              <c:f>'Figure 13.13'!$B$2:$J$2</c:f>
              <c:strCache>
                <c:ptCount val="9"/>
                <c:pt idx="0">
                  <c:v>NSW</c:v>
                </c:pt>
                <c:pt idx="1">
                  <c:v>Vic</c:v>
                </c:pt>
                <c:pt idx="2">
                  <c:v>Qld</c:v>
                </c:pt>
                <c:pt idx="3">
                  <c:v>WA</c:v>
                </c:pt>
                <c:pt idx="4">
                  <c:v>SA</c:v>
                </c:pt>
                <c:pt idx="5">
                  <c:v>Tas</c:v>
                </c:pt>
                <c:pt idx="6">
                  <c:v>ACT</c:v>
                </c:pt>
                <c:pt idx="7">
                  <c:v>NT</c:v>
                </c:pt>
                <c:pt idx="8">
                  <c:v>Aust</c:v>
                </c:pt>
              </c:strCache>
            </c:strRef>
          </c:cat>
          <c:val>
            <c:numRef>
              <c:f>'Figure 13.13'!$B$4:$J$4</c:f>
              <c:numCache>
                <c:formatCode>#\ ###\ ##0.0;\-#\ ###\ ##0.0;"–"</c:formatCode>
                <c:ptCount val="9"/>
                <c:pt idx="0">
                  <c:v>13.588573881969999</c:v>
                </c:pt>
                <c:pt idx="1">
                  <c:v>14.072837274111</c:v>
                </c:pt>
                <c:pt idx="2">
                  <c:v>11.219464245686</c:v>
                </c:pt>
                <c:pt idx="3">
                  <c:v>12.309613358614</c:v>
                </c:pt>
                <c:pt idx="4">
                  <c:v>13.971359467523</c:v>
                </c:pt>
                <c:pt idx="5">
                  <c:v>13.702696626856</c:v>
                </c:pt>
                <c:pt idx="6">
                  <c:v>14.760014074387</c:v>
                </c:pt>
                <c:pt idx="7">
                  <c:v>35.083253452788</c:v>
                </c:pt>
                <c:pt idx="8">
                  <c:v>13.314684711264</c:v>
                </c:pt>
              </c:numCache>
            </c:numRef>
          </c:val>
        </c:ser>
        <c:dLbls>
          <c:showLegendKey val="0"/>
          <c:showVal val="0"/>
          <c:showCatName val="0"/>
          <c:showSerName val="0"/>
          <c:showPercent val="0"/>
          <c:showBubbleSize val="0"/>
        </c:dLbls>
        <c:gapWidth val="150"/>
        <c:axId val="155210880"/>
        <c:axId val="155212416"/>
      </c:barChart>
      <c:catAx>
        <c:axId val="155210880"/>
        <c:scaling>
          <c:orientation val="minMax"/>
        </c:scaling>
        <c:delete val="0"/>
        <c:axPos val="b"/>
        <c:majorTickMark val="out"/>
        <c:minorTickMark val="none"/>
        <c:tickLblPos val="nextTo"/>
        <c:crossAx val="155212416"/>
        <c:crosses val="autoZero"/>
        <c:auto val="1"/>
        <c:lblAlgn val="ctr"/>
        <c:lblOffset val="100"/>
        <c:noMultiLvlLbl val="0"/>
      </c:catAx>
      <c:valAx>
        <c:axId val="155212416"/>
        <c:scaling>
          <c:orientation val="minMax"/>
          <c:max val="80"/>
          <c:min val="0"/>
        </c:scaling>
        <c:delete val="0"/>
        <c:axPos val="l"/>
        <c:majorGridlines/>
        <c:title>
          <c:tx>
            <c:rich>
              <a:bodyPr rot="-5400000" vert="horz"/>
              <a:lstStyle/>
              <a:p>
                <a:pPr>
                  <a:defRPr/>
                </a:pPr>
                <a:r>
                  <a:rPr lang="en-AU"/>
                  <a:t>Recipients/1000</a:t>
                </a:r>
                <a:r>
                  <a:rPr lang="en-AU" baseline="0"/>
                  <a:t> aged care target population</a:t>
                </a:r>
                <a:endParaRPr lang="en-AU"/>
              </a:p>
            </c:rich>
          </c:tx>
          <c:layout>
            <c:manualLayout>
              <c:xMode val="edge"/>
              <c:yMode val="edge"/>
              <c:x val="1.8326118326118326E-2"/>
              <c:y val="0.40595231481481475"/>
            </c:manualLayout>
          </c:layout>
          <c:overlay val="0"/>
        </c:title>
        <c:numFmt formatCode="###\ ###\ ##0;0###\ ###\ ##0;&quot;0&quot;" sourceLinked="0"/>
        <c:majorTickMark val="out"/>
        <c:minorTickMark val="none"/>
        <c:tickLblPos val="nextTo"/>
        <c:spPr>
          <a:ln>
            <a:solidFill>
              <a:schemeClr val="tx1"/>
            </a:solidFill>
          </a:ln>
        </c:spPr>
        <c:crossAx val="155210880"/>
        <c:crosses val="autoZero"/>
        <c:crossBetween val="between"/>
        <c:majorUnit val="20"/>
        <c:minorUnit val="10"/>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4.760851721479456E-2"/>
          <c:y val="2.6458333333333334E-2"/>
          <c:w val="0.9156130539367815"/>
          <c:h val="9.0810527025595084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505744207113166"/>
          <c:y val="0.20487916666666667"/>
          <c:w val="0.81055622623831058"/>
          <c:h val="0.69362870370370366"/>
        </c:manualLayout>
      </c:layout>
      <c:barChart>
        <c:barDir val="col"/>
        <c:grouping val="clustered"/>
        <c:varyColors val="0"/>
        <c:ser>
          <c:idx val="0"/>
          <c:order val="0"/>
          <c:tx>
            <c:strRef>
              <c:f>'Figure 14.19c'!$A$4</c:f>
              <c:strCache>
                <c:ptCount val="1"/>
                <c:pt idx="0">
                  <c:v>Indigenous</c:v>
                </c:pt>
              </c:strCache>
            </c:strRef>
          </c:tx>
          <c:spPr>
            <a:solidFill>
              <a:sysClr val="window" lastClr="FFFFFF">
                <a:lumMod val="75000"/>
              </a:sysClr>
            </a:solidFill>
            <a:ln>
              <a:solidFill>
                <a:srgbClr val="000000"/>
              </a:solidFill>
            </a:ln>
          </c:spPr>
          <c:invertIfNegative val="0"/>
          <c:cat>
            <c:strRef>
              <c:f>'Figure 14.19c'!$B$2:$J$2</c:f>
              <c:strCache>
                <c:ptCount val="9"/>
                <c:pt idx="0">
                  <c:v>NSW</c:v>
                </c:pt>
                <c:pt idx="1">
                  <c:v>Vic</c:v>
                </c:pt>
                <c:pt idx="2">
                  <c:v>Qld</c:v>
                </c:pt>
                <c:pt idx="3">
                  <c:v>WA</c:v>
                </c:pt>
                <c:pt idx="4">
                  <c:v>SA</c:v>
                </c:pt>
                <c:pt idx="5">
                  <c:v>Tas</c:v>
                </c:pt>
                <c:pt idx="6">
                  <c:v>ACT</c:v>
                </c:pt>
                <c:pt idx="7">
                  <c:v>NT</c:v>
                </c:pt>
                <c:pt idx="8">
                  <c:v>Aust</c:v>
                </c:pt>
              </c:strCache>
            </c:strRef>
          </c:cat>
          <c:val>
            <c:numRef>
              <c:f>'Figure 14.19c'!$B$4:$J$4</c:f>
              <c:numCache>
                <c:formatCode>#\ ###\ ##0.0;\-#\ ###\ ##0.0;"–"</c:formatCode>
                <c:ptCount val="9"/>
                <c:pt idx="0">
                  <c:v>59.589743589743591</c:v>
                </c:pt>
                <c:pt idx="1">
                  <c:v>127.19101123595506</c:v>
                </c:pt>
                <c:pt idx="2">
                  <c:v>83.671557914455207</c:v>
                </c:pt>
                <c:pt idx="3">
                  <c:v>140.0848999393572</c:v>
                </c:pt>
                <c:pt idx="4">
                  <c:v>99.706744868035187</c:v>
                </c:pt>
                <c:pt idx="5">
                  <c:v>48.830111902339773</c:v>
                </c:pt>
                <c:pt idx="6">
                  <c:v>40.160642570281126</c:v>
                </c:pt>
                <c:pt idx="7">
                  <c:v>46.786182772190642</c:v>
                </c:pt>
                <c:pt idx="8">
                  <c:v>81.429055453073829</c:v>
                </c:pt>
              </c:numCache>
            </c:numRef>
          </c:val>
        </c:ser>
        <c:ser>
          <c:idx val="1"/>
          <c:order val="1"/>
          <c:tx>
            <c:strRef>
              <c:f>'Figure 14.19c'!$A$5</c:f>
              <c:strCache>
                <c:ptCount val="1"/>
                <c:pt idx="0">
                  <c:v>Non-Indigenous</c:v>
                </c:pt>
              </c:strCache>
            </c:strRef>
          </c:tx>
          <c:spPr>
            <a:pattFill prst="wdUpDiag">
              <a:fgClr>
                <a:schemeClr val="tx1"/>
              </a:fgClr>
              <a:bgClr>
                <a:schemeClr val="bg1"/>
              </a:bgClr>
            </a:pattFill>
            <a:ln>
              <a:solidFill>
                <a:sysClr val="windowText" lastClr="000000"/>
              </a:solidFill>
            </a:ln>
          </c:spPr>
          <c:invertIfNegative val="0"/>
          <c:cat>
            <c:strRef>
              <c:f>'Figure 14.19c'!$B$2:$J$2</c:f>
              <c:strCache>
                <c:ptCount val="9"/>
                <c:pt idx="0">
                  <c:v>NSW</c:v>
                </c:pt>
                <c:pt idx="1">
                  <c:v>Vic</c:v>
                </c:pt>
                <c:pt idx="2">
                  <c:v>Qld</c:v>
                </c:pt>
                <c:pt idx="3">
                  <c:v>WA</c:v>
                </c:pt>
                <c:pt idx="4">
                  <c:v>SA</c:v>
                </c:pt>
                <c:pt idx="5">
                  <c:v>Tas</c:v>
                </c:pt>
                <c:pt idx="6">
                  <c:v>ACT</c:v>
                </c:pt>
                <c:pt idx="7">
                  <c:v>NT</c:v>
                </c:pt>
                <c:pt idx="8">
                  <c:v>Aust</c:v>
                </c:pt>
              </c:strCache>
            </c:strRef>
          </c:cat>
          <c:val>
            <c:numRef>
              <c:f>'Figure 14.19c'!$B$5:$J$5</c:f>
              <c:numCache>
                <c:formatCode>0.0</c:formatCode>
                <c:ptCount val="9"/>
                <c:pt idx="0">
                  <c:v>90.726784631754867</c:v>
                </c:pt>
                <c:pt idx="1">
                  <c:v>98.394494507702632</c:v>
                </c:pt>
                <c:pt idx="2">
                  <c:v>80.701707720250383</c:v>
                </c:pt>
                <c:pt idx="3">
                  <c:v>82.465886095562112</c:v>
                </c:pt>
                <c:pt idx="4">
                  <c:v>175.9750805500158</c:v>
                </c:pt>
                <c:pt idx="5">
                  <c:v>131.8750640056258</c:v>
                </c:pt>
                <c:pt idx="6">
                  <c:v>53.989490293891777</c:v>
                </c:pt>
                <c:pt idx="7">
                  <c:v>14.373178289179164</c:v>
                </c:pt>
                <c:pt idx="8">
                  <c:v>95.203803663147937</c:v>
                </c:pt>
              </c:numCache>
            </c:numRef>
          </c:val>
        </c:ser>
        <c:dLbls>
          <c:showLegendKey val="0"/>
          <c:showVal val="0"/>
          <c:showCatName val="0"/>
          <c:showSerName val="0"/>
          <c:showPercent val="0"/>
          <c:showBubbleSize val="0"/>
        </c:dLbls>
        <c:gapWidth val="150"/>
        <c:axId val="157352704"/>
        <c:axId val="157354240"/>
      </c:barChart>
      <c:catAx>
        <c:axId val="157352704"/>
        <c:scaling>
          <c:orientation val="minMax"/>
        </c:scaling>
        <c:delete val="0"/>
        <c:axPos val="b"/>
        <c:majorTickMark val="out"/>
        <c:minorTickMark val="none"/>
        <c:tickLblPos val="nextTo"/>
        <c:crossAx val="157354240"/>
        <c:crosses val="autoZero"/>
        <c:auto val="1"/>
        <c:lblAlgn val="ctr"/>
        <c:lblOffset val="100"/>
        <c:noMultiLvlLbl val="0"/>
      </c:catAx>
      <c:valAx>
        <c:axId val="157354240"/>
        <c:scaling>
          <c:orientation val="minMax"/>
          <c:max val="200"/>
          <c:min val="0"/>
        </c:scaling>
        <c:delete val="0"/>
        <c:axPos val="l"/>
        <c:majorGridlines/>
        <c:title>
          <c:tx>
            <c:rich>
              <a:bodyPr rot="-5400000" vert="horz"/>
              <a:lstStyle/>
              <a:p>
                <a:pPr>
                  <a:defRPr/>
                </a:pPr>
                <a:r>
                  <a:rPr lang="en-AU"/>
                  <a:t>Users/1000</a:t>
                </a:r>
                <a:r>
                  <a:rPr lang="en-AU" baseline="0"/>
                  <a:t> people</a:t>
                </a:r>
                <a:endParaRPr lang="en-AU"/>
              </a:p>
            </c:rich>
          </c:tx>
          <c:layout>
            <c:manualLayout>
              <c:xMode val="edge"/>
              <c:yMode val="edge"/>
              <c:x val="1.1232739864035415E-3"/>
              <c:y val="0.29423935185185185"/>
            </c:manualLayout>
          </c:layout>
          <c:overlay val="0"/>
        </c:title>
        <c:numFmt formatCode="###\ ###\ ##0;0###\ ###\ ##0;&quot;0&quot;" sourceLinked="0"/>
        <c:majorTickMark val="out"/>
        <c:minorTickMark val="none"/>
        <c:tickLblPos val="nextTo"/>
        <c:spPr>
          <a:ln>
            <a:solidFill>
              <a:schemeClr val="tx1"/>
            </a:solidFill>
          </a:ln>
        </c:spPr>
        <c:crossAx val="157352704"/>
        <c:crosses val="autoZero"/>
        <c:crossBetween val="between"/>
        <c:majorUnit val="40"/>
        <c:minorUnit val="20"/>
      </c:valAx>
      <c:spPr>
        <a:noFill/>
        <a:ln>
          <a:solidFill>
            <a:schemeClr val="tx1"/>
          </a:solidFill>
        </a:ln>
      </c:spPr>
    </c:plotArea>
    <c:legend>
      <c:legendPos val="t"/>
      <c:legendEntry>
        <c:idx val="0"/>
        <c:txPr>
          <a:bodyPr/>
          <a:lstStyle/>
          <a:p>
            <a:pPr>
              <a:defRPr sz="800" baseline="0">
                <a:latin typeface="Arial" pitchFamily="34" charset="0"/>
              </a:defRPr>
            </a:pPr>
            <a:endParaRPr lang="en-US"/>
          </a:p>
        </c:txPr>
      </c:legendEntry>
      <c:legendEntry>
        <c:idx val="1"/>
        <c:txPr>
          <a:bodyPr/>
          <a:lstStyle/>
          <a:p>
            <a:pPr>
              <a:defRPr sz="800" baseline="0">
                <a:latin typeface="Arial" pitchFamily="34" charset="0"/>
              </a:defRPr>
            </a:pPr>
            <a:endParaRPr lang="en-US"/>
          </a:p>
        </c:txPr>
      </c:legendEntry>
      <c:layout>
        <c:manualLayout>
          <c:xMode val="edge"/>
          <c:yMode val="edge"/>
          <c:x val="2.9735310546135967E-2"/>
          <c:y val="2.6458333333333334E-2"/>
          <c:w val="0.92512441665615597"/>
          <c:h val="7.5244097222222223E-2"/>
        </c:manualLayout>
      </c:layout>
      <c:overlay val="0"/>
      <c:spPr>
        <a:ln>
          <a:solidFill>
            <a:schemeClr val="tx1"/>
          </a:solidFill>
        </a:ln>
      </c:spPr>
      <c:txPr>
        <a:bodyPr/>
        <a:lstStyle/>
        <a:p>
          <a:pPr>
            <a:defRPr sz="800" baseline="0">
              <a:latin typeface="Arial" pitchFamily="34" charset="0"/>
            </a:defRPr>
          </a:pPr>
          <a:endParaRPr lang="en-US"/>
        </a:p>
      </c:txPr>
    </c:legend>
    <c:plotVisOnly val="1"/>
    <c:dispBlanksAs val="gap"/>
    <c:showDLblsOverMax val="0"/>
  </c:chart>
  <c:spPr>
    <a:ln>
      <a:noFill/>
    </a:ln>
  </c:spPr>
  <c:txPr>
    <a:bodyPr/>
    <a:lstStyle/>
    <a:p>
      <a:pPr>
        <a:defRPr sz="800"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BD37A-6DED-46CB-8BB6-4F0E026C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1616</Words>
  <Characters>9023</Characters>
  <Application>Microsoft Office Word</Application>
  <DocSecurity>0</DocSecurity>
  <Lines>209</Lines>
  <Paragraphs>63</Paragraphs>
  <ScaleCrop>false</ScaleCrop>
  <HeadingPairs>
    <vt:vector size="2" baseType="variant">
      <vt:variant>
        <vt:lpstr>Title</vt:lpstr>
      </vt:variant>
      <vt:variant>
        <vt:i4>1</vt:i4>
      </vt:variant>
    </vt:vector>
  </HeadingPairs>
  <TitlesOfParts>
    <vt:vector size="1" baseType="lpstr">
      <vt:lpstr>Factsheet - Government Services and Indigenous People - Indigenous Compendium - Report on Government Services 2013</vt:lpstr>
    </vt:vector>
  </TitlesOfParts>
  <Company>Productivity Commission</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 - Government Services and Indigenous People - Indigenous Compendium - Report on Government Services 2013</dc:title>
  <dc:creator>Productivity Commission</dc:creator>
  <cp:lastModifiedBy>Productivity Commission</cp:lastModifiedBy>
  <cp:revision>3</cp:revision>
  <cp:lastPrinted>2013-04-10T23:21:00Z</cp:lastPrinted>
  <dcterms:created xsi:type="dcterms:W3CDTF">2013-04-18T05:58:00Z</dcterms:created>
  <dcterms:modified xsi:type="dcterms:W3CDTF">2013-04-18T06:06:00Z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