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B9B77" w14:textId="40442224" w:rsidR="00BD76D7" w:rsidRPr="00AC41BE" w:rsidRDefault="00AC38FD" w:rsidP="00AC38FD">
      <w:pPr>
        <w:pStyle w:val="Heading1"/>
        <w:rPr>
          <w:color w:val="FFFFFF" w:themeColor="background1"/>
          <w:sz w:val="16"/>
          <w:szCs w:val="16"/>
        </w:rPr>
      </w:pPr>
      <w:bookmarkStart w:id="0" w:name="_Toc56080369"/>
      <w:bookmarkStart w:id="1" w:name="_Toc67912776"/>
      <w:bookmarkStart w:id="2" w:name="_Toc67912991"/>
      <w:r w:rsidRPr="00AC41BE">
        <w:rPr>
          <w:noProof/>
          <w:color w:val="FFFFFF" w:themeColor="background1"/>
          <w:sz w:val="16"/>
          <w:szCs w:val="16"/>
        </w:rPr>
        <w:drawing>
          <wp:anchor distT="0" distB="0" distL="114300" distR="114300" simplePos="0" relativeHeight="251659264" behindDoc="0" locked="0" layoutInCell="1" allowOverlap="1" wp14:anchorId="76D2E70E" wp14:editId="7B166775">
            <wp:simplePos x="929640" y="960120"/>
            <wp:positionH relativeFrom="page">
              <wp:align>center</wp:align>
            </wp:positionH>
            <wp:positionV relativeFrom="page">
              <wp:align>center</wp:align>
            </wp:positionV>
            <wp:extent cx="7555719" cy="10687688"/>
            <wp:effectExtent l="0" t="0" r="7620" b="0"/>
            <wp:wrapNone/>
            <wp:docPr id="3" name="Picture 3" descr="Cover for Things you can’t drop on your feet: an overview of Australia’s services sector productivity, PC Productivity Insights, April 2021. &#10;Features: Service sector growth is a feature of a maturing economy;  &#10;Service sector facts and myths;  Challenges in measuring productivity in the service sector; Measurement issues in service sector productivity; Improving service sector productivity through digit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for Things you can’t drop on your feet: an overview of Australia’s services sector productivity, PC Productivity Insights, April 2021. &#10;Features: Service sector growth is a feature of a maturing economy;  &#10;Service sector facts and myths;  Challenges in measuring productivity in the service sector; Measurement issues in service sector productivity; Improving service sector productivity through digitisation                                             "/>
                    <pic:cNvPicPr/>
                  </pic:nvPicPr>
                  <pic:blipFill>
                    <a:blip r:embed="rId8">
                      <a:extLst>
                        <a:ext uri="{28A0092B-C50C-407E-A947-70E740481C1C}">
                          <a14:useLocalDpi xmlns:a14="http://schemas.microsoft.com/office/drawing/2010/main" val="0"/>
                        </a:ext>
                      </a:extLst>
                    </a:blip>
                    <a:stretch>
                      <a:fillRect/>
                    </a:stretch>
                  </pic:blipFill>
                  <pic:spPr>
                    <a:xfrm>
                      <a:off x="0" y="0"/>
                      <a:ext cx="7555719" cy="10687688"/>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r w:rsidR="00AC41BE" w:rsidRPr="00AC41BE">
        <w:rPr>
          <w:color w:val="FFFFFF" w:themeColor="background1"/>
          <w:sz w:val="16"/>
          <w:szCs w:val="16"/>
        </w:rPr>
        <w:t>Things you can’t drop on your feet: an overview of Australia’s services sector productivity</w:t>
      </w:r>
    </w:p>
    <w:p w14:paraId="2C2A0DA3" w14:textId="4A45B633" w:rsidR="00AC38FD" w:rsidRPr="00BD76D7" w:rsidRDefault="00BD76D7" w:rsidP="00BD76D7">
      <w:pPr>
        <w:pStyle w:val="BodyText"/>
        <w:rPr>
          <w:color w:val="FFFFFF" w:themeColor="background1"/>
          <w:sz w:val="16"/>
          <w:szCs w:val="16"/>
        </w:rPr>
      </w:pPr>
      <w:r w:rsidRPr="00BD76D7">
        <w:rPr>
          <w:color w:val="FFFFFF" w:themeColor="background1"/>
          <w:sz w:val="16"/>
          <w:szCs w:val="16"/>
        </w:rPr>
        <w:t>PC Productivity Insights 2021</w:t>
      </w:r>
    </w:p>
    <w:p w14:paraId="6459F0C4" w14:textId="77777777" w:rsidR="00AC38FD" w:rsidRDefault="00AC38FD" w:rsidP="00AC38FD">
      <w:pPr>
        <w:pStyle w:val="BodyText"/>
        <w:rPr>
          <w:b/>
          <w:szCs w:val="26"/>
        </w:rPr>
      </w:pPr>
      <w:r>
        <w:br w:type="page"/>
      </w:r>
    </w:p>
    <w:p w14:paraId="69768523" w14:textId="267C9291" w:rsidR="00AC38FD" w:rsidRDefault="00AC38FD" w:rsidP="00AC38FD">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2021</w:t>
      </w:r>
    </w:p>
    <w:p w14:paraId="02DE8C2D" w14:textId="77777777" w:rsidR="00AC38FD" w:rsidRDefault="00AC38FD" w:rsidP="00AC38FD">
      <w:pPr>
        <w:pStyle w:val="BodyText"/>
        <w:spacing w:after="120"/>
      </w:pPr>
      <w:bookmarkStart w:id="3" w:name="ISSN"/>
      <w:bookmarkEnd w:id="3"/>
      <w:r w:rsidRPr="00862D8F">
        <w:rPr>
          <w:noProof/>
          <w:sz w:val="22"/>
          <w:szCs w:val="22"/>
        </w:rPr>
        <w:drawing>
          <wp:inline distT="0" distB="0" distL="0" distR="0" wp14:anchorId="03CF52B7" wp14:editId="43A4EED4">
            <wp:extent cx="843280" cy="295043"/>
            <wp:effectExtent l="0" t="0" r="0" b="0"/>
            <wp:docPr id="13" name="Picture 1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2EB44283" w14:textId="77777777" w:rsidR="00AC38FD" w:rsidRPr="00256A29" w:rsidRDefault="00AC38FD" w:rsidP="00AC38FD">
      <w:pPr>
        <w:pStyle w:val="Copyrightbodytext"/>
        <w:rPr>
          <w:sz w:val="20"/>
        </w:rPr>
      </w:pPr>
      <w:r w:rsidRPr="00256A29">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256A29">
            <w:rPr>
              <w:sz w:val="20"/>
            </w:rPr>
            <w:t>http://creativecommons.org/licenses/by/3.0/au</w:t>
          </w:r>
        </w:hyperlink>
      </w:hyperlink>
      <w:r w:rsidRPr="00256A29">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54685CDB" w14:textId="77777777" w:rsidR="00AC38FD" w:rsidRPr="008A3857" w:rsidRDefault="00AC38FD" w:rsidP="00AC38FD">
      <w:pPr>
        <w:pStyle w:val="Copyrightsubtitle"/>
      </w:pPr>
      <w:r w:rsidRPr="008A3857">
        <w:t>Use of the Commonwealth Coat of Arms</w:t>
      </w:r>
    </w:p>
    <w:p w14:paraId="42BF100E" w14:textId="4F7AA5F8" w:rsidR="00AC38FD" w:rsidRPr="00CA210D" w:rsidRDefault="00AC38FD" w:rsidP="00AC38FD">
      <w:pPr>
        <w:pStyle w:val="Copyrightbodytext"/>
        <w:rPr>
          <w:spacing w:val="-2"/>
          <w:sz w:val="20"/>
        </w:rPr>
      </w:pPr>
      <w:r w:rsidRPr="00256A29">
        <w:rPr>
          <w:spacing w:val="-2"/>
          <w:sz w:val="20"/>
        </w:rPr>
        <w:t xml:space="preserve">Terms of use for the Coat of Arms are available from the Department of the Prime Minister and Cabinet’s website: </w:t>
      </w:r>
      <w:hyperlink r:id="rId12" w:history="1">
        <w:r w:rsidRPr="00CA210D">
          <w:rPr>
            <w:rStyle w:val="Hyperlink"/>
            <w:spacing w:val="-2"/>
            <w:sz w:val="20"/>
            <w:u w:val="none"/>
          </w:rPr>
          <w:t>www.pmc.gov.au/government/commonwealth-coat-arms</w:t>
        </w:r>
      </w:hyperlink>
      <w:r w:rsidRPr="00CA210D">
        <w:rPr>
          <w:rStyle w:val="Hyperlink"/>
          <w:spacing w:val="-2"/>
          <w:sz w:val="20"/>
          <w:u w:val="none"/>
        </w:rPr>
        <w:t>.</w:t>
      </w:r>
    </w:p>
    <w:p w14:paraId="36D7C267" w14:textId="77777777" w:rsidR="00AC38FD" w:rsidRPr="008A3857" w:rsidRDefault="00AC38FD" w:rsidP="00AC38FD">
      <w:pPr>
        <w:pStyle w:val="Copyrightsubtitle"/>
      </w:pPr>
      <w:r w:rsidRPr="008A3857">
        <w:t>Third party copyright</w:t>
      </w:r>
    </w:p>
    <w:p w14:paraId="0E49B0AE" w14:textId="77777777" w:rsidR="00AC38FD" w:rsidRPr="00256A29" w:rsidRDefault="00AC38FD" w:rsidP="00AC38FD">
      <w:pPr>
        <w:pStyle w:val="Copyrightbodytext"/>
        <w:rPr>
          <w:sz w:val="20"/>
        </w:rPr>
      </w:pPr>
      <w:r w:rsidRPr="00256A29">
        <w:rPr>
          <w:sz w:val="20"/>
        </w:rPr>
        <w:t>Wherever a third party holds copyright in this material, the copyright remains with that party. Their permission may be required to use the material, please contact them directly.</w:t>
      </w:r>
    </w:p>
    <w:p w14:paraId="3C0BACB9" w14:textId="77777777" w:rsidR="00AC38FD" w:rsidRPr="008A3857" w:rsidRDefault="00AC38FD" w:rsidP="00AC38FD">
      <w:pPr>
        <w:pStyle w:val="Copyrightsubtitle"/>
      </w:pPr>
      <w:r w:rsidRPr="008A3857">
        <w:t>Attribution</w:t>
      </w:r>
    </w:p>
    <w:p w14:paraId="26EE00D0" w14:textId="2965FBB7" w:rsidR="00AC38FD" w:rsidRPr="00D56A3A" w:rsidRDefault="00AC38FD" w:rsidP="00AC38FD">
      <w:pPr>
        <w:pStyle w:val="Copyrightbodytext"/>
        <w:rPr>
          <w:sz w:val="20"/>
          <w:szCs w:val="24"/>
        </w:rPr>
      </w:pPr>
      <w:r w:rsidRPr="00D56A3A">
        <w:rPr>
          <w:sz w:val="20"/>
        </w:rPr>
        <w:t xml:space="preserve">This work should be attributed as follows, </w:t>
      </w:r>
      <w:r w:rsidRPr="00D56A3A">
        <w:rPr>
          <w:i/>
          <w:sz w:val="20"/>
          <w:szCs w:val="24"/>
        </w:rPr>
        <w:t xml:space="preserve">Source: Productivity Commission, </w:t>
      </w:r>
      <w:r w:rsidR="008237BC" w:rsidRPr="00D56A3A">
        <w:rPr>
          <w:i/>
          <w:sz w:val="20"/>
        </w:rPr>
        <w:t xml:space="preserve">Things you can’t drop on your feet: </w:t>
      </w:r>
      <w:r w:rsidR="003E1ED2" w:rsidRPr="00D56A3A">
        <w:rPr>
          <w:i/>
          <w:sz w:val="20"/>
        </w:rPr>
        <w:t>A</w:t>
      </w:r>
      <w:r w:rsidR="008237BC" w:rsidRPr="00D56A3A">
        <w:rPr>
          <w:i/>
          <w:sz w:val="20"/>
        </w:rPr>
        <w:t>n overview of Australia’s services sector productivity</w:t>
      </w:r>
      <w:r w:rsidRPr="00D56A3A">
        <w:rPr>
          <w:i/>
          <w:sz w:val="20"/>
        </w:rPr>
        <w:t>.</w:t>
      </w:r>
    </w:p>
    <w:p w14:paraId="13A1E99B" w14:textId="7615AB00" w:rsidR="00AC38FD" w:rsidRPr="00D56A3A" w:rsidRDefault="00AC38FD" w:rsidP="00AC38FD">
      <w:pPr>
        <w:spacing w:before="120" w:line="300" w:lineRule="atLeast"/>
        <w:jc w:val="both"/>
        <w:rPr>
          <w:rFonts w:ascii="Times New Roman" w:hAnsi="Times New Roman" w:cs="Times New Roman"/>
          <w:sz w:val="20"/>
        </w:rPr>
      </w:pPr>
      <w:r w:rsidRPr="00D56A3A">
        <w:rPr>
          <w:rFonts w:ascii="Times New Roman" w:hAnsi="Times New Roman" w:cs="Times New Roman"/>
          <w:sz w:val="20"/>
        </w:rPr>
        <w:t xml:space="preserve">If you have adapted, modified or transformed this work in anyway, please use the following, </w:t>
      </w:r>
      <w:r w:rsidRPr="00D56A3A">
        <w:rPr>
          <w:rFonts w:ascii="Times New Roman" w:hAnsi="Times New Roman" w:cs="Times New Roman"/>
          <w:i/>
          <w:sz w:val="20"/>
        </w:rPr>
        <w:t xml:space="preserve">Source: based on Productivity Commission, </w:t>
      </w:r>
      <w:r w:rsidR="008237BC" w:rsidRPr="00D56A3A">
        <w:rPr>
          <w:rFonts w:ascii="Times New Roman" w:hAnsi="Times New Roman" w:cs="Times New Roman"/>
          <w:i/>
          <w:sz w:val="20"/>
        </w:rPr>
        <w:t xml:space="preserve">Things you can’t drop on your feet: </w:t>
      </w:r>
      <w:r w:rsidR="003E1ED2" w:rsidRPr="00D56A3A">
        <w:rPr>
          <w:rFonts w:ascii="Times New Roman" w:hAnsi="Times New Roman" w:cs="Times New Roman"/>
          <w:i/>
          <w:sz w:val="20"/>
        </w:rPr>
        <w:t>A</w:t>
      </w:r>
      <w:r w:rsidR="008237BC" w:rsidRPr="00D56A3A">
        <w:rPr>
          <w:rFonts w:ascii="Times New Roman" w:hAnsi="Times New Roman" w:cs="Times New Roman"/>
          <w:i/>
          <w:sz w:val="20"/>
        </w:rPr>
        <w:t>n overview of Australia’s services sector productivity</w:t>
      </w:r>
      <w:r w:rsidRPr="00D56A3A">
        <w:rPr>
          <w:rFonts w:ascii="Times New Roman" w:hAnsi="Times New Roman" w:cs="Times New Roman"/>
          <w:i/>
          <w:sz w:val="20"/>
        </w:rPr>
        <w:t xml:space="preserve">. </w:t>
      </w:r>
    </w:p>
    <w:p w14:paraId="458BA212" w14:textId="77777777" w:rsidR="00AC38FD" w:rsidRPr="00256A29" w:rsidRDefault="00AC38FD" w:rsidP="00AC38FD">
      <w:pPr>
        <w:spacing w:before="240" w:line="300" w:lineRule="atLeast"/>
        <w:jc w:val="both"/>
        <w:rPr>
          <w:rFonts w:ascii="Arial" w:hAnsi="Arial"/>
          <w:b/>
          <w:szCs w:val="25"/>
        </w:rPr>
      </w:pPr>
      <w:r w:rsidRPr="00256A29">
        <w:rPr>
          <w:rFonts w:ascii="Arial" w:hAnsi="Arial"/>
          <w:b/>
          <w:szCs w:val="25"/>
        </w:rPr>
        <w:t>An appropriate reference for this publication is:</w:t>
      </w:r>
    </w:p>
    <w:p w14:paraId="18D56050" w14:textId="744B2136" w:rsidR="00AC38FD" w:rsidRPr="00D56A3A" w:rsidRDefault="00AC38FD" w:rsidP="00AC38FD">
      <w:pPr>
        <w:spacing w:before="60" w:line="300" w:lineRule="atLeast"/>
        <w:jc w:val="both"/>
        <w:rPr>
          <w:rFonts w:ascii="Times New Roman" w:hAnsi="Times New Roman" w:cs="Times New Roman"/>
          <w:sz w:val="20"/>
        </w:rPr>
      </w:pPr>
      <w:r w:rsidRPr="00D56A3A">
        <w:rPr>
          <w:rFonts w:ascii="Times New Roman" w:hAnsi="Times New Roman" w:cs="Times New Roman"/>
          <w:sz w:val="20"/>
        </w:rPr>
        <w:t>Productivity Commission 202</w:t>
      </w:r>
      <w:r w:rsidR="00B27CAD" w:rsidRPr="00D56A3A">
        <w:rPr>
          <w:rFonts w:ascii="Times New Roman" w:hAnsi="Times New Roman" w:cs="Times New Roman"/>
          <w:sz w:val="20"/>
        </w:rPr>
        <w:t>1</w:t>
      </w:r>
      <w:r w:rsidRPr="00D56A3A">
        <w:rPr>
          <w:rFonts w:ascii="Times New Roman" w:hAnsi="Times New Roman" w:cs="Times New Roman"/>
          <w:sz w:val="20"/>
        </w:rPr>
        <w:t xml:space="preserve">, </w:t>
      </w:r>
      <w:r w:rsidR="008237BC" w:rsidRPr="00D56A3A">
        <w:rPr>
          <w:rFonts w:ascii="Times New Roman" w:hAnsi="Times New Roman" w:cs="Times New Roman"/>
          <w:i/>
          <w:sz w:val="20"/>
        </w:rPr>
        <w:t xml:space="preserve">Things you can’t drop on your feet: </w:t>
      </w:r>
      <w:r w:rsidR="003E1ED2" w:rsidRPr="00D56A3A">
        <w:rPr>
          <w:rFonts w:ascii="Times New Roman" w:hAnsi="Times New Roman" w:cs="Times New Roman"/>
          <w:i/>
          <w:sz w:val="20"/>
        </w:rPr>
        <w:t>A</w:t>
      </w:r>
      <w:r w:rsidR="008237BC" w:rsidRPr="00D56A3A">
        <w:rPr>
          <w:rFonts w:ascii="Times New Roman" w:hAnsi="Times New Roman" w:cs="Times New Roman"/>
          <w:i/>
          <w:sz w:val="20"/>
        </w:rPr>
        <w:t>n overview of Australia’s services sector productivity</w:t>
      </w:r>
      <w:r w:rsidR="00B27CAD" w:rsidRPr="00D56A3A">
        <w:rPr>
          <w:rFonts w:ascii="Times New Roman" w:hAnsi="Times New Roman" w:cs="Times New Roman"/>
          <w:i/>
          <w:sz w:val="20"/>
        </w:rPr>
        <w:t xml:space="preserve">, </w:t>
      </w:r>
      <w:r w:rsidRPr="00D56A3A">
        <w:rPr>
          <w:rFonts w:ascii="Times New Roman" w:hAnsi="Times New Roman" w:cs="Times New Roman"/>
          <w:iCs/>
          <w:sz w:val="20"/>
        </w:rPr>
        <w:t>PC Productivity Insights</w:t>
      </w:r>
      <w:r w:rsidRPr="00D56A3A">
        <w:rPr>
          <w:rFonts w:ascii="Times New Roman" w:hAnsi="Times New Roman" w:cs="Times New Roman"/>
          <w:sz w:val="20"/>
        </w:rPr>
        <w:t xml:space="preserve">, Canberra, </w:t>
      </w:r>
      <w:r w:rsidR="00B27CAD" w:rsidRPr="00D56A3A">
        <w:rPr>
          <w:rFonts w:ascii="Times New Roman" w:hAnsi="Times New Roman" w:cs="Times New Roman"/>
          <w:sz w:val="20"/>
        </w:rPr>
        <w:t>April</w:t>
      </w:r>
      <w:r w:rsidRPr="00D56A3A">
        <w:rPr>
          <w:rFonts w:ascii="Times New Roman" w:hAnsi="Times New Roman" w:cs="Times New Roman"/>
          <w:sz w:val="20"/>
        </w:rPr>
        <w:t>.</w:t>
      </w:r>
    </w:p>
    <w:p w14:paraId="4CDC9363" w14:textId="77777777" w:rsidR="00AC38FD" w:rsidRPr="008A3857" w:rsidRDefault="00AC38FD" w:rsidP="00AC38FD">
      <w:pPr>
        <w:pStyle w:val="Copyrightsubtitle"/>
      </w:pPr>
      <w:r w:rsidRPr="008A3857">
        <w:t>Publications enquiries</w:t>
      </w:r>
    </w:p>
    <w:p w14:paraId="450F0AE4" w14:textId="77777777" w:rsidR="00AC38FD" w:rsidRPr="00256A29" w:rsidRDefault="00AC38FD" w:rsidP="00AC38FD">
      <w:pPr>
        <w:pStyle w:val="Copyrightbodytext"/>
        <w:rPr>
          <w:sz w:val="20"/>
        </w:rPr>
      </w:pPr>
      <w:r w:rsidRPr="00256A29">
        <w:rPr>
          <w:sz w:val="20"/>
        </w:rPr>
        <w:t>Media, Publications and Web, phone: (03) 9653 2244 or email: mpw@pc.gov.au</w:t>
      </w:r>
    </w:p>
    <w:p w14:paraId="6D21A311" w14:textId="77777777" w:rsidR="00AC38FD" w:rsidRDefault="00AC38FD" w:rsidP="00AC38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C38FD" w14:paraId="60ADCD88" w14:textId="77777777" w:rsidTr="00AC38FD">
        <w:trPr>
          <w:tblHeader/>
        </w:trPr>
        <w:tc>
          <w:tcPr>
            <w:tcW w:w="5000" w:type="pct"/>
            <w:tcBorders>
              <w:top w:val="single" w:sz="6" w:space="0" w:color="78A22F"/>
              <w:left w:val="nil"/>
              <w:bottom w:val="nil"/>
              <w:right w:val="nil"/>
            </w:tcBorders>
            <w:shd w:val="clear" w:color="auto" w:fill="F2F2F2" w:themeFill="background1" w:themeFillShade="F2"/>
          </w:tcPr>
          <w:p w14:paraId="3E79C600" w14:textId="77777777" w:rsidR="00AC38FD" w:rsidRPr="008A3857" w:rsidRDefault="00AC38FD" w:rsidP="00AC38FD">
            <w:pPr>
              <w:pStyle w:val="BoxTitle"/>
            </w:pPr>
            <w:r w:rsidRPr="008A3857">
              <w:t>The Productivity Commission</w:t>
            </w:r>
          </w:p>
        </w:tc>
      </w:tr>
      <w:tr w:rsidR="00AC38FD" w14:paraId="7FBBE644" w14:textId="77777777" w:rsidTr="00AC38FD">
        <w:tc>
          <w:tcPr>
            <w:tcW w:w="5000" w:type="pct"/>
            <w:tcBorders>
              <w:top w:val="nil"/>
              <w:left w:val="nil"/>
              <w:bottom w:val="nil"/>
              <w:right w:val="nil"/>
            </w:tcBorders>
            <w:shd w:val="clear" w:color="auto" w:fill="F2F2F2" w:themeFill="background1" w:themeFillShade="F2"/>
          </w:tcPr>
          <w:p w14:paraId="06B2CAF4" w14:textId="77777777" w:rsidR="00AC38FD" w:rsidRDefault="00AC38FD" w:rsidP="00AC38FD">
            <w:pPr>
              <w:pStyle w:val="Box"/>
            </w:pPr>
            <w:r w:rsidRPr="00BB5DCF">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BB5DCF">
              <w:t>long term</w:t>
            </w:r>
            <w:proofErr w:type="gramEnd"/>
            <w:r w:rsidRPr="00BB5DCF">
              <w:t xml:space="preserve"> interest of the Australian community.</w:t>
            </w:r>
          </w:p>
          <w:p w14:paraId="14209F60" w14:textId="77777777" w:rsidR="00AC38FD" w:rsidRDefault="00AC38FD" w:rsidP="00AC38FD">
            <w:pPr>
              <w:pStyle w:val="Box"/>
            </w:pPr>
            <w:r w:rsidRPr="00BB5DCF">
              <w:t>The Commission’s independence is underpinned by an Act of Parliament. Its processes and outputs are open to public scrutiny and are driven by concern for the wellbeing of the community as a whole.</w:t>
            </w:r>
          </w:p>
          <w:p w14:paraId="428EEA36" w14:textId="77777777" w:rsidR="00AC38FD" w:rsidRDefault="00AC38FD" w:rsidP="00AC38FD">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AC38FD" w14:paraId="00064822" w14:textId="77777777" w:rsidTr="00AC38FD">
        <w:tc>
          <w:tcPr>
            <w:tcW w:w="5000" w:type="pct"/>
            <w:tcBorders>
              <w:top w:val="nil"/>
              <w:left w:val="nil"/>
              <w:bottom w:val="single" w:sz="6" w:space="0" w:color="78A22F"/>
              <w:right w:val="nil"/>
            </w:tcBorders>
            <w:shd w:val="clear" w:color="auto" w:fill="F2F2F2" w:themeFill="background1" w:themeFillShade="F2"/>
          </w:tcPr>
          <w:p w14:paraId="667DB7EF" w14:textId="77777777" w:rsidR="00AC38FD" w:rsidRDefault="00AC38FD" w:rsidP="00AC38FD">
            <w:pPr>
              <w:pStyle w:val="Box"/>
              <w:spacing w:before="0" w:line="120" w:lineRule="exact"/>
            </w:pPr>
          </w:p>
        </w:tc>
      </w:tr>
    </w:tbl>
    <w:p w14:paraId="6873108D" w14:textId="77777777" w:rsidR="00AC38FD" w:rsidRDefault="00AC38FD">
      <w:pPr>
        <w:sectPr w:rsidR="00AC38FD" w:rsidSect="00AC38FD">
          <w:pgSz w:w="11907" w:h="16840" w:code="9"/>
          <w:pgMar w:top="1304" w:right="1304" w:bottom="567" w:left="1814" w:header="1701" w:footer="397" w:gutter="0"/>
          <w:pgNumType w:fmt="lowerRoman" w:start="1"/>
          <w:cols w:space="720"/>
          <w:titlePg/>
        </w:sectPr>
      </w:pPr>
      <w:bookmarkStart w:id="4" w:name="cov"/>
      <w:bookmarkEnd w:id="4"/>
      <w:r>
        <w:br w:type="page"/>
      </w:r>
    </w:p>
    <w:p w14:paraId="669BF0F2" w14:textId="7EDD7E69" w:rsidR="00AC38FD" w:rsidRDefault="00D530CA" w:rsidP="00D530CA">
      <w:pPr>
        <w:pStyle w:val="Heading1nochapterno"/>
      </w:pPr>
      <w:r>
        <w:lastRenderedPageBreak/>
        <w:t>Contents</w:t>
      </w:r>
    </w:p>
    <w:sdt>
      <w:sdtPr>
        <w:rPr>
          <w:rFonts w:ascii="Times New Roman" w:eastAsia="Times New Roman" w:hAnsi="Times New Roman" w:cs="Times New Roman"/>
          <w:b w:val="0"/>
          <w:kern w:val="28"/>
          <w:sz w:val="52"/>
          <w:szCs w:val="20"/>
          <w:lang w:eastAsia="en-AU"/>
        </w:rPr>
        <w:id w:val="1238130747"/>
        <w:docPartObj>
          <w:docPartGallery w:val="Table of Contents"/>
          <w:docPartUnique/>
        </w:docPartObj>
      </w:sdtPr>
      <w:sdtEndPr>
        <w:rPr>
          <w:kern w:val="0"/>
          <w:sz w:val="24"/>
        </w:rPr>
      </w:sdtEndPr>
      <w:sdtContent>
        <w:p w14:paraId="4802D344" w14:textId="57F0A711" w:rsidR="00CA210D" w:rsidRPr="00CA210D" w:rsidRDefault="00C764D7">
          <w:pPr>
            <w:pStyle w:val="TOC1"/>
            <w:rPr>
              <w:rFonts w:asciiTheme="minorHAnsi" w:eastAsiaTheme="minorEastAsia" w:hAnsiTheme="minorHAnsi"/>
              <w:b w:val="0"/>
              <w:bCs/>
              <w:noProof/>
              <w:sz w:val="22"/>
              <w:szCs w:val="22"/>
              <w:lang w:eastAsia="en-AU"/>
            </w:rPr>
          </w:pPr>
          <w:r>
            <w:rPr>
              <w:kern w:val="28"/>
              <w:sz w:val="52"/>
            </w:rPr>
            <w:fldChar w:fldCharType="begin"/>
          </w:r>
          <w:r>
            <w:instrText xml:space="preserve"> TOC \t "Part Title,1,Heading 1,1,1 (no chapter no.),chapter,1,1 (no chapter no.),Heading 2,2,2,2 (no section no.),3,3,Heading 2,2 (no section no.),3" </w:instrText>
          </w:r>
          <w:r>
            <w:rPr>
              <w:kern w:val="28"/>
              <w:sz w:val="52"/>
            </w:rPr>
            <w:fldChar w:fldCharType="separate"/>
          </w:r>
          <w:r w:rsidR="00CA210D" w:rsidRPr="00CA210D">
            <w:rPr>
              <w:b w:val="0"/>
              <w:bCs/>
              <w:noProof/>
            </w:rPr>
            <w:t>Foreword</w:t>
          </w:r>
          <w:r w:rsidR="00CA210D" w:rsidRPr="00CA210D">
            <w:rPr>
              <w:b w:val="0"/>
              <w:bCs/>
              <w:noProof/>
            </w:rPr>
            <w:tab/>
          </w:r>
          <w:r w:rsidR="00CA210D" w:rsidRPr="00CA210D">
            <w:rPr>
              <w:b w:val="0"/>
              <w:bCs/>
              <w:noProof/>
            </w:rPr>
            <w:fldChar w:fldCharType="begin"/>
          </w:r>
          <w:r w:rsidR="00CA210D" w:rsidRPr="00CA210D">
            <w:rPr>
              <w:b w:val="0"/>
              <w:bCs/>
              <w:noProof/>
            </w:rPr>
            <w:instrText xml:space="preserve"> PAGEREF _Toc67912992 \h </w:instrText>
          </w:r>
          <w:r w:rsidR="00CA210D" w:rsidRPr="00CA210D">
            <w:rPr>
              <w:b w:val="0"/>
              <w:bCs/>
              <w:noProof/>
            </w:rPr>
          </w:r>
          <w:r w:rsidR="00CA210D" w:rsidRPr="00CA210D">
            <w:rPr>
              <w:b w:val="0"/>
              <w:bCs/>
              <w:noProof/>
            </w:rPr>
            <w:fldChar w:fldCharType="separate"/>
          </w:r>
          <w:r w:rsidR="00B67410">
            <w:rPr>
              <w:b w:val="0"/>
              <w:bCs/>
              <w:noProof/>
            </w:rPr>
            <w:t>v</w:t>
          </w:r>
          <w:r w:rsidR="00CA210D" w:rsidRPr="00CA210D">
            <w:rPr>
              <w:b w:val="0"/>
              <w:bCs/>
              <w:noProof/>
            </w:rPr>
            <w:fldChar w:fldCharType="end"/>
          </w:r>
        </w:p>
        <w:p w14:paraId="4C1FFA47" w14:textId="467213CB" w:rsidR="00CA210D" w:rsidRPr="00CA210D" w:rsidRDefault="00CA210D" w:rsidP="00CA210D">
          <w:pPr>
            <w:pStyle w:val="TOC2"/>
            <w:spacing w:before="360"/>
            <w:ind w:left="624"/>
            <w:rPr>
              <w:rFonts w:eastAsiaTheme="minorEastAsia"/>
            </w:rPr>
          </w:pPr>
          <w:r>
            <w:rPr>
              <w:rFonts w:eastAsiaTheme="minorEastAsia"/>
            </w:rPr>
            <w:t>Key points</w:t>
          </w:r>
          <w:r>
            <w:rPr>
              <w:rFonts w:eastAsiaTheme="minorEastAsia"/>
            </w:rPr>
            <w:tab/>
            <w:t>1</w:t>
          </w:r>
        </w:p>
        <w:p w14:paraId="6A42FB71" w14:textId="099D1167" w:rsidR="00CA210D" w:rsidRDefault="00CA210D" w:rsidP="00CA210D">
          <w:pPr>
            <w:pStyle w:val="TOC2"/>
            <w:tabs>
              <w:tab w:val="left" w:pos="1134"/>
            </w:tabs>
            <w:ind w:left="624"/>
            <w:rPr>
              <w:rFonts w:asciiTheme="minorHAnsi" w:eastAsiaTheme="minorEastAsia" w:hAnsiTheme="minorHAnsi"/>
              <w:noProof/>
              <w:sz w:val="22"/>
              <w:szCs w:val="22"/>
              <w:lang w:eastAsia="en-AU"/>
            </w:rPr>
          </w:pPr>
          <w:r>
            <w:rPr>
              <w:noProof/>
            </w:rPr>
            <w:t>1</w:t>
          </w:r>
          <w:r>
            <w:rPr>
              <w:rFonts w:asciiTheme="minorHAnsi" w:eastAsiaTheme="minorEastAsia" w:hAnsiTheme="minorHAnsi"/>
              <w:noProof/>
              <w:sz w:val="22"/>
              <w:szCs w:val="22"/>
              <w:lang w:eastAsia="en-AU"/>
            </w:rPr>
            <w:tab/>
          </w:r>
          <w:r>
            <w:rPr>
              <w:noProof/>
            </w:rPr>
            <w:t>Service sector growth is a feature of a maturing economy</w:t>
          </w:r>
          <w:r>
            <w:rPr>
              <w:noProof/>
            </w:rPr>
            <w:tab/>
          </w:r>
          <w:r>
            <w:rPr>
              <w:noProof/>
            </w:rPr>
            <w:fldChar w:fldCharType="begin"/>
          </w:r>
          <w:r>
            <w:rPr>
              <w:noProof/>
            </w:rPr>
            <w:instrText xml:space="preserve"> PAGEREF _Toc67912994 \h </w:instrText>
          </w:r>
          <w:r>
            <w:rPr>
              <w:noProof/>
            </w:rPr>
          </w:r>
          <w:r>
            <w:rPr>
              <w:noProof/>
            </w:rPr>
            <w:fldChar w:fldCharType="separate"/>
          </w:r>
          <w:r w:rsidR="00B67410">
            <w:rPr>
              <w:noProof/>
            </w:rPr>
            <w:t>5</w:t>
          </w:r>
          <w:r>
            <w:rPr>
              <w:noProof/>
            </w:rPr>
            <w:fldChar w:fldCharType="end"/>
          </w:r>
        </w:p>
        <w:p w14:paraId="26B51903" w14:textId="54A2FB39" w:rsidR="00CA210D" w:rsidRDefault="00CA210D" w:rsidP="00CA210D">
          <w:pPr>
            <w:pStyle w:val="TOC2"/>
            <w:tabs>
              <w:tab w:val="left" w:pos="1134"/>
            </w:tabs>
            <w:ind w:left="624"/>
            <w:rPr>
              <w:rFonts w:asciiTheme="minorHAnsi" w:eastAsiaTheme="minorEastAsia" w:hAnsiTheme="minorHAnsi"/>
              <w:noProof/>
              <w:sz w:val="22"/>
              <w:szCs w:val="22"/>
              <w:lang w:eastAsia="en-AU"/>
            </w:rPr>
          </w:pPr>
          <w:r>
            <w:rPr>
              <w:noProof/>
            </w:rPr>
            <w:t>2</w:t>
          </w:r>
          <w:r>
            <w:rPr>
              <w:rFonts w:asciiTheme="minorHAnsi" w:eastAsiaTheme="minorEastAsia" w:hAnsiTheme="minorHAnsi"/>
              <w:noProof/>
              <w:sz w:val="22"/>
              <w:szCs w:val="22"/>
              <w:lang w:eastAsia="en-AU"/>
            </w:rPr>
            <w:tab/>
          </w:r>
          <w:r>
            <w:rPr>
              <w:noProof/>
            </w:rPr>
            <w:t>Service sector facts and myths</w:t>
          </w:r>
          <w:r>
            <w:rPr>
              <w:noProof/>
            </w:rPr>
            <w:tab/>
          </w:r>
          <w:r>
            <w:rPr>
              <w:noProof/>
            </w:rPr>
            <w:fldChar w:fldCharType="begin"/>
          </w:r>
          <w:r>
            <w:rPr>
              <w:noProof/>
            </w:rPr>
            <w:instrText xml:space="preserve"> PAGEREF _Toc67912995 \h </w:instrText>
          </w:r>
          <w:r>
            <w:rPr>
              <w:noProof/>
            </w:rPr>
          </w:r>
          <w:r>
            <w:rPr>
              <w:noProof/>
            </w:rPr>
            <w:fldChar w:fldCharType="separate"/>
          </w:r>
          <w:r w:rsidR="00B67410">
            <w:rPr>
              <w:noProof/>
            </w:rPr>
            <w:t>15</w:t>
          </w:r>
          <w:r>
            <w:rPr>
              <w:noProof/>
            </w:rPr>
            <w:fldChar w:fldCharType="end"/>
          </w:r>
        </w:p>
        <w:p w14:paraId="0C8D3E57" w14:textId="2A363CD8" w:rsidR="00CA210D" w:rsidRDefault="00CA210D" w:rsidP="00CA210D">
          <w:pPr>
            <w:pStyle w:val="TOC2"/>
            <w:tabs>
              <w:tab w:val="left" w:pos="1134"/>
            </w:tabs>
            <w:ind w:left="624"/>
            <w:rPr>
              <w:rFonts w:asciiTheme="minorHAnsi" w:eastAsiaTheme="minorEastAsia" w:hAnsiTheme="minorHAnsi"/>
              <w:noProof/>
              <w:sz w:val="22"/>
              <w:szCs w:val="22"/>
              <w:lang w:eastAsia="en-AU"/>
            </w:rPr>
          </w:pPr>
          <w:r>
            <w:rPr>
              <w:noProof/>
            </w:rPr>
            <w:t>3</w:t>
          </w:r>
          <w:r>
            <w:rPr>
              <w:rFonts w:asciiTheme="minorHAnsi" w:eastAsiaTheme="minorEastAsia" w:hAnsiTheme="minorHAnsi"/>
              <w:noProof/>
              <w:sz w:val="22"/>
              <w:szCs w:val="22"/>
              <w:lang w:eastAsia="en-AU"/>
            </w:rPr>
            <w:tab/>
          </w:r>
          <w:r>
            <w:rPr>
              <w:noProof/>
            </w:rPr>
            <w:t>Challenges in measuring productivity in the service sector</w:t>
          </w:r>
          <w:r>
            <w:rPr>
              <w:noProof/>
            </w:rPr>
            <w:tab/>
          </w:r>
          <w:r>
            <w:rPr>
              <w:noProof/>
            </w:rPr>
            <w:fldChar w:fldCharType="begin"/>
          </w:r>
          <w:r>
            <w:rPr>
              <w:noProof/>
            </w:rPr>
            <w:instrText xml:space="preserve"> PAGEREF _Toc67912996 \h </w:instrText>
          </w:r>
          <w:r>
            <w:rPr>
              <w:noProof/>
            </w:rPr>
          </w:r>
          <w:r>
            <w:rPr>
              <w:noProof/>
            </w:rPr>
            <w:fldChar w:fldCharType="separate"/>
          </w:r>
          <w:r w:rsidR="00B67410">
            <w:rPr>
              <w:noProof/>
            </w:rPr>
            <w:t>23</w:t>
          </w:r>
          <w:r>
            <w:rPr>
              <w:noProof/>
            </w:rPr>
            <w:fldChar w:fldCharType="end"/>
          </w:r>
        </w:p>
        <w:p w14:paraId="219D5691" w14:textId="221EEEBD" w:rsidR="00CA210D" w:rsidRDefault="00CA210D" w:rsidP="00CA210D">
          <w:pPr>
            <w:pStyle w:val="TOC2"/>
            <w:tabs>
              <w:tab w:val="left" w:pos="1134"/>
            </w:tabs>
            <w:ind w:left="624"/>
            <w:rPr>
              <w:rFonts w:asciiTheme="minorHAnsi" w:eastAsiaTheme="minorEastAsia" w:hAnsiTheme="minorHAnsi"/>
              <w:noProof/>
              <w:sz w:val="22"/>
              <w:szCs w:val="22"/>
              <w:lang w:eastAsia="en-AU"/>
            </w:rPr>
          </w:pPr>
          <w:r>
            <w:rPr>
              <w:noProof/>
            </w:rPr>
            <w:t>4</w:t>
          </w:r>
          <w:r>
            <w:rPr>
              <w:rFonts w:asciiTheme="minorHAnsi" w:eastAsiaTheme="minorEastAsia" w:hAnsiTheme="minorHAnsi"/>
              <w:noProof/>
              <w:sz w:val="22"/>
              <w:szCs w:val="22"/>
              <w:lang w:eastAsia="en-AU"/>
            </w:rPr>
            <w:tab/>
          </w:r>
          <w:r>
            <w:rPr>
              <w:noProof/>
            </w:rPr>
            <w:t>Service sector productivity: evidence and theory</w:t>
          </w:r>
          <w:r>
            <w:rPr>
              <w:noProof/>
            </w:rPr>
            <w:tab/>
          </w:r>
          <w:r>
            <w:rPr>
              <w:noProof/>
            </w:rPr>
            <w:fldChar w:fldCharType="begin"/>
          </w:r>
          <w:r>
            <w:rPr>
              <w:noProof/>
            </w:rPr>
            <w:instrText xml:space="preserve"> PAGEREF _Toc67912997 \h </w:instrText>
          </w:r>
          <w:r>
            <w:rPr>
              <w:noProof/>
            </w:rPr>
          </w:r>
          <w:r>
            <w:rPr>
              <w:noProof/>
            </w:rPr>
            <w:fldChar w:fldCharType="separate"/>
          </w:r>
          <w:r w:rsidR="00B67410">
            <w:rPr>
              <w:noProof/>
            </w:rPr>
            <w:t>31</w:t>
          </w:r>
          <w:r>
            <w:rPr>
              <w:noProof/>
            </w:rPr>
            <w:fldChar w:fldCharType="end"/>
          </w:r>
        </w:p>
        <w:p w14:paraId="2C0EACAD" w14:textId="43408C5A" w:rsidR="00CA210D" w:rsidRDefault="00CA210D" w:rsidP="00CA210D">
          <w:pPr>
            <w:pStyle w:val="TOC2"/>
            <w:tabs>
              <w:tab w:val="left" w:pos="1134"/>
            </w:tabs>
            <w:ind w:left="624"/>
            <w:rPr>
              <w:rFonts w:asciiTheme="minorHAnsi" w:eastAsiaTheme="minorEastAsia" w:hAnsiTheme="minorHAnsi"/>
              <w:noProof/>
              <w:sz w:val="22"/>
              <w:szCs w:val="22"/>
              <w:lang w:eastAsia="en-AU"/>
            </w:rPr>
          </w:pPr>
          <w:r>
            <w:rPr>
              <w:noProof/>
            </w:rPr>
            <w:t>5</w:t>
          </w:r>
          <w:r>
            <w:rPr>
              <w:rFonts w:asciiTheme="minorHAnsi" w:eastAsiaTheme="minorEastAsia" w:hAnsiTheme="minorHAnsi"/>
              <w:noProof/>
              <w:sz w:val="22"/>
              <w:szCs w:val="22"/>
              <w:lang w:eastAsia="en-AU"/>
            </w:rPr>
            <w:tab/>
          </w:r>
          <w:r>
            <w:rPr>
              <w:noProof/>
            </w:rPr>
            <w:t>Improving service sector productivity through digitisation</w:t>
          </w:r>
          <w:r>
            <w:rPr>
              <w:noProof/>
            </w:rPr>
            <w:tab/>
          </w:r>
          <w:r>
            <w:rPr>
              <w:noProof/>
            </w:rPr>
            <w:fldChar w:fldCharType="begin"/>
          </w:r>
          <w:r>
            <w:rPr>
              <w:noProof/>
            </w:rPr>
            <w:instrText xml:space="preserve"> PAGEREF _Toc67912998 \h </w:instrText>
          </w:r>
          <w:r>
            <w:rPr>
              <w:noProof/>
            </w:rPr>
          </w:r>
          <w:r>
            <w:rPr>
              <w:noProof/>
            </w:rPr>
            <w:fldChar w:fldCharType="separate"/>
          </w:r>
          <w:r w:rsidR="00B67410">
            <w:rPr>
              <w:noProof/>
            </w:rPr>
            <w:t>38</w:t>
          </w:r>
          <w:r>
            <w:rPr>
              <w:noProof/>
            </w:rPr>
            <w:fldChar w:fldCharType="end"/>
          </w:r>
        </w:p>
        <w:p w14:paraId="4A0344EF" w14:textId="4397D96D" w:rsidR="00CA210D" w:rsidRDefault="00CA210D" w:rsidP="00CA210D">
          <w:pPr>
            <w:pStyle w:val="TOC2"/>
            <w:tabs>
              <w:tab w:val="left" w:pos="1134"/>
            </w:tabs>
            <w:ind w:left="624"/>
            <w:rPr>
              <w:rFonts w:asciiTheme="minorHAnsi" w:eastAsiaTheme="minorEastAsia" w:hAnsiTheme="minorHAnsi"/>
              <w:noProof/>
              <w:sz w:val="22"/>
              <w:szCs w:val="22"/>
              <w:lang w:eastAsia="en-AU"/>
            </w:rPr>
          </w:pPr>
          <w:r>
            <w:rPr>
              <w:noProof/>
            </w:rPr>
            <w:t>6</w:t>
          </w:r>
          <w:r>
            <w:rPr>
              <w:rFonts w:asciiTheme="minorHAnsi" w:eastAsiaTheme="minorEastAsia" w:hAnsiTheme="minorHAnsi"/>
              <w:noProof/>
              <w:sz w:val="22"/>
              <w:szCs w:val="22"/>
              <w:lang w:eastAsia="en-AU"/>
            </w:rPr>
            <w:tab/>
          </w:r>
          <w:r>
            <w:rPr>
              <w:noProof/>
            </w:rPr>
            <w:t>Conclusion</w:t>
          </w:r>
          <w:r>
            <w:rPr>
              <w:noProof/>
            </w:rPr>
            <w:tab/>
          </w:r>
          <w:r>
            <w:rPr>
              <w:noProof/>
            </w:rPr>
            <w:fldChar w:fldCharType="begin"/>
          </w:r>
          <w:r>
            <w:rPr>
              <w:noProof/>
            </w:rPr>
            <w:instrText xml:space="preserve"> PAGEREF _Toc67912999 \h </w:instrText>
          </w:r>
          <w:r>
            <w:rPr>
              <w:noProof/>
            </w:rPr>
          </w:r>
          <w:r>
            <w:rPr>
              <w:noProof/>
            </w:rPr>
            <w:fldChar w:fldCharType="separate"/>
          </w:r>
          <w:r w:rsidR="00B67410">
            <w:rPr>
              <w:noProof/>
            </w:rPr>
            <w:t>43</w:t>
          </w:r>
          <w:r>
            <w:rPr>
              <w:noProof/>
            </w:rPr>
            <w:fldChar w:fldCharType="end"/>
          </w:r>
        </w:p>
        <w:p w14:paraId="7A7867BA" w14:textId="5F8FFDCE" w:rsidR="00CA210D" w:rsidRDefault="00CA210D" w:rsidP="00B27CAD">
          <w:pPr>
            <w:pStyle w:val="TOC2"/>
            <w:ind w:left="624"/>
            <w:rPr>
              <w:rFonts w:asciiTheme="minorHAnsi" w:eastAsiaTheme="minorEastAsia" w:hAnsiTheme="minorHAnsi"/>
              <w:noProof/>
              <w:sz w:val="22"/>
              <w:szCs w:val="22"/>
              <w:lang w:eastAsia="en-AU"/>
            </w:rPr>
          </w:pPr>
          <w:r>
            <w:rPr>
              <w:noProof/>
            </w:rPr>
            <w:t>References</w:t>
          </w:r>
          <w:r>
            <w:rPr>
              <w:noProof/>
            </w:rPr>
            <w:tab/>
          </w:r>
          <w:r>
            <w:rPr>
              <w:noProof/>
            </w:rPr>
            <w:fldChar w:fldCharType="begin"/>
          </w:r>
          <w:r>
            <w:rPr>
              <w:noProof/>
            </w:rPr>
            <w:instrText xml:space="preserve"> PAGEREF _Toc67913000 \h </w:instrText>
          </w:r>
          <w:r>
            <w:rPr>
              <w:noProof/>
            </w:rPr>
          </w:r>
          <w:r>
            <w:rPr>
              <w:noProof/>
            </w:rPr>
            <w:fldChar w:fldCharType="separate"/>
          </w:r>
          <w:r w:rsidR="00B67410">
            <w:rPr>
              <w:noProof/>
            </w:rPr>
            <w:t>44</w:t>
          </w:r>
          <w:r>
            <w:rPr>
              <w:noProof/>
            </w:rPr>
            <w:fldChar w:fldCharType="end"/>
          </w:r>
        </w:p>
        <w:p w14:paraId="5A12FAAC" w14:textId="783041C7" w:rsidR="00D530CA" w:rsidRDefault="00C764D7" w:rsidP="00AC38FD">
          <w:pPr>
            <w:pStyle w:val="BodyText"/>
          </w:pPr>
          <w:r>
            <w:fldChar w:fldCharType="end"/>
          </w:r>
        </w:p>
      </w:sdtContent>
    </w:sdt>
    <w:p w14:paraId="0C0A00F1" w14:textId="350036CD" w:rsidR="00AC38FD" w:rsidRDefault="00AC38FD" w:rsidP="00AC38FD">
      <w:pPr>
        <w:pStyle w:val="BodyText"/>
        <w:sectPr w:rsidR="00AC38FD" w:rsidSect="00F34B51">
          <w:headerReference w:type="first" r:id="rId14"/>
          <w:footerReference w:type="first" r:id="rId15"/>
          <w:type w:val="oddPage"/>
          <w:pgSz w:w="11907" w:h="16840" w:code="9"/>
          <w:pgMar w:top="1304" w:right="1304" w:bottom="567" w:left="1814" w:header="1701" w:footer="397" w:gutter="0"/>
          <w:pgNumType w:fmt="lowerRoman"/>
          <w:cols w:space="720"/>
          <w:titlePg/>
        </w:sectPr>
      </w:pPr>
    </w:p>
    <w:p w14:paraId="18049BF3" w14:textId="6F6FEDE2" w:rsidR="001F37D1" w:rsidRDefault="001F37D1" w:rsidP="00C764D7">
      <w:pPr>
        <w:pStyle w:val="Heading1"/>
      </w:pPr>
      <w:bookmarkStart w:id="5" w:name="_Toc67912992"/>
      <w:r>
        <w:lastRenderedPageBreak/>
        <w:t>Foreword</w:t>
      </w:r>
      <w:bookmarkEnd w:id="5"/>
    </w:p>
    <w:p w14:paraId="6BF8C9AB" w14:textId="3331D1A0" w:rsidR="006133E2" w:rsidRDefault="00333944" w:rsidP="001F37D1">
      <w:pPr>
        <w:pStyle w:val="BodyText"/>
      </w:pPr>
      <w:r>
        <w:t>Over the past 70 years t</w:t>
      </w:r>
      <w:r w:rsidR="00024BEF">
        <w:t xml:space="preserve">he Australian economy has undergone a fundamental shift from agriculture and manufacturing to services. </w:t>
      </w:r>
      <w:r w:rsidR="008A0106">
        <w:t>Services now account for</w:t>
      </w:r>
      <w:r w:rsidR="00746DF8">
        <w:t xml:space="preserve"> about</w:t>
      </w:r>
      <w:r w:rsidR="008A0106">
        <w:t xml:space="preserve"> </w:t>
      </w:r>
      <w:r w:rsidR="00024BEF">
        <w:t xml:space="preserve">80 per cent of production and 90 per cent of employment. </w:t>
      </w:r>
      <w:r w:rsidR="00F02DB1">
        <w:t xml:space="preserve">Although </w:t>
      </w:r>
      <w:r w:rsidR="00744FE2">
        <w:t xml:space="preserve">the </w:t>
      </w:r>
      <w:r w:rsidR="0006512B">
        <w:t>goods sector</w:t>
      </w:r>
      <w:r w:rsidR="004733EA">
        <w:t>, including mining,</w:t>
      </w:r>
      <w:r w:rsidR="0006512B">
        <w:t xml:space="preserve"> will continue to be of economic importance, as</w:t>
      </w:r>
      <w:r w:rsidR="00184F94">
        <w:t xml:space="preserve"> Australia </w:t>
      </w:r>
      <w:r w:rsidR="005B0CE3">
        <w:t>continues to</w:t>
      </w:r>
      <w:r w:rsidR="00056FA4">
        <w:t xml:space="preserve"> become a </w:t>
      </w:r>
      <w:r w:rsidR="00D617F5">
        <w:t>more</w:t>
      </w:r>
      <w:r w:rsidR="00056FA4">
        <w:t xml:space="preserve"> service-</w:t>
      </w:r>
      <w:r w:rsidR="00171C41">
        <w:t>centric</w:t>
      </w:r>
      <w:r w:rsidR="00056FA4">
        <w:t xml:space="preserve"> economy, long-run wages and </w:t>
      </w:r>
      <w:r w:rsidR="0037214D">
        <w:t xml:space="preserve">national </w:t>
      </w:r>
      <w:r w:rsidR="00056FA4">
        <w:t xml:space="preserve">welfare </w:t>
      </w:r>
      <w:r w:rsidR="0006512B">
        <w:t>will be increasingly</w:t>
      </w:r>
      <w:r w:rsidR="00056FA4">
        <w:t xml:space="preserve"> linked to service</w:t>
      </w:r>
      <w:r w:rsidR="0006512B">
        <w:noBreakHyphen/>
      </w:r>
      <w:r w:rsidR="00056FA4">
        <w:t>sector productivity.</w:t>
      </w:r>
      <w:r w:rsidR="00F500AA">
        <w:t xml:space="preserve"> </w:t>
      </w:r>
    </w:p>
    <w:p w14:paraId="03DF760C" w14:textId="6B6A2B04" w:rsidR="001F37D1" w:rsidRPr="004D3D25" w:rsidRDefault="00DE7708" w:rsidP="001F37D1">
      <w:pPr>
        <w:pStyle w:val="BodyText"/>
        <w:rPr>
          <w:spacing w:val="-2"/>
        </w:rPr>
      </w:pPr>
      <w:r w:rsidRPr="004D3D25">
        <w:rPr>
          <w:spacing w:val="-2"/>
        </w:rPr>
        <w:t>This said, services are not one monolithic industry; the service sector covers a wide range of jobs and outputs, from brick laying to neurosurgery.</w:t>
      </w:r>
      <w:r w:rsidR="005716DC" w:rsidRPr="004D3D25">
        <w:rPr>
          <w:spacing w:val="-2"/>
        </w:rPr>
        <w:t xml:space="preserve"> The Commission</w:t>
      </w:r>
      <w:r w:rsidR="00E35581" w:rsidRPr="004D3D25">
        <w:rPr>
          <w:spacing w:val="-2"/>
        </w:rPr>
        <w:t>’</w:t>
      </w:r>
      <w:r w:rsidR="005716DC" w:rsidRPr="004D3D25">
        <w:rPr>
          <w:spacing w:val="-2"/>
        </w:rPr>
        <w:t>s</w:t>
      </w:r>
      <w:r w:rsidR="00E35581" w:rsidRPr="004D3D25">
        <w:rPr>
          <w:spacing w:val="-2"/>
        </w:rPr>
        <w:t xml:space="preserve"> latest series,</w:t>
      </w:r>
      <w:r w:rsidR="00A50129" w:rsidRPr="004D3D25">
        <w:rPr>
          <w:spacing w:val="-2"/>
        </w:rPr>
        <w:t xml:space="preserve"> </w:t>
      </w:r>
      <w:r w:rsidR="001F37D1" w:rsidRPr="004D3D25">
        <w:rPr>
          <w:i/>
          <w:iCs/>
          <w:spacing w:val="-2"/>
        </w:rPr>
        <w:t xml:space="preserve">Productivity in the </w:t>
      </w:r>
      <w:r w:rsidR="00F46A23" w:rsidRPr="004D3D25">
        <w:rPr>
          <w:i/>
          <w:iCs/>
          <w:spacing w:val="-2"/>
        </w:rPr>
        <w:t>service s</w:t>
      </w:r>
      <w:r w:rsidR="001F37D1" w:rsidRPr="004D3D25">
        <w:rPr>
          <w:i/>
          <w:iCs/>
          <w:spacing w:val="-2"/>
        </w:rPr>
        <w:t>ector</w:t>
      </w:r>
      <w:r w:rsidR="00E35581" w:rsidRPr="004D3D25">
        <w:rPr>
          <w:i/>
          <w:iCs/>
          <w:spacing w:val="-2"/>
        </w:rPr>
        <w:t>,</w:t>
      </w:r>
      <w:r w:rsidR="001F37D1" w:rsidRPr="004D3D25">
        <w:rPr>
          <w:spacing w:val="-2"/>
        </w:rPr>
        <w:t xml:space="preserve"> </w:t>
      </w:r>
      <w:r w:rsidR="005A299B" w:rsidRPr="004D3D25">
        <w:rPr>
          <w:spacing w:val="-2"/>
        </w:rPr>
        <w:t>aims</w:t>
      </w:r>
      <w:r w:rsidR="001F37D1" w:rsidRPr="004D3D25">
        <w:rPr>
          <w:spacing w:val="-2"/>
        </w:rPr>
        <w:t xml:space="preserve"> </w:t>
      </w:r>
      <w:r w:rsidR="005A299B" w:rsidRPr="004D3D25">
        <w:rPr>
          <w:spacing w:val="-2"/>
        </w:rPr>
        <w:t xml:space="preserve">to better understand </w:t>
      </w:r>
      <w:r w:rsidR="0056273D" w:rsidRPr="004D3D25">
        <w:rPr>
          <w:spacing w:val="-2"/>
        </w:rPr>
        <w:t xml:space="preserve">these </w:t>
      </w:r>
      <w:r w:rsidR="006056D8" w:rsidRPr="004D3D25">
        <w:rPr>
          <w:spacing w:val="-2"/>
        </w:rPr>
        <w:t>industr</w:t>
      </w:r>
      <w:r w:rsidR="00EB0D25" w:rsidRPr="004D3D25">
        <w:rPr>
          <w:spacing w:val="-2"/>
        </w:rPr>
        <w:t>ies,</w:t>
      </w:r>
      <w:r w:rsidR="00147E26" w:rsidRPr="004D3D25">
        <w:rPr>
          <w:spacing w:val="-2"/>
        </w:rPr>
        <w:t xml:space="preserve"> </w:t>
      </w:r>
      <w:r w:rsidR="00837392" w:rsidRPr="004D3D25">
        <w:rPr>
          <w:spacing w:val="-2"/>
        </w:rPr>
        <w:t>their d</w:t>
      </w:r>
      <w:r w:rsidR="00D3747C" w:rsidRPr="004D3D25">
        <w:rPr>
          <w:spacing w:val="-2"/>
        </w:rPr>
        <w:t>iffer</w:t>
      </w:r>
      <w:r w:rsidR="00710EB6" w:rsidRPr="004D3D25">
        <w:rPr>
          <w:spacing w:val="-2"/>
        </w:rPr>
        <w:t xml:space="preserve">ent </w:t>
      </w:r>
      <w:r w:rsidR="00837392" w:rsidRPr="004D3D25">
        <w:rPr>
          <w:spacing w:val="-2"/>
        </w:rPr>
        <w:t>cha</w:t>
      </w:r>
      <w:r w:rsidR="00DB4400" w:rsidRPr="004D3D25">
        <w:rPr>
          <w:spacing w:val="-2"/>
        </w:rPr>
        <w:t>racteristics</w:t>
      </w:r>
      <w:r w:rsidR="000F1D0E" w:rsidRPr="004D3D25">
        <w:rPr>
          <w:spacing w:val="-2"/>
        </w:rPr>
        <w:t>,</w:t>
      </w:r>
      <w:r w:rsidR="00DB4400" w:rsidRPr="004D3D25">
        <w:rPr>
          <w:spacing w:val="-2"/>
        </w:rPr>
        <w:t xml:space="preserve"> </w:t>
      </w:r>
      <w:r w:rsidR="001F5015" w:rsidRPr="004D3D25">
        <w:rPr>
          <w:spacing w:val="-2"/>
        </w:rPr>
        <w:t>factors affecting their productivity performance</w:t>
      </w:r>
      <w:r w:rsidR="00F720C3" w:rsidRPr="004D3D25">
        <w:rPr>
          <w:spacing w:val="-2"/>
        </w:rPr>
        <w:t xml:space="preserve"> and potential implications for policy</w:t>
      </w:r>
      <w:r w:rsidR="009B570F" w:rsidRPr="004D3D25">
        <w:rPr>
          <w:spacing w:val="-2"/>
        </w:rPr>
        <w:t>.</w:t>
      </w:r>
      <w:r w:rsidR="009B570F" w:rsidRPr="004D3D25" w:rsidDel="001862AB">
        <w:rPr>
          <w:spacing w:val="-2"/>
        </w:rPr>
        <w:t xml:space="preserve"> </w:t>
      </w:r>
      <w:r w:rsidR="00DF35DC" w:rsidRPr="004D3D25">
        <w:rPr>
          <w:spacing w:val="-2"/>
        </w:rPr>
        <w:t xml:space="preserve">The series will </w:t>
      </w:r>
      <w:r w:rsidR="00F5257E" w:rsidRPr="004D3D25">
        <w:rPr>
          <w:spacing w:val="-2"/>
        </w:rPr>
        <w:t>delve</w:t>
      </w:r>
      <w:r w:rsidR="00DF35DC" w:rsidRPr="004D3D25">
        <w:rPr>
          <w:spacing w:val="-2"/>
        </w:rPr>
        <w:t xml:space="preserve"> beyond </w:t>
      </w:r>
      <w:r w:rsidR="00972911" w:rsidRPr="004D3D25">
        <w:rPr>
          <w:spacing w:val="-2"/>
        </w:rPr>
        <w:t>national aggregates</w:t>
      </w:r>
      <w:r w:rsidR="00F5257E" w:rsidRPr="004D3D25">
        <w:rPr>
          <w:spacing w:val="-2"/>
        </w:rPr>
        <w:t xml:space="preserve">, using </w:t>
      </w:r>
      <w:r w:rsidR="00972911" w:rsidRPr="004D3D25">
        <w:rPr>
          <w:spacing w:val="-2"/>
        </w:rPr>
        <w:t xml:space="preserve">industry-sourced data and </w:t>
      </w:r>
      <w:r w:rsidR="0056273D" w:rsidRPr="004D3D25">
        <w:rPr>
          <w:spacing w:val="-2"/>
        </w:rPr>
        <w:t>bespoke analytical approaches</w:t>
      </w:r>
      <w:r w:rsidR="001F37D1" w:rsidRPr="004D3D25">
        <w:rPr>
          <w:spacing w:val="-2"/>
        </w:rPr>
        <w:t xml:space="preserve">. This paper </w:t>
      </w:r>
      <w:r w:rsidR="00E247E1" w:rsidRPr="004D3D25">
        <w:rPr>
          <w:spacing w:val="-2"/>
        </w:rPr>
        <w:t>is the series launch</w:t>
      </w:r>
      <w:r w:rsidR="00053A72" w:rsidRPr="004D3D25">
        <w:rPr>
          <w:spacing w:val="-2"/>
        </w:rPr>
        <w:t xml:space="preserve"> —</w:t>
      </w:r>
      <w:r w:rsidR="00E247E1" w:rsidRPr="004D3D25">
        <w:rPr>
          <w:spacing w:val="-2"/>
        </w:rPr>
        <w:t xml:space="preserve"> </w:t>
      </w:r>
      <w:r w:rsidR="00C3451E" w:rsidRPr="004D3D25">
        <w:rPr>
          <w:spacing w:val="-2"/>
        </w:rPr>
        <w:t>outlining</w:t>
      </w:r>
      <w:r w:rsidR="001F37D1" w:rsidRPr="004D3D25">
        <w:rPr>
          <w:spacing w:val="-2"/>
        </w:rPr>
        <w:t xml:space="preserve"> the </w:t>
      </w:r>
      <w:r w:rsidR="009C00B2" w:rsidRPr="004D3D25">
        <w:rPr>
          <w:spacing w:val="-2"/>
        </w:rPr>
        <w:t xml:space="preserve">significance </w:t>
      </w:r>
      <w:r w:rsidR="00C3451E" w:rsidRPr="004D3D25">
        <w:rPr>
          <w:spacing w:val="-2"/>
        </w:rPr>
        <w:t>of</w:t>
      </w:r>
      <w:r w:rsidR="009C00B2" w:rsidRPr="004D3D25">
        <w:rPr>
          <w:spacing w:val="-2"/>
        </w:rPr>
        <w:t xml:space="preserve"> and</w:t>
      </w:r>
      <w:r w:rsidR="001F37D1" w:rsidRPr="004D3D25">
        <w:rPr>
          <w:spacing w:val="-2"/>
        </w:rPr>
        <w:t xml:space="preserve"> issues in service sector productivity, while future papers will be vignettes on subindustries. </w:t>
      </w:r>
    </w:p>
    <w:p w14:paraId="26A5B7DA" w14:textId="1D83DD35" w:rsidR="001F37D1" w:rsidRPr="004D3D25" w:rsidRDefault="008C710A" w:rsidP="001F37D1">
      <w:pPr>
        <w:pStyle w:val="BodyText"/>
        <w:rPr>
          <w:spacing w:val="2"/>
        </w:rPr>
      </w:pPr>
      <w:r w:rsidRPr="004D3D25">
        <w:rPr>
          <w:spacing w:val="2"/>
        </w:rPr>
        <w:t>Australia</w:t>
      </w:r>
      <w:r w:rsidR="00650D0C" w:rsidRPr="004D3D25">
        <w:rPr>
          <w:spacing w:val="2"/>
        </w:rPr>
        <w:t>’s</w:t>
      </w:r>
      <w:r w:rsidRPr="004D3D25">
        <w:rPr>
          <w:spacing w:val="2"/>
        </w:rPr>
        <w:t xml:space="preserve"> </w:t>
      </w:r>
      <w:r w:rsidR="00D01C5D" w:rsidRPr="004D3D25">
        <w:rPr>
          <w:spacing w:val="2"/>
        </w:rPr>
        <w:t>shift</w:t>
      </w:r>
      <w:r w:rsidR="00005406" w:rsidRPr="004D3D25">
        <w:rPr>
          <w:spacing w:val="2"/>
        </w:rPr>
        <w:t xml:space="preserve"> towards service production, </w:t>
      </w:r>
      <w:r w:rsidR="00D01C5D" w:rsidRPr="004D3D25">
        <w:rPr>
          <w:spacing w:val="2"/>
        </w:rPr>
        <w:t>and away from manufacturing</w:t>
      </w:r>
      <w:r w:rsidR="0091462E" w:rsidRPr="004D3D25">
        <w:rPr>
          <w:spacing w:val="2"/>
        </w:rPr>
        <w:t xml:space="preserve"> in particular</w:t>
      </w:r>
      <w:r w:rsidR="00D01C5D" w:rsidRPr="004D3D25">
        <w:rPr>
          <w:spacing w:val="2"/>
        </w:rPr>
        <w:t>, has raised</w:t>
      </w:r>
      <w:r w:rsidR="00005406" w:rsidRPr="004D3D25">
        <w:rPr>
          <w:spacing w:val="2"/>
        </w:rPr>
        <w:t xml:space="preserve"> </w:t>
      </w:r>
      <w:r w:rsidR="00557904" w:rsidRPr="004D3D25">
        <w:rPr>
          <w:spacing w:val="2"/>
        </w:rPr>
        <w:t>c</w:t>
      </w:r>
      <w:r w:rsidR="00C42908" w:rsidRPr="004D3D25">
        <w:rPr>
          <w:spacing w:val="2"/>
        </w:rPr>
        <w:t>oncerns</w:t>
      </w:r>
      <w:r w:rsidR="001F37D1" w:rsidRPr="004D3D25">
        <w:rPr>
          <w:spacing w:val="2"/>
        </w:rPr>
        <w:t>. These include</w:t>
      </w:r>
      <w:r w:rsidR="001F37D1" w:rsidRPr="004D3D25" w:rsidDel="00D01C5D">
        <w:rPr>
          <w:spacing w:val="2"/>
        </w:rPr>
        <w:t xml:space="preserve"> </w:t>
      </w:r>
      <w:r w:rsidR="00D01C5D" w:rsidRPr="004D3D25">
        <w:rPr>
          <w:spacing w:val="2"/>
        </w:rPr>
        <w:t>worries</w:t>
      </w:r>
      <w:r w:rsidR="001F37D1" w:rsidRPr="004D3D25">
        <w:rPr>
          <w:spacing w:val="2"/>
        </w:rPr>
        <w:t xml:space="preserve"> about services dragging on productivity performance and service sector jobs being lower paid or </w:t>
      </w:r>
      <w:r w:rsidR="00AA5740" w:rsidRPr="004D3D25">
        <w:rPr>
          <w:spacing w:val="2"/>
        </w:rPr>
        <w:t xml:space="preserve">of </w:t>
      </w:r>
      <w:r w:rsidR="001F37D1" w:rsidRPr="004D3D25">
        <w:rPr>
          <w:spacing w:val="2"/>
        </w:rPr>
        <w:t>lower quality. For the most part, these fears are unfounded. Many service sector industries provide jobs that pay as well as or better than manufacturing</w:t>
      </w:r>
      <w:r w:rsidR="003531A6" w:rsidRPr="004D3D25">
        <w:rPr>
          <w:spacing w:val="2"/>
        </w:rPr>
        <w:t>,</w:t>
      </w:r>
      <w:r w:rsidR="001F37D1" w:rsidRPr="004D3D25">
        <w:rPr>
          <w:spacing w:val="2"/>
        </w:rPr>
        <w:t xml:space="preserve"> with </w:t>
      </w:r>
      <w:r w:rsidR="003531A6" w:rsidRPr="004D3D25">
        <w:rPr>
          <w:spacing w:val="2"/>
        </w:rPr>
        <w:t>good job security</w:t>
      </w:r>
      <w:r w:rsidR="001F37D1" w:rsidRPr="004D3D25">
        <w:rPr>
          <w:spacing w:val="2"/>
        </w:rPr>
        <w:t xml:space="preserve">. And the increased prevalence of casual work has been proportionally as large in the goods sector as </w:t>
      </w:r>
      <w:r w:rsidR="000622CD" w:rsidRPr="004D3D25">
        <w:rPr>
          <w:spacing w:val="2"/>
        </w:rPr>
        <w:t>in</w:t>
      </w:r>
      <w:r w:rsidR="001F37D1" w:rsidRPr="004D3D25">
        <w:rPr>
          <w:spacing w:val="2"/>
        </w:rPr>
        <w:t xml:space="preserve"> the service sector. Several service sector industries — including financial and insurance services and information, media and </w:t>
      </w:r>
      <w:r w:rsidR="000470F9" w:rsidRPr="004D3D25">
        <w:rPr>
          <w:spacing w:val="2"/>
        </w:rPr>
        <w:t>tele</w:t>
      </w:r>
      <w:r w:rsidR="001F37D1" w:rsidRPr="004D3D25">
        <w:rPr>
          <w:spacing w:val="2"/>
        </w:rPr>
        <w:t>communication</w:t>
      </w:r>
      <w:r w:rsidR="000470F9" w:rsidRPr="004D3D25">
        <w:rPr>
          <w:spacing w:val="2"/>
        </w:rPr>
        <w:t xml:space="preserve">s </w:t>
      </w:r>
      <w:r w:rsidR="001F37D1" w:rsidRPr="004D3D25">
        <w:rPr>
          <w:spacing w:val="2"/>
        </w:rPr>
        <w:t>— have also experienced productivity growth that outpaced the goods sector.</w:t>
      </w:r>
    </w:p>
    <w:p w14:paraId="3E8AFC83" w14:textId="45634D18" w:rsidR="001F37D1" w:rsidRDefault="00A06240" w:rsidP="001F37D1">
      <w:pPr>
        <w:pStyle w:val="BodyText"/>
      </w:pPr>
      <w:r>
        <w:t>T</w:t>
      </w:r>
      <w:r w:rsidR="001F37D1">
        <w:t xml:space="preserve">he service sector </w:t>
      </w:r>
      <w:r>
        <w:t xml:space="preserve">also </w:t>
      </w:r>
      <w:r w:rsidR="001F37D1">
        <w:t>faces challenges. COVID</w:t>
      </w:r>
      <w:r w:rsidR="001F37D1">
        <w:noBreakHyphen/>
        <w:t xml:space="preserve">19 has caused Australia’s first recession in nearly 30 years and </w:t>
      </w:r>
      <w:r>
        <w:t xml:space="preserve">parts of the </w:t>
      </w:r>
      <w:r w:rsidR="001F37D1">
        <w:t>service sector (especially hospitality, accommodation, recreation and retail) ha</w:t>
      </w:r>
      <w:r>
        <w:t xml:space="preserve">ve </w:t>
      </w:r>
      <w:r w:rsidR="001F37D1">
        <w:t xml:space="preserve">been </w:t>
      </w:r>
      <w:r w:rsidR="00F42DE2">
        <w:t>hit hard</w:t>
      </w:r>
      <w:r w:rsidR="001F37D1">
        <w:t xml:space="preserve">. </w:t>
      </w:r>
      <w:r w:rsidR="0045548C">
        <w:t>B</w:t>
      </w:r>
      <w:r w:rsidR="001F37D1">
        <w:t xml:space="preserve">etween 14 March and </w:t>
      </w:r>
      <w:r w:rsidR="007D723E">
        <w:t>11 April</w:t>
      </w:r>
      <w:r w:rsidR="001F37D1">
        <w:t xml:space="preserve"> 2020, the food and accommodation industry laid off a third of its employees, and the recreation industry shed </w:t>
      </w:r>
      <w:r w:rsidR="007D723E">
        <w:t>nearly</w:t>
      </w:r>
      <w:r w:rsidR="001F37D1">
        <w:t xml:space="preserve"> </w:t>
      </w:r>
      <w:r w:rsidR="007D723E">
        <w:t>30</w:t>
      </w:r>
      <w:r w:rsidR="001F37D1">
        <w:t> per cent of its workforce. Though employment has since improved, neither industry has fully recovered</w:t>
      </w:r>
      <w:r w:rsidR="00824ABC">
        <w:t xml:space="preserve"> and concerns about COVID-19 continue</w:t>
      </w:r>
      <w:r w:rsidR="001F37D1">
        <w:t>.</w:t>
      </w:r>
      <w:r w:rsidR="00B03EA5" w:rsidRPr="00CA2A7E">
        <w:rPr>
          <w:rStyle w:val="FootnoteReference"/>
        </w:rPr>
        <w:footnoteReference w:id="2"/>
      </w:r>
      <w:r w:rsidR="001F37D1">
        <w:t xml:space="preserve"> </w:t>
      </w:r>
    </w:p>
    <w:p w14:paraId="75061104" w14:textId="63013116" w:rsidR="001F37D1" w:rsidRDefault="009E4539" w:rsidP="001F37D1">
      <w:pPr>
        <w:pStyle w:val="BodyText"/>
      </w:pPr>
      <w:r>
        <w:t xml:space="preserve">While some services industries have </w:t>
      </w:r>
      <w:r w:rsidR="00BF4EAA">
        <w:t xml:space="preserve">performed </w:t>
      </w:r>
      <w:r w:rsidR="000668DD">
        <w:t xml:space="preserve">consistently </w:t>
      </w:r>
      <w:r w:rsidR="00BF4EAA">
        <w:t>well</w:t>
      </w:r>
      <w:r w:rsidR="00D75EEB">
        <w:t xml:space="preserve"> </w:t>
      </w:r>
      <w:r w:rsidR="00725CD6">
        <w:t xml:space="preserve">over </w:t>
      </w:r>
      <w:r w:rsidR="00D75EEB">
        <w:t>the long run</w:t>
      </w:r>
      <w:r w:rsidR="00BF4EAA">
        <w:t xml:space="preserve">, others </w:t>
      </w:r>
      <w:r w:rsidR="001F37D1">
        <w:t xml:space="preserve">have had persistently low productivity growth. For example, administrative support and </w:t>
      </w:r>
      <w:r w:rsidR="006E0BDC">
        <w:t xml:space="preserve">arts </w:t>
      </w:r>
      <w:r w:rsidR="006E0BDC">
        <w:lastRenderedPageBreak/>
        <w:t>and recreation</w:t>
      </w:r>
      <w:r w:rsidR="001F37D1">
        <w:t xml:space="preserve"> have both had productivity growth below the </w:t>
      </w:r>
      <w:r w:rsidR="00C06E17">
        <w:t>market sector</w:t>
      </w:r>
      <w:r w:rsidR="001F37D1">
        <w:t xml:space="preserve"> average since 1994</w:t>
      </w:r>
      <w:r w:rsidR="001F37D1">
        <w:noBreakHyphen/>
        <w:t>95. While this may part</w:t>
      </w:r>
      <w:r w:rsidR="000668DD">
        <w:t>ly</w:t>
      </w:r>
      <w:r w:rsidR="001F37D1">
        <w:t xml:space="preserve"> reflect the challenges of measuring productivity in the service sector, it </w:t>
      </w:r>
      <w:r w:rsidR="00C0355A">
        <w:t>mainly</w:t>
      </w:r>
      <w:r w:rsidR="006959C4">
        <w:t xml:space="preserve"> </w:t>
      </w:r>
      <w:r w:rsidR="002D1397">
        <w:t xml:space="preserve">reflects </w:t>
      </w:r>
      <w:r w:rsidR="001F37D1">
        <w:t xml:space="preserve">the intrinsic characteristics of many services, </w:t>
      </w:r>
      <w:r w:rsidR="00AD377B">
        <w:t>such as</w:t>
      </w:r>
      <w:r w:rsidR="007914B0">
        <w:t xml:space="preserve"> </w:t>
      </w:r>
      <w:r w:rsidR="001F37D1">
        <w:t>the need for face</w:t>
      </w:r>
      <w:r w:rsidR="001F37D1">
        <w:noBreakHyphen/>
        <w:t>to</w:t>
      </w:r>
      <w:r w:rsidR="001F37D1">
        <w:noBreakHyphen/>
        <w:t>face interaction</w:t>
      </w:r>
      <w:r w:rsidR="005A28E3">
        <w:t>, which</w:t>
      </w:r>
      <w:r w:rsidR="007914B0">
        <w:t xml:space="preserve"> </w:t>
      </w:r>
      <w:r w:rsidR="00C71598">
        <w:t xml:space="preserve">limits </w:t>
      </w:r>
      <w:r w:rsidR="00D633E9" w:rsidRPr="00BE0BCC">
        <w:t xml:space="preserve">market size and </w:t>
      </w:r>
      <w:r w:rsidR="001B43E5" w:rsidRPr="00BE0BCC">
        <w:t xml:space="preserve">opportunities for </w:t>
      </w:r>
      <w:r w:rsidR="0031286F" w:rsidRPr="00BE0BCC">
        <w:t xml:space="preserve">trade, </w:t>
      </w:r>
      <w:r w:rsidR="001F37D1" w:rsidRPr="00BE0BCC">
        <w:t>scale and capital deepening</w:t>
      </w:r>
      <w:r w:rsidR="00C71598" w:rsidRPr="00BE0BCC">
        <w:t>.</w:t>
      </w:r>
    </w:p>
    <w:p w14:paraId="7D482CBB" w14:textId="7722D959" w:rsidR="00316578" w:rsidRDefault="001F37D1" w:rsidP="001F37D1">
      <w:pPr>
        <w:pStyle w:val="BodyText"/>
        <w:tabs>
          <w:tab w:val="left" w:pos="5400"/>
        </w:tabs>
      </w:pPr>
      <w:r>
        <w:t>Technolog</w:t>
      </w:r>
      <w:r w:rsidR="007556B1">
        <w:t xml:space="preserve">ical developments </w:t>
      </w:r>
      <w:r w:rsidR="00897EA3">
        <w:t xml:space="preserve">have and will continue to </w:t>
      </w:r>
      <w:r>
        <w:t xml:space="preserve">change some of the characteristics of the </w:t>
      </w:r>
      <w:r w:rsidR="00FB5B6B">
        <w:t>(historically)</w:t>
      </w:r>
      <w:r w:rsidR="00BD32B1">
        <w:t xml:space="preserve"> </w:t>
      </w:r>
      <w:r w:rsidR="00FB5B6B">
        <w:t>slow</w:t>
      </w:r>
      <w:r>
        <w:t xml:space="preserve"> productivity</w:t>
      </w:r>
      <w:r w:rsidR="00FB5B6B">
        <w:t xml:space="preserve"> growth</w:t>
      </w:r>
      <w:r>
        <w:t xml:space="preserve"> services and </w:t>
      </w:r>
      <w:r w:rsidR="006260A4">
        <w:t xml:space="preserve">increase </w:t>
      </w:r>
      <w:r w:rsidR="00DD257B">
        <w:t xml:space="preserve">their </w:t>
      </w:r>
      <w:r w:rsidR="00557FAB">
        <w:t xml:space="preserve">resource </w:t>
      </w:r>
      <w:r w:rsidR="00B708D7">
        <w:t>efficiency</w:t>
      </w:r>
      <w:r>
        <w:t xml:space="preserve">. For example, online learning increases access to, and competition within, education as well as increasing the scope for capital deepening and economies of scale. </w:t>
      </w:r>
      <w:r w:rsidR="00AC20B9">
        <w:t>Likewise,</w:t>
      </w:r>
      <w:r>
        <w:t xml:space="preserve"> digitisation </w:t>
      </w:r>
      <w:r w:rsidR="007672AD">
        <w:t xml:space="preserve">of other services </w:t>
      </w:r>
      <w:r>
        <w:t xml:space="preserve">can lower search costs and asymmetries of information, further increasing competitive pressures and allowing greater </w:t>
      </w:r>
      <w:r w:rsidR="006830A6">
        <w:t>diffusion</w:t>
      </w:r>
      <w:r w:rsidR="001632C2">
        <w:t xml:space="preserve"> </w:t>
      </w:r>
      <w:r>
        <w:t>of technology between firms.</w:t>
      </w:r>
      <w:r w:rsidR="00E90DA9">
        <w:t xml:space="preserve"> </w:t>
      </w:r>
      <w:r w:rsidR="00316578">
        <w:t>The</w:t>
      </w:r>
      <w:r w:rsidR="00353DDB">
        <w:t xml:space="preserve"> </w:t>
      </w:r>
      <w:r w:rsidR="00AC0B50">
        <w:rPr>
          <w:i/>
        </w:rPr>
        <w:t>P</w:t>
      </w:r>
      <w:r w:rsidR="00AC0B50" w:rsidRPr="002C1538">
        <w:rPr>
          <w:i/>
        </w:rPr>
        <w:t xml:space="preserve">roductivity </w:t>
      </w:r>
      <w:r w:rsidR="00353DDB" w:rsidRPr="002C1538">
        <w:rPr>
          <w:i/>
        </w:rPr>
        <w:t>in the service sector</w:t>
      </w:r>
      <w:r w:rsidR="00353DDB">
        <w:t xml:space="preserve"> series</w:t>
      </w:r>
      <w:r w:rsidR="00522B21">
        <w:t xml:space="preserve"> </w:t>
      </w:r>
      <w:r w:rsidR="00637588">
        <w:t xml:space="preserve">aims to </w:t>
      </w:r>
      <w:r w:rsidR="00BA4B0E">
        <w:t>help</w:t>
      </w:r>
      <w:r w:rsidR="00522B21">
        <w:t xml:space="preserve"> identify</w:t>
      </w:r>
      <w:r w:rsidR="00D25A5C">
        <w:t xml:space="preserve"> such</w:t>
      </w:r>
      <w:r w:rsidR="00522B21">
        <w:t xml:space="preserve"> </w:t>
      </w:r>
      <w:r w:rsidR="00456E73">
        <w:t xml:space="preserve">instances </w:t>
      </w:r>
      <w:r w:rsidR="001069FB">
        <w:t xml:space="preserve">and </w:t>
      </w:r>
      <w:r w:rsidR="00522B21">
        <w:t xml:space="preserve">where governments </w:t>
      </w:r>
      <w:r w:rsidR="005A1B09">
        <w:t xml:space="preserve">may </w:t>
      </w:r>
      <w:r w:rsidR="00F5257E">
        <w:t xml:space="preserve">have </w:t>
      </w:r>
      <w:r w:rsidR="00522B21">
        <w:t>a role in</w:t>
      </w:r>
      <w:r w:rsidR="001E4E7F">
        <w:t xml:space="preserve"> </w:t>
      </w:r>
      <w:r w:rsidR="00094510">
        <w:t>facilitating</w:t>
      </w:r>
      <w:r w:rsidR="00972E5F">
        <w:t xml:space="preserve"> </w:t>
      </w:r>
      <w:r w:rsidR="00341CFF">
        <w:t>this</w:t>
      </w:r>
      <w:r w:rsidR="00972E5F">
        <w:t xml:space="preserve"> innovatio</w:t>
      </w:r>
      <w:r w:rsidR="00364BC3">
        <w:t>n</w:t>
      </w:r>
      <w:r w:rsidR="00450CBE">
        <w:t>.</w:t>
      </w:r>
    </w:p>
    <w:p w14:paraId="0A053E0E" w14:textId="77777777" w:rsidR="00C764D7" w:rsidRDefault="00C764D7" w:rsidP="001F37D1">
      <w:pPr>
        <w:pStyle w:val="BodyText"/>
        <w:tabs>
          <w:tab w:val="left" w:pos="5400"/>
        </w:tabs>
        <w:sectPr w:rsidR="00C764D7" w:rsidSect="00C764D7">
          <w:headerReference w:type="even" r:id="rId16"/>
          <w:headerReference w:type="default" r:id="rId17"/>
          <w:footerReference w:type="even" r:id="rId18"/>
          <w:footerReference w:type="default" r:id="rId19"/>
          <w:type w:val="oddPage"/>
          <w:pgSz w:w="11907" w:h="16840" w:code="9"/>
          <w:pgMar w:top="1985" w:right="1304" w:bottom="1247" w:left="1814" w:header="1701" w:footer="397" w:gutter="0"/>
          <w:pgNumType w:fmt="lowerRoman" w:chapSep="period"/>
          <w:cols w:space="720"/>
          <w:docGrid w:linePitch="326"/>
        </w:sectPr>
      </w:pPr>
    </w:p>
    <w:p w14:paraId="42F12A72" w14:textId="0A887442" w:rsidR="001F37D1" w:rsidRDefault="001F37D1" w:rsidP="00CA210D">
      <w:pPr>
        <w:pStyle w:val="Heading1"/>
      </w:pPr>
      <w:bookmarkStart w:id="7" w:name="_Toc67912993"/>
      <w:r>
        <w:lastRenderedPageBreak/>
        <w:t xml:space="preserve">Productivity in the </w:t>
      </w:r>
      <w:r w:rsidR="00730A2B">
        <w:t>service sector</w:t>
      </w:r>
      <w:bookmarkEnd w:id="7"/>
      <w:r>
        <w:t xml:space="preserve"> </w:t>
      </w:r>
    </w:p>
    <w:p w14:paraId="38F624AA" w14:textId="44990CCA" w:rsidR="001F37D1" w:rsidRDefault="001F37D1" w:rsidP="001F37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F37D1" w14:paraId="77C7B846" w14:textId="77777777" w:rsidTr="001F37D1">
        <w:trPr>
          <w:tblHeader/>
        </w:trPr>
        <w:tc>
          <w:tcPr>
            <w:tcW w:w="5000" w:type="pct"/>
            <w:tcBorders>
              <w:top w:val="single" w:sz="6" w:space="0" w:color="78A22F" w:themeColor="accent1"/>
              <w:left w:val="nil"/>
              <w:bottom w:val="nil"/>
              <w:right w:val="nil"/>
            </w:tcBorders>
            <w:shd w:val="clear" w:color="auto" w:fill="F2F2F2" w:themeFill="background1" w:themeFillShade="F2"/>
          </w:tcPr>
          <w:p w14:paraId="55E97203" w14:textId="77777777" w:rsidR="001F37D1" w:rsidRDefault="001F37D1" w:rsidP="001F37D1">
            <w:pPr>
              <w:pStyle w:val="BoxTitle"/>
            </w:pPr>
            <w:r>
              <w:t xml:space="preserve">Key points </w:t>
            </w:r>
          </w:p>
        </w:tc>
      </w:tr>
      <w:tr w:rsidR="001F37D1" w14:paraId="4DA25D0D" w14:textId="77777777" w:rsidTr="001F37D1">
        <w:tc>
          <w:tcPr>
            <w:tcW w:w="5000" w:type="pct"/>
            <w:tcBorders>
              <w:top w:val="nil"/>
              <w:left w:val="nil"/>
              <w:bottom w:val="nil"/>
              <w:right w:val="nil"/>
            </w:tcBorders>
            <w:shd w:val="clear" w:color="auto" w:fill="F2F2F2" w:themeFill="background1" w:themeFillShade="F2"/>
          </w:tcPr>
          <w:p w14:paraId="43F557CE" w14:textId="1A0832BF" w:rsidR="001F37D1" w:rsidRDefault="001F37D1" w:rsidP="004D3D25">
            <w:pPr>
              <w:pStyle w:val="KeyPointsListBullet"/>
              <w:ind w:left="284" w:hanging="284"/>
            </w:pPr>
            <w:r>
              <w:t xml:space="preserve">The service sector constitutes the bulk of Australia’s economy, contributing </w:t>
            </w:r>
            <w:r w:rsidR="000108EE">
              <w:t>79</w:t>
            </w:r>
            <w:r>
              <w:t> per cent of value added and 88 per cent of employment.</w:t>
            </w:r>
          </w:p>
          <w:p w14:paraId="363655C6" w14:textId="685F47B4" w:rsidR="001F37D1" w:rsidRDefault="001F37D1" w:rsidP="001F37D1">
            <w:pPr>
              <w:pStyle w:val="KeyPointsListBullet2"/>
            </w:pPr>
            <w:r>
              <w:t>This sector is diverse</w:t>
            </w:r>
            <w:r w:rsidR="0012624B">
              <w:t xml:space="preserve">, </w:t>
            </w:r>
            <w:r>
              <w:t>encompass</w:t>
            </w:r>
            <w:r w:rsidR="0012624B">
              <w:t>ing</w:t>
            </w:r>
            <w:r>
              <w:t xml:space="preserve"> all industries outside of mining, agriculture and manufacturing (the goods sector). </w:t>
            </w:r>
            <w:r w:rsidR="43C63187">
              <w:t>This diversity (f</w:t>
            </w:r>
            <w:r w:rsidR="7D8F4DF7">
              <w:t xml:space="preserve">or example, </w:t>
            </w:r>
            <w:r w:rsidR="43C63187">
              <w:t>from cleaning services to medicine) means that different service industries operate in very different ways.</w:t>
            </w:r>
          </w:p>
          <w:p w14:paraId="5D8561E6" w14:textId="41BF1AC9" w:rsidR="001F37D1" w:rsidRDefault="001F37D1" w:rsidP="004D3D25">
            <w:pPr>
              <w:pStyle w:val="KeyPointsListBullet"/>
              <w:ind w:left="284" w:hanging="284"/>
            </w:pPr>
            <w:r>
              <w:t xml:space="preserve">The rise of the service sector over the past 70 years, and the associated displacement of manufacturing as a share of economic activity, has raised fears of </w:t>
            </w:r>
            <w:r w:rsidR="00284FE5">
              <w:t>worsening labour market conditions</w:t>
            </w:r>
            <w:r w:rsidR="00E641A7">
              <w:t>, slower wage growth</w:t>
            </w:r>
            <w:r w:rsidR="00284FE5">
              <w:t xml:space="preserve"> and slower productivity growth</w:t>
            </w:r>
            <w:r>
              <w:t>. Such fears are misplaced as:</w:t>
            </w:r>
          </w:p>
          <w:p w14:paraId="61098DA5" w14:textId="032F3C25" w:rsidR="001F37D1" w:rsidRDefault="001F37D1" w:rsidP="00A76159">
            <w:pPr>
              <w:pStyle w:val="KeyPointsListBullet2"/>
            </w:pPr>
            <w:r>
              <w:t xml:space="preserve">a large service sector is a </w:t>
            </w:r>
            <w:r w:rsidR="00B0629E">
              <w:t xml:space="preserve">feature </w:t>
            </w:r>
            <w:r>
              <w:t xml:space="preserve">of </w:t>
            </w:r>
            <w:r w:rsidR="00B0629E">
              <w:t xml:space="preserve">a mature and </w:t>
            </w:r>
            <w:r w:rsidR="007B3905">
              <w:t xml:space="preserve">prosperous economy. </w:t>
            </w:r>
            <w:r w:rsidR="00512015">
              <w:t>A</w:t>
            </w:r>
            <w:r w:rsidR="002F1351">
              <w:t xml:space="preserve">s incomes </w:t>
            </w:r>
            <w:proofErr w:type="gramStart"/>
            <w:r w:rsidR="00462ACF">
              <w:t>increase</w:t>
            </w:r>
            <w:proofErr w:type="gramEnd"/>
            <w:r w:rsidR="00462ACF">
              <w:t xml:space="preserve"> we spend proportionately more on services relative </w:t>
            </w:r>
            <w:r w:rsidR="000F07FE">
              <w:t>to goods</w:t>
            </w:r>
            <w:r w:rsidR="00AE5BF3">
              <w:t xml:space="preserve"> which stimulates output</w:t>
            </w:r>
            <w:r w:rsidR="000F07FE">
              <w:t xml:space="preserve"> </w:t>
            </w:r>
            <w:r w:rsidR="00C51168">
              <w:t>in the service sector</w:t>
            </w:r>
            <w:r w:rsidR="00752E13">
              <w:t>,</w:t>
            </w:r>
            <w:r w:rsidR="00C51168">
              <w:t xml:space="preserve"> increasing its </w:t>
            </w:r>
            <w:r w:rsidR="00FA552B">
              <w:t xml:space="preserve">share </w:t>
            </w:r>
            <w:r w:rsidR="00C51168">
              <w:t xml:space="preserve"> of </w:t>
            </w:r>
            <w:r>
              <w:t xml:space="preserve">economic activity </w:t>
            </w:r>
          </w:p>
          <w:p w14:paraId="468BCBA8" w14:textId="11E7CDC5" w:rsidR="001F37D1" w:rsidRPr="002E53CC" w:rsidRDefault="001F37D1" w:rsidP="001F37D1">
            <w:pPr>
              <w:pStyle w:val="KeyPointsListBullet2"/>
              <w:rPr>
                <w:spacing w:val="-2"/>
              </w:rPr>
            </w:pPr>
            <w:r w:rsidRPr="002E53CC">
              <w:rPr>
                <w:spacing w:val="-2"/>
              </w:rPr>
              <w:t xml:space="preserve">almost all advanced economies have had rapid growth in their service sector (and relative shrinking of their manufacturing sector). This is </w:t>
            </w:r>
            <w:r w:rsidR="002E53CC" w:rsidRPr="002E53CC">
              <w:rPr>
                <w:spacing w:val="-2"/>
              </w:rPr>
              <w:t xml:space="preserve">the case even for the ‘workshop of the </w:t>
            </w:r>
            <w:r w:rsidRPr="002E53CC">
              <w:rPr>
                <w:spacing w:val="-2"/>
              </w:rPr>
              <w:t>world’, China, since 2005</w:t>
            </w:r>
          </w:p>
          <w:p w14:paraId="7C10C844" w14:textId="632ACAD0" w:rsidR="001F37D1" w:rsidRDefault="000B0225" w:rsidP="001F37D1">
            <w:pPr>
              <w:pStyle w:val="KeyPointsListBullet2"/>
            </w:pPr>
            <w:r>
              <w:t xml:space="preserve">productivity growth in </w:t>
            </w:r>
            <w:r w:rsidR="001F37D1">
              <w:t xml:space="preserve">many </w:t>
            </w:r>
            <w:r w:rsidR="0077526B">
              <w:t>service</w:t>
            </w:r>
            <w:r w:rsidR="001F37D1">
              <w:t xml:space="preserve"> industries (including finance, ICT and transport) has outpaced the goods sector by a significant margin over the past few decades</w:t>
            </w:r>
          </w:p>
          <w:p w14:paraId="2ADFC98C" w14:textId="49D2E4CB" w:rsidR="001F37D1" w:rsidRDefault="001F37D1" w:rsidP="001F37D1">
            <w:pPr>
              <w:pStyle w:val="KeyPointsListBullet2"/>
            </w:pPr>
            <w:r>
              <w:t xml:space="preserve">many service industries </w:t>
            </w:r>
            <w:r w:rsidR="00B64DDE">
              <w:t xml:space="preserve">also </w:t>
            </w:r>
            <w:r>
              <w:t>have higher wages and total take-home pay than manufacturing, and the rise in casualised employment has been (proportionately) on par with the goods sector.</w:t>
            </w:r>
          </w:p>
          <w:p w14:paraId="6643C89D" w14:textId="431FE79E" w:rsidR="001F37D1" w:rsidRDefault="00387B74" w:rsidP="004D3D25">
            <w:pPr>
              <w:pStyle w:val="KeyPointsListBullet"/>
              <w:ind w:left="284" w:hanging="284"/>
            </w:pPr>
            <w:r>
              <w:t>However, s</w:t>
            </w:r>
            <w:r w:rsidR="001F37D1" w:rsidRPr="00603A28">
              <w:t>ome p</w:t>
            </w:r>
            <w:r w:rsidR="001F37D1">
              <w:t>arts of the service sector (particularly labour</w:t>
            </w:r>
            <w:r w:rsidR="0BC4E3B3">
              <w:t>-</w:t>
            </w:r>
            <w:r w:rsidR="001F37D1">
              <w:t>intensive and face</w:t>
            </w:r>
            <w:r w:rsidR="763210C7">
              <w:t>-</w:t>
            </w:r>
            <w:r w:rsidR="001F37D1">
              <w:t>to</w:t>
            </w:r>
            <w:r w:rsidR="16BFC791">
              <w:t>-</w:t>
            </w:r>
            <w:r w:rsidR="001F37D1">
              <w:t xml:space="preserve">face services) have experienced persistently low growth in productivity and capital </w:t>
            </w:r>
            <w:r w:rsidR="00A30129">
              <w:t>investment</w:t>
            </w:r>
            <w:r w:rsidR="001F37D1">
              <w:t xml:space="preserve">. </w:t>
            </w:r>
          </w:p>
          <w:p w14:paraId="5174172F" w14:textId="3D7DD659" w:rsidR="001F37D1" w:rsidRPr="002E53CC" w:rsidRDefault="001F37D1" w:rsidP="001F37D1">
            <w:pPr>
              <w:pStyle w:val="KeyPointsListBullet2"/>
              <w:rPr>
                <w:spacing w:val="-2"/>
              </w:rPr>
            </w:pPr>
            <w:r w:rsidRPr="002E53CC">
              <w:rPr>
                <w:spacing w:val="-2"/>
              </w:rPr>
              <w:t>Mostly this is due to the</w:t>
            </w:r>
            <w:r w:rsidR="0017097D" w:rsidRPr="002E53CC">
              <w:rPr>
                <w:spacing w:val="-2"/>
              </w:rPr>
              <w:t>ir</w:t>
            </w:r>
            <w:r w:rsidRPr="002E53CC">
              <w:rPr>
                <w:spacing w:val="-2"/>
              </w:rPr>
              <w:t xml:space="preserve"> ‘intrinsic’ characteristics — they </w:t>
            </w:r>
            <w:r w:rsidR="0054309F" w:rsidRPr="002E53CC">
              <w:rPr>
                <w:spacing w:val="-2"/>
              </w:rPr>
              <w:t xml:space="preserve">often need to be </w:t>
            </w:r>
            <w:r w:rsidR="00B42FC2" w:rsidRPr="002E53CC">
              <w:rPr>
                <w:spacing w:val="-2"/>
              </w:rPr>
              <w:t xml:space="preserve">delivered </w:t>
            </w:r>
            <w:r w:rsidR="0054309F" w:rsidRPr="002E53CC">
              <w:rPr>
                <w:spacing w:val="-2"/>
              </w:rPr>
              <w:t>in</w:t>
            </w:r>
            <w:r w:rsidR="6DEE4C2B" w:rsidRPr="002E53CC">
              <w:rPr>
                <w:spacing w:val="-2"/>
              </w:rPr>
              <w:t xml:space="preserve"> </w:t>
            </w:r>
            <w:r w:rsidR="0054309F" w:rsidRPr="002E53CC">
              <w:rPr>
                <w:spacing w:val="-2"/>
              </w:rPr>
              <w:t>person</w:t>
            </w:r>
            <w:r w:rsidRPr="002E53CC">
              <w:rPr>
                <w:spacing w:val="-2"/>
              </w:rPr>
              <w:t xml:space="preserve"> </w:t>
            </w:r>
            <w:r w:rsidR="002042B1" w:rsidRPr="002E53CC">
              <w:rPr>
                <w:spacing w:val="-2"/>
              </w:rPr>
              <w:t>(relative to goods</w:t>
            </w:r>
            <w:r w:rsidR="336519E3" w:rsidRPr="002E53CC">
              <w:rPr>
                <w:spacing w:val="-2"/>
              </w:rPr>
              <w:t>)</w:t>
            </w:r>
            <w:r w:rsidR="6243CD25" w:rsidRPr="002E53CC">
              <w:rPr>
                <w:spacing w:val="-2"/>
              </w:rPr>
              <w:t>;</w:t>
            </w:r>
            <w:r w:rsidRPr="002E53CC">
              <w:rPr>
                <w:spacing w:val="-2"/>
              </w:rPr>
              <w:t xml:space="preserve"> and </w:t>
            </w:r>
            <w:r w:rsidR="003547A4" w:rsidRPr="002E53CC">
              <w:rPr>
                <w:spacing w:val="-2"/>
              </w:rPr>
              <w:t xml:space="preserve">in some </w:t>
            </w:r>
            <w:r w:rsidR="33054489" w:rsidRPr="002E53CC">
              <w:rPr>
                <w:spacing w:val="-2"/>
              </w:rPr>
              <w:t>instances,</w:t>
            </w:r>
            <w:r w:rsidRPr="002E53CC">
              <w:rPr>
                <w:spacing w:val="-2"/>
              </w:rPr>
              <w:t xml:space="preserve"> their quality is hard </w:t>
            </w:r>
            <w:r w:rsidR="4BF9FE22" w:rsidRPr="002E53CC">
              <w:rPr>
                <w:spacing w:val="-2"/>
              </w:rPr>
              <w:t>for consumers to</w:t>
            </w:r>
            <w:r w:rsidRPr="002E53CC">
              <w:rPr>
                <w:spacing w:val="-2"/>
              </w:rPr>
              <w:t xml:space="preserve"> </w:t>
            </w:r>
            <w:r w:rsidR="090EAE16" w:rsidRPr="002E53CC">
              <w:rPr>
                <w:spacing w:val="-2"/>
              </w:rPr>
              <w:t>reliably</w:t>
            </w:r>
            <w:r w:rsidRPr="002E53CC">
              <w:rPr>
                <w:spacing w:val="-2"/>
              </w:rPr>
              <w:t xml:space="preserve"> observe</w:t>
            </w:r>
            <w:r w:rsidR="5EA24B5D" w:rsidRPr="002E53CC">
              <w:rPr>
                <w:spacing w:val="-2"/>
              </w:rPr>
              <w:t xml:space="preserve"> </w:t>
            </w:r>
            <w:r w:rsidR="5E68D0F8" w:rsidRPr="002E53CC">
              <w:rPr>
                <w:spacing w:val="-2"/>
              </w:rPr>
              <w:t xml:space="preserve">prior to consumption </w:t>
            </w:r>
            <w:r w:rsidR="000E3ED1" w:rsidRPr="002E53CC">
              <w:rPr>
                <w:spacing w:val="-2"/>
              </w:rPr>
              <w:t>(</w:t>
            </w:r>
            <w:r w:rsidR="5E68D0F8" w:rsidRPr="002E53CC">
              <w:rPr>
                <w:spacing w:val="-2"/>
              </w:rPr>
              <w:t xml:space="preserve">and </w:t>
            </w:r>
            <w:r w:rsidR="000E3ED1" w:rsidRPr="002E53CC">
              <w:rPr>
                <w:spacing w:val="-2"/>
              </w:rPr>
              <w:t xml:space="preserve">equally </w:t>
            </w:r>
            <w:r w:rsidR="5E68D0F8" w:rsidRPr="002E53CC">
              <w:rPr>
                <w:spacing w:val="-2"/>
              </w:rPr>
              <w:t xml:space="preserve">hard for statistical agencies to </w:t>
            </w:r>
            <w:r w:rsidR="000E3ED1" w:rsidRPr="002E53CC">
              <w:rPr>
                <w:spacing w:val="-2"/>
              </w:rPr>
              <w:t xml:space="preserve">capture </w:t>
            </w:r>
            <w:r w:rsidR="5EA24B5D" w:rsidRPr="002E53CC">
              <w:rPr>
                <w:spacing w:val="-2"/>
              </w:rPr>
              <w:t>in data</w:t>
            </w:r>
            <w:r w:rsidR="00C11BBF" w:rsidRPr="002E53CC">
              <w:rPr>
                <w:spacing w:val="-2"/>
              </w:rPr>
              <w:t>)</w:t>
            </w:r>
            <w:r w:rsidRPr="002E53CC">
              <w:rPr>
                <w:spacing w:val="-2"/>
              </w:rPr>
              <w:t xml:space="preserve">. </w:t>
            </w:r>
          </w:p>
          <w:p w14:paraId="6DAA5258" w14:textId="3721F9DC" w:rsidR="001F37D1" w:rsidRDefault="001F37D1" w:rsidP="001F37D1">
            <w:pPr>
              <w:pStyle w:val="KeyPointsListBullet2"/>
            </w:pPr>
            <w:r>
              <w:t xml:space="preserve">In the ‘non-market’ sector, limited competition and a lack of market determined prices </w:t>
            </w:r>
            <w:r w:rsidR="005D6629">
              <w:t xml:space="preserve">weaken </w:t>
            </w:r>
            <w:r>
              <w:t>incentive</w:t>
            </w:r>
            <w:r w:rsidR="005D6629">
              <w:t>s</w:t>
            </w:r>
            <w:r>
              <w:t xml:space="preserve"> to </w:t>
            </w:r>
            <w:r w:rsidR="00F85D13">
              <w:t xml:space="preserve">innovate or </w:t>
            </w:r>
            <w:r>
              <w:t xml:space="preserve">contain cost growth. </w:t>
            </w:r>
          </w:p>
          <w:p w14:paraId="3A25E5DE" w14:textId="238649AF" w:rsidR="001F37D1" w:rsidRDefault="00CA4BCF" w:rsidP="001F37D1">
            <w:pPr>
              <w:pStyle w:val="KeyPointsListBullet2"/>
            </w:pPr>
            <w:r>
              <w:t>N</w:t>
            </w:r>
            <w:r w:rsidR="001F37D1">
              <w:t>umerous measurement issues that affect the service sector may explain some of the poor performance</w:t>
            </w:r>
            <w:r w:rsidR="001F37D1" w:rsidDel="002B7E4C">
              <w:t xml:space="preserve"> </w:t>
            </w:r>
            <w:r w:rsidR="001F37D1">
              <w:t xml:space="preserve">as there are possible quality </w:t>
            </w:r>
            <w:r w:rsidR="007874D4">
              <w:t xml:space="preserve">changes </w:t>
            </w:r>
            <w:r w:rsidR="35D6D8DB">
              <w:t>(</w:t>
            </w:r>
            <w:r w:rsidR="00194C72">
              <w:t>potentially</w:t>
            </w:r>
            <w:r w:rsidR="1230E1B2">
              <w:t xml:space="preserve"> positive or negative</w:t>
            </w:r>
            <w:r w:rsidR="35D6D8DB">
              <w:t xml:space="preserve">) </w:t>
            </w:r>
            <w:r w:rsidR="001F37D1">
              <w:t>not currently captured by productivity statistics.</w:t>
            </w:r>
          </w:p>
          <w:p w14:paraId="5AF03EB4" w14:textId="44332509" w:rsidR="001F37D1" w:rsidRDefault="001F37D1" w:rsidP="004D3D25">
            <w:pPr>
              <w:pStyle w:val="KeyPointsListBullet"/>
              <w:ind w:left="284" w:hanging="284"/>
            </w:pPr>
            <w:r w:rsidRPr="0051350C">
              <w:t xml:space="preserve">The issues affecting the service sector are as diverse as the sector itself. </w:t>
            </w:r>
            <w:r w:rsidR="00EA3A2F">
              <w:t xml:space="preserve">This paper is the first </w:t>
            </w:r>
            <w:r w:rsidR="003C3BAA">
              <w:t xml:space="preserve">of several </w:t>
            </w:r>
            <w:r w:rsidR="00FA17A8">
              <w:t>studies</w:t>
            </w:r>
            <w:r w:rsidR="00C11BBF">
              <w:t>. S</w:t>
            </w:r>
            <w:r w:rsidR="24C97C1E">
              <w:t>ubsequent releases will examine particular service industries</w:t>
            </w:r>
            <w:r w:rsidR="14EBAB1A">
              <w:t xml:space="preserve">, </w:t>
            </w:r>
            <w:r w:rsidR="1FFD5BF6">
              <w:t>hi</w:t>
            </w:r>
            <w:r w:rsidR="7E8C8E7E">
              <w:t>g</w:t>
            </w:r>
            <w:r w:rsidR="1FFD5BF6">
              <w:t>hlight</w:t>
            </w:r>
            <w:r w:rsidR="28D49FC8">
              <w:t>ing</w:t>
            </w:r>
            <w:r w:rsidR="24C97C1E">
              <w:t xml:space="preserve"> the unique characteristics influencing </w:t>
            </w:r>
            <w:r w:rsidR="2EF97B99">
              <w:t xml:space="preserve">their </w:t>
            </w:r>
            <w:r w:rsidR="24C97C1E">
              <w:t xml:space="preserve">productivity </w:t>
            </w:r>
            <w:r w:rsidR="25B1C22E">
              <w:t xml:space="preserve">in ways that </w:t>
            </w:r>
            <w:r w:rsidR="03C36355">
              <w:t xml:space="preserve">are not possible using </w:t>
            </w:r>
            <w:r w:rsidR="0097502D">
              <w:t xml:space="preserve">national accounts </w:t>
            </w:r>
            <w:r w:rsidR="03C36355">
              <w:t>data alone.</w:t>
            </w:r>
            <w:r w:rsidRPr="0051350C">
              <w:t xml:space="preserve"> </w:t>
            </w:r>
          </w:p>
        </w:tc>
      </w:tr>
      <w:tr w:rsidR="001F37D1" w14:paraId="5839439F" w14:textId="77777777" w:rsidTr="001F37D1">
        <w:tc>
          <w:tcPr>
            <w:tcW w:w="5000" w:type="pct"/>
            <w:tcBorders>
              <w:top w:val="nil"/>
              <w:left w:val="nil"/>
              <w:bottom w:val="single" w:sz="6" w:space="0" w:color="78A22F" w:themeColor="accent1"/>
              <w:right w:val="nil"/>
            </w:tcBorders>
            <w:shd w:val="clear" w:color="auto" w:fill="F2F2F2" w:themeFill="background1" w:themeFillShade="F2"/>
          </w:tcPr>
          <w:p w14:paraId="68D89782" w14:textId="77777777" w:rsidR="001F37D1" w:rsidRDefault="001F37D1" w:rsidP="001F37D1">
            <w:pPr>
              <w:pStyle w:val="Box"/>
              <w:spacing w:before="0" w:line="120" w:lineRule="exact"/>
            </w:pPr>
          </w:p>
        </w:tc>
      </w:tr>
      <w:tr w:rsidR="001F37D1" w:rsidRPr="000863A5" w14:paraId="72B0CCAF" w14:textId="77777777" w:rsidTr="001F37D1">
        <w:trPr>
          <w:trHeight w:val="53"/>
        </w:trPr>
        <w:tc>
          <w:tcPr>
            <w:tcW w:w="5000" w:type="pct"/>
            <w:tcBorders>
              <w:top w:val="single" w:sz="6" w:space="0" w:color="78A22F" w:themeColor="accent1"/>
              <w:left w:val="nil"/>
              <w:bottom w:val="nil"/>
              <w:right w:val="nil"/>
            </w:tcBorders>
          </w:tcPr>
          <w:p w14:paraId="27E40C18" w14:textId="3E8C69C4" w:rsidR="001F37D1" w:rsidRPr="00626D32" w:rsidRDefault="001F37D1" w:rsidP="001F37D1">
            <w:pPr>
              <w:pStyle w:val="BoxSpaceBelow"/>
            </w:pPr>
          </w:p>
        </w:tc>
      </w:tr>
    </w:tbl>
    <w:p w14:paraId="0DF6F6F7" w14:textId="1E61916A" w:rsidR="001F37D1" w:rsidRDefault="001F37D1" w:rsidP="001F37D1">
      <w:pPr>
        <w:pStyle w:val="BodyText"/>
        <w:rPr>
          <w:noProof/>
        </w:rPr>
      </w:pPr>
      <w:r>
        <w:rPr>
          <w:noProof/>
        </w:rPr>
        <w:lastRenderedPageBreak/>
        <w:t xml:space="preserve">This paper marks the launch of a new series, </w:t>
      </w:r>
      <w:r>
        <w:rPr>
          <w:i/>
          <w:noProof/>
        </w:rPr>
        <w:t>Productivity in the service sector</w:t>
      </w:r>
      <w:r>
        <w:rPr>
          <w:noProof/>
        </w:rPr>
        <w:t>, looking at individual service industries. The series aims to expl</w:t>
      </w:r>
      <w:r w:rsidR="00C76349">
        <w:rPr>
          <w:noProof/>
        </w:rPr>
        <w:t xml:space="preserve">ore the characteristics that differentiate service </w:t>
      </w:r>
      <w:r>
        <w:rPr>
          <w:noProof/>
        </w:rPr>
        <w:t>industr</w:t>
      </w:r>
      <w:r w:rsidR="00C76349">
        <w:rPr>
          <w:noProof/>
        </w:rPr>
        <w:t>ies</w:t>
      </w:r>
      <w:r w:rsidR="00012A88">
        <w:rPr>
          <w:noProof/>
        </w:rPr>
        <w:t>,</w:t>
      </w:r>
      <w:r>
        <w:rPr>
          <w:noProof/>
        </w:rPr>
        <w:t xml:space="preserve"> how</w:t>
      </w:r>
      <w:r w:rsidR="00BA7221">
        <w:rPr>
          <w:noProof/>
        </w:rPr>
        <w:t xml:space="preserve"> </w:t>
      </w:r>
      <w:r w:rsidR="00373115">
        <w:rPr>
          <w:noProof/>
        </w:rPr>
        <w:t xml:space="preserve">particular </w:t>
      </w:r>
      <w:r w:rsidR="00BA7221">
        <w:rPr>
          <w:noProof/>
        </w:rPr>
        <w:t xml:space="preserve">industries </w:t>
      </w:r>
      <w:r>
        <w:rPr>
          <w:noProof/>
        </w:rPr>
        <w:t>are performing, and factors play</w:t>
      </w:r>
      <w:r w:rsidR="0035749D">
        <w:rPr>
          <w:noProof/>
        </w:rPr>
        <w:t>ing</w:t>
      </w:r>
      <w:r>
        <w:rPr>
          <w:noProof/>
        </w:rPr>
        <w:t xml:space="preserve"> a role in their productivity</w:t>
      </w:r>
      <w:r w:rsidR="00645CDA">
        <w:rPr>
          <w:noProof/>
        </w:rPr>
        <w:t xml:space="preserve"> performance</w:t>
      </w:r>
      <w:r>
        <w:rPr>
          <w:noProof/>
        </w:rPr>
        <w:t xml:space="preserve">. There are </w:t>
      </w:r>
      <w:r w:rsidR="0035749D">
        <w:rPr>
          <w:noProof/>
        </w:rPr>
        <w:t xml:space="preserve">several </w:t>
      </w:r>
      <w:r>
        <w:rPr>
          <w:noProof/>
        </w:rPr>
        <w:t xml:space="preserve">reasons the Commission has chosen to report on the </w:t>
      </w:r>
      <w:r w:rsidR="00BC7715">
        <w:rPr>
          <w:noProof/>
        </w:rPr>
        <w:t xml:space="preserve">factors that </w:t>
      </w:r>
      <w:r w:rsidR="0035749D">
        <w:rPr>
          <w:noProof/>
        </w:rPr>
        <w:t>a</w:t>
      </w:r>
      <w:r w:rsidR="00BC7715">
        <w:rPr>
          <w:noProof/>
        </w:rPr>
        <w:t>ffect</w:t>
      </w:r>
      <w:r>
        <w:rPr>
          <w:noProof/>
        </w:rPr>
        <w:t xml:space="preserve"> productivity improvement in the service sector</w:t>
      </w:r>
      <w:r w:rsidR="00512B75">
        <w:rPr>
          <w:noProof/>
        </w:rPr>
        <w:t xml:space="preserve">, and to </w:t>
      </w:r>
      <w:r w:rsidR="00CA2A7E">
        <w:rPr>
          <w:noProof/>
        </w:rPr>
        <w:t xml:space="preserve">do </w:t>
      </w:r>
      <w:r w:rsidR="00512B75">
        <w:rPr>
          <w:noProof/>
        </w:rPr>
        <w:t>so</w:t>
      </w:r>
      <w:r>
        <w:rPr>
          <w:noProof/>
        </w:rPr>
        <w:t xml:space="preserve"> industry</w:t>
      </w:r>
      <w:r w:rsidR="0035749D">
        <w:rPr>
          <w:noProof/>
        </w:rPr>
        <w:t xml:space="preserve"> </w:t>
      </w:r>
      <w:r>
        <w:rPr>
          <w:noProof/>
        </w:rPr>
        <w:t>by</w:t>
      </w:r>
      <w:r w:rsidR="0035749D">
        <w:rPr>
          <w:noProof/>
        </w:rPr>
        <w:t xml:space="preserve"> </w:t>
      </w:r>
      <w:r>
        <w:rPr>
          <w:noProof/>
        </w:rPr>
        <w:t>industry.</w:t>
      </w:r>
    </w:p>
    <w:p w14:paraId="566D0732" w14:textId="4E0A6D6C" w:rsidR="001F37D1" w:rsidRDefault="001F37D1" w:rsidP="001F37D1">
      <w:pPr>
        <w:pStyle w:val="BodyText"/>
        <w:rPr>
          <w:noProof/>
        </w:rPr>
      </w:pPr>
      <w:r>
        <w:rPr>
          <w:noProof/>
        </w:rPr>
        <w:t>First, the size and impo</w:t>
      </w:r>
      <w:r w:rsidR="00BE6EA1">
        <w:rPr>
          <w:noProof/>
        </w:rPr>
        <w:t>r</w:t>
      </w:r>
      <w:r>
        <w:rPr>
          <w:noProof/>
        </w:rPr>
        <w:t>tance of the sector justifies attention. Like almost all developed nations, Australia is a service-</w:t>
      </w:r>
      <w:r w:rsidR="00BA7221">
        <w:rPr>
          <w:noProof/>
        </w:rPr>
        <w:t xml:space="preserve">intensive </w:t>
      </w:r>
      <w:r>
        <w:rPr>
          <w:noProof/>
        </w:rPr>
        <w:t xml:space="preserve">economy — services employ </w:t>
      </w:r>
      <w:r w:rsidR="0035749D">
        <w:rPr>
          <w:noProof/>
        </w:rPr>
        <w:t xml:space="preserve">almost </w:t>
      </w:r>
      <w:r>
        <w:rPr>
          <w:noProof/>
        </w:rPr>
        <w:t xml:space="preserve">90 per cent of Australian workers and account for </w:t>
      </w:r>
      <w:r w:rsidR="00D1493E">
        <w:rPr>
          <w:noProof/>
        </w:rPr>
        <w:t>around</w:t>
      </w:r>
      <w:r>
        <w:rPr>
          <w:noProof/>
        </w:rPr>
        <w:t xml:space="preserve"> 80 per cent of GDP</w:t>
      </w:r>
      <w:r w:rsidR="00B13310">
        <w:rPr>
          <w:noProof/>
        </w:rPr>
        <w:t xml:space="preserve">. </w:t>
      </w:r>
    </w:p>
    <w:p w14:paraId="2FB9DC1C" w14:textId="755FC62F" w:rsidR="001F37D1" w:rsidRDefault="001F37D1" w:rsidP="001F37D1">
      <w:pPr>
        <w:pStyle w:val="BodyText"/>
        <w:rPr>
          <w:noProof/>
        </w:rPr>
      </w:pPr>
      <w:r>
        <w:rPr>
          <w:noProof/>
        </w:rPr>
        <w:t xml:space="preserve">Second, </w:t>
      </w:r>
      <w:r w:rsidR="00D66DB6">
        <w:rPr>
          <w:noProof/>
        </w:rPr>
        <w:t>the service sector displays</w:t>
      </w:r>
      <w:r>
        <w:rPr>
          <w:noProof/>
        </w:rPr>
        <w:t xml:space="preserve"> great diversity </w:t>
      </w:r>
      <w:r w:rsidR="0081327C">
        <w:rPr>
          <w:noProof/>
        </w:rPr>
        <w:t xml:space="preserve">in </w:t>
      </w:r>
      <w:r w:rsidR="00302D77">
        <w:rPr>
          <w:noProof/>
        </w:rPr>
        <w:t xml:space="preserve">the nature of its </w:t>
      </w:r>
      <w:r w:rsidR="0035749D">
        <w:rPr>
          <w:noProof/>
        </w:rPr>
        <w:t xml:space="preserve">output </w:t>
      </w:r>
      <w:r w:rsidR="00302D77">
        <w:rPr>
          <w:noProof/>
        </w:rPr>
        <w:t>and</w:t>
      </w:r>
      <w:r w:rsidR="0081327C">
        <w:rPr>
          <w:noProof/>
        </w:rPr>
        <w:t xml:space="preserve"> methods of production</w:t>
      </w:r>
      <w:r>
        <w:rPr>
          <w:noProof/>
        </w:rPr>
        <w:t xml:space="preserve">. Services </w:t>
      </w:r>
      <w:r w:rsidR="00BA5F13">
        <w:rPr>
          <w:noProof/>
        </w:rPr>
        <w:t>range</w:t>
      </w:r>
      <w:r>
        <w:rPr>
          <w:noProof/>
        </w:rPr>
        <w:t xml:space="preserve"> from online retail platforms to dentists and accountants, and it does not always make sense to </w:t>
      </w:r>
      <w:r w:rsidR="00714549">
        <w:rPr>
          <w:noProof/>
        </w:rPr>
        <w:t>account for</w:t>
      </w:r>
      <w:r>
        <w:rPr>
          <w:noProof/>
        </w:rPr>
        <w:t xml:space="preserve"> them as a group</w:t>
      </w:r>
      <w:r w:rsidR="005C41D4">
        <w:rPr>
          <w:noProof/>
        </w:rPr>
        <w:t xml:space="preserve"> (box 1</w:t>
      </w:r>
      <w:r w:rsidR="004D169B">
        <w:rPr>
          <w:noProof/>
        </w:rPr>
        <w:t xml:space="preserve"> and</w:t>
      </w:r>
      <w:r w:rsidR="001B7441">
        <w:rPr>
          <w:noProof/>
        </w:rPr>
        <w:t> </w:t>
      </w:r>
      <w:r w:rsidR="004D169B">
        <w:rPr>
          <w:noProof/>
        </w:rPr>
        <w:t>2</w:t>
      </w:r>
      <w:r w:rsidR="005C41D4">
        <w:rPr>
          <w:noProof/>
        </w:rPr>
        <w:t>)</w:t>
      </w:r>
      <w:r>
        <w:rPr>
          <w:noProof/>
        </w:rPr>
        <w:t>.</w:t>
      </w:r>
      <w:r w:rsidR="00201ABD">
        <w:rPr>
          <w:noProof/>
        </w:rPr>
        <w:t xml:space="preserve"> For</w:t>
      </w:r>
      <w:r w:rsidR="005A2FA9">
        <w:rPr>
          <w:noProof/>
        </w:rPr>
        <w:t xml:space="preserve"> this reason, deeper analysis at an industry level </w:t>
      </w:r>
      <w:r w:rsidR="005A567E">
        <w:rPr>
          <w:noProof/>
        </w:rPr>
        <w:t xml:space="preserve">can </w:t>
      </w:r>
      <w:r w:rsidR="00547FF8">
        <w:rPr>
          <w:noProof/>
        </w:rPr>
        <w:t xml:space="preserve">shed light on possible </w:t>
      </w:r>
      <w:r w:rsidR="005A2FA9">
        <w:rPr>
          <w:noProof/>
        </w:rPr>
        <w:t>drivers of, barriers against and opportunties for service sector innovation.</w:t>
      </w:r>
      <w:r>
        <w:rPr>
          <w:noProof/>
        </w:rPr>
        <w:t xml:space="preserve"> Morever, the</w:t>
      </w:r>
      <w:r w:rsidR="002E7D3D">
        <w:rPr>
          <w:noProof/>
        </w:rPr>
        <w:t>re are</w:t>
      </w:r>
      <w:r>
        <w:rPr>
          <w:noProof/>
        </w:rPr>
        <w:t xml:space="preserve"> measurement issues </w:t>
      </w:r>
      <w:r w:rsidR="00CF3E08">
        <w:rPr>
          <w:noProof/>
        </w:rPr>
        <w:t>that</w:t>
      </w:r>
      <w:r w:rsidR="001B2BEF">
        <w:rPr>
          <w:noProof/>
        </w:rPr>
        <w:t xml:space="preserve"> mean output estimates </w:t>
      </w:r>
      <w:r w:rsidR="00CF3E08">
        <w:rPr>
          <w:noProof/>
        </w:rPr>
        <w:t>can</w:t>
      </w:r>
      <w:r w:rsidR="001B2BEF">
        <w:rPr>
          <w:noProof/>
        </w:rPr>
        <w:t xml:space="preserve"> </w:t>
      </w:r>
      <w:r w:rsidR="00881F45">
        <w:rPr>
          <w:noProof/>
        </w:rPr>
        <w:t>sometimes</w:t>
      </w:r>
      <w:r w:rsidR="001B2BEF">
        <w:rPr>
          <w:noProof/>
        </w:rPr>
        <w:t xml:space="preserve"> </w:t>
      </w:r>
      <w:r w:rsidR="00735F61">
        <w:rPr>
          <w:noProof/>
        </w:rPr>
        <w:t>be</w:t>
      </w:r>
      <w:r w:rsidR="001B2BEF">
        <w:rPr>
          <w:noProof/>
        </w:rPr>
        <w:t xml:space="preserve"> a misleading </w:t>
      </w:r>
      <w:r w:rsidR="00735F61">
        <w:rPr>
          <w:noProof/>
        </w:rPr>
        <w:t>ind</w:t>
      </w:r>
      <w:r w:rsidR="0052073D">
        <w:rPr>
          <w:noProof/>
        </w:rPr>
        <w:t>i</w:t>
      </w:r>
      <w:r w:rsidR="00735F61">
        <w:rPr>
          <w:noProof/>
        </w:rPr>
        <w:t>cator</w:t>
      </w:r>
      <w:r w:rsidR="001B2BEF">
        <w:rPr>
          <w:noProof/>
        </w:rPr>
        <w:t xml:space="preserve"> of economic activity</w:t>
      </w:r>
      <w:r>
        <w:rPr>
          <w:noProof/>
        </w:rPr>
        <w:t xml:space="preserve">. </w:t>
      </w:r>
      <w:r w:rsidR="00547FF8">
        <w:rPr>
          <w:noProof/>
        </w:rPr>
        <w:t>T</w:t>
      </w:r>
      <w:r w:rsidR="00CF3E08">
        <w:rPr>
          <w:noProof/>
        </w:rPr>
        <w:t>hese issues tend to be industry specific</w:t>
      </w:r>
      <w:r w:rsidR="00E024C9">
        <w:rPr>
          <w:noProof/>
        </w:rPr>
        <w:t xml:space="preserve">: </w:t>
      </w:r>
      <w:r w:rsidR="00634258">
        <w:rPr>
          <w:noProof/>
        </w:rPr>
        <w:t>the</w:t>
      </w:r>
      <w:r w:rsidR="0068050D">
        <w:rPr>
          <w:noProof/>
        </w:rPr>
        <w:t xml:space="preserve"> </w:t>
      </w:r>
      <w:r>
        <w:rPr>
          <w:noProof/>
        </w:rPr>
        <w:t>conflati</w:t>
      </w:r>
      <w:r w:rsidR="0068050D">
        <w:rPr>
          <w:noProof/>
        </w:rPr>
        <w:t>on</w:t>
      </w:r>
      <w:r>
        <w:rPr>
          <w:noProof/>
        </w:rPr>
        <w:t xml:space="preserve"> of market risk premiums with genuine value</w:t>
      </w:r>
      <w:r>
        <w:rPr>
          <w:noProof/>
        </w:rPr>
        <w:noBreakHyphen/>
        <w:t>add</w:t>
      </w:r>
      <w:r w:rsidR="00AE7AA5">
        <w:rPr>
          <w:noProof/>
        </w:rPr>
        <w:t xml:space="preserve"> in finance</w:t>
      </w:r>
      <w:r w:rsidR="009A36D5">
        <w:rPr>
          <w:noProof/>
        </w:rPr>
        <w:t>,</w:t>
      </w:r>
      <w:r>
        <w:rPr>
          <w:noProof/>
        </w:rPr>
        <w:t xml:space="preserve"> </w:t>
      </w:r>
      <w:r w:rsidR="00516F54">
        <w:rPr>
          <w:noProof/>
        </w:rPr>
        <w:t>or</w:t>
      </w:r>
      <w:r w:rsidR="005740E3">
        <w:rPr>
          <w:noProof/>
        </w:rPr>
        <w:t xml:space="preserve"> the rapid ob</w:t>
      </w:r>
      <w:r w:rsidR="009A36D5">
        <w:rPr>
          <w:noProof/>
        </w:rPr>
        <w:t>sol</w:t>
      </w:r>
      <w:r w:rsidR="005740E3">
        <w:rPr>
          <w:noProof/>
        </w:rPr>
        <w:t>e</w:t>
      </w:r>
      <w:r w:rsidR="009A36D5">
        <w:rPr>
          <w:noProof/>
        </w:rPr>
        <w:t>s</w:t>
      </w:r>
      <w:r w:rsidR="005740E3">
        <w:rPr>
          <w:noProof/>
        </w:rPr>
        <w:t>cence of old products</w:t>
      </w:r>
      <w:r>
        <w:rPr>
          <w:noProof/>
        </w:rPr>
        <w:t xml:space="preserve"> </w:t>
      </w:r>
      <w:r w:rsidR="005740E3">
        <w:rPr>
          <w:noProof/>
        </w:rPr>
        <w:t>and creation of new ones</w:t>
      </w:r>
      <w:r w:rsidR="00AE7AA5">
        <w:rPr>
          <w:noProof/>
        </w:rPr>
        <w:t xml:space="preserve"> in information technology</w:t>
      </w:r>
      <w:r w:rsidR="0035749D">
        <w:rPr>
          <w:noProof/>
        </w:rPr>
        <w:t>,</w:t>
      </w:r>
      <w:r w:rsidR="00E024C9">
        <w:rPr>
          <w:noProof/>
        </w:rPr>
        <w:t xml:space="preserve"> for example</w:t>
      </w:r>
      <w:r w:rsidR="005740E3">
        <w:rPr>
          <w:noProof/>
        </w:rPr>
        <w:t xml:space="preserve">. </w:t>
      </w:r>
    </w:p>
    <w:p w14:paraId="083DFAF0" w14:textId="359025BA" w:rsidR="001F37D1" w:rsidRDefault="001F37D1" w:rsidP="001F37D1">
      <w:pPr>
        <w:pStyle w:val="BodyText"/>
        <w:rPr>
          <w:noProof/>
        </w:rPr>
      </w:pPr>
      <w:r>
        <w:rPr>
          <w:noProof/>
        </w:rPr>
        <w:t>Third, the COVID</w:t>
      </w:r>
      <w:r>
        <w:rPr>
          <w:noProof/>
        </w:rPr>
        <w:noBreakHyphen/>
        <w:t xml:space="preserve">19 pandemic has been especially difficult for the service sector. </w:t>
      </w:r>
      <w:r w:rsidR="00942E57">
        <w:rPr>
          <w:noProof/>
        </w:rPr>
        <w:t xml:space="preserve">Behavioral changes </w:t>
      </w:r>
      <w:r w:rsidR="000F02BE">
        <w:rPr>
          <w:noProof/>
        </w:rPr>
        <w:t xml:space="preserve">in response to the pandemic </w:t>
      </w:r>
      <w:r w:rsidR="00165CD3">
        <w:rPr>
          <w:noProof/>
        </w:rPr>
        <w:t xml:space="preserve">along </w:t>
      </w:r>
      <w:r w:rsidR="00FD5D38">
        <w:rPr>
          <w:noProof/>
        </w:rPr>
        <w:t>with</w:t>
      </w:r>
      <w:r w:rsidR="00942E57">
        <w:rPr>
          <w:noProof/>
        </w:rPr>
        <w:t xml:space="preserve"> </w:t>
      </w:r>
      <w:r w:rsidR="000F02BE">
        <w:rPr>
          <w:noProof/>
        </w:rPr>
        <w:t xml:space="preserve">mandatory closures </w:t>
      </w:r>
      <w:r w:rsidR="00942E57">
        <w:rPr>
          <w:noProof/>
        </w:rPr>
        <w:t>h</w:t>
      </w:r>
      <w:r w:rsidR="00201890">
        <w:rPr>
          <w:noProof/>
        </w:rPr>
        <w:t>a</w:t>
      </w:r>
      <w:r w:rsidR="00942E57">
        <w:rPr>
          <w:noProof/>
        </w:rPr>
        <w:t xml:space="preserve">ve reduced </w:t>
      </w:r>
      <w:r>
        <w:rPr>
          <w:noProof/>
        </w:rPr>
        <w:t>face</w:t>
      </w:r>
      <w:r w:rsidR="125F680A">
        <w:rPr>
          <w:noProof/>
        </w:rPr>
        <w:t>-</w:t>
      </w:r>
      <w:r>
        <w:rPr>
          <w:noProof/>
        </w:rPr>
        <w:t>to</w:t>
      </w:r>
      <w:r w:rsidR="0CBE011D" w:rsidRPr="7D016EE4">
        <w:rPr>
          <w:noProof/>
        </w:rPr>
        <w:t>-</w:t>
      </w:r>
      <w:r w:rsidR="00853A66">
        <w:rPr>
          <w:noProof/>
        </w:rPr>
        <w:t>f</w:t>
      </w:r>
      <w:r>
        <w:rPr>
          <w:noProof/>
        </w:rPr>
        <w:t xml:space="preserve">ace interactions, </w:t>
      </w:r>
      <w:r w:rsidR="000A1A0E">
        <w:rPr>
          <w:noProof/>
        </w:rPr>
        <w:t>greatly increased the tendency to</w:t>
      </w:r>
      <w:r>
        <w:rPr>
          <w:noProof/>
        </w:rPr>
        <w:t xml:space="preserve"> </w:t>
      </w:r>
      <w:r w:rsidR="008437D7">
        <w:rPr>
          <w:noProof/>
        </w:rPr>
        <w:t>work from home</w:t>
      </w:r>
      <w:r>
        <w:rPr>
          <w:noProof/>
        </w:rPr>
        <w:t xml:space="preserve"> and </w:t>
      </w:r>
      <w:r w:rsidR="60B8FD98">
        <w:rPr>
          <w:noProof/>
        </w:rPr>
        <w:t xml:space="preserve">driven down </w:t>
      </w:r>
      <w:r w:rsidR="415CFB97" w:rsidRPr="7D016EE4">
        <w:rPr>
          <w:noProof/>
        </w:rPr>
        <w:t xml:space="preserve">or </w:t>
      </w:r>
      <w:r w:rsidR="60B8FD98" w:rsidRPr="7D016EE4">
        <w:rPr>
          <w:noProof/>
        </w:rPr>
        <w:t>prohibited the use of some tran</w:t>
      </w:r>
      <w:r w:rsidR="27F83173" w:rsidRPr="7D016EE4">
        <w:rPr>
          <w:noProof/>
        </w:rPr>
        <w:t>s</w:t>
      </w:r>
      <w:r w:rsidR="60B8FD98" w:rsidRPr="7D016EE4">
        <w:rPr>
          <w:noProof/>
        </w:rPr>
        <w:t>port</w:t>
      </w:r>
      <w:r w:rsidR="4DD77972" w:rsidRPr="7D016EE4">
        <w:rPr>
          <w:noProof/>
        </w:rPr>
        <w:t xml:space="preserve"> services</w:t>
      </w:r>
      <w:r w:rsidR="00306045">
        <w:rPr>
          <w:noProof/>
        </w:rPr>
        <w:t>. This</w:t>
      </w:r>
      <w:r w:rsidDel="00222443">
        <w:rPr>
          <w:noProof/>
        </w:rPr>
        <w:t xml:space="preserve"> </w:t>
      </w:r>
      <w:r w:rsidR="00222443">
        <w:rPr>
          <w:noProof/>
        </w:rPr>
        <w:t>has</w:t>
      </w:r>
      <w:r>
        <w:rPr>
          <w:noProof/>
        </w:rPr>
        <w:t xml:space="preserve"> </w:t>
      </w:r>
      <w:r w:rsidR="00296EFE">
        <w:rPr>
          <w:noProof/>
        </w:rPr>
        <w:t xml:space="preserve">translated to </w:t>
      </w:r>
      <w:r w:rsidR="00CA2B1C">
        <w:rPr>
          <w:noProof/>
        </w:rPr>
        <w:t xml:space="preserve">signficantly </w:t>
      </w:r>
      <w:r w:rsidR="00296EFE">
        <w:rPr>
          <w:noProof/>
        </w:rPr>
        <w:t>lower</w:t>
      </w:r>
      <w:r w:rsidR="00CA2B1C">
        <w:rPr>
          <w:noProof/>
        </w:rPr>
        <w:t xml:space="preserve"> </w:t>
      </w:r>
      <w:r>
        <w:rPr>
          <w:noProof/>
        </w:rPr>
        <w:t>demand for m</w:t>
      </w:r>
      <w:r w:rsidR="00CA2B1C">
        <w:rPr>
          <w:noProof/>
        </w:rPr>
        <w:t>any</w:t>
      </w:r>
      <w:r>
        <w:rPr>
          <w:noProof/>
        </w:rPr>
        <w:t xml:space="preserve"> services, particularly personal services (hospitality, accom</w:t>
      </w:r>
      <w:r w:rsidR="00313008">
        <w:rPr>
          <w:noProof/>
        </w:rPr>
        <w:t>m</w:t>
      </w:r>
      <w:r>
        <w:rPr>
          <w:noProof/>
        </w:rPr>
        <w:t>odation, and recreation) and retail</w:t>
      </w:r>
      <w:r w:rsidR="00456F89">
        <w:rPr>
          <w:noProof/>
        </w:rPr>
        <w:t xml:space="preserve"> services</w:t>
      </w:r>
      <w:r>
        <w:rPr>
          <w:noProof/>
        </w:rPr>
        <w:t xml:space="preserve">. </w:t>
      </w:r>
      <w:r w:rsidRPr="00947404">
        <w:t xml:space="preserve">Between </w:t>
      </w:r>
      <w:r w:rsidR="00937135" w:rsidRPr="00947404">
        <w:t>March</w:t>
      </w:r>
      <w:r w:rsidRPr="00947404">
        <w:t xml:space="preserve"> and </w:t>
      </w:r>
      <w:r w:rsidR="00937135" w:rsidRPr="00947404">
        <w:t>October 2020</w:t>
      </w:r>
      <w:r w:rsidRPr="00947404">
        <w:t>,</w:t>
      </w:r>
      <w:r w:rsidR="00A84ED8" w:rsidRPr="00947404">
        <w:t xml:space="preserve"> the</w:t>
      </w:r>
      <w:r w:rsidRPr="00947404">
        <w:t xml:space="preserve"> personal services</w:t>
      </w:r>
      <w:r w:rsidR="00A84ED8" w:rsidRPr="00947404">
        <w:t xml:space="preserve"> sector</w:t>
      </w:r>
      <w:r w:rsidRPr="00947404">
        <w:t xml:space="preserve"> collectively lost over 20 per cent of its workforce and, although it has recovered </w:t>
      </w:r>
      <w:r w:rsidR="00937135" w:rsidRPr="00947404">
        <w:t>significantly</w:t>
      </w:r>
      <w:r w:rsidRPr="00947404">
        <w:t xml:space="preserve"> since, </w:t>
      </w:r>
      <w:r w:rsidR="001D0B45">
        <w:t xml:space="preserve">employment </w:t>
      </w:r>
      <w:r w:rsidR="00201890">
        <w:t xml:space="preserve">remains </w:t>
      </w:r>
      <w:r w:rsidR="00C756B2" w:rsidRPr="00947404">
        <w:t>12</w:t>
      </w:r>
      <w:r w:rsidRPr="00947404">
        <w:t> per cent below pre</w:t>
      </w:r>
      <w:r w:rsidRPr="00947404">
        <w:noBreakHyphen/>
        <w:t xml:space="preserve">COVID levels </w:t>
      </w:r>
      <w:r w:rsidR="004A563E" w:rsidRPr="00947404">
        <w:t xml:space="preserve">(figure 1) </w:t>
      </w:r>
      <w:r w:rsidR="00966931" w:rsidRPr="00966931">
        <w:rPr>
          <w:szCs w:val="24"/>
        </w:rPr>
        <w:t>(ABS 2020d, 2020f)</w:t>
      </w:r>
      <w:r w:rsidRPr="00947404">
        <w:t>.</w:t>
      </w:r>
      <w:r>
        <w:rPr>
          <w:noProof/>
        </w:rPr>
        <w:t xml:space="preserve"> </w:t>
      </w:r>
      <w:r w:rsidR="001D1FF2">
        <w:rPr>
          <w:noProof/>
        </w:rPr>
        <w:t>Some of the pandemic</w:t>
      </w:r>
      <w:r w:rsidR="004119BF">
        <w:rPr>
          <w:noProof/>
        </w:rPr>
        <w:noBreakHyphen/>
      </w:r>
      <w:r w:rsidR="001D1FF2">
        <w:rPr>
          <w:noProof/>
        </w:rPr>
        <w:t>induced changes</w:t>
      </w:r>
      <w:r w:rsidR="00E32396">
        <w:rPr>
          <w:noProof/>
        </w:rPr>
        <w:t>, such as</w:t>
      </w:r>
      <w:r w:rsidR="001D1FF2" w:rsidDel="00E32396">
        <w:rPr>
          <w:noProof/>
        </w:rPr>
        <w:t xml:space="preserve"> </w:t>
      </w:r>
      <w:r w:rsidR="00E32396">
        <w:rPr>
          <w:noProof/>
        </w:rPr>
        <w:t>increased use of food delivery and online healthcare,</w:t>
      </w:r>
      <w:r w:rsidR="001D1FF2">
        <w:rPr>
          <w:noProof/>
        </w:rPr>
        <w:t xml:space="preserve"> may become permanent, </w:t>
      </w:r>
      <w:r w:rsidR="00E32396">
        <w:rPr>
          <w:noProof/>
        </w:rPr>
        <w:t>with</w:t>
      </w:r>
      <w:r w:rsidR="001D1FF2">
        <w:rPr>
          <w:noProof/>
        </w:rPr>
        <w:t xml:space="preserve"> significant productivity implications.</w:t>
      </w:r>
    </w:p>
    <w:p w14:paraId="5468327A" w14:textId="6B53B128" w:rsidR="00456F89" w:rsidRPr="004D3D25" w:rsidRDefault="00456F89" w:rsidP="0066243E">
      <w:pPr>
        <w:pStyle w:val="BodyText"/>
        <w:tabs>
          <w:tab w:val="left" w:pos="7344"/>
        </w:tabs>
        <w:rPr>
          <w:spacing w:val="-4"/>
        </w:rPr>
      </w:pPr>
      <w:r w:rsidRPr="004D3D25">
        <w:rPr>
          <w:spacing w:val="-4"/>
        </w:rPr>
        <w:t xml:space="preserve">Fourth, the differences in </w:t>
      </w:r>
      <w:r w:rsidR="009A36D5" w:rsidRPr="004D3D25">
        <w:rPr>
          <w:spacing w:val="-4"/>
        </w:rPr>
        <w:t xml:space="preserve">industry and </w:t>
      </w:r>
      <w:r w:rsidRPr="004D3D25">
        <w:rPr>
          <w:spacing w:val="-4"/>
        </w:rPr>
        <w:t xml:space="preserve">regulation structure typically mean an </w:t>
      </w:r>
      <w:r w:rsidR="77FADC94" w:rsidRPr="004D3D25">
        <w:rPr>
          <w:spacing w:val="-4"/>
        </w:rPr>
        <w:t>economywide</w:t>
      </w:r>
      <w:r w:rsidRPr="004D3D25">
        <w:rPr>
          <w:spacing w:val="-4"/>
        </w:rPr>
        <w:t xml:space="preserve">, ‘cookie cutter’ approach to policymaking is not </w:t>
      </w:r>
      <w:r w:rsidR="00ED1488" w:rsidRPr="004D3D25">
        <w:rPr>
          <w:spacing w:val="-4"/>
        </w:rPr>
        <w:t>necessarily</w:t>
      </w:r>
      <w:r w:rsidRPr="004D3D25">
        <w:rPr>
          <w:spacing w:val="-4"/>
        </w:rPr>
        <w:t xml:space="preserve"> appropriate for many service industries. </w:t>
      </w:r>
      <w:r w:rsidR="002645AF" w:rsidRPr="004D3D25">
        <w:rPr>
          <w:spacing w:val="-4"/>
        </w:rPr>
        <w:t>Although some</w:t>
      </w:r>
      <w:r w:rsidR="005A34AF" w:rsidRPr="004D3D25">
        <w:rPr>
          <w:spacing w:val="-4"/>
        </w:rPr>
        <w:t xml:space="preserve"> policy areas</w:t>
      </w:r>
      <w:r w:rsidRPr="004D3D25">
        <w:rPr>
          <w:spacing w:val="-4"/>
        </w:rPr>
        <w:t xml:space="preserve"> </w:t>
      </w:r>
      <w:r w:rsidR="002645AF" w:rsidRPr="004D3D25">
        <w:rPr>
          <w:spacing w:val="-4"/>
        </w:rPr>
        <w:t>have</w:t>
      </w:r>
      <w:r w:rsidRPr="004D3D25">
        <w:rPr>
          <w:spacing w:val="-4"/>
        </w:rPr>
        <w:t xml:space="preserve"> </w:t>
      </w:r>
      <w:r w:rsidR="77FADC94" w:rsidRPr="004D3D25">
        <w:rPr>
          <w:spacing w:val="-4"/>
        </w:rPr>
        <w:t>economy</w:t>
      </w:r>
      <w:r w:rsidR="004F7A55" w:rsidRPr="004D3D25">
        <w:rPr>
          <w:spacing w:val="-4"/>
        </w:rPr>
        <w:noBreakHyphen/>
      </w:r>
      <w:r w:rsidR="77FADC94" w:rsidRPr="004D3D25">
        <w:rPr>
          <w:spacing w:val="-4"/>
        </w:rPr>
        <w:t>wide</w:t>
      </w:r>
      <w:r w:rsidRPr="004D3D25">
        <w:rPr>
          <w:spacing w:val="-4"/>
        </w:rPr>
        <w:t xml:space="preserve"> </w:t>
      </w:r>
      <w:r w:rsidR="002645AF" w:rsidRPr="004D3D25">
        <w:rPr>
          <w:spacing w:val="-4"/>
        </w:rPr>
        <w:t>implications</w:t>
      </w:r>
      <w:r w:rsidRPr="004D3D25">
        <w:rPr>
          <w:spacing w:val="-4"/>
        </w:rPr>
        <w:t xml:space="preserve"> </w:t>
      </w:r>
      <w:r w:rsidR="005A34AF" w:rsidRPr="004D3D25">
        <w:rPr>
          <w:spacing w:val="-4"/>
        </w:rPr>
        <w:t>(</w:t>
      </w:r>
      <w:r w:rsidRPr="004D3D25">
        <w:rPr>
          <w:spacing w:val="-4"/>
        </w:rPr>
        <w:t>such as industrial relations</w:t>
      </w:r>
      <w:r w:rsidR="00BA1F0D" w:rsidRPr="004D3D25">
        <w:rPr>
          <w:spacing w:val="-4"/>
        </w:rPr>
        <w:t xml:space="preserve"> and taxation</w:t>
      </w:r>
      <w:r w:rsidR="005A34AF" w:rsidRPr="004D3D25">
        <w:rPr>
          <w:spacing w:val="-4"/>
        </w:rPr>
        <w:t>)</w:t>
      </w:r>
      <w:r w:rsidR="002645AF" w:rsidRPr="004D3D25">
        <w:rPr>
          <w:spacing w:val="-4"/>
        </w:rPr>
        <w:t xml:space="preserve">, </w:t>
      </w:r>
      <w:r w:rsidRPr="004D3D25">
        <w:rPr>
          <w:spacing w:val="-4"/>
        </w:rPr>
        <w:t xml:space="preserve">reform </w:t>
      </w:r>
      <w:r w:rsidR="006C65BA" w:rsidRPr="004D3D25">
        <w:rPr>
          <w:spacing w:val="-4"/>
        </w:rPr>
        <w:t xml:space="preserve">of </w:t>
      </w:r>
      <w:r w:rsidRPr="004D3D25">
        <w:rPr>
          <w:spacing w:val="-4"/>
        </w:rPr>
        <w:t xml:space="preserve">many service sector industries </w:t>
      </w:r>
      <w:r w:rsidR="00832A09" w:rsidRPr="004D3D25">
        <w:rPr>
          <w:spacing w:val="-4"/>
        </w:rPr>
        <w:t xml:space="preserve">demands </w:t>
      </w:r>
      <w:r w:rsidRPr="004D3D25">
        <w:rPr>
          <w:spacing w:val="-4"/>
        </w:rPr>
        <w:t xml:space="preserve">a </w:t>
      </w:r>
      <w:r w:rsidR="00B36551" w:rsidRPr="004D3D25">
        <w:rPr>
          <w:spacing w:val="-4"/>
        </w:rPr>
        <w:t xml:space="preserve">more </w:t>
      </w:r>
      <w:r w:rsidRPr="004D3D25">
        <w:rPr>
          <w:spacing w:val="-4"/>
        </w:rPr>
        <w:t>bespoke approach</w:t>
      </w:r>
      <w:r w:rsidR="009A36D5" w:rsidRPr="004D3D25">
        <w:rPr>
          <w:spacing w:val="-4"/>
        </w:rPr>
        <w:t>,</w:t>
      </w:r>
      <w:r w:rsidRPr="004D3D25">
        <w:rPr>
          <w:spacing w:val="-4"/>
        </w:rPr>
        <w:t xml:space="preserve"> requir</w:t>
      </w:r>
      <w:r w:rsidR="009A36D5" w:rsidRPr="004D3D25">
        <w:rPr>
          <w:spacing w:val="-4"/>
        </w:rPr>
        <w:t>ing</w:t>
      </w:r>
      <w:r w:rsidRPr="004D3D25">
        <w:rPr>
          <w:spacing w:val="-4"/>
        </w:rPr>
        <w:t xml:space="preserve"> detailed knowledge of the industry’s structure</w:t>
      </w:r>
      <w:r w:rsidR="00363222" w:rsidRPr="004D3D25">
        <w:rPr>
          <w:spacing w:val="-4"/>
        </w:rPr>
        <w:t xml:space="preserve"> and regulatory environment</w:t>
      </w:r>
      <w:r w:rsidRPr="004D3D25">
        <w:rPr>
          <w:spacing w:val="-4"/>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E3594" w14:paraId="0190CFB3" w14:textId="77777777" w:rsidTr="36E5E979">
        <w:trPr>
          <w:tblHeader/>
        </w:trPr>
        <w:tc>
          <w:tcPr>
            <w:tcW w:w="5000" w:type="pct"/>
            <w:tcBorders>
              <w:top w:val="single" w:sz="6" w:space="0" w:color="78A22F" w:themeColor="accent1"/>
              <w:left w:val="nil"/>
              <w:bottom w:val="nil"/>
              <w:right w:val="nil"/>
            </w:tcBorders>
            <w:shd w:val="clear" w:color="auto" w:fill="auto"/>
          </w:tcPr>
          <w:p w14:paraId="468EF44B" w14:textId="03A963CD" w:rsidR="001E3594" w:rsidRPr="004D3D25" w:rsidRDefault="001E3594" w:rsidP="004C6C88">
            <w:pPr>
              <w:pStyle w:val="FigureTitle"/>
              <w:rPr>
                <w:rFonts w:ascii="Arial Bold" w:hAnsi="Arial Bold"/>
                <w:spacing w:val="-4"/>
              </w:rPr>
            </w:pPr>
            <w:r w:rsidRPr="00784A05">
              <w:rPr>
                <w:b w:val="0"/>
              </w:rPr>
              <w:lastRenderedPageBreak/>
              <w:t xml:space="preserve">Figure </w:t>
            </w:r>
            <w:r w:rsidR="0075746E">
              <w:rPr>
                <w:b w:val="0"/>
                <w:noProof/>
              </w:rPr>
              <w:t>1</w:t>
            </w:r>
            <w:r>
              <w:tab/>
            </w:r>
            <w:r w:rsidRPr="004D3D25">
              <w:rPr>
                <w:rFonts w:ascii="Arial Bold" w:hAnsi="Arial Bold"/>
                <w:spacing w:val="-4"/>
              </w:rPr>
              <w:t>COVID</w:t>
            </w:r>
            <w:r w:rsidR="00363222" w:rsidRPr="004D3D25">
              <w:rPr>
                <w:rFonts w:ascii="Arial Bold" w:hAnsi="Arial Bold"/>
                <w:spacing w:val="-4"/>
              </w:rPr>
              <w:noBreakHyphen/>
              <w:t>19</w:t>
            </w:r>
            <w:r w:rsidRPr="004D3D25">
              <w:rPr>
                <w:rFonts w:ascii="Arial Bold" w:hAnsi="Arial Bold"/>
                <w:spacing w:val="-4"/>
              </w:rPr>
              <w:t xml:space="preserve"> restrictions disproportiona</w:t>
            </w:r>
            <w:r w:rsidR="00F4269B" w:rsidRPr="004D3D25">
              <w:rPr>
                <w:rFonts w:ascii="Arial Bold" w:hAnsi="Arial Bold"/>
                <w:spacing w:val="-4"/>
              </w:rPr>
              <w:t>tely</w:t>
            </w:r>
            <w:r w:rsidRPr="004D3D25">
              <w:rPr>
                <w:rFonts w:ascii="Arial Bold" w:hAnsi="Arial Bold"/>
                <w:spacing w:val="-4"/>
              </w:rPr>
              <w:t xml:space="preserve"> hit personal services</w:t>
            </w:r>
          </w:p>
          <w:p w14:paraId="753EB41E" w14:textId="04C042BF" w:rsidR="001E3594" w:rsidRPr="00176D3F" w:rsidRDefault="001E3594" w:rsidP="004C6C88">
            <w:pPr>
              <w:pStyle w:val="Subtitle"/>
            </w:pPr>
            <w:r>
              <w:t xml:space="preserve">Index of total number of employees from March to </w:t>
            </w:r>
            <w:r w:rsidR="00963D50">
              <w:t xml:space="preserve">February </w:t>
            </w:r>
            <w:r>
              <w:t>2020 (100</w:t>
            </w:r>
            <w:r w:rsidR="005571FB">
              <w:t> </w:t>
            </w:r>
            <w:r>
              <w:t>=</w:t>
            </w:r>
            <w:r w:rsidR="005571FB">
              <w:t> </w:t>
            </w:r>
            <w:r>
              <w:t>March</w:t>
            </w:r>
            <w:r w:rsidR="005571FB">
              <w:t> </w:t>
            </w:r>
            <w:r>
              <w:t>14)</w:t>
            </w:r>
            <w:r w:rsidR="00B44716" w:rsidRPr="008E77FE">
              <w:rPr>
                <w:rStyle w:val="NoteLabel"/>
              </w:rPr>
              <w:t>a</w:t>
            </w:r>
          </w:p>
        </w:tc>
      </w:tr>
      <w:tr w:rsidR="001E3594" w14:paraId="603C848A"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E3594" w:rsidRPr="00B1465D" w14:paraId="6969EC9B" w14:textId="77777777" w:rsidTr="36E5E979">
              <w:trPr>
                <w:tblHeader/>
                <w:jc w:val="center"/>
              </w:trPr>
              <w:tc>
                <w:tcPr>
                  <w:tcW w:w="5000" w:type="pct"/>
                  <w:tcBorders>
                    <w:top w:val="nil"/>
                    <w:bottom w:val="nil"/>
                  </w:tcBorders>
                </w:tcPr>
                <w:p w14:paraId="2B7CAF9D" w14:textId="2D43A69D" w:rsidR="001E3594" w:rsidRPr="00B1465D" w:rsidRDefault="007D3C80" w:rsidP="004C6C88">
                  <w:pPr>
                    <w:pStyle w:val="Figure"/>
                    <w:spacing w:before="60" w:after="60"/>
                    <w:rPr>
                      <w:rFonts w:ascii="Tahoma" w:hAnsi="Tahoma" w:cs="Tahoma"/>
                      <w:sz w:val="18"/>
                      <w:szCs w:val="18"/>
                    </w:rPr>
                  </w:pPr>
                  <w:r>
                    <w:rPr>
                      <w:noProof/>
                    </w:rPr>
                    <w:drawing>
                      <wp:inline distT="0" distB="0" distL="0" distR="0" wp14:anchorId="175B92B4" wp14:editId="492EB03B">
                        <wp:extent cx="5399998" cy="2884235"/>
                        <wp:effectExtent l="0" t="0" r="0" b="0"/>
                        <wp:docPr id="26" name="Graphic 26" descr="Indexes of employment across industry categories show all industries had lower employment levels at the start of the pandemic however personal services had substantially more job losses. Personal services have recovered but are yet to return to pre-pandemic employmen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20">
                                  <a:extLst>
                                    <a:ext uri="{96DAC541-7B7A-43D3-8B79-37D633B846F1}">
                                      <asvg:svgBlip xmlns:asvg="http://schemas.microsoft.com/office/drawing/2016/SVG/main" r:embed="rId21"/>
                                    </a:ext>
                                  </a:extLst>
                                </a:blip>
                                <a:stretch>
                                  <a:fillRect/>
                                </a:stretch>
                              </pic:blipFill>
                              <pic:spPr>
                                <a:xfrm>
                                  <a:off x="0" y="0"/>
                                  <a:ext cx="5399998" cy="2884235"/>
                                </a:xfrm>
                                <a:prstGeom prst="rect">
                                  <a:avLst/>
                                </a:prstGeom>
                              </pic:spPr>
                            </pic:pic>
                          </a:graphicData>
                        </a:graphic>
                      </wp:inline>
                    </w:drawing>
                  </w:r>
                </w:p>
              </w:tc>
            </w:tr>
          </w:tbl>
          <w:p w14:paraId="1FA6E218" w14:textId="77777777" w:rsidR="001E3594" w:rsidRDefault="001E3594" w:rsidP="004C6C88">
            <w:pPr>
              <w:pStyle w:val="Figure"/>
            </w:pPr>
          </w:p>
        </w:tc>
      </w:tr>
      <w:tr w:rsidR="007540D6" w:rsidRPr="00176D3F" w14:paraId="11C1E051" w14:textId="77777777" w:rsidTr="36E5E979">
        <w:tc>
          <w:tcPr>
            <w:tcW w:w="5000" w:type="pct"/>
            <w:tcBorders>
              <w:top w:val="nil"/>
              <w:left w:val="nil"/>
              <w:bottom w:val="nil"/>
              <w:right w:val="nil"/>
            </w:tcBorders>
            <w:shd w:val="clear" w:color="auto" w:fill="auto"/>
          </w:tcPr>
          <w:p w14:paraId="7480F19C" w14:textId="2089C754" w:rsidR="007540D6" w:rsidRDefault="004C1149" w:rsidP="004C6C88">
            <w:pPr>
              <w:pStyle w:val="Source"/>
              <w:rPr>
                <w:i/>
              </w:rPr>
            </w:pPr>
            <w:r>
              <w:rPr>
                <w:rStyle w:val="NoteLabel"/>
              </w:rPr>
              <w:t xml:space="preserve">a </w:t>
            </w:r>
            <w:proofErr w:type="gramStart"/>
            <w:r w:rsidR="00E53443">
              <w:t>Recent declines</w:t>
            </w:r>
            <w:proofErr w:type="gramEnd"/>
            <w:r w:rsidR="00E53443">
              <w:t xml:space="preserve"> in employment </w:t>
            </w:r>
            <w:r w:rsidR="002B4ACF">
              <w:t>series do not necessarily indicate</w:t>
            </w:r>
            <w:r w:rsidR="00F257D6">
              <w:t xml:space="preserve"> </w:t>
            </w:r>
            <w:r w:rsidR="00090094">
              <w:t xml:space="preserve">unexpected </w:t>
            </w:r>
            <w:r w:rsidR="00F257D6">
              <w:t>systemic job losses. The source ABS data series is not yet trend adjusted and includes quirks of its source administrative dat</w:t>
            </w:r>
            <w:r w:rsidR="00E67C15">
              <w:t>a</w:t>
            </w:r>
            <w:r w:rsidR="00F257D6">
              <w:t xml:space="preserve">. </w:t>
            </w:r>
            <w:r w:rsidR="00E636A9">
              <w:t xml:space="preserve">This year end period likely captures the </w:t>
            </w:r>
            <w:r w:rsidR="000726FC">
              <w:t xml:space="preserve">joint </w:t>
            </w:r>
            <w:r w:rsidR="00E636A9">
              <w:t xml:space="preserve">effects of </w:t>
            </w:r>
            <w:r w:rsidR="001E5C4C">
              <w:t xml:space="preserve">concluding </w:t>
            </w:r>
            <w:r w:rsidR="007A5D35">
              <w:t xml:space="preserve">Christmas </w:t>
            </w:r>
            <w:r w:rsidR="007A082D">
              <w:t xml:space="preserve">hires, </w:t>
            </w:r>
            <w:r w:rsidR="000726FC">
              <w:t>school holidays, public holidays</w:t>
            </w:r>
            <w:r w:rsidR="005E360F">
              <w:t xml:space="preserve"> and lower business activity for some industries. </w:t>
            </w:r>
          </w:p>
        </w:tc>
      </w:tr>
      <w:tr w:rsidR="001E3594" w:rsidRPr="00176D3F" w14:paraId="0A7693F7" w14:textId="77777777" w:rsidTr="36E5E979">
        <w:tc>
          <w:tcPr>
            <w:tcW w:w="5000" w:type="pct"/>
            <w:tcBorders>
              <w:top w:val="nil"/>
              <w:left w:val="nil"/>
              <w:bottom w:val="nil"/>
              <w:right w:val="nil"/>
            </w:tcBorders>
            <w:shd w:val="clear" w:color="auto" w:fill="auto"/>
          </w:tcPr>
          <w:p w14:paraId="32232CB3" w14:textId="75BBD69E" w:rsidR="001E3594" w:rsidRPr="00176D3F" w:rsidRDefault="003632E4" w:rsidP="004C6C88">
            <w:pPr>
              <w:pStyle w:val="Source"/>
            </w:pPr>
            <w:r>
              <w:rPr>
                <w:i/>
              </w:rPr>
              <w:t>S</w:t>
            </w:r>
            <w:r w:rsidR="001E3594" w:rsidRPr="00784A05">
              <w:rPr>
                <w:i/>
              </w:rPr>
              <w:t>ource</w:t>
            </w:r>
            <w:r w:rsidR="007D0FE8">
              <w:rPr>
                <w:i/>
              </w:rPr>
              <w:t>s</w:t>
            </w:r>
            <w:r w:rsidR="001E3594" w:rsidRPr="00176D3F">
              <w:t xml:space="preserve">: </w:t>
            </w:r>
            <w:r w:rsidR="00BE0FC9">
              <w:t>ABS (</w:t>
            </w:r>
            <w:r w:rsidR="006B39FB">
              <w:rPr>
                <w:i/>
                <w:iCs/>
              </w:rPr>
              <w:t>Labour Force, Australia</w:t>
            </w:r>
            <w:r w:rsidR="00BE0FC9">
              <w:t>,</w:t>
            </w:r>
            <w:r w:rsidR="007D0FE8">
              <w:t xml:space="preserve"> </w:t>
            </w:r>
            <w:r w:rsidR="00BE0FC9">
              <w:t>Cat</w:t>
            </w:r>
            <w:r w:rsidR="00BE0FC9">
              <w:rPr>
                <w:sz w:val="20"/>
                <w:szCs w:val="22"/>
              </w:rPr>
              <w:t> no. </w:t>
            </w:r>
            <w:r w:rsidR="006B39FB" w:rsidRPr="009E08ED">
              <w:t>6291.0.55.001</w:t>
            </w:r>
            <w:r w:rsidR="00BE0FC9">
              <w:rPr>
                <w:sz w:val="20"/>
                <w:szCs w:val="22"/>
              </w:rPr>
              <w:t>, table </w:t>
            </w:r>
            <w:r w:rsidR="005116F8">
              <w:rPr>
                <w:sz w:val="20"/>
                <w:szCs w:val="22"/>
              </w:rPr>
              <w:t>4</w:t>
            </w:r>
            <w:r w:rsidR="006220FA">
              <w:rPr>
                <w:sz w:val="20"/>
                <w:szCs w:val="22"/>
              </w:rPr>
              <w:t>;</w:t>
            </w:r>
            <w:r>
              <w:rPr>
                <w:sz w:val="20"/>
                <w:szCs w:val="22"/>
              </w:rPr>
              <w:t xml:space="preserve"> </w:t>
            </w:r>
            <w:r w:rsidR="00907C76">
              <w:rPr>
                <w:i/>
                <w:iCs/>
              </w:rPr>
              <w:t>Weekly Payroll Jobs and Wages in Australia</w:t>
            </w:r>
            <w:r>
              <w:t>, Cat</w:t>
            </w:r>
            <w:r>
              <w:rPr>
                <w:sz w:val="20"/>
                <w:szCs w:val="22"/>
              </w:rPr>
              <w:t> no. </w:t>
            </w:r>
            <w:r w:rsidR="007D0FE8" w:rsidRPr="008F7805">
              <w:t>6160.0.55.001</w:t>
            </w:r>
            <w:r>
              <w:rPr>
                <w:sz w:val="20"/>
                <w:szCs w:val="22"/>
              </w:rPr>
              <w:t>, table </w:t>
            </w:r>
            <w:r w:rsidR="007D0FE8">
              <w:rPr>
                <w:sz w:val="20"/>
                <w:szCs w:val="22"/>
              </w:rPr>
              <w:t>3</w:t>
            </w:r>
            <w:r w:rsidR="00BE0FC9">
              <w:rPr>
                <w:sz w:val="20"/>
                <w:szCs w:val="22"/>
              </w:rPr>
              <w:t>)</w:t>
            </w:r>
            <w:r w:rsidR="007D0FE8">
              <w:rPr>
                <w:sz w:val="20"/>
                <w:szCs w:val="22"/>
              </w:rPr>
              <w:t>.</w:t>
            </w:r>
            <w:r w:rsidR="001E3594">
              <w:t xml:space="preserve"> </w:t>
            </w:r>
          </w:p>
        </w:tc>
      </w:tr>
      <w:tr w:rsidR="001E3594" w14:paraId="4C8FA1AF" w14:textId="77777777" w:rsidTr="36E5E979">
        <w:tc>
          <w:tcPr>
            <w:tcW w:w="5000" w:type="pct"/>
            <w:tcBorders>
              <w:top w:val="nil"/>
              <w:left w:val="nil"/>
              <w:bottom w:val="single" w:sz="6" w:space="0" w:color="78A22F" w:themeColor="accent1"/>
              <w:right w:val="nil"/>
            </w:tcBorders>
            <w:shd w:val="clear" w:color="auto" w:fill="auto"/>
          </w:tcPr>
          <w:p w14:paraId="02172268" w14:textId="77777777" w:rsidR="001E3594" w:rsidRDefault="001E3594" w:rsidP="004C6C88">
            <w:pPr>
              <w:pStyle w:val="Figurespace"/>
            </w:pPr>
          </w:p>
        </w:tc>
      </w:tr>
      <w:tr w:rsidR="001E3594" w:rsidRPr="000863A5" w14:paraId="0A9ADCFF" w14:textId="77777777" w:rsidTr="36E5E979">
        <w:tc>
          <w:tcPr>
            <w:tcW w:w="5000" w:type="pct"/>
            <w:tcBorders>
              <w:top w:val="single" w:sz="6" w:space="0" w:color="78A22F" w:themeColor="accent1"/>
              <w:left w:val="nil"/>
              <w:bottom w:val="nil"/>
              <w:right w:val="nil"/>
            </w:tcBorders>
          </w:tcPr>
          <w:p w14:paraId="3D3A8F5E" w14:textId="2BC24983" w:rsidR="001E3594" w:rsidRPr="00626D32" w:rsidRDefault="001E3594" w:rsidP="004C6C88">
            <w:pPr>
              <w:pStyle w:val="BoxSpaceBelow"/>
            </w:pPr>
          </w:p>
        </w:tc>
      </w:tr>
    </w:tbl>
    <w:p w14:paraId="22162655" w14:textId="77777777" w:rsidR="006B1FB7" w:rsidRPr="006B1FB7" w:rsidRDefault="006B1FB7" w:rsidP="0035178E">
      <w:pPr>
        <w:pStyle w:val="BodyText"/>
      </w:pPr>
    </w:p>
    <w:p w14:paraId="273C90F9" w14:textId="0AB62C79" w:rsidR="00E14570" w:rsidRDefault="00E1457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14570" w14:paraId="6111C24F" w14:textId="77777777" w:rsidTr="004F68AB">
        <w:trPr>
          <w:tblHeader/>
        </w:trPr>
        <w:tc>
          <w:tcPr>
            <w:tcW w:w="5000" w:type="pct"/>
            <w:tcBorders>
              <w:top w:val="single" w:sz="6" w:space="0" w:color="78A22F"/>
              <w:left w:val="nil"/>
              <w:bottom w:val="nil"/>
              <w:right w:val="nil"/>
            </w:tcBorders>
            <w:shd w:val="clear" w:color="auto" w:fill="F2F2F2"/>
          </w:tcPr>
          <w:p w14:paraId="59926AA3" w14:textId="4C8861C9" w:rsidR="00E14570" w:rsidRDefault="00E14570">
            <w:pPr>
              <w:pStyle w:val="BoxTitle"/>
            </w:pPr>
            <w:r>
              <w:rPr>
                <w:b w:val="0"/>
              </w:rPr>
              <w:t xml:space="preserve">Box </w:t>
            </w:r>
            <w:r>
              <w:rPr>
                <w:b w:val="0"/>
                <w:noProof/>
              </w:rPr>
              <w:t>1</w:t>
            </w:r>
            <w:r>
              <w:tab/>
            </w:r>
            <w:r w:rsidR="001A1293">
              <w:t>What is a service?</w:t>
            </w:r>
          </w:p>
        </w:tc>
      </w:tr>
      <w:tr w:rsidR="00E14570" w14:paraId="30EB84B5" w14:textId="77777777" w:rsidTr="004F68AB">
        <w:tc>
          <w:tcPr>
            <w:tcW w:w="5000" w:type="pct"/>
            <w:tcBorders>
              <w:top w:val="nil"/>
              <w:left w:val="nil"/>
              <w:bottom w:val="nil"/>
              <w:right w:val="nil"/>
            </w:tcBorders>
            <w:shd w:val="clear" w:color="auto" w:fill="F2F2F2"/>
          </w:tcPr>
          <w:p w14:paraId="73FA7E87" w14:textId="78207116" w:rsidR="00B472C4" w:rsidRPr="00777FF0" w:rsidRDefault="00B472C4" w:rsidP="0035178E">
            <w:pPr>
              <w:pStyle w:val="Box"/>
              <w:rPr>
                <w:rStyle w:val="BodyTextChar"/>
                <w:rFonts w:ascii="Arial" w:hAnsi="Arial" w:cs="Arial"/>
                <w:sz w:val="20"/>
              </w:rPr>
            </w:pPr>
            <w:r w:rsidRPr="00777FF0">
              <w:rPr>
                <w:rStyle w:val="BodyTextChar"/>
                <w:rFonts w:ascii="Arial" w:hAnsi="Arial" w:cs="Arial"/>
                <w:sz w:val="20"/>
              </w:rPr>
              <w:t xml:space="preserve">There is no agreed definition of services and </w:t>
            </w:r>
            <w:r w:rsidR="009D5185" w:rsidRPr="00777FF0">
              <w:rPr>
                <w:rStyle w:val="BodyTextChar"/>
                <w:rFonts w:ascii="Arial" w:hAnsi="Arial" w:cs="Arial"/>
                <w:sz w:val="20"/>
              </w:rPr>
              <w:t xml:space="preserve">this </w:t>
            </w:r>
            <w:r w:rsidRPr="00777FF0">
              <w:rPr>
                <w:rStyle w:val="BodyTextChar"/>
                <w:rFonts w:ascii="Arial" w:hAnsi="Arial" w:cs="Arial"/>
                <w:sz w:val="20"/>
              </w:rPr>
              <w:t>partially reflects their</w:t>
            </w:r>
            <w:r w:rsidRPr="00777FF0" w:rsidDel="009A36D5">
              <w:rPr>
                <w:rStyle w:val="BodyTextChar"/>
                <w:rFonts w:ascii="Arial" w:hAnsi="Arial" w:cs="Arial"/>
                <w:sz w:val="20"/>
              </w:rPr>
              <w:t xml:space="preserve"> great</w:t>
            </w:r>
            <w:r w:rsidRPr="00777FF0">
              <w:rPr>
                <w:rStyle w:val="BodyTextChar"/>
                <w:rFonts w:ascii="Arial" w:hAnsi="Arial" w:cs="Arial"/>
                <w:sz w:val="20"/>
              </w:rPr>
              <w:t xml:space="preserve"> diversity. Traditionally, services were defined as the </w:t>
            </w:r>
            <w:r w:rsidRPr="00777FF0">
              <w:rPr>
                <w:rStyle w:val="BodyTextChar"/>
                <w:rFonts w:ascii="Arial" w:hAnsi="Arial" w:cs="Arial"/>
                <w:i/>
                <w:sz w:val="20"/>
              </w:rPr>
              <w:t>residual</w:t>
            </w:r>
            <w:r w:rsidRPr="00777FF0">
              <w:rPr>
                <w:rStyle w:val="BodyTextChar"/>
                <w:rFonts w:ascii="Arial" w:hAnsi="Arial" w:cs="Arial"/>
                <w:sz w:val="20"/>
              </w:rPr>
              <w:t xml:space="preserve"> sector,</w:t>
            </w:r>
            <w:r w:rsidRPr="00777FF0" w:rsidDel="00344091">
              <w:rPr>
                <w:rStyle w:val="BodyTextChar"/>
                <w:rFonts w:ascii="Arial" w:hAnsi="Arial" w:cs="Arial"/>
                <w:sz w:val="20"/>
              </w:rPr>
              <w:t xml:space="preserve"> </w:t>
            </w:r>
            <w:r w:rsidRPr="00777FF0">
              <w:rPr>
                <w:rStyle w:val="BodyTextChar"/>
                <w:rFonts w:ascii="Arial" w:hAnsi="Arial" w:cs="Arial"/>
                <w:sz w:val="20"/>
              </w:rPr>
              <w:t xml:space="preserve">an afterthought to primary production and manufacturing. Echoing this traditional understanding, </w:t>
            </w:r>
            <w:r w:rsidRPr="00777FF0">
              <w:rPr>
                <w:rStyle w:val="BodyTextChar"/>
                <w:rFonts w:ascii="Arial" w:hAnsi="Arial" w:cs="Arial"/>
                <w:i/>
                <w:sz w:val="20"/>
              </w:rPr>
              <w:t>The Economist</w:t>
            </w:r>
            <w:r w:rsidRPr="00777FF0">
              <w:rPr>
                <w:rStyle w:val="BodyTextChar"/>
                <w:rFonts w:ascii="Arial" w:hAnsi="Arial" w:cs="Arial"/>
                <w:sz w:val="20"/>
              </w:rPr>
              <w:t xml:space="preserve"> quipped that services are ‘products of economic activity that you can’t drop on your foot’</w:t>
            </w:r>
            <w:r w:rsidRPr="00777FF0">
              <w:rPr>
                <w:rFonts w:cs="Arial"/>
              </w:rPr>
              <w:t>.</w:t>
            </w:r>
          </w:p>
          <w:p w14:paraId="6BD500CB" w14:textId="57037C81" w:rsidR="00B472C4" w:rsidRPr="00777FF0" w:rsidRDefault="00B472C4" w:rsidP="0035178E">
            <w:pPr>
              <w:pStyle w:val="Box"/>
              <w:rPr>
                <w:rFonts w:cs="Arial"/>
              </w:rPr>
            </w:pPr>
            <w:r w:rsidRPr="00777FF0">
              <w:rPr>
                <w:rStyle w:val="BodyTextChar"/>
                <w:rFonts w:ascii="Arial" w:hAnsi="Arial" w:cs="Arial"/>
                <w:sz w:val="20"/>
              </w:rPr>
              <w:t>Contemporary definitions of services try to identify their intrinsic characteristics. For example, the 2008 System of National Accounts (SNA) definition of services emphasises their role in changing the conditions of consuming units (for example restaurants provide a dining experience, as well as food) or facilitating exchange (for example supermarkets and stock exchanges).</w:t>
            </w:r>
            <w:r w:rsidRPr="00777FF0">
              <w:rPr>
                <w:rFonts w:cs="Arial"/>
              </w:rPr>
              <w:t xml:space="preserve"> </w:t>
            </w:r>
          </w:p>
          <w:p w14:paraId="6A851BCE" w14:textId="0F4E4C62" w:rsidR="00E6442E" w:rsidRPr="00777FF0" w:rsidRDefault="00511311">
            <w:pPr>
              <w:pStyle w:val="Box"/>
              <w:rPr>
                <w:rFonts w:cs="Arial"/>
              </w:rPr>
            </w:pPr>
            <w:r w:rsidRPr="00777FF0">
              <w:rPr>
                <w:rFonts w:cs="Arial"/>
              </w:rPr>
              <w:t xml:space="preserve">The following tables </w:t>
            </w:r>
            <w:r w:rsidR="0037002A" w:rsidRPr="00777FF0">
              <w:rPr>
                <w:rFonts w:cs="Arial"/>
              </w:rPr>
              <w:t>summarise how</w:t>
            </w:r>
            <w:r w:rsidRPr="00777FF0">
              <w:rPr>
                <w:rFonts w:cs="Arial"/>
              </w:rPr>
              <w:t xml:space="preserve"> services</w:t>
            </w:r>
            <w:r w:rsidR="00EF6ADF" w:rsidRPr="00777FF0">
              <w:rPr>
                <w:rFonts w:cs="Arial"/>
              </w:rPr>
              <w:t xml:space="preserve"> are defined </w:t>
            </w:r>
            <w:r w:rsidR="007965A9" w:rsidRPr="00777FF0">
              <w:rPr>
                <w:rFonts w:cs="Arial"/>
              </w:rPr>
              <w:t>with</w:t>
            </w:r>
            <w:r w:rsidR="00EF6ADF" w:rsidRPr="00777FF0">
              <w:rPr>
                <w:rFonts w:cs="Arial"/>
              </w:rPr>
              <w:t>in the Australian and New Zealand Standard Industrial Classification Divisions system</w:t>
            </w:r>
            <w:r w:rsidR="0037002A" w:rsidRPr="00777FF0">
              <w:rPr>
                <w:rFonts w:cs="Arial"/>
              </w:rPr>
              <w:t xml:space="preserve">. Throughout this paper, services are aggregated into five </w:t>
            </w:r>
            <w:proofErr w:type="gramStart"/>
            <w:r w:rsidR="0037002A" w:rsidRPr="00777FF0">
              <w:rPr>
                <w:rFonts w:cs="Arial"/>
              </w:rPr>
              <w:t>categories</w:t>
            </w:r>
            <w:r w:rsidR="00817D61" w:rsidRPr="00777FF0">
              <w:rPr>
                <w:rFonts w:cs="Arial"/>
              </w:rPr>
              <w:t>;</w:t>
            </w:r>
            <w:proofErr w:type="gramEnd"/>
            <w:r w:rsidR="00817D61" w:rsidRPr="00777FF0">
              <w:rPr>
                <w:rFonts w:cs="Arial"/>
              </w:rPr>
              <w:t xml:space="preserve"> distribution, </w:t>
            </w:r>
            <w:r w:rsidR="00592A6B" w:rsidRPr="00777FF0">
              <w:rPr>
                <w:rFonts w:cs="Arial"/>
              </w:rPr>
              <w:t xml:space="preserve">personal, </w:t>
            </w:r>
            <w:r w:rsidR="00817D61" w:rsidRPr="00777FF0">
              <w:rPr>
                <w:rFonts w:cs="Arial"/>
              </w:rPr>
              <w:t xml:space="preserve">business, </w:t>
            </w:r>
            <w:r w:rsidR="001A22F5" w:rsidRPr="00777FF0">
              <w:rPr>
                <w:rFonts w:cs="Arial"/>
              </w:rPr>
              <w:t>u</w:t>
            </w:r>
            <w:r w:rsidR="00817D61" w:rsidRPr="00777FF0">
              <w:rPr>
                <w:rFonts w:cs="Arial"/>
              </w:rPr>
              <w:t>tilities/construction and non-market as shown below.</w:t>
            </w:r>
          </w:p>
          <w:p w14:paraId="6B4899C3" w14:textId="3BCFF301" w:rsidR="00433630" w:rsidRPr="00777FF0" w:rsidRDefault="00433630" w:rsidP="004D3D25">
            <w:pPr>
              <w:pStyle w:val="Box"/>
              <w:spacing w:after="120"/>
              <w:rPr>
                <w:rFonts w:cs="Arial"/>
                <w:b/>
              </w:rPr>
            </w:pPr>
            <w:r w:rsidRPr="00777FF0">
              <w:rPr>
                <w:rFonts w:cs="Arial"/>
                <w:b/>
              </w:rPr>
              <w:t>Goods industries</w:t>
            </w:r>
          </w:p>
          <w:tbl>
            <w:tblPr>
              <w:tblW w:w="8399" w:type="dxa"/>
              <w:tblCellMar>
                <w:top w:w="28" w:type="dxa"/>
                <w:left w:w="0" w:type="dxa"/>
                <w:right w:w="0" w:type="dxa"/>
              </w:tblCellMar>
              <w:tblLook w:val="0000" w:firstRow="0" w:lastRow="0" w:firstColumn="0" w:lastColumn="0" w:noHBand="0" w:noVBand="0"/>
            </w:tblPr>
            <w:tblGrid>
              <w:gridCol w:w="3862"/>
              <w:gridCol w:w="1928"/>
              <w:gridCol w:w="1248"/>
              <w:gridCol w:w="1361"/>
            </w:tblGrid>
            <w:tr w:rsidR="00433630" w14:paraId="4881C045" w14:textId="77777777" w:rsidTr="002D30EB">
              <w:trPr>
                <w:tblHeader/>
              </w:trPr>
              <w:tc>
                <w:tcPr>
                  <w:tcW w:w="2299" w:type="pct"/>
                  <w:tcBorders>
                    <w:top w:val="single" w:sz="6" w:space="0" w:color="BFBFBF"/>
                    <w:bottom w:val="single" w:sz="6" w:space="0" w:color="BFBFBF"/>
                  </w:tcBorders>
                  <w:shd w:val="clear" w:color="auto" w:fill="auto"/>
                  <w:tcMar>
                    <w:top w:w="28" w:type="dxa"/>
                  </w:tcMar>
                </w:tcPr>
                <w:p w14:paraId="5B3FC2F4" w14:textId="77777777" w:rsidR="00433630" w:rsidRDefault="00433630" w:rsidP="00433630">
                  <w:pPr>
                    <w:pStyle w:val="TableColumnHeading"/>
                    <w:jc w:val="left"/>
                  </w:pPr>
                  <w:r>
                    <w:t>Industry</w:t>
                  </w:r>
                </w:p>
              </w:tc>
              <w:tc>
                <w:tcPr>
                  <w:tcW w:w="1148" w:type="pct"/>
                  <w:tcBorders>
                    <w:top w:val="single" w:sz="6" w:space="0" w:color="BFBFBF"/>
                    <w:bottom w:val="single" w:sz="6" w:space="0" w:color="BFBFBF"/>
                  </w:tcBorders>
                </w:tcPr>
                <w:p w14:paraId="3826E0E2" w14:textId="77777777" w:rsidR="00433630" w:rsidRDefault="00433630" w:rsidP="004D3D25">
                  <w:pPr>
                    <w:pStyle w:val="TableColumnHeading"/>
                    <w:jc w:val="left"/>
                  </w:pPr>
                  <w:r>
                    <w:t>Category</w:t>
                  </w:r>
                </w:p>
              </w:tc>
              <w:tc>
                <w:tcPr>
                  <w:tcW w:w="743" w:type="pct"/>
                  <w:tcBorders>
                    <w:top w:val="single" w:sz="6" w:space="0" w:color="BFBFBF"/>
                    <w:bottom w:val="single" w:sz="6" w:space="0" w:color="BFBFBF"/>
                  </w:tcBorders>
                  <w:shd w:val="clear" w:color="auto" w:fill="auto"/>
                  <w:tcMar>
                    <w:top w:w="28" w:type="dxa"/>
                  </w:tcMar>
                </w:tcPr>
                <w:p w14:paraId="468E1A90" w14:textId="77777777" w:rsidR="00433630" w:rsidRDefault="00433630" w:rsidP="00433630">
                  <w:pPr>
                    <w:pStyle w:val="TableColumnHeading"/>
                  </w:pPr>
                  <w:r>
                    <w:t>Employment</w:t>
                  </w:r>
                  <w:r>
                    <w:br/>
                    <w:t>(‘000)</w:t>
                  </w:r>
                </w:p>
              </w:tc>
              <w:tc>
                <w:tcPr>
                  <w:tcW w:w="810" w:type="pct"/>
                  <w:tcBorders>
                    <w:top w:val="single" w:sz="6" w:space="0" w:color="BFBFBF"/>
                    <w:bottom w:val="single" w:sz="6" w:space="0" w:color="BFBFBF"/>
                  </w:tcBorders>
                  <w:shd w:val="clear" w:color="auto" w:fill="auto"/>
                  <w:tcMar>
                    <w:top w:w="28" w:type="dxa"/>
                  </w:tcMar>
                </w:tcPr>
                <w:p w14:paraId="549DE5B2" w14:textId="77777777" w:rsidR="00433630" w:rsidRDefault="00433630" w:rsidP="00433630">
                  <w:pPr>
                    <w:pStyle w:val="TableColumnHeading"/>
                    <w:ind w:right="28"/>
                  </w:pPr>
                  <w:r>
                    <w:t>Value added</w:t>
                  </w:r>
                  <w:r>
                    <w:br/>
                    <w:t>($’000 000)</w:t>
                  </w:r>
                </w:p>
              </w:tc>
            </w:tr>
            <w:tr w:rsidR="00433630" w14:paraId="51A0277C" w14:textId="77777777" w:rsidTr="002D30EB">
              <w:tc>
                <w:tcPr>
                  <w:tcW w:w="2299" w:type="pct"/>
                  <w:tcBorders>
                    <w:top w:val="single" w:sz="6" w:space="0" w:color="BFBFBF"/>
                  </w:tcBorders>
                  <w:shd w:val="clear" w:color="auto" w:fill="auto"/>
                </w:tcPr>
                <w:p w14:paraId="34B9F268" w14:textId="77777777" w:rsidR="00433630" w:rsidRDefault="00433630" w:rsidP="00433630">
                  <w:pPr>
                    <w:pStyle w:val="TableUnitsRow"/>
                    <w:jc w:val="left"/>
                  </w:pPr>
                  <w:r w:rsidRPr="004E3A44">
                    <w:t>Mining</w:t>
                  </w:r>
                </w:p>
              </w:tc>
              <w:tc>
                <w:tcPr>
                  <w:tcW w:w="1148" w:type="pct"/>
                  <w:tcBorders>
                    <w:top w:val="single" w:sz="6" w:space="0" w:color="BFBFBF"/>
                  </w:tcBorders>
                  <w:shd w:val="clear" w:color="auto" w:fill="auto"/>
                </w:tcPr>
                <w:p w14:paraId="5C95435D" w14:textId="77777777" w:rsidR="00433630" w:rsidRDefault="00433630" w:rsidP="004D3D25">
                  <w:pPr>
                    <w:pStyle w:val="TableUnitsRow"/>
                    <w:jc w:val="left"/>
                  </w:pPr>
                  <w:r>
                    <w:t>Goods</w:t>
                  </w:r>
                </w:p>
              </w:tc>
              <w:tc>
                <w:tcPr>
                  <w:tcW w:w="743" w:type="pct"/>
                  <w:tcBorders>
                    <w:top w:val="single" w:sz="6" w:space="0" w:color="BFBFBF"/>
                  </w:tcBorders>
                  <w:shd w:val="clear" w:color="auto" w:fill="auto"/>
                </w:tcPr>
                <w:p w14:paraId="654640D7" w14:textId="77777777" w:rsidR="00433630" w:rsidRDefault="00433630" w:rsidP="00433630">
                  <w:pPr>
                    <w:pStyle w:val="TableUnitsRow"/>
                  </w:pPr>
                  <w:r w:rsidRPr="00E35C88">
                    <w:t>247</w:t>
                  </w:r>
                </w:p>
              </w:tc>
              <w:tc>
                <w:tcPr>
                  <w:tcW w:w="810" w:type="pct"/>
                  <w:tcBorders>
                    <w:top w:val="single" w:sz="6" w:space="0" w:color="BFBFBF"/>
                  </w:tcBorders>
                  <w:shd w:val="clear" w:color="auto" w:fill="auto"/>
                </w:tcPr>
                <w:p w14:paraId="53327430" w14:textId="77777777" w:rsidR="00433630" w:rsidRDefault="00433630" w:rsidP="00433630">
                  <w:pPr>
                    <w:pStyle w:val="TableUnitsRow"/>
                    <w:ind w:right="28"/>
                  </w:pPr>
                  <w:r w:rsidRPr="002F0960">
                    <w:t>202</w:t>
                  </w:r>
                  <w:r>
                    <w:t> </w:t>
                  </w:r>
                  <w:r w:rsidRPr="002F0960">
                    <w:t>441</w:t>
                  </w:r>
                </w:p>
              </w:tc>
            </w:tr>
            <w:tr w:rsidR="00433630" w14:paraId="5116AF77" w14:textId="77777777" w:rsidTr="002D30EB">
              <w:tc>
                <w:tcPr>
                  <w:tcW w:w="2299" w:type="pct"/>
                  <w:shd w:val="clear" w:color="auto" w:fill="auto"/>
                </w:tcPr>
                <w:p w14:paraId="081795EB" w14:textId="77777777" w:rsidR="00433630" w:rsidRDefault="00433630" w:rsidP="00433630">
                  <w:pPr>
                    <w:pStyle w:val="TableBodyText"/>
                    <w:jc w:val="left"/>
                  </w:pPr>
                  <w:r w:rsidRPr="00004844">
                    <w:t>Manufacturing</w:t>
                  </w:r>
                </w:p>
              </w:tc>
              <w:tc>
                <w:tcPr>
                  <w:tcW w:w="1148" w:type="pct"/>
                  <w:shd w:val="clear" w:color="auto" w:fill="auto"/>
                </w:tcPr>
                <w:p w14:paraId="0BDF11FF" w14:textId="77777777" w:rsidR="00433630" w:rsidRDefault="00433630" w:rsidP="004D3D25">
                  <w:pPr>
                    <w:pStyle w:val="TableBodyText"/>
                    <w:jc w:val="left"/>
                  </w:pPr>
                  <w:r>
                    <w:t>Goods</w:t>
                  </w:r>
                </w:p>
              </w:tc>
              <w:tc>
                <w:tcPr>
                  <w:tcW w:w="743" w:type="pct"/>
                  <w:shd w:val="clear" w:color="auto" w:fill="auto"/>
                </w:tcPr>
                <w:p w14:paraId="07C20AE7" w14:textId="77777777" w:rsidR="00433630" w:rsidRDefault="00433630" w:rsidP="00433630">
                  <w:pPr>
                    <w:pStyle w:val="TableBodyText"/>
                  </w:pPr>
                  <w:r>
                    <w:t>862</w:t>
                  </w:r>
                </w:p>
              </w:tc>
              <w:tc>
                <w:tcPr>
                  <w:tcW w:w="810" w:type="pct"/>
                  <w:shd w:val="clear" w:color="auto" w:fill="auto"/>
                </w:tcPr>
                <w:p w14:paraId="3A28FA4A" w14:textId="77777777" w:rsidR="00433630" w:rsidRDefault="00433630" w:rsidP="00433630">
                  <w:pPr>
                    <w:pStyle w:val="TableBodyText"/>
                    <w:ind w:right="28"/>
                  </w:pPr>
                  <w:r w:rsidRPr="002316D9">
                    <w:t>108</w:t>
                  </w:r>
                  <w:r>
                    <w:t> </w:t>
                  </w:r>
                  <w:r w:rsidRPr="002316D9">
                    <w:t>404</w:t>
                  </w:r>
                </w:p>
              </w:tc>
            </w:tr>
            <w:tr w:rsidR="00433630" w14:paraId="4A85CB30" w14:textId="77777777" w:rsidTr="002D30EB">
              <w:tc>
                <w:tcPr>
                  <w:tcW w:w="2299" w:type="pct"/>
                  <w:tcBorders>
                    <w:bottom w:val="single" w:sz="6" w:space="0" w:color="BFBFBF"/>
                  </w:tcBorders>
                  <w:shd w:val="clear" w:color="auto" w:fill="auto"/>
                </w:tcPr>
                <w:p w14:paraId="6E56461D" w14:textId="77777777" w:rsidR="00433630" w:rsidRDefault="00433630" w:rsidP="00433630">
                  <w:pPr>
                    <w:pStyle w:val="TableBodyText"/>
                    <w:jc w:val="left"/>
                  </w:pPr>
                  <w:r w:rsidRPr="00004844">
                    <w:t xml:space="preserve">Agriculture, </w:t>
                  </w:r>
                  <w:r>
                    <w:t>f</w:t>
                  </w:r>
                  <w:r w:rsidRPr="00004844">
                    <w:t xml:space="preserve">orestry and </w:t>
                  </w:r>
                  <w:r>
                    <w:t>f</w:t>
                  </w:r>
                  <w:r w:rsidRPr="00004844">
                    <w:t>ishing</w:t>
                  </w:r>
                </w:p>
              </w:tc>
              <w:tc>
                <w:tcPr>
                  <w:tcW w:w="1148" w:type="pct"/>
                  <w:tcBorders>
                    <w:bottom w:val="single" w:sz="6" w:space="0" w:color="BFBFBF"/>
                  </w:tcBorders>
                  <w:shd w:val="clear" w:color="auto" w:fill="auto"/>
                </w:tcPr>
                <w:p w14:paraId="7ECCB739" w14:textId="77777777" w:rsidR="00433630" w:rsidRDefault="00433630" w:rsidP="004D3D25">
                  <w:pPr>
                    <w:pStyle w:val="TableBodyText"/>
                    <w:jc w:val="left"/>
                  </w:pPr>
                  <w:r>
                    <w:t>Goods</w:t>
                  </w:r>
                </w:p>
              </w:tc>
              <w:tc>
                <w:tcPr>
                  <w:tcW w:w="743" w:type="pct"/>
                  <w:tcBorders>
                    <w:bottom w:val="single" w:sz="6" w:space="0" w:color="BFBFBF"/>
                  </w:tcBorders>
                  <w:shd w:val="clear" w:color="auto" w:fill="auto"/>
                </w:tcPr>
                <w:p w14:paraId="0E9E0D1B" w14:textId="77777777" w:rsidR="00433630" w:rsidRDefault="00433630" w:rsidP="00433630">
                  <w:pPr>
                    <w:pStyle w:val="TableBodyText"/>
                  </w:pPr>
                  <w:r w:rsidRPr="00644A40">
                    <w:t>363</w:t>
                  </w:r>
                </w:p>
              </w:tc>
              <w:tc>
                <w:tcPr>
                  <w:tcW w:w="810" w:type="pct"/>
                  <w:tcBorders>
                    <w:bottom w:val="single" w:sz="6" w:space="0" w:color="BFBFBF"/>
                  </w:tcBorders>
                  <w:shd w:val="clear" w:color="auto" w:fill="auto"/>
                </w:tcPr>
                <w:p w14:paraId="606980F9" w14:textId="77777777" w:rsidR="00433630" w:rsidRDefault="00433630" w:rsidP="00433630">
                  <w:pPr>
                    <w:pStyle w:val="TableBodyText"/>
                    <w:ind w:right="28"/>
                  </w:pPr>
                  <w:r w:rsidRPr="00DB2FCB">
                    <w:t>38</w:t>
                  </w:r>
                  <w:r>
                    <w:t> </w:t>
                  </w:r>
                  <w:r w:rsidRPr="00DB2FCB">
                    <w:t>132</w:t>
                  </w:r>
                </w:p>
              </w:tc>
            </w:tr>
          </w:tbl>
          <w:p w14:paraId="5CDC680A" w14:textId="33AA34C5" w:rsidR="00433630" w:rsidRPr="00004844" w:rsidRDefault="00433630" w:rsidP="004D3D25">
            <w:pPr>
              <w:pStyle w:val="Box"/>
              <w:spacing w:before="360" w:after="120"/>
              <w:rPr>
                <w:b/>
              </w:rPr>
            </w:pPr>
            <w:r w:rsidRPr="00004844">
              <w:rPr>
                <w:b/>
              </w:rPr>
              <w:t>Service industries</w:t>
            </w:r>
          </w:p>
          <w:tbl>
            <w:tblPr>
              <w:tblW w:w="8400" w:type="dxa"/>
              <w:tblCellMar>
                <w:top w:w="28" w:type="dxa"/>
                <w:left w:w="0" w:type="dxa"/>
                <w:right w:w="0" w:type="dxa"/>
              </w:tblCellMar>
              <w:tblLook w:val="0000" w:firstRow="0" w:lastRow="0" w:firstColumn="0" w:lastColumn="0" w:noHBand="0" w:noVBand="0"/>
            </w:tblPr>
            <w:tblGrid>
              <w:gridCol w:w="3862"/>
              <w:gridCol w:w="1929"/>
              <w:gridCol w:w="1248"/>
              <w:gridCol w:w="1361"/>
            </w:tblGrid>
            <w:tr w:rsidR="00433630" w14:paraId="562C31D1" w14:textId="77777777" w:rsidTr="002D30EB">
              <w:trPr>
                <w:tblHeader/>
              </w:trPr>
              <w:tc>
                <w:tcPr>
                  <w:tcW w:w="2299" w:type="pct"/>
                  <w:tcBorders>
                    <w:top w:val="single" w:sz="6" w:space="0" w:color="BFBFBF"/>
                    <w:bottom w:val="single" w:sz="6" w:space="0" w:color="BFBFBF"/>
                  </w:tcBorders>
                  <w:shd w:val="clear" w:color="auto" w:fill="auto"/>
                  <w:tcMar>
                    <w:top w:w="28" w:type="dxa"/>
                  </w:tcMar>
                </w:tcPr>
                <w:p w14:paraId="0E903196" w14:textId="77777777" w:rsidR="00433630" w:rsidRDefault="00433630" w:rsidP="00433630">
                  <w:pPr>
                    <w:pStyle w:val="TableColumnHeading"/>
                    <w:jc w:val="left"/>
                  </w:pPr>
                  <w:r>
                    <w:t>Industry</w:t>
                  </w:r>
                </w:p>
              </w:tc>
              <w:tc>
                <w:tcPr>
                  <w:tcW w:w="1148" w:type="pct"/>
                  <w:tcBorders>
                    <w:top w:val="single" w:sz="6" w:space="0" w:color="BFBFBF"/>
                    <w:bottom w:val="single" w:sz="6" w:space="0" w:color="BFBFBF"/>
                  </w:tcBorders>
                </w:tcPr>
                <w:p w14:paraId="4CCAF4D3" w14:textId="77777777" w:rsidR="00433630" w:rsidRDefault="00433630" w:rsidP="004D3D25">
                  <w:pPr>
                    <w:pStyle w:val="TableColumnHeading"/>
                    <w:jc w:val="left"/>
                  </w:pPr>
                  <w:r>
                    <w:t>Category</w:t>
                  </w:r>
                </w:p>
              </w:tc>
              <w:tc>
                <w:tcPr>
                  <w:tcW w:w="743" w:type="pct"/>
                  <w:tcBorders>
                    <w:top w:val="single" w:sz="6" w:space="0" w:color="BFBFBF"/>
                    <w:bottom w:val="single" w:sz="6" w:space="0" w:color="BFBFBF"/>
                  </w:tcBorders>
                  <w:shd w:val="clear" w:color="auto" w:fill="auto"/>
                  <w:tcMar>
                    <w:top w:w="28" w:type="dxa"/>
                  </w:tcMar>
                </w:tcPr>
                <w:p w14:paraId="211F185F" w14:textId="77777777" w:rsidR="00433630" w:rsidRDefault="00433630" w:rsidP="00433630">
                  <w:pPr>
                    <w:pStyle w:val="TableColumnHeading"/>
                  </w:pPr>
                  <w:r>
                    <w:t>Employment</w:t>
                  </w:r>
                  <w:r>
                    <w:br/>
                    <w:t>(‘000)</w:t>
                  </w:r>
                </w:p>
              </w:tc>
              <w:tc>
                <w:tcPr>
                  <w:tcW w:w="810" w:type="pct"/>
                  <w:tcBorders>
                    <w:top w:val="single" w:sz="6" w:space="0" w:color="BFBFBF"/>
                    <w:bottom w:val="single" w:sz="6" w:space="0" w:color="BFBFBF"/>
                  </w:tcBorders>
                  <w:shd w:val="clear" w:color="auto" w:fill="auto"/>
                  <w:tcMar>
                    <w:top w:w="28" w:type="dxa"/>
                  </w:tcMar>
                </w:tcPr>
                <w:p w14:paraId="40F6C68F" w14:textId="77777777" w:rsidR="00433630" w:rsidRDefault="00433630" w:rsidP="00433630">
                  <w:pPr>
                    <w:pStyle w:val="TableColumnHeading"/>
                    <w:ind w:right="28"/>
                  </w:pPr>
                  <w:r>
                    <w:t>Value added</w:t>
                  </w:r>
                  <w:r>
                    <w:br/>
                    <w:t>($’000 000)</w:t>
                  </w:r>
                </w:p>
              </w:tc>
            </w:tr>
            <w:tr w:rsidR="00433630" w14:paraId="77EA3EF8" w14:textId="77777777" w:rsidTr="002D30EB">
              <w:tc>
                <w:tcPr>
                  <w:tcW w:w="2299" w:type="pct"/>
                  <w:tcBorders>
                    <w:top w:val="single" w:sz="6" w:space="0" w:color="BFBFBF"/>
                  </w:tcBorders>
                  <w:shd w:val="clear" w:color="auto" w:fill="auto"/>
                </w:tcPr>
                <w:p w14:paraId="787FFEE8" w14:textId="77777777" w:rsidR="00433630" w:rsidRDefault="00433630" w:rsidP="00433630">
                  <w:pPr>
                    <w:pStyle w:val="TableUnitsRow"/>
                    <w:jc w:val="left"/>
                  </w:pPr>
                  <w:r w:rsidRPr="00802745">
                    <w:t xml:space="preserve">Transport, </w:t>
                  </w:r>
                  <w:r>
                    <w:t>p</w:t>
                  </w:r>
                  <w:r w:rsidRPr="00802745">
                    <w:t xml:space="preserve">ostal and </w:t>
                  </w:r>
                  <w:r>
                    <w:t>w</w:t>
                  </w:r>
                  <w:r w:rsidRPr="00802745">
                    <w:t>arehousing</w:t>
                  </w:r>
                </w:p>
              </w:tc>
              <w:tc>
                <w:tcPr>
                  <w:tcW w:w="1148" w:type="pct"/>
                  <w:tcBorders>
                    <w:top w:val="single" w:sz="6" w:space="0" w:color="BFBFBF"/>
                  </w:tcBorders>
                  <w:shd w:val="clear" w:color="auto" w:fill="auto"/>
                </w:tcPr>
                <w:p w14:paraId="6162FE45" w14:textId="77777777" w:rsidR="00433630" w:rsidRDefault="00433630" w:rsidP="004D3D25">
                  <w:pPr>
                    <w:pStyle w:val="TableUnitsRow"/>
                    <w:jc w:val="left"/>
                  </w:pPr>
                  <w:r>
                    <w:t>Distribution</w:t>
                  </w:r>
                </w:p>
              </w:tc>
              <w:tc>
                <w:tcPr>
                  <w:tcW w:w="743" w:type="pct"/>
                  <w:tcBorders>
                    <w:top w:val="single" w:sz="6" w:space="0" w:color="BFBFBF"/>
                  </w:tcBorders>
                  <w:shd w:val="clear" w:color="auto" w:fill="auto"/>
                </w:tcPr>
                <w:p w14:paraId="2DC17DCD" w14:textId="77777777" w:rsidR="00433630" w:rsidRDefault="00433630" w:rsidP="00433630">
                  <w:pPr>
                    <w:pStyle w:val="TableUnitsRow"/>
                  </w:pPr>
                  <w:r>
                    <w:t>610</w:t>
                  </w:r>
                </w:p>
              </w:tc>
              <w:tc>
                <w:tcPr>
                  <w:tcW w:w="810" w:type="pct"/>
                  <w:tcBorders>
                    <w:top w:val="single" w:sz="6" w:space="0" w:color="BFBFBF"/>
                  </w:tcBorders>
                  <w:shd w:val="clear" w:color="auto" w:fill="auto"/>
                </w:tcPr>
                <w:p w14:paraId="7303E80D" w14:textId="77777777" w:rsidR="00433630" w:rsidRDefault="00433630" w:rsidP="00433630">
                  <w:pPr>
                    <w:pStyle w:val="TableUnitsRow"/>
                    <w:ind w:right="28"/>
                  </w:pPr>
                  <w:r w:rsidRPr="00CB0F02">
                    <w:t>84</w:t>
                  </w:r>
                  <w:r>
                    <w:t> </w:t>
                  </w:r>
                  <w:r w:rsidRPr="00CB0F02">
                    <w:t>144</w:t>
                  </w:r>
                </w:p>
              </w:tc>
            </w:tr>
            <w:tr w:rsidR="00433630" w14:paraId="5C563CD3" w14:textId="77777777" w:rsidTr="002D30EB">
              <w:tc>
                <w:tcPr>
                  <w:tcW w:w="2299" w:type="pct"/>
                  <w:shd w:val="clear" w:color="auto" w:fill="auto"/>
                </w:tcPr>
                <w:p w14:paraId="707EA0DC" w14:textId="365F8BC9" w:rsidR="00433630" w:rsidRDefault="00433630" w:rsidP="00433630">
                  <w:pPr>
                    <w:pStyle w:val="TableBodyText"/>
                    <w:jc w:val="left"/>
                  </w:pPr>
                  <w:r w:rsidRPr="003F5E78">
                    <w:t xml:space="preserve">Information </w:t>
                  </w:r>
                  <w:r>
                    <w:t>m</w:t>
                  </w:r>
                  <w:r w:rsidRPr="003F5E78">
                    <w:t xml:space="preserve">edia and </w:t>
                  </w:r>
                  <w:r>
                    <w:t>t</w:t>
                  </w:r>
                  <w:r w:rsidRPr="003F5E78">
                    <w:t>elecommunications</w:t>
                  </w:r>
                </w:p>
              </w:tc>
              <w:tc>
                <w:tcPr>
                  <w:tcW w:w="1148" w:type="pct"/>
                  <w:shd w:val="clear" w:color="auto" w:fill="auto"/>
                </w:tcPr>
                <w:p w14:paraId="44EDFFFF" w14:textId="77777777" w:rsidR="00433630" w:rsidRDefault="00433630" w:rsidP="004D3D25">
                  <w:pPr>
                    <w:pStyle w:val="TableBodyText"/>
                    <w:jc w:val="left"/>
                  </w:pPr>
                  <w:r>
                    <w:t>Distribution</w:t>
                  </w:r>
                </w:p>
              </w:tc>
              <w:tc>
                <w:tcPr>
                  <w:tcW w:w="743" w:type="pct"/>
                  <w:shd w:val="clear" w:color="auto" w:fill="auto"/>
                </w:tcPr>
                <w:p w14:paraId="7982BF03" w14:textId="77777777" w:rsidR="00433630" w:rsidRDefault="00433630" w:rsidP="00433630">
                  <w:pPr>
                    <w:pStyle w:val="TableBodyText"/>
                  </w:pPr>
                  <w:r>
                    <w:t>194</w:t>
                  </w:r>
                </w:p>
              </w:tc>
              <w:tc>
                <w:tcPr>
                  <w:tcW w:w="810" w:type="pct"/>
                  <w:shd w:val="clear" w:color="auto" w:fill="auto"/>
                </w:tcPr>
                <w:p w14:paraId="27E6CD14" w14:textId="77777777" w:rsidR="00433630" w:rsidRDefault="00433630" w:rsidP="00433630">
                  <w:pPr>
                    <w:pStyle w:val="TableBodyText"/>
                    <w:ind w:right="28"/>
                  </w:pPr>
                  <w:r w:rsidRPr="00355402">
                    <w:t>43</w:t>
                  </w:r>
                  <w:r>
                    <w:t> </w:t>
                  </w:r>
                  <w:r w:rsidRPr="00355402">
                    <w:t>403</w:t>
                  </w:r>
                </w:p>
              </w:tc>
            </w:tr>
            <w:tr w:rsidR="00433630" w14:paraId="03C01378" w14:textId="77777777" w:rsidTr="002D30EB">
              <w:tc>
                <w:tcPr>
                  <w:tcW w:w="2299" w:type="pct"/>
                  <w:shd w:val="clear" w:color="auto" w:fill="auto"/>
                </w:tcPr>
                <w:p w14:paraId="73684C35" w14:textId="77777777" w:rsidR="00433630" w:rsidRDefault="00433630" w:rsidP="00433630">
                  <w:pPr>
                    <w:pStyle w:val="TableBodyText"/>
                    <w:jc w:val="left"/>
                  </w:pPr>
                  <w:r w:rsidRPr="0010318B">
                    <w:t xml:space="preserve">Retail </w:t>
                  </w:r>
                  <w:r>
                    <w:t>t</w:t>
                  </w:r>
                  <w:r w:rsidRPr="0010318B">
                    <w:t>rade</w:t>
                  </w:r>
                </w:p>
              </w:tc>
              <w:tc>
                <w:tcPr>
                  <w:tcW w:w="1148" w:type="pct"/>
                  <w:shd w:val="clear" w:color="auto" w:fill="auto"/>
                </w:tcPr>
                <w:p w14:paraId="03407A21" w14:textId="77777777" w:rsidR="00433630" w:rsidRDefault="00433630" w:rsidP="004D3D25">
                  <w:pPr>
                    <w:pStyle w:val="TableBodyText"/>
                    <w:jc w:val="left"/>
                  </w:pPr>
                  <w:r>
                    <w:t>Distribution</w:t>
                  </w:r>
                </w:p>
              </w:tc>
              <w:tc>
                <w:tcPr>
                  <w:tcW w:w="743" w:type="pct"/>
                  <w:shd w:val="clear" w:color="auto" w:fill="auto"/>
                </w:tcPr>
                <w:p w14:paraId="5B99F49E" w14:textId="77777777" w:rsidR="00433630" w:rsidRDefault="00433630" w:rsidP="00433630">
                  <w:pPr>
                    <w:pStyle w:val="TableBodyText"/>
                  </w:pPr>
                  <w:r>
                    <w:t>1 244</w:t>
                  </w:r>
                </w:p>
              </w:tc>
              <w:tc>
                <w:tcPr>
                  <w:tcW w:w="810" w:type="pct"/>
                  <w:shd w:val="clear" w:color="auto" w:fill="auto"/>
                </w:tcPr>
                <w:p w14:paraId="3C4A26D2" w14:textId="77777777" w:rsidR="00433630" w:rsidRDefault="00433630" w:rsidP="00433630">
                  <w:pPr>
                    <w:pStyle w:val="TableBodyText"/>
                    <w:ind w:right="28"/>
                  </w:pPr>
                  <w:r w:rsidRPr="00AB11A5">
                    <w:t>79</w:t>
                  </w:r>
                  <w:r>
                    <w:t> </w:t>
                  </w:r>
                  <w:r w:rsidRPr="00AB11A5">
                    <w:t>171</w:t>
                  </w:r>
                </w:p>
              </w:tc>
            </w:tr>
            <w:tr w:rsidR="00433630" w14:paraId="59C0A43D" w14:textId="77777777" w:rsidTr="002D30EB">
              <w:tc>
                <w:tcPr>
                  <w:tcW w:w="2299" w:type="pct"/>
                  <w:shd w:val="clear" w:color="auto" w:fill="auto"/>
                </w:tcPr>
                <w:p w14:paraId="7AB79983" w14:textId="77777777" w:rsidR="00433630" w:rsidRDefault="00433630" w:rsidP="00433630">
                  <w:pPr>
                    <w:pStyle w:val="TableBodyText"/>
                    <w:jc w:val="left"/>
                  </w:pPr>
                  <w:r w:rsidRPr="00D94B43">
                    <w:t xml:space="preserve">Wholesale </w:t>
                  </w:r>
                  <w:r>
                    <w:t>t</w:t>
                  </w:r>
                  <w:r w:rsidRPr="00D94B43">
                    <w:t>rade</w:t>
                  </w:r>
                </w:p>
              </w:tc>
              <w:tc>
                <w:tcPr>
                  <w:tcW w:w="1148" w:type="pct"/>
                  <w:shd w:val="clear" w:color="auto" w:fill="auto"/>
                </w:tcPr>
                <w:p w14:paraId="70893C42" w14:textId="77777777" w:rsidR="00433630" w:rsidRDefault="00433630" w:rsidP="004D3D25">
                  <w:pPr>
                    <w:pStyle w:val="TableBodyText"/>
                    <w:jc w:val="left"/>
                  </w:pPr>
                  <w:r>
                    <w:t>Distribution</w:t>
                  </w:r>
                </w:p>
              </w:tc>
              <w:tc>
                <w:tcPr>
                  <w:tcW w:w="743" w:type="pct"/>
                  <w:shd w:val="clear" w:color="auto" w:fill="auto"/>
                </w:tcPr>
                <w:p w14:paraId="5BD9B1FA" w14:textId="77777777" w:rsidR="00433630" w:rsidRDefault="00433630" w:rsidP="00433630">
                  <w:pPr>
                    <w:pStyle w:val="TableBodyText"/>
                  </w:pPr>
                  <w:r>
                    <w:t>395</w:t>
                  </w:r>
                </w:p>
              </w:tc>
              <w:tc>
                <w:tcPr>
                  <w:tcW w:w="810" w:type="pct"/>
                  <w:shd w:val="clear" w:color="auto" w:fill="auto"/>
                </w:tcPr>
                <w:p w14:paraId="498DA35B" w14:textId="77777777" w:rsidR="00433630" w:rsidRDefault="00433630" w:rsidP="00433630">
                  <w:pPr>
                    <w:pStyle w:val="TableBodyText"/>
                    <w:ind w:right="28"/>
                  </w:pPr>
                  <w:r w:rsidRPr="00F604E1">
                    <w:t>70</w:t>
                  </w:r>
                  <w:r>
                    <w:t> </w:t>
                  </w:r>
                  <w:r w:rsidRPr="00F604E1">
                    <w:t>860</w:t>
                  </w:r>
                </w:p>
              </w:tc>
            </w:tr>
            <w:tr w:rsidR="00433630" w14:paraId="09B6C97E" w14:textId="77777777" w:rsidTr="002D30EB">
              <w:tc>
                <w:tcPr>
                  <w:tcW w:w="2299" w:type="pct"/>
                </w:tcPr>
                <w:p w14:paraId="4E698B41" w14:textId="77777777" w:rsidR="00433630" w:rsidRDefault="00433630" w:rsidP="00433630">
                  <w:pPr>
                    <w:pStyle w:val="TableBodyText"/>
                    <w:jc w:val="left"/>
                  </w:pPr>
                  <w:r w:rsidRPr="004B05FB">
                    <w:t xml:space="preserve">Professional, </w:t>
                  </w:r>
                  <w:r>
                    <w:t>s</w:t>
                  </w:r>
                  <w:r w:rsidRPr="004B05FB">
                    <w:t xml:space="preserve">cientific and </w:t>
                  </w:r>
                  <w:r>
                    <w:t>t</w:t>
                  </w:r>
                  <w:r w:rsidRPr="004B05FB">
                    <w:t xml:space="preserve">echnical </w:t>
                  </w:r>
                  <w:r>
                    <w:t>s</w:t>
                  </w:r>
                  <w:r w:rsidRPr="004B05FB">
                    <w:t>ervices</w:t>
                  </w:r>
                </w:p>
              </w:tc>
              <w:tc>
                <w:tcPr>
                  <w:tcW w:w="1148" w:type="pct"/>
                </w:tcPr>
                <w:p w14:paraId="42102750" w14:textId="77777777" w:rsidR="00433630" w:rsidRDefault="00433630" w:rsidP="004D3D25">
                  <w:pPr>
                    <w:pStyle w:val="TableBodyText"/>
                    <w:jc w:val="left"/>
                  </w:pPr>
                  <w:r>
                    <w:t>Business</w:t>
                  </w:r>
                </w:p>
              </w:tc>
              <w:tc>
                <w:tcPr>
                  <w:tcW w:w="743" w:type="pct"/>
                </w:tcPr>
                <w:p w14:paraId="00C0F4B8" w14:textId="77777777" w:rsidR="00433630" w:rsidRDefault="00433630" w:rsidP="00433630">
                  <w:pPr>
                    <w:pStyle w:val="TableBodyText"/>
                  </w:pPr>
                  <w:r>
                    <w:t>1 114</w:t>
                  </w:r>
                </w:p>
              </w:tc>
              <w:tc>
                <w:tcPr>
                  <w:tcW w:w="810" w:type="pct"/>
                </w:tcPr>
                <w:p w14:paraId="0578E35B" w14:textId="77777777" w:rsidR="00433630" w:rsidRDefault="00433630" w:rsidP="00433630">
                  <w:pPr>
                    <w:pStyle w:val="TableBodyText"/>
                    <w:ind w:right="28"/>
                  </w:pPr>
                  <w:r w:rsidRPr="00C115E0">
                    <w:t>136</w:t>
                  </w:r>
                  <w:r>
                    <w:t> </w:t>
                  </w:r>
                  <w:r w:rsidRPr="00C115E0">
                    <w:t>736</w:t>
                  </w:r>
                </w:p>
              </w:tc>
            </w:tr>
            <w:tr w:rsidR="00433630" w14:paraId="1DE2310F" w14:textId="77777777" w:rsidTr="002D30EB">
              <w:tc>
                <w:tcPr>
                  <w:tcW w:w="2299" w:type="pct"/>
                </w:tcPr>
                <w:p w14:paraId="445CA4EC" w14:textId="77777777" w:rsidR="00433630" w:rsidRPr="004B05FB" w:rsidRDefault="00433630" w:rsidP="00433630">
                  <w:pPr>
                    <w:pStyle w:val="TableBodyText"/>
                    <w:jc w:val="left"/>
                  </w:pPr>
                  <w:r w:rsidRPr="00970254">
                    <w:t xml:space="preserve">Financial and </w:t>
                  </w:r>
                  <w:r>
                    <w:t>i</w:t>
                  </w:r>
                  <w:r w:rsidRPr="00970254">
                    <w:t xml:space="preserve">nsurance </w:t>
                  </w:r>
                  <w:r>
                    <w:t>s</w:t>
                  </w:r>
                  <w:r w:rsidRPr="00970254">
                    <w:t>ervices</w:t>
                  </w:r>
                </w:p>
              </w:tc>
              <w:tc>
                <w:tcPr>
                  <w:tcW w:w="1148" w:type="pct"/>
                </w:tcPr>
                <w:p w14:paraId="312FCA82" w14:textId="77777777" w:rsidR="00433630" w:rsidRDefault="00433630" w:rsidP="004D3D25">
                  <w:pPr>
                    <w:pStyle w:val="TableBodyText"/>
                    <w:jc w:val="left"/>
                  </w:pPr>
                  <w:r>
                    <w:t>Business</w:t>
                  </w:r>
                </w:p>
              </w:tc>
              <w:tc>
                <w:tcPr>
                  <w:tcW w:w="743" w:type="pct"/>
                </w:tcPr>
                <w:p w14:paraId="1178A1F0" w14:textId="77777777" w:rsidR="00433630" w:rsidRDefault="00433630" w:rsidP="00433630">
                  <w:pPr>
                    <w:pStyle w:val="TableBodyText"/>
                  </w:pPr>
                  <w:r>
                    <w:t>489</w:t>
                  </w:r>
                </w:p>
              </w:tc>
              <w:tc>
                <w:tcPr>
                  <w:tcW w:w="810" w:type="pct"/>
                </w:tcPr>
                <w:p w14:paraId="5BE93D51" w14:textId="77777777" w:rsidR="00433630" w:rsidRDefault="00433630" w:rsidP="00433630">
                  <w:pPr>
                    <w:pStyle w:val="TableBodyText"/>
                    <w:ind w:right="28"/>
                  </w:pPr>
                  <w:r w:rsidRPr="00250E5E">
                    <w:t>167</w:t>
                  </w:r>
                  <w:r>
                    <w:t> </w:t>
                  </w:r>
                  <w:r w:rsidRPr="00250E5E">
                    <w:t>057</w:t>
                  </w:r>
                </w:p>
              </w:tc>
            </w:tr>
            <w:tr w:rsidR="00433630" w14:paraId="1B90F47D" w14:textId="77777777" w:rsidTr="002D30EB">
              <w:tc>
                <w:tcPr>
                  <w:tcW w:w="2299" w:type="pct"/>
                </w:tcPr>
                <w:p w14:paraId="0980BDC1" w14:textId="77777777" w:rsidR="00433630" w:rsidRPr="004B05FB" w:rsidRDefault="00433630" w:rsidP="00433630">
                  <w:pPr>
                    <w:pStyle w:val="TableBodyText"/>
                    <w:jc w:val="left"/>
                  </w:pPr>
                  <w:r w:rsidRPr="007141B0">
                    <w:t xml:space="preserve">Rental, </w:t>
                  </w:r>
                  <w:r>
                    <w:t>h</w:t>
                  </w:r>
                  <w:r w:rsidRPr="007141B0">
                    <w:t xml:space="preserve">iring and </w:t>
                  </w:r>
                  <w:r>
                    <w:t>r</w:t>
                  </w:r>
                  <w:r w:rsidRPr="007141B0">
                    <w:t xml:space="preserve">eal </w:t>
                  </w:r>
                  <w:r>
                    <w:t>e</w:t>
                  </w:r>
                  <w:r w:rsidRPr="007141B0">
                    <w:t xml:space="preserve">state </w:t>
                  </w:r>
                  <w:r>
                    <w:t>s</w:t>
                  </w:r>
                  <w:r w:rsidRPr="007141B0">
                    <w:t>ervices</w:t>
                  </w:r>
                </w:p>
              </w:tc>
              <w:tc>
                <w:tcPr>
                  <w:tcW w:w="1148" w:type="pct"/>
                </w:tcPr>
                <w:p w14:paraId="2AFC5C86" w14:textId="77777777" w:rsidR="00433630" w:rsidRDefault="00433630" w:rsidP="004D3D25">
                  <w:pPr>
                    <w:pStyle w:val="TableBodyText"/>
                    <w:jc w:val="left"/>
                  </w:pPr>
                  <w:r>
                    <w:t>Business</w:t>
                  </w:r>
                </w:p>
              </w:tc>
              <w:tc>
                <w:tcPr>
                  <w:tcW w:w="743" w:type="pct"/>
                </w:tcPr>
                <w:p w14:paraId="2E763821" w14:textId="77777777" w:rsidR="00433630" w:rsidRDefault="00433630" w:rsidP="00433630">
                  <w:pPr>
                    <w:pStyle w:val="TableBodyText"/>
                  </w:pPr>
                  <w:r>
                    <w:t>228</w:t>
                  </w:r>
                </w:p>
              </w:tc>
              <w:tc>
                <w:tcPr>
                  <w:tcW w:w="810" w:type="pct"/>
                </w:tcPr>
                <w:p w14:paraId="08540D5A" w14:textId="77777777" w:rsidR="00433630" w:rsidRDefault="00433630" w:rsidP="00433630">
                  <w:pPr>
                    <w:pStyle w:val="TableBodyText"/>
                    <w:ind w:right="28"/>
                  </w:pPr>
                  <w:r w:rsidRPr="00FA18DF">
                    <w:t>54</w:t>
                  </w:r>
                  <w:r>
                    <w:t> </w:t>
                  </w:r>
                  <w:r w:rsidRPr="00FA18DF">
                    <w:t>802</w:t>
                  </w:r>
                </w:p>
              </w:tc>
            </w:tr>
            <w:tr w:rsidR="00433630" w14:paraId="29F9999D" w14:textId="77777777" w:rsidTr="002D30EB">
              <w:tc>
                <w:tcPr>
                  <w:tcW w:w="2299" w:type="pct"/>
                </w:tcPr>
                <w:p w14:paraId="23001B21" w14:textId="77777777" w:rsidR="00433630" w:rsidRPr="004B05FB" w:rsidRDefault="00433630" w:rsidP="00433630">
                  <w:pPr>
                    <w:pStyle w:val="TableBodyText"/>
                    <w:jc w:val="left"/>
                  </w:pPr>
                  <w:r w:rsidRPr="00732296">
                    <w:t xml:space="preserve">Administrative and </w:t>
                  </w:r>
                  <w:r>
                    <w:t>s</w:t>
                  </w:r>
                  <w:r w:rsidRPr="00732296">
                    <w:t xml:space="preserve">upport </w:t>
                  </w:r>
                  <w:r>
                    <w:t>s</w:t>
                  </w:r>
                  <w:r w:rsidRPr="00732296">
                    <w:t>ervices</w:t>
                  </w:r>
                </w:p>
              </w:tc>
              <w:tc>
                <w:tcPr>
                  <w:tcW w:w="1148" w:type="pct"/>
                </w:tcPr>
                <w:p w14:paraId="561D91E9" w14:textId="77777777" w:rsidR="00433630" w:rsidRDefault="00433630" w:rsidP="004D3D25">
                  <w:pPr>
                    <w:pStyle w:val="TableBodyText"/>
                    <w:jc w:val="left"/>
                  </w:pPr>
                  <w:r>
                    <w:t>Business</w:t>
                  </w:r>
                </w:p>
              </w:tc>
              <w:tc>
                <w:tcPr>
                  <w:tcW w:w="743" w:type="pct"/>
                </w:tcPr>
                <w:p w14:paraId="47737814" w14:textId="77777777" w:rsidR="00433630" w:rsidRDefault="00433630" w:rsidP="00433630">
                  <w:pPr>
                    <w:pStyle w:val="TableBodyText"/>
                  </w:pPr>
                  <w:r>
                    <w:t>395</w:t>
                  </w:r>
                </w:p>
              </w:tc>
              <w:tc>
                <w:tcPr>
                  <w:tcW w:w="810" w:type="pct"/>
                </w:tcPr>
                <w:p w14:paraId="33D26857" w14:textId="77777777" w:rsidR="00433630" w:rsidRDefault="00433630" w:rsidP="00433630">
                  <w:pPr>
                    <w:pStyle w:val="TableBodyText"/>
                    <w:ind w:right="28"/>
                  </w:pPr>
                  <w:r w:rsidRPr="0037125B">
                    <w:t>63</w:t>
                  </w:r>
                  <w:r>
                    <w:t> </w:t>
                  </w:r>
                  <w:r w:rsidRPr="0037125B">
                    <w:t>430</w:t>
                  </w:r>
                </w:p>
              </w:tc>
            </w:tr>
            <w:tr w:rsidR="00433630" w14:paraId="3DD131D0" w14:textId="77777777" w:rsidTr="002D30EB">
              <w:tc>
                <w:tcPr>
                  <w:tcW w:w="2299" w:type="pct"/>
                </w:tcPr>
                <w:p w14:paraId="6786E4DD" w14:textId="77777777" w:rsidR="00433630" w:rsidRPr="004B05FB" w:rsidRDefault="00433630" w:rsidP="00433630">
                  <w:pPr>
                    <w:pStyle w:val="TableBodyText"/>
                    <w:jc w:val="left"/>
                  </w:pPr>
                  <w:r w:rsidRPr="00C26CCB">
                    <w:t xml:space="preserve">Accommodation and </w:t>
                  </w:r>
                  <w:r>
                    <w:t>f</w:t>
                  </w:r>
                  <w:r w:rsidRPr="00C26CCB">
                    <w:t xml:space="preserve">ood </w:t>
                  </w:r>
                  <w:r>
                    <w:t>s</w:t>
                  </w:r>
                  <w:r w:rsidRPr="00C26CCB">
                    <w:t>ervices</w:t>
                  </w:r>
                </w:p>
              </w:tc>
              <w:tc>
                <w:tcPr>
                  <w:tcW w:w="1148" w:type="pct"/>
                </w:tcPr>
                <w:p w14:paraId="3D06E168" w14:textId="77777777" w:rsidR="00433630" w:rsidRDefault="00433630" w:rsidP="004D3D25">
                  <w:pPr>
                    <w:pStyle w:val="TableBodyText"/>
                    <w:jc w:val="left"/>
                  </w:pPr>
                  <w:r>
                    <w:t>Personal</w:t>
                  </w:r>
                </w:p>
              </w:tc>
              <w:tc>
                <w:tcPr>
                  <w:tcW w:w="743" w:type="pct"/>
                </w:tcPr>
                <w:p w14:paraId="4C021491" w14:textId="77777777" w:rsidR="00433630" w:rsidRDefault="00433630" w:rsidP="00433630">
                  <w:pPr>
                    <w:pStyle w:val="TableBodyText"/>
                  </w:pPr>
                  <w:r>
                    <w:t>773</w:t>
                  </w:r>
                </w:p>
              </w:tc>
              <w:tc>
                <w:tcPr>
                  <w:tcW w:w="810" w:type="pct"/>
                </w:tcPr>
                <w:p w14:paraId="06DBEAF3" w14:textId="77777777" w:rsidR="00433630" w:rsidRDefault="00433630" w:rsidP="00433630">
                  <w:pPr>
                    <w:pStyle w:val="TableBodyText"/>
                    <w:ind w:right="28"/>
                  </w:pPr>
                  <w:r w:rsidRPr="00AB11A5">
                    <w:t>39</w:t>
                  </w:r>
                  <w:r>
                    <w:t> </w:t>
                  </w:r>
                  <w:r w:rsidRPr="00AB11A5">
                    <w:t>405</w:t>
                  </w:r>
                </w:p>
              </w:tc>
            </w:tr>
            <w:tr w:rsidR="00433630" w14:paraId="69BB1321" w14:textId="77777777" w:rsidTr="002D30EB">
              <w:tc>
                <w:tcPr>
                  <w:tcW w:w="2299" w:type="pct"/>
                </w:tcPr>
                <w:p w14:paraId="1D70C19F" w14:textId="77777777" w:rsidR="00433630" w:rsidRPr="004B05FB" w:rsidRDefault="00433630" w:rsidP="00433630">
                  <w:pPr>
                    <w:pStyle w:val="TableBodyText"/>
                    <w:jc w:val="left"/>
                  </w:pPr>
                  <w:r w:rsidRPr="00A7606E">
                    <w:t xml:space="preserve">Arts and </w:t>
                  </w:r>
                  <w:r>
                    <w:t>r</w:t>
                  </w:r>
                  <w:r w:rsidRPr="00A7606E">
                    <w:t xml:space="preserve">ecreation </w:t>
                  </w:r>
                  <w:r>
                    <w:t>s</w:t>
                  </w:r>
                  <w:r w:rsidRPr="00A7606E">
                    <w:t>ervices</w:t>
                  </w:r>
                </w:p>
              </w:tc>
              <w:tc>
                <w:tcPr>
                  <w:tcW w:w="1148" w:type="pct"/>
                </w:tcPr>
                <w:p w14:paraId="09C0A810" w14:textId="77777777" w:rsidR="00433630" w:rsidRDefault="00433630" w:rsidP="004D3D25">
                  <w:pPr>
                    <w:pStyle w:val="TableBodyText"/>
                    <w:jc w:val="left"/>
                  </w:pPr>
                  <w:r>
                    <w:t>Personal</w:t>
                  </w:r>
                </w:p>
              </w:tc>
              <w:tc>
                <w:tcPr>
                  <w:tcW w:w="743" w:type="pct"/>
                </w:tcPr>
                <w:p w14:paraId="3EFC233D" w14:textId="77777777" w:rsidR="00433630" w:rsidRDefault="00433630" w:rsidP="00433630">
                  <w:pPr>
                    <w:pStyle w:val="TableBodyText"/>
                  </w:pPr>
                  <w:r>
                    <w:t>202</w:t>
                  </w:r>
                </w:p>
              </w:tc>
              <w:tc>
                <w:tcPr>
                  <w:tcW w:w="810" w:type="pct"/>
                </w:tcPr>
                <w:p w14:paraId="69E0A231" w14:textId="77777777" w:rsidR="00433630" w:rsidRDefault="00433630" w:rsidP="00433630">
                  <w:pPr>
                    <w:pStyle w:val="TableBodyText"/>
                    <w:ind w:right="28"/>
                  </w:pPr>
                  <w:r w:rsidRPr="00963BB2">
                    <w:t>14</w:t>
                  </w:r>
                  <w:r>
                    <w:t> </w:t>
                  </w:r>
                  <w:r w:rsidRPr="00963BB2">
                    <w:t>810</w:t>
                  </w:r>
                </w:p>
              </w:tc>
            </w:tr>
            <w:tr w:rsidR="00433630" w14:paraId="717C4E79" w14:textId="77777777" w:rsidTr="002D30EB">
              <w:tc>
                <w:tcPr>
                  <w:tcW w:w="2299" w:type="pct"/>
                </w:tcPr>
                <w:p w14:paraId="48D9D751" w14:textId="77777777" w:rsidR="00433630" w:rsidRPr="004B05FB" w:rsidRDefault="00433630" w:rsidP="00433630">
                  <w:pPr>
                    <w:pStyle w:val="TableBodyText"/>
                    <w:jc w:val="left"/>
                  </w:pPr>
                  <w:r w:rsidRPr="000A19BB">
                    <w:t xml:space="preserve">Other </w:t>
                  </w:r>
                  <w:r>
                    <w:t>s</w:t>
                  </w:r>
                  <w:r w:rsidRPr="000A19BB">
                    <w:t>ervices</w:t>
                  </w:r>
                </w:p>
              </w:tc>
              <w:tc>
                <w:tcPr>
                  <w:tcW w:w="1148" w:type="pct"/>
                </w:tcPr>
                <w:p w14:paraId="682621B4" w14:textId="77777777" w:rsidR="00433630" w:rsidRDefault="00433630" w:rsidP="004D3D25">
                  <w:pPr>
                    <w:pStyle w:val="TableBodyText"/>
                    <w:jc w:val="left"/>
                  </w:pPr>
                  <w:r>
                    <w:t>Personal</w:t>
                  </w:r>
                </w:p>
              </w:tc>
              <w:tc>
                <w:tcPr>
                  <w:tcW w:w="743" w:type="pct"/>
                </w:tcPr>
                <w:p w14:paraId="19E7EA15" w14:textId="77777777" w:rsidR="00433630" w:rsidRDefault="00433630" w:rsidP="00433630">
                  <w:pPr>
                    <w:pStyle w:val="TableBodyText"/>
                  </w:pPr>
                  <w:r>
                    <w:t>439</w:t>
                  </w:r>
                </w:p>
              </w:tc>
              <w:tc>
                <w:tcPr>
                  <w:tcW w:w="810" w:type="pct"/>
                </w:tcPr>
                <w:p w14:paraId="710BEC7C" w14:textId="77777777" w:rsidR="00433630" w:rsidRDefault="00433630" w:rsidP="00433630">
                  <w:pPr>
                    <w:pStyle w:val="TableBodyText"/>
                    <w:ind w:right="28"/>
                  </w:pPr>
                  <w:r w:rsidRPr="003454E9">
                    <w:t>32</w:t>
                  </w:r>
                  <w:r>
                    <w:t> </w:t>
                  </w:r>
                  <w:r w:rsidRPr="003454E9">
                    <w:t>394</w:t>
                  </w:r>
                </w:p>
              </w:tc>
            </w:tr>
            <w:tr w:rsidR="00433630" w14:paraId="4C6480A8" w14:textId="77777777" w:rsidTr="002D30EB">
              <w:tc>
                <w:tcPr>
                  <w:tcW w:w="2299" w:type="pct"/>
                </w:tcPr>
                <w:p w14:paraId="48DB7ADB" w14:textId="77777777" w:rsidR="00433630" w:rsidRPr="004B05FB" w:rsidRDefault="00433630" w:rsidP="00433630">
                  <w:pPr>
                    <w:pStyle w:val="TableBodyText"/>
                    <w:jc w:val="left"/>
                  </w:pPr>
                  <w:r w:rsidRPr="00A20298">
                    <w:t xml:space="preserve">Electricity, </w:t>
                  </w:r>
                  <w:r>
                    <w:t>g</w:t>
                  </w:r>
                  <w:r w:rsidRPr="00A20298">
                    <w:t xml:space="preserve">as, </w:t>
                  </w:r>
                  <w:r>
                    <w:t>w</w:t>
                  </w:r>
                  <w:r w:rsidRPr="00A20298">
                    <w:t xml:space="preserve">ater and </w:t>
                  </w:r>
                  <w:r>
                    <w:t>w</w:t>
                  </w:r>
                  <w:r w:rsidRPr="00A20298">
                    <w:t xml:space="preserve">aste </w:t>
                  </w:r>
                  <w:r>
                    <w:t>s</w:t>
                  </w:r>
                  <w:r w:rsidRPr="00A20298">
                    <w:t>ervices</w:t>
                  </w:r>
                </w:p>
              </w:tc>
              <w:tc>
                <w:tcPr>
                  <w:tcW w:w="1148" w:type="pct"/>
                </w:tcPr>
                <w:p w14:paraId="270509FD" w14:textId="77777777" w:rsidR="00433630" w:rsidRDefault="00433630" w:rsidP="004D3D25">
                  <w:pPr>
                    <w:pStyle w:val="TableBodyText"/>
                    <w:jc w:val="left"/>
                  </w:pPr>
                  <w:r>
                    <w:t>Utilities &amp; construction</w:t>
                  </w:r>
                </w:p>
              </w:tc>
              <w:tc>
                <w:tcPr>
                  <w:tcW w:w="743" w:type="pct"/>
                </w:tcPr>
                <w:p w14:paraId="075CEE01" w14:textId="77777777" w:rsidR="00433630" w:rsidRDefault="00433630" w:rsidP="00433630">
                  <w:pPr>
                    <w:pStyle w:val="TableBodyText"/>
                  </w:pPr>
                  <w:r>
                    <w:t>151</w:t>
                  </w:r>
                </w:p>
              </w:tc>
              <w:tc>
                <w:tcPr>
                  <w:tcW w:w="810" w:type="pct"/>
                </w:tcPr>
                <w:p w14:paraId="13234D98" w14:textId="77777777" w:rsidR="00433630" w:rsidRDefault="00433630" w:rsidP="00433630">
                  <w:pPr>
                    <w:pStyle w:val="TableBodyText"/>
                    <w:ind w:right="28"/>
                  </w:pPr>
                  <w:r w:rsidRPr="008A4D75">
                    <w:t>47</w:t>
                  </w:r>
                  <w:r>
                    <w:t> </w:t>
                  </w:r>
                  <w:r w:rsidRPr="008A4D75">
                    <w:t>204</w:t>
                  </w:r>
                </w:p>
              </w:tc>
            </w:tr>
            <w:tr w:rsidR="00433630" w14:paraId="1D68FF9C" w14:textId="77777777" w:rsidTr="002D30EB">
              <w:tc>
                <w:tcPr>
                  <w:tcW w:w="2299" w:type="pct"/>
                </w:tcPr>
                <w:p w14:paraId="46A88EF6" w14:textId="77777777" w:rsidR="00433630" w:rsidRDefault="00433630" w:rsidP="00433630">
                  <w:pPr>
                    <w:pStyle w:val="TableBodyText"/>
                    <w:jc w:val="left"/>
                  </w:pPr>
                  <w:r w:rsidRPr="006016B1">
                    <w:t>Construction</w:t>
                  </w:r>
                </w:p>
              </w:tc>
              <w:tc>
                <w:tcPr>
                  <w:tcW w:w="1148" w:type="pct"/>
                </w:tcPr>
                <w:p w14:paraId="4B815CB7" w14:textId="77777777" w:rsidR="00433630" w:rsidRDefault="00433630" w:rsidP="004D3D25">
                  <w:pPr>
                    <w:pStyle w:val="TableBodyText"/>
                    <w:jc w:val="left"/>
                  </w:pPr>
                  <w:r>
                    <w:t>Utilities &amp; construction</w:t>
                  </w:r>
                </w:p>
              </w:tc>
              <w:tc>
                <w:tcPr>
                  <w:tcW w:w="743" w:type="pct"/>
                </w:tcPr>
                <w:p w14:paraId="3CCEC128" w14:textId="77777777" w:rsidR="00433630" w:rsidRDefault="00433630" w:rsidP="00433630">
                  <w:pPr>
                    <w:pStyle w:val="TableBodyText"/>
                  </w:pPr>
                  <w:r>
                    <w:t>1 160</w:t>
                  </w:r>
                </w:p>
              </w:tc>
              <w:tc>
                <w:tcPr>
                  <w:tcW w:w="810" w:type="pct"/>
                </w:tcPr>
                <w:p w14:paraId="62D4EBDA" w14:textId="77777777" w:rsidR="00433630" w:rsidRDefault="00433630" w:rsidP="00433630">
                  <w:pPr>
                    <w:pStyle w:val="TableBodyText"/>
                    <w:ind w:right="28"/>
                  </w:pPr>
                  <w:r w:rsidRPr="00F604E1">
                    <w:t>137</w:t>
                  </w:r>
                  <w:r>
                    <w:t> </w:t>
                  </w:r>
                  <w:r w:rsidRPr="00F604E1">
                    <w:t>673</w:t>
                  </w:r>
                </w:p>
              </w:tc>
            </w:tr>
            <w:tr w:rsidR="00433630" w14:paraId="790BDAFB" w14:textId="77777777" w:rsidTr="002D30EB">
              <w:tc>
                <w:tcPr>
                  <w:tcW w:w="2299" w:type="pct"/>
                </w:tcPr>
                <w:p w14:paraId="6022CF59" w14:textId="77777777" w:rsidR="00433630" w:rsidRPr="006016B1" w:rsidRDefault="00433630" w:rsidP="00433630">
                  <w:pPr>
                    <w:pStyle w:val="TableBodyText"/>
                    <w:jc w:val="left"/>
                  </w:pPr>
                  <w:r w:rsidRPr="00AC11CA">
                    <w:t xml:space="preserve">Education and </w:t>
                  </w:r>
                  <w:r>
                    <w:t>t</w:t>
                  </w:r>
                  <w:r w:rsidRPr="00AC11CA">
                    <w:t>raining</w:t>
                  </w:r>
                </w:p>
              </w:tc>
              <w:tc>
                <w:tcPr>
                  <w:tcW w:w="1148" w:type="pct"/>
                </w:tcPr>
                <w:p w14:paraId="327974B5" w14:textId="77777777" w:rsidR="00433630" w:rsidRDefault="00433630" w:rsidP="004D3D25">
                  <w:pPr>
                    <w:pStyle w:val="TableBodyText"/>
                    <w:jc w:val="left"/>
                  </w:pPr>
                  <w:r>
                    <w:t>Non-market</w:t>
                  </w:r>
                </w:p>
              </w:tc>
              <w:tc>
                <w:tcPr>
                  <w:tcW w:w="743" w:type="pct"/>
                </w:tcPr>
                <w:p w14:paraId="787F0264" w14:textId="77777777" w:rsidR="00433630" w:rsidRDefault="00433630" w:rsidP="00433630">
                  <w:pPr>
                    <w:pStyle w:val="TableBodyText"/>
                  </w:pPr>
                  <w:r>
                    <w:t>1 085</w:t>
                  </w:r>
                </w:p>
              </w:tc>
              <w:tc>
                <w:tcPr>
                  <w:tcW w:w="810" w:type="pct"/>
                </w:tcPr>
                <w:p w14:paraId="3B8BB0D6" w14:textId="77777777" w:rsidR="00433630" w:rsidRDefault="00433630" w:rsidP="00433630">
                  <w:pPr>
                    <w:pStyle w:val="TableBodyText"/>
                    <w:ind w:right="28"/>
                  </w:pPr>
                  <w:r w:rsidRPr="0073587C">
                    <w:t>93</w:t>
                  </w:r>
                  <w:r>
                    <w:t> </w:t>
                  </w:r>
                  <w:r w:rsidRPr="0073587C">
                    <w:t>678</w:t>
                  </w:r>
                </w:p>
              </w:tc>
            </w:tr>
            <w:tr w:rsidR="00433630" w14:paraId="7A49F2D7" w14:textId="77777777" w:rsidTr="002D30EB">
              <w:tc>
                <w:tcPr>
                  <w:tcW w:w="2299" w:type="pct"/>
                </w:tcPr>
                <w:p w14:paraId="56DCB5D6" w14:textId="77777777" w:rsidR="00433630" w:rsidRDefault="00433630" w:rsidP="00433630">
                  <w:pPr>
                    <w:pStyle w:val="TableBodyText"/>
                    <w:jc w:val="left"/>
                  </w:pPr>
                  <w:r w:rsidRPr="006A6240">
                    <w:t xml:space="preserve">Public </w:t>
                  </w:r>
                  <w:r>
                    <w:t>a</w:t>
                  </w:r>
                  <w:r w:rsidRPr="006A6240">
                    <w:t xml:space="preserve">dministration and </w:t>
                  </w:r>
                  <w:r>
                    <w:t>s</w:t>
                  </w:r>
                  <w:r w:rsidRPr="006A6240">
                    <w:t>afety</w:t>
                  </w:r>
                </w:p>
              </w:tc>
              <w:tc>
                <w:tcPr>
                  <w:tcW w:w="1148" w:type="pct"/>
                </w:tcPr>
                <w:p w14:paraId="6C38A6E2" w14:textId="77777777" w:rsidR="00433630" w:rsidRDefault="00433630" w:rsidP="004D3D25">
                  <w:pPr>
                    <w:pStyle w:val="TableBodyText"/>
                    <w:jc w:val="left"/>
                  </w:pPr>
                  <w:r>
                    <w:t>Non-market</w:t>
                  </w:r>
                </w:p>
              </w:tc>
              <w:tc>
                <w:tcPr>
                  <w:tcW w:w="743" w:type="pct"/>
                </w:tcPr>
                <w:p w14:paraId="54672BA1" w14:textId="77777777" w:rsidR="00433630" w:rsidRDefault="00433630" w:rsidP="00433630">
                  <w:pPr>
                    <w:pStyle w:val="TableBodyText"/>
                  </w:pPr>
                  <w:r>
                    <w:t>884</w:t>
                  </w:r>
                </w:p>
              </w:tc>
              <w:tc>
                <w:tcPr>
                  <w:tcW w:w="810" w:type="pct"/>
                </w:tcPr>
                <w:p w14:paraId="15019F53" w14:textId="77777777" w:rsidR="00433630" w:rsidRDefault="00433630" w:rsidP="00433630">
                  <w:pPr>
                    <w:pStyle w:val="TableBodyText"/>
                    <w:ind w:right="28"/>
                  </w:pPr>
                  <w:r w:rsidRPr="00963BB2">
                    <w:t>106</w:t>
                  </w:r>
                  <w:r>
                    <w:t> </w:t>
                  </w:r>
                  <w:r w:rsidRPr="00963BB2">
                    <w:t>521</w:t>
                  </w:r>
                </w:p>
              </w:tc>
            </w:tr>
            <w:tr w:rsidR="00433630" w14:paraId="1B6E164F" w14:textId="77777777" w:rsidTr="002D30EB">
              <w:tc>
                <w:tcPr>
                  <w:tcW w:w="2299" w:type="pct"/>
                  <w:tcBorders>
                    <w:bottom w:val="single" w:sz="6" w:space="0" w:color="BFBFBF"/>
                  </w:tcBorders>
                  <w:shd w:val="clear" w:color="auto" w:fill="auto"/>
                </w:tcPr>
                <w:p w14:paraId="01F60B16" w14:textId="77777777" w:rsidR="00433630" w:rsidRDefault="00433630" w:rsidP="00433630">
                  <w:pPr>
                    <w:pStyle w:val="TableBodyText"/>
                    <w:jc w:val="left"/>
                  </w:pPr>
                  <w:r w:rsidRPr="007E7F06">
                    <w:t xml:space="preserve">Health </w:t>
                  </w:r>
                  <w:r>
                    <w:t>c</w:t>
                  </w:r>
                  <w:r w:rsidRPr="007E7F06">
                    <w:t xml:space="preserve">are and </w:t>
                  </w:r>
                  <w:r>
                    <w:t>s</w:t>
                  </w:r>
                  <w:r w:rsidRPr="007E7F06">
                    <w:t xml:space="preserve">ocial </w:t>
                  </w:r>
                  <w:r>
                    <w:t>a</w:t>
                  </w:r>
                  <w:r w:rsidRPr="007E7F06">
                    <w:t>ssistance</w:t>
                  </w:r>
                </w:p>
              </w:tc>
              <w:tc>
                <w:tcPr>
                  <w:tcW w:w="1148" w:type="pct"/>
                  <w:tcBorders>
                    <w:bottom w:val="single" w:sz="6" w:space="0" w:color="BFBFBF"/>
                  </w:tcBorders>
                </w:tcPr>
                <w:p w14:paraId="5713EA89" w14:textId="77777777" w:rsidR="00433630" w:rsidRDefault="00433630" w:rsidP="004D3D25">
                  <w:pPr>
                    <w:pStyle w:val="TableBodyText"/>
                    <w:jc w:val="left"/>
                  </w:pPr>
                  <w:r>
                    <w:t>Non-market</w:t>
                  </w:r>
                </w:p>
              </w:tc>
              <w:tc>
                <w:tcPr>
                  <w:tcW w:w="743" w:type="pct"/>
                  <w:tcBorders>
                    <w:bottom w:val="single" w:sz="6" w:space="0" w:color="BFBFBF"/>
                  </w:tcBorders>
                  <w:shd w:val="clear" w:color="auto" w:fill="auto"/>
                </w:tcPr>
                <w:p w14:paraId="321975AB" w14:textId="77777777" w:rsidR="00433630" w:rsidRDefault="00433630" w:rsidP="00433630">
                  <w:pPr>
                    <w:pStyle w:val="TableBodyText"/>
                  </w:pPr>
                  <w:r>
                    <w:t>1 765</w:t>
                  </w:r>
                </w:p>
              </w:tc>
              <w:tc>
                <w:tcPr>
                  <w:tcW w:w="810" w:type="pct"/>
                  <w:tcBorders>
                    <w:bottom w:val="single" w:sz="6" w:space="0" w:color="BFBFBF"/>
                  </w:tcBorders>
                  <w:shd w:val="clear" w:color="auto" w:fill="auto"/>
                </w:tcPr>
                <w:p w14:paraId="15C4012F" w14:textId="77777777" w:rsidR="00433630" w:rsidRDefault="00433630" w:rsidP="00433630">
                  <w:pPr>
                    <w:pStyle w:val="TableBodyText"/>
                    <w:ind w:right="28"/>
                  </w:pPr>
                  <w:r w:rsidRPr="00DC2BE9">
                    <w:t>144</w:t>
                  </w:r>
                  <w:r>
                    <w:t> </w:t>
                  </w:r>
                  <w:r w:rsidRPr="00DC2BE9">
                    <w:t>023</w:t>
                  </w:r>
                </w:p>
              </w:tc>
            </w:tr>
          </w:tbl>
          <w:p w14:paraId="01583B67" w14:textId="0BEE34AF" w:rsidR="00E14570" w:rsidRDefault="00E14570" w:rsidP="00852350">
            <w:pPr>
              <w:pStyle w:val="Box"/>
            </w:pPr>
          </w:p>
        </w:tc>
      </w:tr>
      <w:tr w:rsidR="00E14570" w14:paraId="2BF2696C" w14:textId="77777777" w:rsidTr="004F68AB">
        <w:tc>
          <w:tcPr>
            <w:tcW w:w="5000" w:type="pct"/>
            <w:tcBorders>
              <w:top w:val="nil"/>
              <w:left w:val="nil"/>
              <w:bottom w:val="nil"/>
              <w:right w:val="nil"/>
            </w:tcBorders>
            <w:shd w:val="clear" w:color="auto" w:fill="F2F2F2"/>
          </w:tcPr>
          <w:p w14:paraId="564EE6A0" w14:textId="0D8A5258" w:rsidR="00E14570" w:rsidRDefault="00E14570" w:rsidP="00B57589">
            <w:pPr>
              <w:pStyle w:val="BoxSource"/>
              <w:spacing w:after="80"/>
            </w:pPr>
            <w:r>
              <w:rPr>
                <w:i/>
              </w:rPr>
              <w:t>Source(s)</w:t>
            </w:r>
            <w:r w:rsidRPr="00167F06">
              <w:t xml:space="preserve">: </w:t>
            </w:r>
            <w:r w:rsidR="00852350" w:rsidRPr="00852350">
              <w:t xml:space="preserve">The Economist </w:t>
            </w:r>
            <w:r w:rsidR="00966931" w:rsidRPr="00966931">
              <w:rPr>
                <w:rFonts w:cs="Arial"/>
                <w:szCs w:val="24"/>
              </w:rPr>
              <w:t>(2020)</w:t>
            </w:r>
            <w:r>
              <w:t xml:space="preserve">; </w:t>
            </w:r>
            <w:r w:rsidR="00141CA6" w:rsidRPr="00141CA6">
              <w:t>European Commission et al.</w:t>
            </w:r>
            <w:r w:rsidR="00966931" w:rsidRPr="00966931">
              <w:rPr>
                <w:rFonts w:cs="Arial"/>
                <w:szCs w:val="24"/>
              </w:rPr>
              <w:t>(2009)</w:t>
            </w:r>
            <w:r w:rsidR="004A443B">
              <w:t>; ABS (</w:t>
            </w:r>
            <w:r w:rsidR="004A443B" w:rsidRPr="00154C6E">
              <w:rPr>
                <w:i/>
                <w:iCs/>
              </w:rPr>
              <w:t>Australian System of National Accounts, 2019</w:t>
            </w:r>
            <w:r w:rsidR="004A443B" w:rsidRPr="00154C6E">
              <w:rPr>
                <w:i/>
                <w:iCs/>
              </w:rPr>
              <w:noBreakHyphen/>
              <w:t>20</w:t>
            </w:r>
            <w:r w:rsidR="004A443B">
              <w:t>, Cat. no.</w:t>
            </w:r>
            <w:r w:rsidR="002F3641">
              <w:t xml:space="preserve"> 5204, </w:t>
            </w:r>
            <w:r w:rsidR="006423E9">
              <w:t>t</w:t>
            </w:r>
            <w:r w:rsidR="002F3641">
              <w:t>able 5</w:t>
            </w:r>
            <w:r w:rsidR="006423E9">
              <w:t>;</w:t>
            </w:r>
            <w:r w:rsidR="004A443B">
              <w:t> </w:t>
            </w:r>
            <w:r w:rsidR="004A443B">
              <w:rPr>
                <w:i/>
                <w:iCs/>
              </w:rPr>
              <w:t>Labour Force, Australia</w:t>
            </w:r>
            <w:r w:rsidR="004A443B">
              <w:t>, Cat</w:t>
            </w:r>
            <w:r w:rsidR="004A443B">
              <w:rPr>
                <w:sz w:val="20"/>
                <w:szCs w:val="22"/>
              </w:rPr>
              <w:t> no. </w:t>
            </w:r>
            <w:r w:rsidR="004A443B" w:rsidRPr="009E08ED">
              <w:t>6291.0.55.001</w:t>
            </w:r>
            <w:r w:rsidR="004A443B">
              <w:rPr>
                <w:sz w:val="20"/>
                <w:szCs w:val="22"/>
              </w:rPr>
              <w:t>, table 4)</w:t>
            </w:r>
            <w:r w:rsidR="00602972">
              <w:rPr>
                <w:sz w:val="20"/>
                <w:szCs w:val="22"/>
              </w:rPr>
              <w:t>.</w:t>
            </w:r>
          </w:p>
        </w:tc>
      </w:tr>
      <w:tr w:rsidR="00E14570" w14:paraId="101F6ADE" w14:textId="77777777" w:rsidTr="004F68AB">
        <w:tc>
          <w:tcPr>
            <w:tcW w:w="5000" w:type="pct"/>
            <w:tcBorders>
              <w:top w:val="nil"/>
              <w:left w:val="nil"/>
              <w:bottom w:val="single" w:sz="6" w:space="0" w:color="78A22F"/>
              <w:right w:val="nil"/>
            </w:tcBorders>
            <w:shd w:val="clear" w:color="auto" w:fill="F2F2F2"/>
          </w:tcPr>
          <w:p w14:paraId="0DC31593" w14:textId="77777777" w:rsidR="00E14570" w:rsidRDefault="00E14570">
            <w:pPr>
              <w:pStyle w:val="Box"/>
              <w:spacing w:before="0" w:line="120" w:lineRule="exact"/>
            </w:pPr>
          </w:p>
        </w:tc>
      </w:tr>
      <w:tr w:rsidR="00E14570" w:rsidRPr="000863A5" w14:paraId="3E2A87AB" w14:textId="77777777" w:rsidTr="004F68AB">
        <w:tc>
          <w:tcPr>
            <w:tcW w:w="5000" w:type="pct"/>
            <w:tcBorders>
              <w:top w:val="single" w:sz="6" w:space="0" w:color="78A22F"/>
              <w:left w:val="nil"/>
              <w:bottom w:val="nil"/>
              <w:right w:val="nil"/>
            </w:tcBorders>
          </w:tcPr>
          <w:p w14:paraId="20537E8C" w14:textId="09D4D243" w:rsidR="00E14570" w:rsidRPr="00626D32" w:rsidRDefault="00E14570" w:rsidP="004F68AB">
            <w:pPr>
              <w:pStyle w:val="BoxSpaceBelow"/>
            </w:pPr>
          </w:p>
        </w:tc>
      </w:tr>
    </w:tbl>
    <w:p w14:paraId="3737E07D" w14:textId="4492FF93" w:rsidR="00544326" w:rsidRDefault="00544326" w:rsidP="004D3D2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44326" w14:paraId="60906E0F" w14:textId="77777777" w:rsidTr="00735565">
        <w:trPr>
          <w:tblHeader/>
        </w:trPr>
        <w:tc>
          <w:tcPr>
            <w:tcW w:w="5000" w:type="pct"/>
            <w:tcBorders>
              <w:top w:val="single" w:sz="6" w:space="0" w:color="78A22F"/>
              <w:left w:val="nil"/>
              <w:bottom w:val="nil"/>
              <w:right w:val="nil"/>
            </w:tcBorders>
            <w:shd w:val="clear" w:color="auto" w:fill="F2F2F2"/>
          </w:tcPr>
          <w:p w14:paraId="75ABF2D9" w14:textId="2AF4A493" w:rsidR="00544326" w:rsidRDefault="00544326" w:rsidP="00735565">
            <w:pPr>
              <w:pStyle w:val="BoxTitle"/>
            </w:pPr>
            <w:r>
              <w:rPr>
                <w:b w:val="0"/>
              </w:rPr>
              <w:t xml:space="preserve">Box </w:t>
            </w:r>
            <w:r w:rsidR="005367D2">
              <w:rPr>
                <w:b w:val="0"/>
                <w:noProof/>
              </w:rPr>
              <w:t>2</w:t>
            </w:r>
            <w:r>
              <w:tab/>
              <w:t>The extent of differentiation in the service sector</w:t>
            </w:r>
          </w:p>
        </w:tc>
      </w:tr>
      <w:tr w:rsidR="00544326" w14:paraId="23A6BBD8" w14:textId="77777777" w:rsidTr="00735565">
        <w:tc>
          <w:tcPr>
            <w:tcW w:w="5000" w:type="pct"/>
            <w:tcBorders>
              <w:top w:val="nil"/>
              <w:left w:val="nil"/>
              <w:bottom w:val="nil"/>
              <w:right w:val="nil"/>
            </w:tcBorders>
            <w:shd w:val="clear" w:color="auto" w:fill="F2F2F2"/>
          </w:tcPr>
          <w:p w14:paraId="1FDB1FC6" w14:textId="47A1C935" w:rsidR="00544326" w:rsidRDefault="00544326" w:rsidP="004D3D25">
            <w:pPr>
              <w:pStyle w:val="Box"/>
              <w:spacing w:after="240"/>
            </w:pPr>
            <w:r>
              <w:t xml:space="preserve">There is no monolithic ‘service sector’ — </w:t>
            </w:r>
            <w:r w:rsidR="00F4269B">
              <w:t xml:space="preserve">rather, </w:t>
            </w:r>
            <w:r>
              <w:t xml:space="preserve">there is a series of subsectors </w:t>
            </w:r>
            <w:r w:rsidR="00A52959">
              <w:t xml:space="preserve">the </w:t>
            </w:r>
            <w:r>
              <w:t xml:space="preserve">economic activity </w:t>
            </w:r>
            <w:r w:rsidR="00A52959">
              <w:t xml:space="preserve">of which </w:t>
            </w:r>
            <w:r>
              <w:t>var</w:t>
            </w:r>
            <w:r w:rsidR="008C1F76">
              <w:t>ies</w:t>
            </w:r>
            <w:r>
              <w:t xml:space="preserve"> substantially in terms of type of output, production processes, the occupations of workers and the types of organisational structure. The table below highlights some of the large differences that exist across and within sub-industries under the ‘service sector’ label. </w:t>
            </w:r>
          </w:p>
          <w:tbl>
            <w:tblPr>
              <w:tblW w:w="8505" w:type="dxa"/>
              <w:tblCellMar>
                <w:left w:w="0" w:type="dxa"/>
                <w:right w:w="0" w:type="dxa"/>
              </w:tblCellMar>
              <w:tblLook w:val="0000" w:firstRow="0" w:lastRow="0" w:firstColumn="0" w:lastColumn="0" w:noHBand="0" w:noVBand="0"/>
            </w:tblPr>
            <w:tblGrid>
              <w:gridCol w:w="2550"/>
              <w:gridCol w:w="2883"/>
              <w:gridCol w:w="1545"/>
              <w:gridCol w:w="1527"/>
            </w:tblGrid>
            <w:tr w:rsidR="00BF3CA2" w14:paraId="12D38BA5" w14:textId="77777777" w:rsidTr="00403C9B">
              <w:tc>
                <w:tcPr>
                  <w:tcW w:w="1499" w:type="pct"/>
                  <w:tcBorders>
                    <w:top w:val="single" w:sz="6" w:space="0" w:color="BFBFBF"/>
                    <w:bottom w:val="single" w:sz="6" w:space="0" w:color="BFBFBF"/>
                  </w:tcBorders>
                  <w:shd w:val="clear" w:color="auto" w:fill="auto"/>
                </w:tcPr>
                <w:p w14:paraId="31D62FEC" w14:textId="77777777" w:rsidR="00BF3CA2" w:rsidRDefault="00BF3CA2" w:rsidP="00C411A8">
                  <w:pPr>
                    <w:pStyle w:val="TableColumnHeading"/>
                    <w:jc w:val="left"/>
                  </w:pPr>
                  <w:r>
                    <w:t>Industry</w:t>
                  </w:r>
                </w:p>
              </w:tc>
              <w:tc>
                <w:tcPr>
                  <w:tcW w:w="1695" w:type="pct"/>
                  <w:tcBorders>
                    <w:top w:val="single" w:sz="6" w:space="0" w:color="BFBFBF"/>
                    <w:bottom w:val="single" w:sz="6" w:space="0" w:color="BFBFBF"/>
                  </w:tcBorders>
                  <w:shd w:val="clear" w:color="auto" w:fill="auto"/>
                </w:tcPr>
                <w:p w14:paraId="00F944A9" w14:textId="43B7BF5D" w:rsidR="00BF3CA2" w:rsidRDefault="00BF3CA2" w:rsidP="004D3D25">
                  <w:pPr>
                    <w:pStyle w:val="TableColumnHeading"/>
                    <w:jc w:val="left"/>
                  </w:pPr>
                  <w:r>
                    <w:t>Gross output measurement</w:t>
                  </w:r>
                </w:p>
              </w:tc>
              <w:tc>
                <w:tcPr>
                  <w:tcW w:w="908" w:type="pct"/>
                  <w:tcBorders>
                    <w:top w:val="single" w:sz="6" w:space="0" w:color="BFBFBF"/>
                    <w:bottom w:val="single" w:sz="6" w:space="0" w:color="BFBFBF"/>
                  </w:tcBorders>
                  <w:shd w:val="clear" w:color="auto" w:fill="auto"/>
                </w:tcPr>
                <w:p w14:paraId="2090F3EF" w14:textId="77777777" w:rsidR="00BF3CA2" w:rsidRDefault="00BF3CA2" w:rsidP="00C411A8">
                  <w:pPr>
                    <w:pStyle w:val="TableColumnHeading"/>
                  </w:pPr>
                  <w:r>
                    <w:t xml:space="preserve">Median </w:t>
                  </w:r>
                  <w:r>
                    <w:br/>
                    <w:t xml:space="preserve">number of employees </w:t>
                  </w:r>
                </w:p>
              </w:tc>
              <w:tc>
                <w:tcPr>
                  <w:tcW w:w="898" w:type="pct"/>
                  <w:tcBorders>
                    <w:top w:val="single" w:sz="6" w:space="0" w:color="BFBFBF"/>
                    <w:bottom w:val="single" w:sz="6" w:space="0" w:color="BFBFBF"/>
                  </w:tcBorders>
                </w:tcPr>
                <w:p w14:paraId="4B1D075C" w14:textId="102F3D97" w:rsidR="00BF3CA2" w:rsidRDefault="00BF3CA2" w:rsidP="00C411A8">
                  <w:pPr>
                    <w:pStyle w:val="TableColumnHeading"/>
                    <w:ind w:right="28"/>
                  </w:pPr>
                  <w:r>
                    <w:t xml:space="preserve">Median </w:t>
                  </w:r>
                  <w:r>
                    <w:br/>
                    <w:t>annual sales ($ million)</w:t>
                  </w:r>
                </w:p>
              </w:tc>
            </w:tr>
            <w:tr w:rsidR="00BF3CA2" w14:paraId="60567E9D" w14:textId="77777777" w:rsidTr="00403C9B">
              <w:tc>
                <w:tcPr>
                  <w:tcW w:w="1499" w:type="pct"/>
                  <w:tcBorders>
                    <w:top w:val="single" w:sz="6" w:space="0" w:color="BFBFBF"/>
                  </w:tcBorders>
                </w:tcPr>
                <w:p w14:paraId="58A100CC" w14:textId="77777777" w:rsidR="00BF3CA2" w:rsidRDefault="00BF3CA2" w:rsidP="00406D93">
                  <w:pPr>
                    <w:pStyle w:val="TableUnitsRow"/>
                    <w:spacing w:before="80"/>
                    <w:jc w:val="left"/>
                  </w:pPr>
                  <w:r>
                    <w:t>Cafes and restaurants</w:t>
                  </w:r>
                </w:p>
              </w:tc>
              <w:tc>
                <w:tcPr>
                  <w:tcW w:w="1695" w:type="pct"/>
                  <w:tcBorders>
                    <w:top w:val="single" w:sz="6" w:space="0" w:color="BFBFBF"/>
                  </w:tcBorders>
                </w:tcPr>
                <w:p w14:paraId="33A8735E" w14:textId="77777777" w:rsidR="00BF3CA2" w:rsidRDefault="00BF3CA2" w:rsidP="00406D93">
                  <w:pPr>
                    <w:pStyle w:val="TableUnitsRow"/>
                    <w:spacing w:before="80"/>
                    <w:jc w:val="left"/>
                  </w:pPr>
                  <w:r>
                    <w:t>Value of all food, drink and other goods sold at the business</w:t>
                  </w:r>
                </w:p>
              </w:tc>
              <w:tc>
                <w:tcPr>
                  <w:tcW w:w="908" w:type="pct"/>
                  <w:tcBorders>
                    <w:top w:val="single" w:sz="6" w:space="0" w:color="BFBFBF"/>
                  </w:tcBorders>
                </w:tcPr>
                <w:p w14:paraId="2B4BA8D8" w14:textId="77777777" w:rsidR="00BF3CA2" w:rsidRDefault="00BF3CA2" w:rsidP="00406D93">
                  <w:pPr>
                    <w:pStyle w:val="TableUnitsRow"/>
                    <w:spacing w:before="80"/>
                  </w:pPr>
                  <w:r>
                    <w:t>1 to 9</w:t>
                  </w:r>
                </w:p>
              </w:tc>
              <w:tc>
                <w:tcPr>
                  <w:tcW w:w="898" w:type="pct"/>
                  <w:tcBorders>
                    <w:top w:val="single" w:sz="6" w:space="0" w:color="BFBFBF"/>
                  </w:tcBorders>
                </w:tcPr>
                <w:p w14:paraId="6F835DD0" w14:textId="7F5A8379" w:rsidR="00BF3CA2" w:rsidRPr="003F12E7" w:rsidRDefault="00BF3CA2" w:rsidP="00406D93">
                  <w:pPr>
                    <w:pStyle w:val="TableUnitsRow"/>
                    <w:spacing w:before="80"/>
                    <w:ind w:right="28"/>
                  </w:pPr>
                  <w:r>
                    <w:t>0.2</w:t>
                  </w:r>
                  <w:r w:rsidRPr="003F12E7">
                    <w:t xml:space="preserve"> to </w:t>
                  </w:r>
                  <w:r>
                    <w:t>2</w:t>
                  </w:r>
                </w:p>
              </w:tc>
            </w:tr>
            <w:tr w:rsidR="00BF3CA2" w14:paraId="615865DA" w14:textId="77777777" w:rsidTr="00403C9B">
              <w:tc>
                <w:tcPr>
                  <w:tcW w:w="1499" w:type="pct"/>
                </w:tcPr>
                <w:p w14:paraId="714438B4" w14:textId="77777777" w:rsidR="00BF3CA2" w:rsidRDefault="00BF3CA2" w:rsidP="00C411A8">
                  <w:pPr>
                    <w:pStyle w:val="TableBodyText"/>
                    <w:jc w:val="left"/>
                  </w:pPr>
                  <w:r>
                    <w:t>Rail freight transport</w:t>
                  </w:r>
                </w:p>
              </w:tc>
              <w:tc>
                <w:tcPr>
                  <w:tcW w:w="1695" w:type="pct"/>
                </w:tcPr>
                <w:p w14:paraId="61405244" w14:textId="77777777" w:rsidR="00BF3CA2" w:rsidRDefault="00BF3CA2" w:rsidP="004D3D25">
                  <w:pPr>
                    <w:pStyle w:val="TableBodyText"/>
                    <w:jc w:val="left"/>
                  </w:pPr>
                  <w:r>
                    <w:t>Fees charged for the transportation of goods</w:t>
                  </w:r>
                </w:p>
              </w:tc>
              <w:tc>
                <w:tcPr>
                  <w:tcW w:w="908" w:type="pct"/>
                </w:tcPr>
                <w:p w14:paraId="66738E3B" w14:textId="5ECD4C90" w:rsidR="00BF3CA2" w:rsidRDefault="00BF3CA2" w:rsidP="00C411A8">
                  <w:pPr>
                    <w:pStyle w:val="TableBodyText"/>
                  </w:pPr>
                  <w:r>
                    <w:t>20</w:t>
                  </w:r>
                  <w:r w:rsidR="00A92AB1">
                    <w:t xml:space="preserve"> to 99</w:t>
                  </w:r>
                </w:p>
              </w:tc>
              <w:tc>
                <w:tcPr>
                  <w:tcW w:w="898" w:type="pct"/>
                </w:tcPr>
                <w:p w14:paraId="6BA2EB67" w14:textId="4E72ACF2" w:rsidR="00BF3CA2" w:rsidRPr="006B79E3" w:rsidRDefault="00BF3CA2" w:rsidP="00C411A8">
                  <w:pPr>
                    <w:pStyle w:val="TableBodyText"/>
                    <w:ind w:right="28"/>
                  </w:pPr>
                  <w:r>
                    <w:t>10</w:t>
                  </w:r>
                  <w:r w:rsidRPr="006B79E3">
                    <w:t xml:space="preserve"> to </w:t>
                  </w:r>
                  <w:r>
                    <w:t>50</w:t>
                  </w:r>
                </w:p>
              </w:tc>
            </w:tr>
            <w:tr w:rsidR="00BF3CA2" w14:paraId="6F720AE4" w14:textId="77777777" w:rsidTr="00403C9B">
              <w:tc>
                <w:tcPr>
                  <w:tcW w:w="1499" w:type="pct"/>
                  <w:tcBorders>
                    <w:bottom w:val="single" w:sz="6" w:space="0" w:color="BFBFBF"/>
                  </w:tcBorders>
                  <w:shd w:val="clear" w:color="auto" w:fill="auto"/>
                </w:tcPr>
                <w:p w14:paraId="17484CD1" w14:textId="77777777" w:rsidR="00BF3CA2" w:rsidRDefault="00BF3CA2" w:rsidP="00C411A8">
                  <w:pPr>
                    <w:pStyle w:val="TableBodyText"/>
                    <w:jc w:val="left"/>
                  </w:pPr>
                  <w:r w:rsidRPr="00BA3EA2">
                    <w:t xml:space="preserve">Data </w:t>
                  </w:r>
                  <w:r>
                    <w:t>p</w:t>
                  </w:r>
                  <w:r w:rsidRPr="00BA3EA2">
                    <w:t xml:space="preserve">rocessing and </w:t>
                  </w:r>
                  <w:r>
                    <w:t>w</w:t>
                  </w:r>
                  <w:r w:rsidRPr="00BA3EA2">
                    <w:t xml:space="preserve">eb </w:t>
                  </w:r>
                  <w:r>
                    <w:t>h</w:t>
                  </w:r>
                  <w:r w:rsidRPr="00BA3EA2">
                    <w:t>osting Services</w:t>
                  </w:r>
                </w:p>
              </w:tc>
              <w:tc>
                <w:tcPr>
                  <w:tcW w:w="1695" w:type="pct"/>
                  <w:tcBorders>
                    <w:bottom w:val="single" w:sz="6" w:space="0" w:color="BFBFBF"/>
                  </w:tcBorders>
                  <w:shd w:val="clear" w:color="auto" w:fill="auto"/>
                </w:tcPr>
                <w:p w14:paraId="4BB7A1A0" w14:textId="77777777" w:rsidR="00BF3CA2" w:rsidRDefault="00BF3CA2" w:rsidP="004D3D25">
                  <w:pPr>
                    <w:pStyle w:val="TableBodyText"/>
                    <w:jc w:val="left"/>
                  </w:pPr>
                  <w:r>
                    <w:t>Fees charged to customers for service plus advertising revenue</w:t>
                  </w:r>
                </w:p>
              </w:tc>
              <w:tc>
                <w:tcPr>
                  <w:tcW w:w="908" w:type="pct"/>
                  <w:tcBorders>
                    <w:bottom w:val="single" w:sz="6" w:space="0" w:color="BFBFBF"/>
                  </w:tcBorders>
                  <w:shd w:val="clear" w:color="auto" w:fill="auto"/>
                </w:tcPr>
                <w:p w14:paraId="14D78F6B" w14:textId="77777777" w:rsidR="00BF3CA2" w:rsidRDefault="00BF3CA2" w:rsidP="00C411A8">
                  <w:pPr>
                    <w:pStyle w:val="TableBodyText"/>
                  </w:pPr>
                  <w:r>
                    <w:t>1 to 9</w:t>
                  </w:r>
                </w:p>
              </w:tc>
              <w:tc>
                <w:tcPr>
                  <w:tcW w:w="898" w:type="pct"/>
                  <w:tcBorders>
                    <w:bottom w:val="single" w:sz="6" w:space="0" w:color="BFBFBF"/>
                  </w:tcBorders>
                </w:tcPr>
                <w:p w14:paraId="6BC08513" w14:textId="2061A0A6" w:rsidR="00BF3CA2" w:rsidRPr="007A31FF" w:rsidRDefault="00BF3CA2" w:rsidP="00C411A8">
                  <w:pPr>
                    <w:pStyle w:val="TableBodyText"/>
                    <w:ind w:right="28"/>
                  </w:pPr>
                  <w:r>
                    <w:t>0.075</w:t>
                  </w:r>
                  <w:r w:rsidRPr="007A31FF">
                    <w:t xml:space="preserve"> to </w:t>
                  </w:r>
                  <w:r>
                    <w:t>0.2</w:t>
                  </w:r>
                </w:p>
              </w:tc>
            </w:tr>
          </w:tbl>
          <w:p w14:paraId="0518CE15" w14:textId="77777777" w:rsidR="00544326" w:rsidRDefault="00544326" w:rsidP="00735565">
            <w:pPr>
              <w:pStyle w:val="Box"/>
            </w:pPr>
          </w:p>
        </w:tc>
      </w:tr>
      <w:tr w:rsidR="00544326" w14:paraId="49E2497C" w14:textId="77777777" w:rsidTr="00735565">
        <w:tc>
          <w:tcPr>
            <w:tcW w:w="5000" w:type="pct"/>
            <w:tcBorders>
              <w:top w:val="nil"/>
              <w:left w:val="nil"/>
              <w:bottom w:val="nil"/>
              <w:right w:val="nil"/>
            </w:tcBorders>
            <w:shd w:val="clear" w:color="auto" w:fill="F2F2F2"/>
          </w:tcPr>
          <w:p w14:paraId="4E811A7F" w14:textId="76042E01" w:rsidR="00544326" w:rsidRDefault="00544326" w:rsidP="00B57589">
            <w:pPr>
              <w:pStyle w:val="BoxSource"/>
              <w:spacing w:after="80"/>
            </w:pPr>
            <w:r>
              <w:rPr>
                <w:i/>
              </w:rPr>
              <w:t>Sources</w:t>
            </w:r>
            <w:r w:rsidRPr="00167F06">
              <w:t xml:space="preserve">: </w:t>
            </w:r>
            <w:r w:rsidRPr="00886001">
              <w:t xml:space="preserve">BLADE </w:t>
            </w:r>
            <w:proofErr w:type="spellStart"/>
            <w:r w:rsidRPr="00886001">
              <w:t>tablebuilder</w:t>
            </w:r>
            <w:proofErr w:type="spellEnd"/>
            <w:r w:rsidRPr="00886001">
              <w:t>,</w:t>
            </w:r>
            <w:r>
              <w:t xml:space="preserve"> &amp; Australian system of nation accounts concepts, sources and methods </w:t>
            </w:r>
            <w:r w:rsidR="00213A40" w:rsidRPr="00213A40">
              <w:rPr>
                <w:rFonts w:cs="Arial"/>
                <w:szCs w:val="24"/>
              </w:rPr>
              <w:t>(ABS 2020a)</w:t>
            </w:r>
            <w:r w:rsidR="004D3D25">
              <w:rPr>
                <w:rFonts w:cs="Arial"/>
                <w:szCs w:val="24"/>
              </w:rPr>
              <w:t>.</w:t>
            </w:r>
          </w:p>
        </w:tc>
      </w:tr>
      <w:tr w:rsidR="00544326" w14:paraId="2B8C2579" w14:textId="77777777" w:rsidTr="00735565">
        <w:tc>
          <w:tcPr>
            <w:tcW w:w="5000" w:type="pct"/>
            <w:tcBorders>
              <w:top w:val="nil"/>
              <w:left w:val="nil"/>
              <w:bottom w:val="single" w:sz="6" w:space="0" w:color="78A22F"/>
              <w:right w:val="nil"/>
            </w:tcBorders>
            <w:shd w:val="clear" w:color="auto" w:fill="F2F2F2"/>
          </w:tcPr>
          <w:p w14:paraId="092A019A" w14:textId="77777777" w:rsidR="00544326" w:rsidRDefault="00544326" w:rsidP="00735565">
            <w:pPr>
              <w:pStyle w:val="Box"/>
              <w:spacing w:before="0" w:line="120" w:lineRule="exact"/>
            </w:pPr>
          </w:p>
        </w:tc>
      </w:tr>
      <w:tr w:rsidR="00544326" w:rsidRPr="000863A5" w14:paraId="4E2EAC24" w14:textId="77777777" w:rsidTr="00735565">
        <w:tc>
          <w:tcPr>
            <w:tcW w:w="5000" w:type="pct"/>
            <w:tcBorders>
              <w:top w:val="single" w:sz="6" w:space="0" w:color="78A22F"/>
              <w:left w:val="nil"/>
              <w:bottom w:val="nil"/>
              <w:right w:val="nil"/>
            </w:tcBorders>
          </w:tcPr>
          <w:p w14:paraId="3A865319" w14:textId="56637CD3" w:rsidR="00544326" w:rsidRPr="00626D32" w:rsidRDefault="00544326" w:rsidP="00735565">
            <w:pPr>
              <w:pStyle w:val="BoxSpaceBelow"/>
            </w:pPr>
          </w:p>
        </w:tc>
      </w:tr>
    </w:tbl>
    <w:p w14:paraId="748D9FF6" w14:textId="252C15BB" w:rsidR="001F37D1" w:rsidRDefault="00A75965" w:rsidP="001F37D1">
      <w:pPr>
        <w:pStyle w:val="Heading2"/>
      </w:pPr>
      <w:bookmarkStart w:id="8" w:name="_Toc67912994"/>
      <w:r>
        <w:rPr>
          <w:noProof/>
        </w:rPr>
        <w:t>1</w:t>
      </w:r>
      <w:r w:rsidR="001F37D1">
        <w:tab/>
      </w:r>
      <w:r w:rsidR="000924A2">
        <w:t>Service sector growth</w:t>
      </w:r>
      <w:r w:rsidR="00BD27C3">
        <w:t xml:space="preserve"> </w:t>
      </w:r>
      <w:r w:rsidR="000924A2">
        <w:t xml:space="preserve">is </w:t>
      </w:r>
      <w:r w:rsidR="008C3F41">
        <w:t xml:space="preserve">a feature of a </w:t>
      </w:r>
      <w:r w:rsidR="001174F5">
        <w:t xml:space="preserve">maturing </w:t>
      </w:r>
      <w:r w:rsidR="000924A2">
        <w:t>econom</w:t>
      </w:r>
      <w:r w:rsidR="00BD27C3">
        <w:t>y</w:t>
      </w:r>
      <w:bookmarkEnd w:id="8"/>
    </w:p>
    <w:p w14:paraId="50EDACD5" w14:textId="274A5BE9" w:rsidR="00B73B6C" w:rsidRDefault="001F37D1" w:rsidP="001F37D1">
      <w:pPr>
        <w:pStyle w:val="BodyText"/>
      </w:pPr>
      <w:r>
        <w:t>The service sector has</w:t>
      </w:r>
      <w:r w:rsidR="00B95FE2">
        <w:t xml:space="preserve"> </w:t>
      </w:r>
      <w:r>
        <w:t xml:space="preserve">always been a significant part of the Australian economy, but since about 1950 </w:t>
      </w:r>
      <w:r w:rsidR="009A36D5">
        <w:t>services have grown as a share of the economy</w:t>
      </w:r>
      <w:r>
        <w:t xml:space="preserve">, both in terms of output and employment (figures </w:t>
      </w:r>
      <w:r w:rsidR="005C3D31">
        <w:t>2</w:t>
      </w:r>
      <w:r>
        <w:t xml:space="preserve"> and </w:t>
      </w:r>
      <w:r w:rsidR="005C3D31">
        <w:t>3</w:t>
      </w:r>
      <w:r>
        <w:t xml:space="preserve">). </w:t>
      </w:r>
      <w:r w:rsidR="00EC21A6">
        <w:t>Seventy</w:t>
      </w:r>
      <w:r>
        <w:t xml:space="preserve"> years ago, nearly half the workforce was engaged in primary production or manufacturing, while today </w:t>
      </w:r>
      <w:r w:rsidR="00B73B6C">
        <w:t>th</w:t>
      </w:r>
      <w:r w:rsidR="009A36D5">
        <w:t>e</w:t>
      </w:r>
      <w:r w:rsidR="00B73B6C">
        <w:t xml:space="preserve"> figure </w:t>
      </w:r>
      <w:r>
        <w:t xml:space="preserve">is less than 10 per cent. </w:t>
      </w:r>
    </w:p>
    <w:p w14:paraId="1844ECBC" w14:textId="5B6F485F" w:rsidR="00FC29E2" w:rsidRDefault="00FC29E2" w:rsidP="001F37D1">
      <w:pPr>
        <w:pStyle w:val="BodyText"/>
      </w:pPr>
      <w:r>
        <w:t xml:space="preserve">The same general pattern is evident in other advanced economies, such as the United States and the United Kingdom (figure 4). As economies develop, </w:t>
      </w:r>
      <w:r w:rsidRPr="0035178E">
        <w:t>mining and agriculture</w:t>
      </w:r>
      <w:r w:rsidRPr="00783B65">
        <w:t xml:space="preserve"> </w:t>
      </w:r>
      <w:r w:rsidRPr="0035178E">
        <w:t>tend</w:t>
      </w:r>
      <w:r w:rsidRPr="00783B65">
        <w:t xml:space="preserve"> to shrink and </w:t>
      </w:r>
      <w:r w:rsidRPr="0035178E">
        <w:t>manufacturing</w:t>
      </w:r>
      <w:r w:rsidRPr="00783B65">
        <w:t xml:space="preserve"> eventually peaks before then also contracting, with services then becoming a steadily larger proportion of GDP</w:t>
      </w:r>
      <w:r>
        <w:t xml:space="preserve"> </w:t>
      </w:r>
      <w:r w:rsidRPr="003A495D">
        <w:rPr>
          <w:szCs w:val="24"/>
        </w:rPr>
        <w:t>(Kuznets 1971)</w:t>
      </w:r>
      <w:r w:rsidR="00187A04">
        <w:t xml:space="preserve"> (Australia is somewhat unusual with mining increasing its share of the economy, along with services).</w:t>
      </w:r>
    </w:p>
    <w:p w14:paraId="1615CD9E" w14:textId="5DA03460" w:rsidR="001F37D1" w:rsidRDefault="001F37D1" w:rsidP="001F37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F37D1" w14:paraId="040484C0" w14:textId="77777777" w:rsidTr="36E5E979">
        <w:trPr>
          <w:tblHeader/>
        </w:trPr>
        <w:tc>
          <w:tcPr>
            <w:tcW w:w="5000" w:type="pct"/>
            <w:tcBorders>
              <w:top w:val="single" w:sz="6" w:space="0" w:color="78A22F" w:themeColor="accent1"/>
              <w:left w:val="nil"/>
              <w:bottom w:val="nil"/>
              <w:right w:val="nil"/>
            </w:tcBorders>
            <w:shd w:val="clear" w:color="auto" w:fill="auto"/>
          </w:tcPr>
          <w:p w14:paraId="5D7DD514" w14:textId="657DAA62" w:rsidR="001F37D1" w:rsidRDefault="001F37D1" w:rsidP="001F37D1">
            <w:pPr>
              <w:pStyle w:val="FigureTitle"/>
            </w:pPr>
            <w:r w:rsidRPr="00784A05">
              <w:rPr>
                <w:b w:val="0"/>
              </w:rPr>
              <w:t xml:space="preserve">Figure </w:t>
            </w:r>
            <w:r w:rsidR="0075746E">
              <w:rPr>
                <w:b w:val="0"/>
                <w:noProof/>
              </w:rPr>
              <w:t>2</w:t>
            </w:r>
            <w:r>
              <w:tab/>
              <w:t>Although always very large, the service sector has grown rapidly in the past 70 years …</w:t>
            </w:r>
          </w:p>
          <w:p w14:paraId="3F644053" w14:textId="76E7DC9E" w:rsidR="001F37D1" w:rsidRPr="00176D3F" w:rsidRDefault="001F37D1" w:rsidP="001F37D1">
            <w:pPr>
              <w:pStyle w:val="Subtitle"/>
              <w:tabs>
                <w:tab w:val="left" w:pos="2940"/>
              </w:tabs>
            </w:pPr>
            <w:r>
              <w:t>Five year centred moving average of the shares of agriculture, mining, manufacturing</w:t>
            </w:r>
            <w:r w:rsidRPr="00AA7A4A">
              <w:rPr>
                <w:rStyle w:val="NoteLabel"/>
              </w:rPr>
              <w:t>a</w:t>
            </w:r>
            <w:r>
              <w:t xml:space="preserve"> and services</w:t>
            </w:r>
            <w:r w:rsidR="00685CE9" w:rsidRPr="00947404">
              <w:rPr>
                <w:rStyle w:val="NoteLabel"/>
              </w:rPr>
              <w:t>b</w:t>
            </w:r>
            <w:r>
              <w:t xml:space="preserve"> in total GDP from 1801 to 2020</w:t>
            </w:r>
          </w:p>
        </w:tc>
      </w:tr>
      <w:tr w:rsidR="001F37D1" w14:paraId="7A53453B"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F37D1" w:rsidRPr="00B1465D" w14:paraId="1A8676F6" w14:textId="77777777" w:rsidTr="36E5E979">
              <w:trPr>
                <w:tblHeader/>
                <w:jc w:val="center"/>
              </w:trPr>
              <w:tc>
                <w:tcPr>
                  <w:tcW w:w="5000" w:type="pct"/>
                  <w:tcBorders>
                    <w:top w:val="nil"/>
                    <w:bottom w:val="nil"/>
                  </w:tcBorders>
                </w:tcPr>
                <w:p w14:paraId="3C657000" w14:textId="4F8340D0" w:rsidR="001F37D1" w:rsidRPr="00B1465D" w:rsidRDefault="001F37D1" w:rsidP="001F37D1">
                  <w:pPr>
                    <w:pStyle w:val="Figure"/>
                    <w:spacing w:before="60" w:after="60"/>
                    <w:rPr>
                      <w:rFonts w:ascii="Tahoma" w:hAnsi="Tahoma" w:cs="Tahoma"/>
                      <w:sz w:val="18"/>
                      <w:szCs w:val="18"/>
                    </w:rPr>
                  </w:pPr>
                  <w:r>
                    <w:rPr>
                      <w:noProof/>
                    </w:rPr>
                    <w:drawing>
                      <wp:inline distT="0" distB="0" distL="0" distR="0" wp14:anchorId="197BD61A" wp14:editId="178EF8F0">
                        <wp:extent cx="5537200" cy="2760345"/>
                        <wp:effectExtent l="0" t="0" r="6350" b="1905"/>
                        <wp:docPr id="5" name="Picture 5" descr="Services’ share of production fluctuated around of half of GDP from 1800 to 1950 then has steadily increased since. Agriculture’s share has declined since 1880 and manufacturing peaked near 30 per cent in the 19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vices’ share of production fluctuated around of half of GDP from 1800 to 1950 then has steadily increased since. Agriculture’s share has declined since 1880 and manufacturing peaked near 30 per cent in the 1960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7200" cy="2760345"/>
                                </a:xfrm>
                                <a:prstGeom prst="rect">
                                  <a:avLst/>
                                </a:prstGeom>
                              </pic:spPr>
                            </pic:pic>
                          </a:graphicData>
                        </a:graphic>
                      </wp:inline>
                    </w:drawing>
                  </w:r>
                </w:p>
              </w:tc>
            </w:tr>
          </w:tbl>
          <w:p w14:paraId="338E6F5E" w14:textId="77777777" w:rsidR="001F37D1" w:rsidRDefault="001F37D1" w:rsidP="001F37D1">
            <w:pPr>
              <w:pStyle w:val="Figure"/>
            </w:pPr>
          </w:p>
        </w:tc>
      </w:tr>
      <w:tr w:rsidR="001F37D1" w:rsidRPr="00176D3F" w14:paraId="31AC573D" w14:textId="77777777" w:rsidTr="36E5E979">
        <w:tc>
          <w:tcPr>
            <w:tcW w:w="5000" w:type="pct"/>
            <w:tcBorders>
              <w:top w:val="nil"/>
              <w:left w:val="nil"/>
              <w:bottom w:val="nil"/>
              <w:right w:val="nil"/>
            </w:tcBorders>
            <w:shd w:val="clear" w:color="auto" w:fill="auto"/>
          </w:tcPr>
          <w:p w14:paraId="6793F1B3" w14:textId="40F83420" w:rsidR="001F37D1" w:rsidRPr="00176D3F" w:rsidRDefault="001F37D1" w:rsidP="001F37D1">
            <w:pPr>
              <w:pStyle w:val="Note"/>
            </w:pPr>
            <w:r>
              <w:rPr>
                <w:rStyle w:val="NoteLabel"/>
              </w:rPr>
              <w:t>a</w:t>
            </w:r>
            <w:r>
              <w:t xml:space="preserve"> Manufacturing in this chart includes private construction, which elsewhere in the paper is included as part of the service sector. </w:t>
            </w:r>
            <w:r w:rsidR="009D4963" w:rsidRPr="00947404">
              <w:rPr>
                <w:rStyle w:val="NoteLabel"/>
              </w:rPr>
              <w:t>b</w:t>
            </w:r>
            <w:r w:rsidR="009D4963">
              <w:t xml:space="preserve"> </w:t>
            </w:r>
            <w:r w:rsidR="00ED4B0F">
              <w:t xml:space="preserve">Services are all industries other than agriculture, mining and manufacturing. </w:t>
            </w:r>
          </w:p>
        </w:tc>
      </w:tr>
      <w:tr w:rsidR="001F37D1" w:rsidRPr="00176D3F" w14:paraId="5B3B0751" w14:textId="77777777" w:rsidTr="36E5E979">
        <w:tc>
          <w:tcPr>
            <w:tcW w:w="5000" w:type="pct"/>
            <w:tcBorders>
              <w:top w:val="nil"/>
              <w:left w:val="nil"/>
              <w:bottom w:val="nil"/>
              <w:right w:val="nil"/>
            </w:tcBorders>
            <w:shd w:val="clear" w:color="auto" w:fill="auto"/>
          </w:tcPr>
          <w:p w14:paraId="3B9B98A0" w14:textId="660DF2B5" w:rsidR="001F37D1" w:rsidRPr="00176D3F" w:rsidRDefault="001F37D1" w:rsidP="001F37D1">
            <w:pPr>
              <w:pStyle w:val="Source"/>
            </w:pPr>
            <w:r>
              <w:rPr>
                <w:i/>
              </w:rPr>
              <w:t>S</w:t>
            </w:r>
            <w:r w:rsidRPr="00784A05">
              <w:rPr>
                <w:i/>
              </w:rPr>
              <w:t>ource</w:t>
            </w:r>
            <w:r>
              <w:rPr>
                <w:i/>
              </w:rPr>
              <w:t>s</w:t>
            </w:r>
            <w:r w:rsidRPr="00176D3F">
              <w:t xml:space="preserve">: </w:t>
            </w:r>
            <w:r>
              <w:t xml:space="preserve">1801 to 2010: </w:t>
            </w:r>
            <w:proofErr w:type="spellStart"/>
            <w:r>
              <w:t>Butlin</w:t>
            </w:r>
            <w:proofErr w:type="spellEnd"/>
            <w:r>
              <w:t xml:space="preserve"> et al. </w:t>
            </w:r>
            <w:r w:rsidRPr="00455B76">
              <w:rPr>
                <w:rFonts w:cs="Tahoma"/>
              </w:rPr>
              <w:t>(2015)</w:t>
            </w:r>
            <w:r>
              <w:t xml:space="preserve">; 2010 to 2020: ABS </w:t>
            </w:r>
            <w:r w:rsidR="00213A40" w:rsidRPr="00213A40">
              <w:rPr>
                <w:rFonts w:cs="Arial"/>
              </w:rPr>
              <w:t>(2020a)</w:t>
            </w:r>
            <w:r>
              <w:t xml:space="preserve">. </w:t>
            </w:r>
          </w:p>
        </w:tc>
      </w:tr>
      <w:tr w:rsidR="001F37D1" w14:paraId="1A41A797" w14:textId="77777777" w:rsidTr="36E5E979">
        <w:tc>
          <w:tcPr>
            <w:tcW w:w="5000" w:type="pct"/>
            <w:tcBorders>
              <w:top w:val="nil"/>
              <w:left w:val="nil"/>
              <w:bottom w:val="single" w:sz="6" w:space="0" w:color="78A22F" w:themeColor="accent1"/>
              <w:right w:val="nil"/>
            </w:tcBorders>
            <w:shd w:val="clear" w:color="auto" w:fill="auto"/>
          </w:tcPr>
          <w:p w14:paraId="02949C6D" w14:textId="77777777" w:rsidR="001F37D1" w:rsidRDefault="001F37D1" w:rsidP="001F37D1">
            <w:pPr>
              <w:pStyle w:val="Figurespace"/>
            </w:pPr>
          </w:p>
        </w:tc>
      </w:tr>
      <w:tr w:rsidR="001F37D1" w:rsidRPr="000863A5" w14:paraId="64C56279" w14:textId="77777777" w:rsidTr="36E5E979">
        <w:tc>
          <w:tcPr>
            <w:tcW w:w="5000" w:type="pct"/>
            <w:tcBorders>
              <w:top w:val="single" w:sz="6" w:space="0" w:color="78A22F" w:themeColor="accent1"/>
              <w:left w:val="nil"/>
              <w:bottom w:val="nil"/>
              <w:right w:val="nil"/>
            </w:tcBorders>
          </w:tcPr>
          <w:p w14:paraId="63C702DA" w14:textId="66063CBC" w:rsidR="001F37D1" w:rsidRPr="00626D32" w:rsidRDefault="001F37D1" w:rsidP="001F37D1">
            <w:pPr>
              <w:pStyle w:val="BoxSpaceBelow"/>
            </w:pPr>
          </w:p>
        </w:tc>
      </w:tr>
    </w:tbl>
    <w:p w14:paraId="2AE016AA" w14:textId="1854EDCA" w:rsidR="00DC3513" w:rsidRDefault="00DC3513" w:rsidP="00364B37">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C3513" w14:paraId="4AEC3986" w14:textId="77777777" w:rsidTr="36E5E979">
        <w:trPr>
          <w:tblHeader/>
        </w:trPr>
        <w:tc>
          <w:tcPr>
            <w:tcW w:w="5000" w:type="pct"/>
            <w:tcBorders>
              <w:top w:val="single" w:sz="6" w:space="0" w:color="78A22F" w:themeColor="accent1"/>
              <w:left w:val="nil"/>
              <w:bottom w:val="nil"/>
              <w:right w:val="nil"/>
            </w:tcBorders>
            <w:shd w:val="clear" w:color="auto" w:fill="auto"/>
          </w:tcPr>
          <w:p w14:paraId="71D24395" w14:textId="3D800CBF" w:rsidR="00DC3513" w:rsidRDefault="00DC3513" w:rsidP="00D9302F">
            <w:pPr>
              <w:pStyle w:val="FigureTitle"/>
            </w:pPr>
            <w:r w:rsidRPr="00784A05">
              <w:rPr>
                <w:b w:val="0"/>
              </w:rPr>
              <w:t xml:space="preserve">Figure </w:t>
            </w:r>
            <w:r w:rsidR="00CD64CA">
              <w:rPr>
                <w:b w:val="0"/>
                <w:noProof/>
              </w:rPr>
              <w:t>3</w:t>
            </w:r>
            <w:r>
              <w:tab/>
              <w:t>… and this has occurred to even greater degree in employment</w:t>
            </w:r>
          </w:p>
          <w:p w14:paraId="2A77A471" w14:textId="45F19C8F" w:rsidR="00DC3513" w:rsidRPr="00176D3F" w:rsidRDefault="00DC3513" w:rsidP="00D9302F">
            <w:pPr>
              <w:pStyle w:val="Subtitle"/>
            </w:pPr>
            <w:r>
              <w:t xml:space="preserve">Shares of agriculture, mining, manufacturing, and services in total employment between </w:t>
            </w:r>
            <w:r w:rsidR="004959C2">
              <w:t>1889</w:t>
            </w:r>
            <w:r>
              <w:noBreakHyphen/>
            </w:r>
            <w:r w:rsidR="004959C2">
              <w:t xml:space="preserve">90 </w:t>
            </w:r>
            <w:r>
              <w:t>and 2019</w:t>
            </w:r>
            <w:r>
              <w:noBreakHyphen/>
              <w:t>20</w:t>
            </w:r>
          </w:p>
        </w:tc>
      </w:tr>
      <w:tr w:rsidR="00DC3513" w14:paraId="1A9ECAAD"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C3513" w:rsidRPr="00B1465D" w14:paraId="1A469380" w14:textId="77777777" w:rsidTr="36E5E979">
              <w:trPr>
                <w:tblHeader/>
                <w:jc w:val="center"/>
              </w:trPr>
              <w:tc>
                <w:tcPr>
                  <w:tcW w:w="5000" w:type="pct"/>
                  <w:tcBorders>
                    <w:top w:val="nil"/>
                    <w:bottom w:val="nil"/>
                  </w:tcBorders>
                </w:tcPr>
                <w:p w14:paraId="6367A58A" w14:textId="4EBB1BD6" w:rsidR="00DC3513" w:rsidRPr="00B1465D" w:rsidRDefault="00CA1D3E" w:rsidP="00364B37">
                  <w:pPr>
                    <w:pStyle w:val="Figure"/>
                    <w:spacing w:before="0" w:after="0"/>
                    <w:rPr>
                      <w:rFonts w:ascii="Tahoma" w:hAnsi="Tahoma" w:cs="Tahoma"/>
                      <w:sz w:val="18"/>
                      <w:szCs w:val="18"/>
                    </w:rPr>
                  </w:pPr>
                  <w:r w:rsidRPr="00CA1D3E">
                    <w:rPr>
                      <w:noProof/>
                    </w:rPr>
                    <w:drawing>
                      <wp:inline distT="0" distB="0" distL="0" distR="0" wp14:anchorId="060BED0A" wp14:editId="6C202E06">
                        <wp:extent cx="5394960" cy="2758440"/>
                        <wp:effectExtent l="0" t="0" r="0" b="3810"/>
                        <wp:docPr id="32" name="Picture 32" descr="Services have been the largest employer since 1890 with a steady increase in their share of employment since 1950. All other industry categories have shown declining share of employment sinc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ervices have been the largest employer since 1890 with a steady increase in their share of employment since 1950. All other industry categories have shown declining share of employment since 19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4960" cy="2758440"/>
                                </a:xfrm>
                                <a:prstGeom prst="rect">
                                  <a:avLst/>
                                </a:prstGeom>
                                <a:noFill/>
                                <a:ln>
                                  <a:noFill/>
                                </a:ln>
                              </pic:spPr>
                            </pic:pic>
                          </a:graphicData>
                        </a:graphic>
                      </wp:inline>
                    </w:drawing>
                  </w:r>
                </w:p>
              </w:tc>
            </w:tr>
          </w:tbl>
          <w:p w14:paraId="20954C5A" w14:textId="77777777" w:rsidR="00DC3513" w:rsidRDefault="00DC3513" w:rsidP="00D9302F">
            <w:pPr>
              <w:pStyle w:val="Figure"/>
            </w:pPr>
          </w:p>
        </w:tc>
      </w:tr>
      <w:tr w:rsidR="00DC3513" w:rsidRPr="00176D3F" w14:paraId="0C93119C" w14:textId="77777777" w:rsidTr="36E5E979">
        <w:tc>
          <w:tcPr>
            <w:tcW w:w="5000" w:type="pct"/>
            <w:tcBorders>
              <w:top w:val="nil"/>
              <w:left w:val="nil"/>
              <w:bottom w:val="nil"/>
              <w:right w:val="nil"/>
            </w:tcBorders>
            <w:shd w:val="clear" w:color="auto" w:fill="auto"/>
          </w:tcPr>
          <w:p w14:paraId="58D2083E" w14:textId="4A41F810" w:rsidR="00DC3513" w:rsidRPr="00176D3F" w:rsidRDefault="00DC3513" w:rsidP="00364B37">
            <w:pPr>
              <w:pStyle w:val="Source"/>
              <w:spacing w:before="0"/>
            </w:pPr>
            <w:r>
              <w:rPr>
                <w:i/>
              </w:rPr>
              <w:t>S</w:t>
            </w:r>
            <w:r w:rsidRPr="00784A05">
              <w:rPr>
                <w:i/>
              </w:rPr>
              <w:t>ource</w:t>
            </w:r>
            <w:r>
              <w:rPr>
                <w:i/>
              </w:rPr>
              <w:t>s</w:t>
            </w:r>
            <w:r w:rsidRPr="00176D3F">
              <w:t>:</w:t>
            </w:r>
            <w:r>
              <w:t xml:space="preserve"> Commission estimates using, 1890</w:t>
            </w:r>
            <w:r>
              <w:noBreakHyphen/>
              <w:t>91 to 1979</w:t>
            </w:r>
            <w:r>
              <w:noBreakHyphen/>
              <w:t xml:space="preserve">80: Withers, Endres &amp; Perry </w:t>
            </w:r>
            <w:r w:rsidRPr="00A27F9C">
              <w:rPr>
                <w:rFonts w:cs="Tahoma"/>
              </w:rPr>
              <w:t>(1985)</w:t>
            </w:r>
            <w:r>
              <w:t>; 1980</w:t>
            </w:r>
            <w:r>
              <w:noBreakHyphen/>
              <w:t>81 to 2019</w:t>
            </w:r>
            <w:r>
              <w:noBreakHyphen/>
              <w:t>20: ABS (</w:t>
            </w:r>
            <w:r w:rsidRPr="003D1194">
              <w:rPr>
                <w:i/>
                <w:iCs/>
              </w:rPr>
              <w:t>Labour Account</w:t>
            </w:r>
            <w:r w:rsidRPr="008246B9">
              <w:rPr>
                <w:i/>
              </w:rPr>
              <w:t>, 2018-19</w:t>
            </w:r>
            <w:r>
              <w:t>, Cat. no. </w:t>
            </w:r>
            <w:r w:rsidR="00D078CA" w:rsidRPr="00403C9B">
              <w:t>6150.0.55.003</w:t>
            </w:r>
            <w:r>
              <w:t>, tables 2-20).</w:t>
            </w:r>
          </w:p>
        </w:tc>
      </w:tr>
      <w:tr w:rsidR="00DC3513" w14:paraId="770DDF3D" w14:textId="77777777" w:rsidTr="36E5E979">
        <w:tc>
          <w:tcPr>
            <w:tcW w:w="5000" w:type="pct"/>
            <w:tcBorders>
              <w:top w:val="nil"/>
              <w:left w:val="nil"/>
              <w:bottom w:val="single" w:sz="6" w:space="0" w:color="78A22F" w:themeColor="accent1"/>
              <w:right w:val="nil"/>
            </w:tcBorders>
            <w:shd w:val="clear" w:color="auto" w:fill="auto"/>
          </w:tcPr>
          <w:p w14:paraId="01175469" w14:textId="77777777" w:rsidR="00DC3513" w:rsidRDefault="00DC3513" w:rsidP="00364B37">
            <w:pPr>
              <w:pStyle w:val="Figurespace"/>
              <w:keepNext w:val="0"/>
            </w:pPr>
          </w:p>
        </w:tc>
      </w:tr>
    </w:tbl>
    <w:p w14:paraId="2DB77D80" w14:textId="3983BED5" w:rsidR="00FC29E2" w:rsidRDefault="007F387A" w:rsidP="00FC29E2">
      <w:pPr>
        <w:pStyle w:val="BodyText"/>
      </w:pPr>
      <w:r>
        <w:lastRenderedPageBreak/>
        <w:t xml:space="preserve">The rise of the service sector in advanced economies is often attributed to the rapid industrialisation of East and South East Asia. Indeed, the phrase ‘Made in China’ has become so ubiquitous that China is sometimes referred to as the ‘world’s factory’ </w:t>
      </w:r>
      <w:r w:rsidRPr="00280119">
        <w:rPr>
          <w:szCs w:val="24"/>
        </w:rPr>
        <w:t>(Ghosh 2020)</w:t>
      </w:r>
      <w:r>
        <w:t xml:space="preserve">. And while the industrialisation of Asia has likely accelerated the rate of structural transformation in the advanced economies, the emerging Asian economies have also experienced growing service sectors. In many of these countries, the manufacturing sector has either peaked or declined as a share of GDP, </w:t>
      </w:r>
      <w:r w:rsidR="00F44F21">
        <w:t xml:space="preserve">including </w:t>
      </w:r>
      <w:r>
        <w:t>in China, since about 2000 (figure 5).</w:t>
      </w:r>
    </w:p>
    <w:p w14:paraId="33CF1889" w14:textId="7A2D0301" w:rsidR="004964C3" w:rsidRDefault="004964C3" w:rsidP="004964C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964C3" w14:paraId="204602FA" w14:textId="77777777" w:rsidTr="36E5E979">
        <w:trPr>
          <w:tblHeader/>
        </w:trPr>
        <w:tc>
          <w:tcPr>
            <w:tcW w:w="5000" w:type="pct"/>
            <w:tcBorders>
              <w:top w:val="single" w:sz="6" w:space="0" w:color="78A22F" w:themeColor="accent1"/>
              <w:left w:val="nil"/>
              <w:bottom w:val="nil"/>
              <w:right w:val="nil"/>
            </w:tcBorders>
            <w:shd w:val="clear" w:color="auto" w:fill="auto"/>
          </w:tcPr>
          <w:p w14:paraId="2AED04A1" w14:textId="75786E4A" w:rsidR="004964C3" w:rsidRDefault="004964C3" w:rsidP="00D9302F">
            <w:pPr>
              <w:pStyle w:val="FigureTitle"/>
            </w:pPr>
            <w:r w:rsidRPr="00784A05">
              <w:rPr>
                <w:b w:val="0"/>
              </w:rPr>
              <w:t xml:space="preserve">Figure </w:t>
            </w:r>
            <w:r>
              <w:rPr>
                <w:b w:val="0"/>
                <w:noProof/>
              </w:rPr>
              <w:t>4</w:t>
            </w:r>
            <w:r>
              <w:tab/>
              <w:t>A large and growing service sector is a key feature of other advanced economies as well</w:t>
            </w:r>
          </w:p>
          <w:p w14:paraId="61D76B8E" w14:textId="77777777" w:rsidR="004964C3" w:rsidRPr="00176D3F" w:rsidRDefault="004964C3" w:rsidP="00D9302F">
            <w:pPr>
              <w:pStyle w:val="Subtitle"/>
            </w:pPr>
            <w:r>
              <w:t>Service sector</w:t>
            </w:r>
            <w:r w:rsidRPr="00444766">
              <w:rPr>
                <w:rStyle w:val="NoteLabel"/>
              </w:rPr>
              <w:t>a</w:t>
            </w:r>
            <w:r>
              <w:t xml:space="preserve"> gross value added as a proportion of GDP in advanced economies between 1947 and 2011</w:t>
            </w:r>
          </w:p>
        </w:tc>
      </w:tr>
      <w:tr w:rsidR="004964C3" w14:paraId="7CF0FBEC"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964C3" w:rsidRPr="00B1465D" w14:paraId="72C86BBC" w14:textId="77777777" w:rsidTr="36E5E979">
              <w:trPr>
                <w:trHeight w:val="180"/>
                <w:tblHeader/>
                <w:jc w:val="center"/>
              </w:trPr>
              <w:tc>
                <w:tcPr>
                  <w:tcW w:w="5000" w:type="pct"/>
                  <w:tcBorders>
                    <w:top w:val="nil"/>
                    <w:bottom w:val="nil"/>
                  </w:tcBorders>
                </w:tcPr>
                <w:p w14:paraId="38ECE2E0" w14:textId="795A44CD" w:rsidR="004964C3" w:rsidRPr="00B1465D" w:rsidRDefault="46D6DFB0" w:rsidP="00364B37">
                  <w:pPr>
                    <w:pStyle w:val="Figure"/>
                    <w:spacing w:before="0" w:after="0"/>
                    <w:rPr>
                      <w:rFonts w:ascii="Tahoma" w:hAnsi="Tahoma" w:cs="Tahoma"/>
                      <w:sz w:val="18"/>
                      <w:szCs w:val="18"/>
                    </w:rPr>
                  </w:pPr>
                  <w:r>
                    <w:rPr>
                      <w:noProof/>
                    </w:rPr>
                    <w:drawing>
                      <wp:inline distT="0" distB="0" distL="0" distR="0" wp14:anchorId="674B8F32" wp14:editId="3F237D8E">
                        <wp:extent cx="5401946" cy="2760345"/>
                        <wp:effectExtent l="0" t="0" r="8255" b="1905"/>
                        <wp:docPr id="20" name="Picture 20" descr="The United States, United Kingdom, Japan and France all show a steady increase in services’ share of GDP over the past 60 years. The United states has maintained the largest share of services among these countries with a current share around 8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United States, United Kingdom, Japan and France all show a steady increase in services’ share of GDP over the past 60 years. The United states has maintained the largest share of services among these countries with a current share around 85 per c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1946" cy="2760345"/>
                                </a:xfrm>
                                <a:prstGeom prst="rect">
                                  <a:avLst/>
                                </a:prstGeom>
                              </pic:spPr>
                            </pic:pic>
                          </a:graphicData>
                        </a:graphic>
                      </wp:inline>
                    </w:drawing>
                  </w:r>
                </w:p>
              </w:tc>
            </w:tr>
            <w:tr w:rsidR="004964C3" w:rsidRPr="00B1465D" w14:paraId="01231D63" w14:textId="77777777" w:rsidTr="36E5E979">
              <w:trPr>
                <w:trHeight w:val="180"/>
                <w:tblHeader/>
                <w:jc w:val="center"/>
              </w:trPr>
              <w:tc>
                <w:tcPr>
                  <w:tcW w:w="5000" w:type="pct"/>
                  <w:tcBorders>
                    <w:top w:val="nil"/>
                    <w:bottom w:val="nil"/>
                  </w:tcBorders>
                </w:tcPr>
                <w:p w14:paraId="0DDA0CA0" w14:textId="170E5321" w:rsidR="004964C3" w:rsidRDefault="46D6DFB0" w:rsidP="00364B37">
                  <w:pPr>
                    <w:pStyle w:val="Figure"/>
                    <w:spacing w:before="0" w:after="0"/>
                    <w:rPr>
                      <w:rFonts w:ascii="Tahoma" w:hAnsi="Tahoma" w:cs="Tahoma"/>
                      <w:sz w:val="18"/>
                      <w:szCs w:val="18"/>
                    </w:rPr>
                  </w:pPr>
                  <w:r>
                    <w:rPr>
                      <w:noProof/>
                    </w:rPr>
                    <w:drawing>
                      <wp:inline distT="0" distB="0" distL="0" distR="0" wp14:anchorId="793A2F73" wp14:editId="606BC6B0">
                        <wp:extent cx="5401946" cy="2760345"/>
                        <wp:effectExtent l="0" t="0" r="8255" b="1905"/>
                        <wp:docPr id="22" name="Picture 22" descr="The United States, United Kingdom, Japan and France all show a steady decrease in manufacturing’s share of GDP over the past 6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United States, United Kingdom, Japan and France all show a steady decrease in manufacturing’s share of GDP over the past 60 yea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1946" cy="2760345"/>
                                </a:xfrm>
                                <a:prstGeom prst="rect">
                                  <a:avLst/>
                                </a:prstGeom>
                              </pic:spPr>
                            </pic:pic>
                          </a:graphicData>
                        </a:graphic>
                      </wp:inline>
                    </w:drawing>
                  </w:r>
                </w:p>
              </w:tc>
            </w:tr>
          </w:tbl>
          <w:p w14:paraId="3B2B087A" w14:textId="77777777" w:rsidR="004964C3" w:rsidRDefault="004964C3" w:rsidP="00D9302F">
            <w:pPr>
              <w:pStyle w:val="Figure"/>
            </w:pPr>
          </w:p>
        </w:tc>
      </w:tr>
      <w:tr w:rsidR="004964C3" w:rsidRPr="00176D3F" w14:paraId="6EA20120" w14:textId="77777777" w:rsidTr="36E5E979">
        <w:tc>
          <w:tcPr>
            <w:tcW w:w="5000" w:type="pct"/>
            <w:tcBorders>
              <w:top w:val="nil"/>
              <w:left w:val="nil"/>
              <w:bottom w:val="nil"/>
              <w:right w:val="nil"/>
            </w:tcBorders>
            <w:shd w:val="clear" w:color="auto" w:fill="auto"/>
          </w:tcPr>
          <w:p w14:paraId="43FD7C9A" w14:textId="77777777" w:rsidR="004964C3" w:rsidRPr="00176D3F" w:rsidRDefault="004964C3" w:rsidP="00364B37">
            <w:pPr>
              <w:pStyle w:val="Note"/>
              <w:spacing w:before="0"/>
            </w:pPr>
            <w:proofErr w:type="spellStart"/>
            <w:r>
              <w:rPr>
                <w:rStyle w:val="NoteLabel"/>
              </w:rPr>
              <w:t>a</w:t>
            </w:r>
            <w:proofErr w:type="spellEnd"/>
            <w:r>
              <w:t xml:space="preserve"> </w:t>
            </w:r>
            <w:proofErr w:type="gramStart"/>
            <w:r>
              <w:t>The</w:t>
            </w:r>
            <w:proofErr w:type="gramEnd"/>
            <w:r>
              <w:t xml:space="preserve"> service sector is defined as all industries other than agriculture, mining and manufacturing. </w:t>
            </w:r>
          </w:p>
        </w:tc>
      </w:tr>
      <w:tr w:rsidR="004964C3" w:rsidRPr="00176D3F" w14:paraId="495699FA" w14:textId="77777777" w:rsidTr="36E5E979">
        <w:tc>
          <w:tcPr>
            <w:tcW w:w="5000" w:type="pct"/>
            <w:tcBorders>
              <w:top w:val="nil"/>
              <w:left w:val="nil"/>
              <w:bottom w:val="nil"/>
              <w:right w:val="nil"/>
            </w:tcBorders>
            <w:shd w:val="clear" w:color="auto" w:fill="auto"/>
          </w:tcPr>
          <w:p w14:paraId="58121904" w14:textId="55DB88FC" w:rsidR="004964C3" w:rsidRPr="00176D3F" w:rsidRDefault="004964C3" w:rsidP="00D9302F">
            <w:pPr>
              <w:pStyle w:val="Source"/>
            </w:pPr>
            <w:r>
              <w:rPr>
                <w:i/>
              </w:rPr>
              <w:t>S</w:t>
            </w:r>
            <w:r w:rsidRPr="00784A05">
              <w:rPr>
                <w:i/>
              </w:rPr>
              <w:t>ource</w:t>
            </w:r>
            <w:r w:rsidRPr="00176D3F">
              <w:t xml:space="preserve">: </w:t>
            </w:r>
            <w:r w:rsidR="00FE46B5">
              <w:t xml:space="preserve">Timmer, </w:t>
            </w:r>
            <w:r w:rsidR="004C51E6">
              <w:t xml:space="preserve">de </w:t>
            </w:r>
            <w:r w:rsidR="00FE46B5">
              <w:t xml:space="preserve">Vries &amp; </w:t>
            </w:r>
            <w:r w:rsidR="004C51E6">
              <w:t xml:space="preserve">de Vries </w:t>
            </w:r>
            <w:r w:rsidR="00213A40" w:rsidRPr="00213A40">
              <w:rPr>
                <w:rFonts w:cs="Arial"/>
                <w:szCs w:val="24"/>
              </w:rPr>
              <w:t>(2015)</w:t>
            </w:r>
            <w:r>
              <w:t xml:space="preserve">. </w:t>
            </w:r>
          </w:p>
        </w:tc>
      </w:tr>
      <w:tr w:rsidR="004964C3" w14:paraId="1D438CF6" w14:textId="77777777" w:rsidTr="36E5E979">
        <w:tc>
          <w:tcPr>
            <w:tcW w:w="5000" w:type="pct"/>
            <w:tcBorders>
              <w:top w:val="nil"/>
              <w:left w:val="nil"/>
              <w:bottom w:val="single" w:sz="6" w:space="0" w:color="78A22F" w:themeColor="accent1"/>
              <w:right w:val="nil"/>
            </w:tcBorders>
            <w:shd w:val="clear" w:color="auto" w:fill="auto"/>
          </w:tcPr>
          <w:p w14:paraId="1A5DD866" w14:textId="77777777" w:rsidR="004964C3" w:rsidRDefault="004964C3" w:rsidP="00D9302F">
            <w:pPr>
              <w:pStyle w:val="Figurespace"/>
            </w:pPr>
          </w:p>
        </w:tc>
      </w:tr>
      <w:tr w:rsidR="004964C3" w:rsidRPr="000863A5" w14:paraId="23F64C03" w14:textId="77777777" w:rsidTr="36E5E979">
        <w:tc>
          <w:tcPr>
            <w:tcW w:w="5000" w:type="pct"/>
            <w:tcBorders>
              <w:top w:val="single" w:sz="6" w:space="0" w:color="78A22F" w:themeColor="accent1"/>
              <w:left w:val="nil"/>
              <w:bottom w:val="nil"/>
              <w:right w:val="nil"/>
            </w:tcBorders>
          </w:tcPr>
          <w:p w14:paraId="43836CEB" w14:textId="2BD9491B" w:rsidR="004964C3" w:rsidRPr="00626D32" w:rsidRDefault="004964C3" w:rsidP="00D9302F">
            <w:pPr>
              <w:pStyle w:val="BoxSpaceBelow"/>
            </w:pPr>
          </w:p>
        </w:tc>
      </w:tr>
    </w:tbl>
    <w:p w14:paraId="49B7FBB1" w14:textId="406783C1" w:rsidR="00EA1B51" w:rsidRDefault="00EA1B51" w:rsidP="00EA1B5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A1B51" w14:paraId="7F50FADA" w14:textId="77777777" w:rsidTr="36E5E979">
        <w:trPr>
          <w:tblHeader/>
        </w:trPr>
        <w:tc>
          <w:tcPr>
            <w:tcW w:w="5000" w:type="pct"/>
            <w:tcBorders>
              <w:top w:val="single" w:sz="6" w:space="0" w:color="78A22F" w:themeColor="accent1"/>
              <w:left w:val="nil"/>
              <w:bottom w:val="nil"/>
              <w:right w:val="nil"/>
            </w:tcBorders>
            <w:shd w:val="clear" w:color="auto" w:fill="auto"/>
          </w:tcPr>
          <w:p w14:paraId="323F87CC" w14:textId="35F1D4C6" w:rsidR="00EA1B51" w:rsidRDefault="00EA1B51" w:rsidP="00CB6A81">
            <w:pPr>
              <w:pStyle w:val="FigureTitle"/>
            </w:pPr>
            <w:r w:rsidRPr="00784A05">
              <w:rPr>
                <w:b w:val="0"/>
              </w:rPr>
              <w:t xml:space="preserve">Figure </w:t>
            </w:r>
            <w:r w:rsidR="00331D7A">
              <w:rPr>
                <w:b w:val="0"/>
                <w:noProof/>
              </w:rPr>
              <w:t>5</w:t>
            </w:r>
            <w:r>
              <w:tab/>
              <w:t>Asian emerging economies have seen a growing service sector and recent declines in the manufacturing share</w:t>
            </w:r>
          </w:p>
          <w:p w14:paraId="4A49766C" w14:textId="48ABE5CC" w:rsidR="00EA1B51" w:rsidRPr="00176D3F" w:rsidRDefault="00EA1B51" w:rsidP="00CB6A81">
            <w:pPr>
              <w:pStyle w:val="Subtitle"/>
            </w:pPr>
            <w:r>
              <w:t>Value added shares of the service sector</w:t>
            </w:r>
            <w:r w:rsidRPr="00444766">
              <w:rPr>
                <w:rStyle w:val="NoteLabel"/>
              </w:rPr>
              <w:t>a</w:t>
            </w:r>
            <w:r>
              <w:t xml:space="preserve"> and the manufacturing sector as a proportion of GDP (%) in select Asian economies from 1960 to 2019</w:t>
            </w:r>
          </w:p>
        </w:tc>
      </w:tr>
      <w:tr w:rsidR="00EA1B51" w14:paraId="01FFE09F"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A1B51" w:rsidRPr="00B1465D" w14:paraId="05BD3515" w14:textId="77777777" w:rsidTr="36E5E979">
              <w:trPr>
                <w:trHeight w:val="180"/>
                <w:tblHeader/>
                <w:jc w:val="center"/>
              </w:trPr>
              <w:tc>
                <w:tcPr>
                  <w:tcW w:w="5000" w:type="pct"/>
                  <w:tcBorders>
                    <w:top w:val="nil"/>
                    <w:bottom w:val="nil"/>
                  </w:tcBorders>
                </w:tcPr>
                <w:p w14:paraId="60B4736E" w14:textId="05DFAB90" w:rsidR="00EA1B51" w:rsidRPr="00B1465D" w:rsidRDefault="00EA1B51" w:rsidP="00CB6A81">
                  <w:pPr>
                    <w:pStyle w:val="Figure"/>
                    <w:spacing w:before="60" w:after="60"/>
                    <w:rPr>
                      <w:rFonts w:ascii="Tahoma" w:hAnsi="Tahoma" w:cs="Tahoma"/>
                      <w:sz w:val="18"/>
                      <w:szCs w:val="18"/>
                    </w:rPr>
                  </w:pPr>
                  <w:r>
                    <w:rPr>
                      <w:noProof/>
                    </w:rPr>
                    <w:drawing>
                      <wp:inline distT="0" distB="0" distL="0" distR="0" wp14:anchorId="67FA703F" wp14:editId="38EAB102">
                        <wp:extent cx="5401946" cy="2878455"/>
                        <wp:effectExtent l="0" t="0" r="8255" b="0"/>
                        <wp:docPr id="35" name="Picture 35" descr="From 1960 to 2020, Bangladesh, China, India, Malaysia and Thailand have similar trends in services’ share of GDP. Among these countries, services’ share hovered between 25 to 40 percent 1950 to 1985 then steadily increased to around 5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rom 1960 to 2020, Bangladesh, China, India, Malaysia and Thailand have similar trends in services’ share of GDP. Among these countries, services’ share hovered between 25 to 40 percent 1950 to 1985 then steadily increased to around 50 per c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1946" cy="2878455"/>
                                </a:xfrm>
                                <a:prstGeom prst="rect">
                                  <a:avLst/>
                                </a:prstGeom>
                              </pic:spPr>
                            </pic:pic>
                          </a:graphicData>
                        </a:graphic>
                      </wp:inline>
                    </w:drawing>
                  </w:r>
                </w:p>
              </w:tc>
            </w:tr>
            <w:tr w:rsidR="00EA1B51" w:rsidRPr="00B1465D" w14:paraId="04A48769" w14:textId="77777777" w:rsidTr="36E5E979">
              <w:trPr>
                <w:trHeight w:val="180"/>
                <w:tblHeader/>
                <w:jc w:val="center"/>
              </w:trPr>
              <w:tc>
                <w:tcPr>
                  <w:tcW w:w="5000" w:type="pct"/>
                  <w:tcBorders>
                    <w:top w:val="nil"/>
                    <w:bottom w:val="nil"/>
                  </w:tcBorders>
                </w:tcPr>
                <w:p w14:paraId="46AA0C3E" w14:textId="70C55EB1" w:rsidR="00EA1B51" w:rsidRPr="00B1465D" w:rsidRDefault="00EA1B51" w:rsidP="00CB6A81">
                  <w:pPr>
                    <w:pStyle w:val="Figure"/>
                    <w:spacing w:before="60" w:after="60"/>
                    <w:rPr>
                      <w:rFonts w:ascii="Tahoma" w:hAnsi="Tahoma" w:cs="Tahoma"/>
                      <w:sz w:val="18"/>
                      <w:szCs w:val="18"/>
                    </w:rPr>
                  </w:pPr>
                  <w:r>
                    <w:rPr>
                      <w:noProof/>
                    </w:rPr>
                    <w:drawing>
                      <wp:inline distT="0" distB="0" distL="0" distR="0" wp14:anchorId="426622DA" wp14:editId="7380B65D">
                        <wp:extent cx="5528947" cy="2760345"/>
                        <wp:effectExtent l="0" t="0" r="0" b="1905"/>
                        <wp:docPr id="31" name="Picture 31" descr="From 1960 to the early 2000s, Bangladesh, China, India, Malaysia and Thailand exhibited growing manufacturing share of GDP. However the share has since declined in most of the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rom 1960 to the early 2000s, Bangladesh, China, India, Malaysia and Thailand exhibited growing manufacturing share of GDP. However the share has since declined in most of the countries.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8947" cy="2760345"/>
                                </a:xfrm>
                                <a:prstGeom prst="rect">
                                  <a:avLst/>
                                </a:prstGeom>
                              </pic:spPr>
                            </pic:pic>
                          </a:graphicData>
                        </a:graphic>
                      </wp:inline>
                    </w:drawing>
                  </w:r>
                </w:p>
              </w:tc>
            </w:tr>
          </w:tbl>
          <w:p w14:paraId="36EB754D" w14:textId="77777777" w:rsidR="00EA1B51" w:rsidRDefault="00EA1B51" w:rsidP="00CB6A81">
            <w:pPr>
              <w:pStyle w:val="Figure"/>
            </w:pPr>
          </w:p>
        </w:tc>
      </w:tr>
      <w:tr w:rsidR="00EA1B51" w:rsidRPr="00176D3F" w14:paraId="7B759A4F" w14:textId="77777777" w:rsidTr="36E5E979">
        <w:tc>
          <w:tcPr>
            <w:tcW w:w="5000" w:type="pct"/>
            <w:tcBorders>
              <w:top w:val="nil"/>
              <w:left w:val="nil"/>
              <w:bottom w:val="nil"/>
              <w:right w:val="nil"/>
            </w:tcBorders>
            <w:shd w:val="clear" w:color="auto" w:fill="auto"/>
          </w:tcPr>
          <w:p w14:paraId="5058D87A" w14:textId="12908655" w:rsidR="00EA1B51" w:rsidRPr="00176D3F" w:rsidRDefault="00EA1B51" w:rsidP="00CB6A81">
            <w:pPr>
              <w:pStyle w:val="Note"/>
            </w:pPr>
            <w:r>
              <w:rPr>
                <w:rStyle w:val="NoteLabel"/>
              </w:rPr>
              <w:t>a</w:t>
            </w:r>
            <w:r>
              <w:t xml:space="preserve"> Unlike elsewhere </w:t>
            </w:r>
            <w:r w:rsidR="00BF29C5">
              <w:t xml:space="preserve">in </w:t>
            </w:r>
            <w:r>
              <w:t xml:space="preserve">this report, due to data limitations, the service sector excludes utilities and construction. </w:t>
            </w:r>
          </w:p>
        </w:tc>
      </w:tr>
      <w:tr w:rsidR="00EA1B51" w:rsidRPr="00176D3F" w14:paraId="49912838" w14:textId="77777777" w:rsidTr="36E5E979">
        <w:tc>
          <w:tcPr>
            <w:tcW w:w="5000" w:type="pct"/>
            <w:tcBorders>
              <w:top w:val="nil"/>
              <w:left w:val="nil"/>
              <w:bottom w:val="nil"/>
              <w:right w:val="nil"/>
            </w:tcBorders>
            <w:shd w:val="clear" w:color="auto" w:fill="auto"/>
          </w:tcPr>
          <w:p w14:paraId="69ADBF4F" w14:textId="5134787E" w:rsidR="00EA1B51" w:rsidRPr="00176D3F" w:rsidRDefault="00EA1B51" w:rsidP="00CB6A81">
            <w:pPr>
              <w:pStyle w:val="Source"/>
            </w:pPr>
            <w:r>
              <w:rPr>
                <w:i/>
              </w:rPr>
              <w:t>S</w:t>
            </w:r>
            <w:r w:rsidRPr="00784A05">
              <w:rPr>
                <w:i/>
              </w:rPr>
              <w:t>ource</w:t>
            </w:r>
            <w:r w:rsidRPr="00176D3F">
              <w:t xml:space="preserve">: </w:t>
            </w:r>
            <w:r>
              <w:t xml:space="preserve">World Bank </w:t>
            </w:r>
            <w:r w:rsidRPr="00AF511E">
              <w:rPr>
                <w:rFonts w:cs="Tahoma"/>
              </w:rPr>
              <w:t>(2020)</w:t>
            </w:r>
            <w:r>
              <w:t xml:space="preserve">. </w:t>
            </w:r>
          </w:p>
        </w:tc>
      </w:tr>
      <w:tr w:rsidR="00EA1B51" w14:paraId="5E09F00C" w14:textId="77777777" w:rsidTr="36E5E979">
        <w:tc>
          <w:tcPr>
            <w:tcW w:w="5000" w:type="pct"/>
            <w:tcBorders>
              <w:top w:val="nil"/>
              <w:left w:val="nil"/>
              <w:bottom w:val="single" w:sz="6" w:space="0" w:color="78A22F" w:themeColor="accent1"/>
              <w:right w:val="nil"/>
            </w:tcBorders>
            <w:shd w:val="clear" w:color="auto" w:fill="auto"/>
          </w:tcPr>
          <w:p w14:paraId="60C0C31C" w14:textId="77777777" w:rsidR="00EA1B51" w:rsidRDefault="00EA1B51" w:rsidP="00CB6A81">
            <w:pPr>
              <w:pStyle w:val="Figurespace"/>
            </w:pPr>
          </w:p>
        </w:tc>
      </w:tr>
      <w:tr w:rsidR="00EA1B51" w:rsidRPr="000863A5" w14:paraId="5A49FA34" w14:textId="77777777" w:rsidTr="36E5E979">
        <w:tc>
          <w:tcPr>
            <w:tcW w:w="5000" w:type="pct"/>
            <w:tcBorders>
              <w:top w:val="single" w:sz="6" w:space="0" w:color="78A22F" w:themeColor="accent1"/>
              <w:left w:val="nil"/>
              <w:bottom w:val="nil"/>
              <w:right w:val="nil"/>
            </w:tcBorders>
          </w:tcPr>
          <w:p w14:paraId="3E4AE542" w14:textId="5E36608C" w:rsidR="00EA1B51" w:rsidRPr="00626D32" w:rsidRDefault="00EA1B51" w:rsidP="00CB6A81">
            <w:pPr>
              <w:pStyle w:val="BoxSpaceBelow"/>
            </w:pPr>
          </w:p>
        </w:tc>
      </w:tr>
    </w:tbl>
    <w:p w14:paraId="7BA08C09" w14:textId="1F7B5DFB" w:rsidR="00A94414" w:rsidRDefault="00EA1B51" w:rsidP="00EA1B51">
      <w:pPr>
        <w:pStyle w:val="BodyText"/>
      </w:pPr>
      <w:r>
        <w:t>In Australia, the increased share of non</w:t>
      </w:r>
      <w:r w:rsidR="31E03A1A">
        <w:t>-</w:t>
      </w:r>
      <w:r>
        <w:t>market services</w:t>
      </w:r>
      <w:r w:rsidR="00421782">
        <w:t xml:space="preserve"> (in particular health care and social assistance)</w:t>
      </w:r>
      <w:r>
        <w:t xml:space="preserve"> and business services</w:t>
      </w:r>
      <w:r w:rsidR="00B4564F">
        <w:t xml:space="preserve"> accounts for almost all the increased size of service sector</w:t>
      </w:r>
      <w:r w:rsidR="54A262E8">
        <w:t xml:space="preserve"> employment</w:t>
      </w:r>
      <w:r>
        <w:t>, with a small remainder due to increased personal services</w:t>
      </w:r>
      <w:r w:rsidR="00C1480E">
        <w:t xml:space="preserve"> employment</w:t>
      </w:r>
      <w:r w:rsidR="500E5B9B">
        <w:t>.</w:t>
      </w:r>
      <w:r w:rsidR="00817EBC">
        <w:t xml:space="preserve"> Due to changes in industry definitions, </w:t>
      </w:r>
      <w:r w:rsidR="00A94414">
        <w:t>industry</w:t>
      </w:r>
      <w:r w:rsidR="7AB30E0C">
        <w:t>-</w:t>
      </w:r>
      <w:r w:rsidR="00A94414">
        <w:t xml:space="preserve">level </w:t>
      </w:r>
      <w:r w:rsidR="00817EBC">
        <w:t xml:space="preserve">data for </w:t>
      </w:r>
      <w:r w:rsidR="00A11DDA">
        <w:t xml:space="preserve">the 1960s to early 1990s cannot be compared </w:t>
      </w:r>
      <w:r w:rsidR="00063246">
        <w:t>to</w:t>
      </w:r>
      <w:r w:rsidR="00A11DDA">
        <w:t xml:space="preserve"> more recent data and so these two periods are presented separately below. </w:t>
      </w:r>
      <w:r w:rsidR="00304BBF">
        <w:lastRenderedPageBreak/>
        <w:t xml:space="preserve">Table 1, </w:t>
      </w:r>
      <w:r w:rsidR="00A11DDA">
        <w:t>which breaks down the growth of the service sector from 19</w:t>
      </w:r>
      <w:r w:rsidR="0008654B">
        <w:t>63 to 1993</w:t>
      </w:r>
      <w:r w:rsidR="00817EBC">
        <w:t>, shows that proportionally business and non</w:t>
      </w:r>
      <w:r w:rsidR="14E326F7">
        <w:t>-</w:t>
      </w:r>
      <w:r w:rsidR="00817EBC">
        <w:t>market services grew while the</w:t>
      </w:r>
      <w:r w:rsidR="0008654B">
        <w:t xml:space="preserve"> shares of distribution services, and utilities and construction fell</w:t>
      </w:r>
      <w:r w:rsidR="00817EBC">
        <w:t>.</w:t>
      </w:r>
      <w:r w:rsidR="00104E34">
        <w:t xml:space="preserve"> Figure 6 shows that in recent decades, the service share of employment has increased significantly while the share of production is only slightly higher.</w:t>
      </w:r>
      <w:r>
        <w:t xml:space="preserve"> </w:t>
      </w:r>
      <w:r w:rsidR="00BB034F">
        <w:t xml:space="preserve">Non-market services appear to have plateaued in terms of </w:t>
      </w:r>
      <w:r w:rsidR="00AF28DF">
        <w:t>their share of production but continue to grow their share of employment, while b</w:t>
      </w:r>
      <w:r w:rsidR="00BB034F">
        <w:t xml:space="preserve">usiness services </w:t>
      </w:r>
      <w:proofErr w:type="gramStart"/>
      <w:r w:rsidR="00BB034F">
        <w:t>has</w:t>
      </w:r>
      <w:proofErr w:type="gramEnd"/>
      <w:r w:rsidR="00BB034F">
        <w:t xml:space="preserve"> </w:t>
      </w:r>
      <w:r w:rsidR="00AF28DF">
        <w:t xml:space="preserve">increased both its share of production and employment in recent decades. </w:t>
      </w:r>
    </w:p>
    <w:p w14:paraId="631085F0" w14:textId="2C699DDF" w:rsidR="00EA1B51" w:rsidRDefault="00C46953" w:rsidP="00EA1B51">
      <w:pPr>
        <w:pStyle w:val="BodyText"/>
      </w:pPr>
      <w:r>
        <w:t>Similar trends have</w:t>
      </w:r>
      <w:r w:rsidR="00EA1B51">
        <w:t xml:space="preserve"> occurred overseas — for example, in the US non</w:t>
      </w:r>
      <w:r w:rsidR="00EA1B51">
        <w:noBreakHyphen/>
        <w:t xml:space="preserve">market, business and (to a lesser degree) personal services have increased as a share of the economy, while </w:t>
      </w:r>
      <w:r w:rsidR="00A95077">
        <w:t>the</w:t>
      </w:r>
      <w:r w:rsidR="00EA1B51">
        <w:t xml:space="preserve"> shares of other service sector industries have </w:t>
      </w:r>
      <w:r>
        <w:t xml:space="preserve">decreased </w:t>
      </w:r>
      <w:r w:rsidR="00EA1B51">
        <w:t>(figure </w:t>
      </w:r>
      <w:r w:rsidR="00331D7A">
        <w:t>7</w:t>
      </w:r>
      <w:r w:rsidR="00EA1B51">
        <w:t xml:space="preserve">). </w:t>
      </w:r>
    </w:p>
    <w:p w14:paraId="30A15DFD" w14:textId="3C638734" w:rsidR="00304BBF" w:rsidRDefault="00304BBF" w:rsidP="00304BB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304BBF" w14:paraId="244E1062" w14:textId="77777777" w:rsidTr="009D6100">
        <w:trPr>
          <w:tblHeader/>
        </w:trPr>
        <w:tc>
          <w:tcPr>
            <w:tcW w:w="5000" w:type="pct"/>
            <w:tcBorders>
              <w:top w:val="single" w:sz="6" w:space="0" w:color="78A22F"/>
              <w:left w:val="nil"/>
              <w:bottom w:val="nil"/>
              <w:right w:val="nil"/>
            </w:tcBorders>
            <w:shd w:val="clear" w:color="auto" w:fill="auto"/>
          </w:tcPr>
          <w:p w14:paraId="399F89F8" w14:textId="62FA219A" w:rsidR="00304BBF" w:rsidRDefault="00304BBF" w:rsidP="009D6100">
            <w:pPr>
              <w:pStyle w:val="TableTitle"/>
            </w:pPr>
            <w:r>
              <w:rPr>
                <w:b w:val="0"/>
              </w:rPr>
              <w:t xml:space="preserve">Table </w:t>
            </w:r>
            <w:r>
              <w:rPr>
                <w:b w:val="0"/>
                <w:noProof/>
              </w:rPr>
              <w:t>1</w:t>
            </w:r>
            <w:r>
              <w:tab/>
              <w:t>Most of the increase in the share of the service sector is attributable to non-market and business services</w:t>
            </w:r>
            <w:r w:rsidR="003A4A0F">
              <w:t xml:space="preserve"> …</w:t>
            </w:r>
          </w:p>
          <w:p w14:paraId="387CBC3C" w14:textId="77777777" w:rsidR="00304BBF" w:rsidRPr="00784A05" w:rsidRDefault="00304BBF" w:rsidP="009D6100">
            <w:pPr>
              <w:pStyle w:val="Subtitle"/>
            </w:pPr>
            <w:r>
              <w:t>Gross value-added shares of GDP of different aggregations of sectors</w:t>
            </w:r>
            <w:r w:rsidRPr="007449DA">
              <w:rPr>
                <w:rStyle w:val="NoteLabel"/>
              </w:rPr>
              <w:t>a</w:t>
            </w:r>
            <w:r>
              <w:t xml:space="preserve"> in the economy in 1963 and 1993</w:t>
            </w:r>
          </w:p>
        </w:tc>
      </w:tr>
      <w:tr w:rsidR="00304BBF" w14:paraId="7F8B0551" w14:textId="77777777" w:rsidTr="009D610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2127"/>
              <w:gridCol w:w="2126"/>
              <w:gridCol w:w="2125"/>
            </w:tblGrid>
            <w:tr w:rsidR="00304BBF" w14:paraId="48FF7BF4" w14:textId="77777777" w:rsidTr="009D6100">
              <w:trPr>
                <w:tblHeader/>
              </w:trPr>
              <w:tc>
                <w:tcPr>
                  <w:tcW w:w="1250" w:type="pct"/>
                  <w:tcBorders>
                    <w:top w:val="single" w:sz="6" w:space="0" w:color="BFBFBF"/>
                    <w:bottom w:val="single" w:sz="6" w:space="0" w:color="BFBFBF"/>
                  </w:tcBorders>
                  <w:shd w:val="clear" w:color="auto" w:fill="auto"/>
                  <w:tcMar>
                    <w:top w:w="28" w:type="dxa"/>
                  </w:tcMar>
                </w:tcPr>
                <w:p w14:paraId="61D7371F" w14:textId="77777777" w:rsidR="00304BBF" w:rsidRDefault="00304BBF" w:rsidP="009D6100">
                  <w:pPr>
                    <w:pStyle w:val="TableColumnHeading"/>
                    <w:jc w:val="left"/>
                  </w:pPr>
                </w:p>
              </w:tc>
              <w:tc>
                <w:tcPr>
                  <w:tcW w:w="1250" w:type="pct"/>
                  <w:tcBorders>
                    <w:top w:val="single" w:sz="6" w:space="0" w:color="BFBFBF"/>
                    <w:bottom w:val="single" w:sz="6" w:space="0" w:color="BFBFBF"/>
                  </w:tcBorders>
                </w:tcPr>
                <w:p w14:paraId="186A90F5" w14:textId="77777777" w:rsidR="00304BBF" w:rsidRDefault="00304BBF" w:rsidP="009D6100">
                  <w:pPr>
                    <w:pStyle w:val="TableColumnHeading"/>
                  </w:pPr>
                  <w:r>
                    <w:t>1963</w:t>
                  </w:r>
                </w:p>
              </w:tc>
              <w:tc>
                <w:tcPr>
                  <w:tcW w:w="1250" w:type="pct"/>
                  <w:tcBorders>
                    <w:top w:val="single" w:sz="6" w:space="0" w:color="BFBFBF"/>
                    <w:bottom w:val="single" w:sz="6" w:space="0" w:color="BFBFBF"/>
                  </w:tcBorders>
                  <w:shd w:val="clear" w:color="auto" w:fill="auto"/>
                  <w:tcMar>
                    <w:top w:w="28" w:type="dxa"/>
                  </w:tcMar>
                </w:tcPr>
                <w:p w14:paraId="4B47C1AC" w14:textId="77777777" w:rsidR="00304BBF" w:rsidRDefault="00304BBF" w:rsidP="009D6100">
                  <w:pPr>
                    <w:pStyle w:val="TableColumnHeading"/>
                  </w:pPr>
                  <w:r>
                    <w:t>1993</w:t>
                  </w:r>
                </w:p>
              </w:tc>
              <w:tc>
                <w:tcPr>
                  <w:tcW w:w="1249" w:type="pct"/>
                  <w:tcBorders>
                    <w:top w:val="single" w:sz="6" w:space="0" w:color="BFBFBF"/>
                    <w:bottom w:val="single" w:sz="6" w:space="0" w:color="BFBFBF"/>
                  </w:tcBorders>
                  <w:shd w:val="clear" w:color="auto" w:fill="auto"/>
                  <w:tcMar>
                    <w:top w:w="28" w:type="dxa"/>
                  </w:tcMar>
                </w:tcPr>
                <w:p w14:paraId="1ADDC5F1" w14:textId="77777777" w:rsidR="00304BBF" w:rsidRDefault="00304BBF" w:rsidP="009D6100">
                  <w:pPr>
                    <w:pStyle w:val="TableColumnHeading"/>
                    <w:ind w:right="28"/>
                  </w:pPr>
                  <w:r>
                    <w:t>Change</w:t>
                  </w:r>
                </w:p>
              </w:tc>
            </w:tr>
            <w:tr w:rsidR="00304BBF" w14:paraId="3FBF5E1E" w14:textId="77777777" w:rsidTr="009D6100">
              <w:tc>
                <w:tcPr>
                  <w:tcW w:w="1250" w:type="pct"/>
                  <w:tcBorders>
                    <w:top w:val="single" w:sz="6" w:space="0" w:color="BFBFBF"/>
                  </w:tcBorders>
                </w:tcPr>
                <w:p w14:paraId="0C430B79" w14:textId="77777777" w:rsidR="00304BBF" w:rsidRDefault="00304BBF" w:rsidP="009D6100">
                  <w:pPr>
                    <w:pStyle w:val="TableUnitsRow"/>
                    <w:jc w:val="left"/>
                  </w:pPr>
                </w:p>
              </w:tc>
              <w:tc>
                <w:tcPr>
                  <w:tcW w:w="1250" w:type="pct"/>
                  <w:tcBorders>
                    <w:top w:val="single" w:sz="6" w:space="0" w:color="BFBFBF"/>
                  </w:tcBorders>
                </w:tcPr>
                <w:p w14:paraId="031BCD8B" w14:textId="77777777" w:rsidR="00304BBF" w:rsidRPr="002D0AFE" w:rsidRDefault="00304BBF" w:rsidP="009D6100">
                  <w:pPr>
                    <w:pStyle w:val="TableUnitsRow"/>
                    <w:rPr>
                      <w:rFonts w:cs="Tahoma"/>
                    </w:rPr>
                  </w:pPr>
                  <w:r w:rsidRPr="002D0AFE">
                    <w:rPr>
                      <w:rFonts w:cs="Tahoma"/>
                    </w:rPr>
                    <w:t>%</w:t>
                  </w:r>
                </w:p>
              </w:tc>
              <w:tc>
                <w:tcPr>
                  <w:tcW w:w="1250" w:type="pct"/>
                  <w:tcBorders>
                    <w:top w:val="single" w:sz="6" w:space="0" w:color="BFBFBF"/>
                  </w:tcBorders>
                </w:tcPr>
                <w:p w14:paraId="5CA903E5" w14:textId="77777777" w:rsidR="00304BBF" w:rsidRPr="00411BDF" w:rsidRDefault="00304BBF" w:rsidP="009D6100">
                  <w:pPr>
                    <w:pStyle w:val="TableUnitsRow"/>
                    <w:rPr>
                      <w:rFonts w:cs="Tahoma"/>
                    </w:rPr>
                  </w:pPr>
                  <w:r w:rsidRPr="006906C3">
                    <w:rPr>
                      <w:rFonts w:cs="Tahoma"/>
                    </w:rPr>
                    <w:t>%</w:t>
                  </w:r>
                </w:p>
              </w:tc>
              <w:tc>
                <w:tcPr>
                  <w:tcW w:w="1249" w:type="pct"/>
                  <w:tcBorders>
                    <w:top w:val="single" w:sz="6" w:space="0" w:color="BFBFBF"/>
                  </w:tcBorders>
                </w:tcPr>
                <w:p w14:paraId="5B073D16" w14:textId="77777777" w:rsidR="00304BBF" w:rsidRDefault="00304BBF" w:rsidP="009D6100">
                  <w:pPr>
                    <w:pStyle w:val="TableUnitsRow"/>
                    <w:ind w:right="28"/>
                  </w:pPr>
                  <w:r>
                    <w:t>%</w:t>
                  </w:r>
                </w:p>
              </w:tc>
            </w:tr>
            <w:tr w:rsidR="00304BBF" w14:paraId="3A9FAD1C" w14:textId="77777777" w:rsidTr="009D6100">
              <w:tc>
                <w:tcPr>
                  <w:tcW w:w="1250" w:type="pct"/>
                </w:tcPr>
                <w:p w14:paraId="2B8A78AB" w14:textId="77777777" w:rsidR="00304BBF" w:rsidRDefault="00304BBF" w:rsidP="009D6100">
                  <w:pPr>
                    <w:pStyle w:val="TableBodyText"/>
                    <w:jc w:val="left"/>
                  </w:pPr>
                  <w:r>
                    <w:t>Goods sector</w:t>
                  </w:r>
                </w:p>
              </w:tc>
              <w:tc>
                <w:tcPr>
                  <w:tcW w:w="1250" w:type="pct"/>
                  <w:tcBorders>
                    <w:top w:val="nil"/>
                    <w:left w:val="nil"/>
                    <w:bottom w:val="nil"/>
                    <w:right w:val="nil"/>
                  </w:tcBorders>
                  <w:shd w:val="clear" w:color="auto" w:fill="auto"/>
                  <w:vAlign w:val="bottom"/>
                </w:tcPr>
                <w:p w14:paraId="7A4414CE" w14:textId="77777777" w:rsidR="00304BBF" w:rsidRPr="00C85A40" w:rsidRDefault="00304BBF" w:rsidP="009D6100">
                  <w:pPr>
                    <w:pStyle w:val="TableBodyText"/>
                  </w:pPr>
                  <w:r w:rsidRPr="00C85A40">
                    <w:rPr>
                      <w:color w:val="000000"/>
                    </w:rPr>
                    <w:t>38.6</w:t>
                  </w:r>
                </w:p>
              </w:tc>
              <w:tc>
                <w:tcPr>
                  <w:tcW w:w="1250" w:type="pct"/>
                  <w:tcBorders>
                    <w:top w:val="nil"/>
                    <w:left w:val="nil"/>
                    <w:bottom w:val="nil"/>
                    <w:right w:val="nil"/>
                  </w:tcBorders>
                  <w:shd w:val="clear" w:color="auto" w:fill="auto"/>
                  <w:vAlign w:val="bottom"/>
                </w:tcPr>
                <w:p w14:paraId="20DF1720" w14:textId="77777777" w:rsidR="00304BBF" w:rsidRPr="00C85A40" w:rsidRDefault="00304BBF" w:rsidP="009D6100">
                  <w:pPr>
                    <w:pStyle w:val="TableBodyText"/>
                  </w:pPr>
                  <w:r w:rsidRPr="00C85A40">
                    <w:rPr>
                      <w:color w:val="000000"/>
                    </w:rPr>
                    <w:t>21.6</w:t>
                  </w:r>
                </w:p>
              </w:tc>
              <w:tc>
                <w:tcPr>
                  <w:tcW w:w="1249" w:type="pct"/>
                </w:tcPr>
                <w:p w14:paraId="2986FCDF" w14:textId="3D44786E" w:rsidR="00304BBF" w:rsidRPr="00C85A40" w:rsidRDefault="00304BBF" w:rsidP="009D6100">
                  <w:pPr>
                    <w:pStyle w:val="TableBodyText"/>
                    <w:ind w:right="28"/>
                  </w:pPr>
                  <w:r>
                    <w:t>-43.0</w:t>
                  </w:r>
                </w:p>
              </w:tc>
            </w:tr>
            <w:tr w:rsidR="00304BBF" w14:paraId="68549C52" w14:textId="77777777" w:rsidTr="009D6100">
              <w:tc>
                <w:tcPr>
                  <w:tcW w:w="1250" w:type="pct"/>
                </w:tcPr>
                <w:p w14:paraId="1AC0EA8F" w14:textId="77777777" w:rsidR="00304BBF" w:rsidRDefault="00304BBF" w:rsidP="009D6100">
                  <w:pPr>
                    <w:pStyle w:val="TableBodyText"/>
                    <w:jc w:val="left"/>
                  </w:pPr>
                  <w:r>
                    <w:t>Distribution services</w:t>
                  </w:r>
                </w:p>
              </w:tc>
              <w:tc>
                <w:tcPr>
                  <w:tcW w:w="1250" w:type="pct"/>
                  <w:tcBorders>
                    <w:top w:val="nil"/>
                    <w:left w:val="nil"/>
                    <w:bottom w:val="nil"/>
                    <w:right w:val="nil"/>
                  </w:tcBorders>
                  <w:shd w:val="clear" w:color="auto" w:fill="auto"/>
                  <w:vAlign w:val="bottom"/>
                </w:tcPr>
                <w:p w14:paraId="75F32C30" w14:textId="77777777" w:rsidR="00304BBF" w:rsidRPr="00C85A40" w:rsidRDefault="00304BBF" w:rsidP="009D6100">
                  <w:pPr>
                    <w:pStyle w:val="TableBodyText"/>
                  </w:pPr>
                  <w:r w:rsidRPr="00C85A40">
                    <w:rPr>
                      <w:color w:val="000000"/>
                    </w:rPr>
                    <w:t>11.2</w:t>
                  </w:r>
                </w:p>
              </w:tc>
              <w:tc>
                <w:tcPr>
                  <w:tcW w:w="1250" w:type="pct"/>
                  <w:tcBorders>
                    <w:top w:val="nil"/>
                    <w:left w:val="nil"/>
                    <w:bottom w:val="nil"/>
                    <w:right w:val="nil"/>
                  </w:tcBorders>
                  <w:shd w:val="clear" w:color="auto" w:fill="auto"/>
                  <w:vAlign w:val="bottom"/>
                </w:tcPr>
                <w:p w14:paraId="0CF32F24" w14:textId="77777777" w:rsidR="00304BBF" w:rsidRPr="00C85A40" w:rsidRDefault="00304BBF" w:rsidP="009D6100">
                  <w:pPr>
                    <w:pStyle w:val="TableBodyText"/>
                  </w:pPr>
                  <w:r w:rsidRPr="00C85A40">
                    <w:rPr>
                      <w:color w:val="000000"/>
                    </w:rPr>
                    <w:t>10.2</w:t>
                  </w:r>
                </w:p>
              </w:tc>
              <w:tc>
                <w:tcPr>
                  <w:tcW w:w="1249" w:type="pct"/>
                  <w:tcBorders>
                    <w:top w:val="nil"/>
                    <w:left w:val="nil"/>
                    <w:bottom w:val="nil"/>
                    <w:right w:val="nil"/>
                  </w:tcBorders>
                  <w:shd w:val="clear" w:color="auto" w:fill="auto"/>
                  <w:vAlign w:val="bottom"/>
                </w:tcPr>
                <w:p w14:paraId="68643BBC" w14:textId="77777777" w:rsidR="00304BBF" w:rsidRPr="00C85A40" w:rsidRDefault="00304BBF" w:rsidP="009D6100">
                  <w:pPr>
                    <w:pStyle w:val="TableBodyText"/>
                    <w:ind w:right="28"/>
                  </w:pPr>
                  <w:r>
                    <w:rPr>
                      <w:color w:val="000000"/>
                    </w:rPr>
                    <w:t>-8.9</w:t>
                  </w:r>
                </w:p>
              </w:tc>
            </w:tr>
            <w:tr w:rsidR="00304BBF" w14:paraId="6349AA58" w14:textId="77777777" w:rsidTr="009D6100">
              <w:tc>
                <w:tcPr>
                  <w:tcW w:w="1250" w:type="pct"/>
                </w:tcPr>
                <w:p w14:paraId="10FDEDC1" w14:textId="77777777" w:rsidR="00304BBF" w:rsidRDefault="00304BBF" w:rsidP="009D6100">
                  <w:pPr>
                    <w:pStyle w:val="TableBodyText"/>
                    <w:jc w:val="left"/>
                  </w:pPr>
                  <w:r>
                    <w:t>Utilities and construction</w:t>
                  </w:r>
                </w:p>
              </w:tc>
              <w:tc>
                <w:tcPr>
                  <w:tcW w:w="1250" w:type="pct"/>
                  <w:tcBorders>
                    <w:top w:val="nil"/>
                    <w:left w:val="nil"/>
                    <w:bottom w:val="nil"/>
                    <w:right w:val="nil"/>
                  </w:tcBorders>
                  <w:shd w:val="clear" w:color="auto" w:fill="auto"/>
                  <w:vAlign w:val="bottom"/>
                </w:tcPr>
                <w:p w14:paraId="7896B12B" w14:textId="77777777" w:rsidR="00304BBF" w:rsidRPr="00C85A40" w:rsidRDefault="00304BBF" w:rsidP="009D6100">
                  <w:pPr>
                    <w:pStyle w:val="TableBodyText"/>
                  </w:pPr>
                  <w:r w:rsidRPr="00C85A40">
                    <w:rPr>
                      <w:color w:val="000000"/>
                    </w:rPr>
                    <w:t>25.6</w:t>
                  </w:r>
                </w:p>
              </w:tc>
              <w:tc>
                <w:tcPr>
                  <w:tcW w:w="1250" w:type="pct"/>
                  <w:tcBorders>
                    <w:top w:val="nil"/>
                    <w:left w:val="nil"/>
                    <w:bottom w:val="nil"/>
                    <w:right w:val="nil"/>
                  </w:tcBorders>
                  <w:shd w:val="clear" w:color="auto" w:fill="auto"/>
                  <w:vAlign w:val="bottom"/>
                </w:tcPr>
                <w:p w14:paraId="4817B755" w14:textId="77777777" w:rsidR="00304BBF" w:rsidRPr="00C85A40" w:rsidRDefault="00304BBF" w:rsidP="009D6100">
                  <w:pPr>
                    <w:pStyle w:val="TableBodyText"/>
                  </w:pPr>
                  <w:r w:rsidRPr="00C85A40">
                    <w:rPr>
                      <w:color w:val="000000"/>
                    </w:rPr>
                    <w:t>24.3</w:t>
                  </w:r>
                </w:p>
              </w:tc>
              <w:tc>
                <w:tcPr>
                  <w:tcW w:w="1249" w:type="pct"/>
                  <w:tcBorders>
                    <w:top w:val="nil"/>
                    <w:left w:val="nil"/>
                    <w:bottom w:val="nil"/>
                    <w:right w:val="nil"/>
                  </w:tcBorders>
                  <w:shd w:val="clear" w:color="auto" w:fill="auto"/>
                  <w:vAlign w:val="bottom"/>
                </w:tcPr>
                <w:p w14:paraId="50E10355" w14:textId="77777777" w:rsidR="00304BBF" w:rsidRPr="00C85A40" w:rsidRDefault="00304BBF" w:rsidP="009D6100">
                  <w:pPr>
                    <w:pStyle w:val="TableBodyText"/>
                    <w:ind w:right="28"/>
                  </w:pPr>
                  <w:r w:rsidRPr="00C85A40">
                    <w:rPr>
                      <w:color w:val="000000"/>
                    </w:rPr>
                    <w:t>-</w:t>
                  </w:r>
                  <w:r>
                    <w:rPr>
                      <w:color w:val="000000"/>
                    </w:rPr>
                    <w:t>5.0</w:t>
                  </w:r>
                </w:p>
              </w:tc>
            </w:tr>
            <w:tr w:rsidR="00304BBF" w14:paraId="753B3C8F" w14:textId="77777777" w:rsidTr="009D6100">
              <w:tc>
                <w:tcPr>
                  <w:tcW w:w="1250" w:type="pct"/>
                </w:tcPr>
                <w:p w14:paraId="1C18E356" w14:textId="77777777" w:rsidR="00304BBF" w:rsidRDefault="00304BBF" w:rsidP="009D6100">
                  <w:pPr>
                    <w:pStyle w:val="TableBodyText"/>
                    <w:jc w:val="left"/>
                  </w:pPr>
                  <w:r>
                    <w:t>Business services</w:t>
                  </w:r>
                </w:p>
              </w:tc>
              <w:tc>
                <w:tcPr>
                  <w:tcW w:w="1250" w:type="pct"/>
                  <w:tcBorders>
                    <w:top w:val="nil"/>
                    <w:left w:val="nil"/>
                    <w:bottom w:val="nil"/>
                    <w:right w:val="nil"/>
                  </w:tcBorders>
                  <w:shd w:val="clear" w:color="auto" w:fill="auto"/>
                  <w:vAlign w:val="bottom"/>
                </w:tcPr>
                <w:p w14:paraId="01D62D44" w14:textId="77777777" w:rsidR="00304BBF" w:rsidRPr="00C85A40" w:rsidRDefault="00304BBF" w:rsidP="009D6100">
                  <w:pPr>
                    <w:pStyle w:val="TableBodyText"/>
                  </w:pPr>
                  <w:r w:rsidRPr="00C85A40">
                    <w:rPr>
                      <w:color w:val="000000"/>
                    </w:rPr>
                    <w:t>6.9</w:t>
                  </w:r>
                </w:p>
              </w:tc>
              <w:tc>
                <w:tcPr>
                  <w:tcW w:w="1250" w:type="pct"/>
                  <w:tcBorders>
                    <w:top w:val="nil"/>
                    <w:left w:val="nil"/>
                    <w:bottom w:val="nil"/>
                    <w:right w:val="nil"/>
                  </w:tcBorders>
                  <w:shd w:val="clear" w:color="auto" w:fill="auto"/>
                  <w:vAlign w:val="bottom"/>
                </w:tcPr>
                <w:p w14:paraId="10934713" w14:textId="77777777" w:rsidR="00304BBF" w:rsidRPr="00C85A40" w:rsidRDefault="00304BBF" w:rsidP="009D6100">
                  <w:pPr>
                    <w:pStyle w:val="TableBodyText"/>
                  </w:pPr>
                  <w:r w:rsidRPr="00C85A40">
                    <w:rPr>
                      <w:color w:val="000000"/>
                    </w:rPr>
                    <w:t>13.3</w:t>
                  </w:r>
                </w:p>
              </w:tc>
              <w:tc>
                <w:tcPr>
                  <w:tcW w:w="1249" w:type="pct"/>
                  <w:tcBorders>
                    <w:top w:val="nil"/>
                    <w:left w:val="nil"/>
                    <w:bottom w:val="nil"/>
                    <w:right w:val="nil"/>
                  </w:tcBorders>
                  <w:shd w:val="clear" w:color="auto" w:fill="auto"/>
                  <w:vAlign w:val="bottom"/>
                </w:tcPr>
                <w:p w14:paraId="7D1A4E50" w14:textId="77777777" w:rsidR="00304BBF" w:rsidRPr="00C85A40" w:rsidRDefault="00304BBF" w:rsidP="009D6100">
                  <w:pPr>
                    <w:pStyle w:val="TableBodyText"/>
                    <w:ind w:right="28"/>
                  </w:pPr>
                  <w:r>
                    <w:rPr>
                      <w:color w:val="000000"/>
                    </w:rPr>
                    <w:t>92.7</w:t>
                  </w:r>
                </w:p>
              </w:tc>
            </w:tr>
            <w:tr w:rsidR="00304BBF" w14:paraId="132F8467" w14:textId="77777777" w:rsidTr="009D6100">
              <w:tc>
                <w:tcPr>
                  <w:tcW w:w="1250" w:type="pct"/>
                </w:tcPr>
                <w:p w14:paraId="7C8F308F" w14:textId="77777777" w:rsidR="00304BBF" w:rsidRDefault="00304BBF" w:rsidP="009D6100">
                  <w:pPr>
                    <w:pStyle w:val="TableBodyText"/>
                    <w:jc w:val="left"/>
                  </w:pPr>
                  <w:r>
                    <w:t>Personal services</w:t>
                  </w:r>
                </w:p>
              </w:tc>
              <w:tc>
                <w:tcPr>
                  <w:tcW w:w="1250" w:type="pct"/>
                  <w:tcBorders>
                    <w:top w:val="nil"/>
                    <w:left w:val="nil"/>
                    <w:bottom w:val="nil"/>
                    <w:right w:val="nil"/>
                  </w:tcBorders>
                  <w:shd w:val="clear" w:color="auto" w:fill="auto"/>
                  <w:vAlign w:val="bottom"/>
                </w:tcPr>
                <w:p w14:paraId="1C46CC79" w14:textId="77777777" w:rsidR="00304BBF" w:rsidRPr="00C85A40" w:rsidRDefault="00304BBF" w:rsidP="009D6100">
                  <w:pPr>
                    <w:pStyle w:val="TableBodyText"/>
                  </w:pPr>
                  <w:r w:rsidRPr="00C85A40">
                    <w:rPr>
                      <w:color w:val="000000"/>
                    </w:rPr>
                    <w:t>3.3</w:t>
                  </w:r>
                </w:p>
              </w:tc>
              <w:tc>
                <w:tcPr>
                  <w:tcW w:w="1250" w:type="pct"/>
                  <w:tcBorders>
                    <w:top w:val="nil"/>
                    <w:left w:val="nil"/>
                    <w:bottom w:val="nil"/>
                    <w:right w:val="nil"/>
                  </w:tcBorders>
                  <w:shd w:val="clear" w:color="auto" w:fill="auto"/>
                  <w:vAlign w:val="bottom"/>
                </w:tcPr>
                <w:p w14:paraId="631EEE6F" w14:textId="77777777" w:rsidR="00304BBF" w:rsidRPr="00C85A40" w:rsidRDefault="00304BBF" w:rsidP="009D6100">
                  <w:pPr>
                    <w:pStyle w:val="TableBodyText"/>
                  </w:pPr>
                  <w:r w:rsidRPr="00C85A40">
                    <w:rPr>
                      <w:color w:val="000000"/>
                    </w:rPr>
                    <w:t>4.7</w:t>
                  </w:r>
                </w:p>
              </w:tc>
              <w:tc>
                <w:tcPr>
                  <w:tcW w:w="1249" w:type="pct"/>
                  <w:tcBorders>
                    <w:top w:val="nil"/>
                    <w:left w:val="nil"/>
                    <w:bottom w:val="nil"/>
                    <w:right w:val="nil"/>
                  </w:tcBorders>
                  <w:shd w:val="clear" w:color="auto" w:fill="auto"/>
                  <w:vAlign w:val="bottom"/>
                </w:tcPr>
                <w:p w14:paraId="34AE062C" w14:textId="77777777" w:rsidR="00304BBF" w:rsidRPr="00C85A40" w:rsidRDefault="00304BBF" w:rsidP="009D6100">
                  <w:pPr>
                    <w:pStyle w:val="TableBodyText"/>
                    <w:ind w:right="28"/>
                  </w:pPr>
                  <w:r>
                    <w:rPr>
                      <w:color w:val="000000"/>
                    </w:rPr>
                    <w:t>42.4</w:t>
                  </w:r>
                </w:p>
              </w:tc>
            </w:tr>
            <w:tr w:rsidR="00304BBF" w14:paraId="4C083796" w14:textId="77777777" w:rsidTr="004D3D25">
              <w:tc>
                <w:tcPr>
                  <w:tcW w:w="1250" w:type="pct"/>
                  <w:shd w:val="clear" w:color="auto" w:fill="auto"/>
                </w:tcPr>
                <w:p w14:paraId="20F722A9" w14:textId="77777777" w:rsidR="00304BBF" w:rsidRDefault="00304BBF" w:rsidP="009D6100">
                  <w:pPr>
                    <w:pStyle w:val="TableBodyText"/>
                    <w:jc w:val="left"/>
                  </w:pPr>
                  <w:r>
                    <w:t>Non-market services</w:t>
                  </w:r>
                </w:p>
              </w:tc>
              <w:tc>
                <w:tcPr>
                  <w:tcW w:w="1250" w:type="pct"/>
                  <w:tcBorders>
                    <w:top w:val="nil"/>
                    <w:left w:val="nil"/>
                    <w:right w:val="nil"/>
                  </w:tcBorders>
                  <w:shd w:val="clear" w:color="auto" w:fill="auto"/>
                  <w:vAlign w:val="bottom"/>
                </w:tcPr>
                <w:p w14:paraId="43F96C8F" w14:textId="77777777" w:rsidR="00304BBF" w:rsidRPr="00C85A40" w:rsidRDefault="00304BBF" w:rsidP="009D6100">
                  <w:pPr>
                    <w:pStyle w:val="TableBodyText"/>
                  </w:pPr>
                  <w:r w:rsidRPr="00C85A40">
                    <w:rPr>
                      <w:color w:val="000000"/>
                    </w:rPr>
                    <w:t>14.4</w:t>
                  </w:r>
                </w:p>
              </w:tc>
              <w:tc>
                <w:tcPr>
                  <w:tcW w:w="1250" w:type="pct"/>
                  <w:tcBorders>
                    <w:top w:val="nil"/>
                    <w:left w:val="nil"/>
                    <w:right w:val="nil"/>
                  </w:tcBorders>
                  <w:shd w:val="clear" w:color="auto" w:fill="auto"/>
                  <w:vAlign w:val="bottom"/>
                </w:tcPr>
                <w:p w14:paraId="52C68882" w14:textId="77777777" w:rsidR="00304BBF" w:rsidRPr="00C85A40" w:rsidRDefault="00304BBF" w:rsidP="009D6100">
                  <w:pPr>
                    <w:pStyle w:val="TableBodyText"/>
                  </w:pPr>
                  <w:r w:rsidRPr="00C85A40">
                    <w:rPr>
                      <w:color w:val="000000"/>
                    </w:rPr>
                    <w:t>25.9</w:t>
                  </w:r>
                </w:p>
              </w:tc>
              <w:tc>
                <w:tcPr>
                  <w:tcW w:w="1249" w:type="pct"/>
                  <w:tcBorders>
                    <w:top w:val="nil"/>
                    <w:left w:val="nil"/>
                    <w:right w:val="nil"/>
                  </w:tcBorders>
                  <w:shd w:val="clear" w:color="auto" w:fill="auto"/>
                  <w:vAlign w:val="bottom"/>
                </w:tcPr>
                <w:p w14:paraId="256FC5E9" w14:textId="77777777" w:rsidR="00304BBF" w:rsidRPr="00C85A40" w:rsidRDefault="00304BBF" w:rsidP="009D6100">
                  <w:pPr>
                    <w:pStyle w:val="TableBodyText"/>
                    <w:ind w:right="28"/>
                  </w:pPr>
                  <w:r>
                    <w:rPr>
                      <w:color w:val="000000"/>
                    </w:rPr>
                    <w:t>79.9</w:t>
                  </w:r>
                </w:p>
              </w:tc>
            </w:tr>
            <w:tr w:rsidR="00304BBF" w14:paraId="7B4CCBFD" w14:textId="77777777" w:rsidTr="004D3D25">
              <w:tc>
                <w:tcPr>
                  <w:tcW w:w="1250" w:type="pct"/>
                  <w:tcBorders>
                    <w:bottom w:val="single" w:sz="6" w:space="0" w:color="BFBFBF"/>
                  </w:tcBorders>
                  <w:shd w:val="clear" w:color="auto" w:fill="auto"/>
                </w:tcPr>
                <w:p w14:paraId="72495B51" w14:textId="77777777" w:rsidR="00304BBF" w:rsidRDefault="00304BBF" w:rsidP="009D6100">
                  <w:pPr>
                    <w:pStyle w:val="TableBodyText"/>
                    <w:jc w:val="left"/>
                  </w:pPr>
                  <w:r>
                    <w:t>Services total</w:t>
                  </w:r>
                </w:p>
              </w:tc>
              <w:tc>
                <w:tcPr>
                  <w:tcW w:w="1250" w:type="pct"/>
                  <w:tcBorders>
                    <w:top w:val="nil"/>
                    <w:left w:val="nil"/>
                    <w:bottom w:val="single" w:sz="4" w:space="0" w:color="BFBFBF"/>
                    <w:right w:val="nil"/>
                  </w:tcBorders>
                  <w:shd w:val="clear" w:color="auto" w:fill="auto"/>
                  <w:vAlign w:val="bottom"/>
                </w:tcPr>
                <w:p w14:paraId="03412CDD" w14:textId="77777777" w:rsidR="00304BBF" w:rsidRPr="00C85A40" w:rsidRDefault="00304BBF" w:rsidP="009D6100">
                  <w:pPr>
                    <w:pStyle w:val="TableBodyText"/>
                    <w:rPr>
                      <w:color w:val="000000"/>
                    </w:rPr>
                  </w:pPr>
                  <w:r w:rsidRPr="00C85A40">
                    <w:rPr>
                      <w:color w:val="000000"/>
                    </w:rPr>
                    <w:t>61.4</w:t>
                  </w:r>
                </w:p>
              </w:tc>
              <w:tc>
                <w:tcPr>
                  <w:tcW w:w="1250" w:type="pct"/>
                  <w:tcBorders>
                    <w:top w:val="nil"/>
                    <w:left w:val="nil"/>
                    <w:bottom w:val="single" w:sz="4" w:space="0" w:color="BFBFBF"/>
                    <w:right w:val="nil"/>
                  </w:tcBorders>
                  <w:shd w:val="clear" w:color="auto" w:fill="auto"/>
                  <w:vAlign w:val="bottom"/>
                </w:tcPr>
                <w:p w14:paraId="7662C644" w14:textId="77777777" w:rsidR="00304BBF" w:rsidRPr="00C85A40" w:rsidRDefault="00304BBF" w:rsidP="009D6100">
                  <w:pPr>
                    <w:pStyle w:val="TableBodyText"/>
                    <w:rPr>
                      <w:color w:val="000000"/>
                    </w:rPr>
                  </w:pPr>
                  <w:r w:rsidRPr="00C85A40">
                    <w:rPr>
                      <w:color w:val="000000"/>
                    </w:rPr>
                    <w:t>78.4</w:t>
                  </w:r>
                </w:p>
              </w:tc>
              <w:tc>
                <w:tcPr>
                  <w:tcW w:w="1249" w:type="pct"/>
                  <w:tcBorders>
                    <w:top w:val="nil"/>
                    <w:left w:val="nil"/>
                    <w:bottom w:val="single" w:sz="4" w:space="0" w:color="BFBFBF"/>
                    <w:right w:val="nil"/>
                  </w:tcBorders>
                  <w:shd w:val="clear" w:color="auto" w:fill="auto"/>
                  <w:vAlign w:val="bottom"/>
                </w:tcPr>
                <w:p w14:paraId="465D1072" w14:textId="77777777" w:rsidR="00304BBF" w:rsidRPr="002C1538" w:rsidRDefault="00304BBF" w:rsidP="009D6100">
                  <w:pPr>
                    <w:pStyle w:val="TableBodyText"/>
                    <w:ind w:right="28"/>
                  </w:pPr>
                  <w:r>
                    <w:rPr>
                      <w:color w:val="000000"/>
                    </w:rPr>
                    <w:t>27</w:t>
                  </w:r>
                  <w:r w:rsidRPr="00C85A40">
                    <w:rPr>
                      <w:color w:val="000000"/>
                    </w:rPr>
                    <w:t>.</w:t>
                  </w:r>
                  <w:r>
                    <w:rPr>
                      <w:color w:val="000000"/>
                    </w:rPr>
                    <w:t>7</w:t>
                  </w:r>
                </w:p>
              </w:tc>
            </w:tr>
          </w:tbl>
          <w:p w14:paraId="4C3A9C4D" w14:textId="77777777" w:rsidR="00304BBF" w:rsidRDefault="00304BBF" w:rsidP="009D6100">
            <w:pPr>
              <w:pStyle w:val="Box"/>
            </w:pPr>
          </w:p>
        </w:tc>
      </w:tr>
      <w:tr w:rsidR="00304BBF" w14:paraId="325E9EA5" w14:textId="77777777" w:rsidTr="009D6100">
        <w:tc>
          <w:tcPr>
            <w:tcW w:w="5000" w:type="pct"/>
            <w:tcBorders>
              <w:top w:val="nil"/>
              <w:left w:val="nil"/>
              <w:bottom w:val="nil"/>
              <w:right w:val="nil"/>
            </w:tcBorders>
            <w:shd w:val="clear" w:color="auto" w:fill="auto"/>
          </w:tcPr>
          <w:p w14:paraId="13580258" w14:textId="77777777" w:rsidR="00304BBF" w:rsidRDefault="00304BBF" w:rsidP="009D6100">
            <w:pPr>
              <w:pStyle w:val="Note"/>
              <w:rPr>
                <w:i/>
              </w:rPr>
            </w:pPr>
            <w:r w:rsidRPr="008E77FE">
              <w:rPr>
                <w:rStyle w:val="NoteLabel"/>
              </w:rPr>
              <w:t>a</w:t>
            </w:r>
            <w:r>
              <w:t xml:space="preserve"> </w:t>
            </w:r>
            <w:proofErr w:type="gramStart"/>
            <w:r>
              <w:t>Subsector groupings</w:t>
            </w:r>
            <w:proofErr w:type="gramEnd"/>
            <w:r>
              <w:t xml:space="preserve"> defined in box 1.</w:t>
            </w:r>
          </w:p>
        </w:tc>
      </w:tr>
      <w:tr w:rsidR="00304BBF" w14:paraId="52CFF3A2" w14:textId="77777777" w:rsidTr="009D6100">
        <w:tc>
          <w:tcPr>
            <w:tcW w:w="5000" w:type="pct"/>
            <w:tcBorders>
              <w:top w:val="nil"/>
              <w:left w:val="nil"/>
              <w:bottom w:val="nil"/>
              <w:right w:val="nil"/>
            </w:tcBorders>
            <w:shd w:val="clear" w:color="auto" w:fill="auto"/>
          </w:tcPr>
          <w:p w14:paraId="72F8EE04" w14:textId="77777777" w:rsidR="00304BBF" w:rsidRPr="00766B08" w:rsidRDefault="00304BBF" w:rsidP="009D6100">
            <w:pPr>
              <w:pStyle w:val="Source"/>
            </w:pPr>
            <w:r>
              <w:rPr>
                <w:i/>
              </w:rPr>
              <w:t>Sources</w:t>
            </w:r>
            <w:r w:rsidRPr="00167F06">
              <w:t xml:space="preserve">: </w:t>
            </w:r>
            <w:r>
              <w:t>ABS (</w:t>
            </w:r>
            <w:r w:rsidRPr="00766B08">
              <w:rPr>
                <w:i/>
              </w:rPr>
              <w:t>Australian National Accounts: National Income, Expenditure and Product, 1992-93</w:t>
            </w:r>
            <w:r>
              <w:t>, Cat. No. </w:t>
            </w:r>
            <w:r w:rsidRPr="00766B08">
              <w:t>5204.0</w:t>
            </w:r>
            <w:r>
              <w:t>).</w:t>
            </w:r>
          </w:p>
        </w:tc>
      </w:tr>
      <w:tr w:rsidR="00304BBF" w14:paraId="523C0C8B" w14:textId="77777777" w:rsidTr="009D6100">
        <w:tc>
          <w:tcPr>
            <w:tcW w:w="5000" w:type="pct"/>
            <w:tcBorders>
              <w:top w:val="nil"/>
              <w:left w:val="nil"/>
              <w:bottom w:val="single" w:sz="6" w:space="0" w:color="78A22F"/>
              <w:right w:val="nil"/>
            </w:tcBorders>
            <w:shd w:val="clear" w:color="auto" w:fill="auto"/>
          </w:tcPr>
          <w:p w14:paraId="0EC26226" w14:textId="77777777" w:rsidR="00304BBF" w:rsidRDefault="00304BBF" w:rsidP="009D6100">
            <w:pPr>
              <w:pStyle w:val="Box"/>
              <w:spacing w:before="0" w:line="120" w:lineRule="exact"/>
            </w:pPr>
          </w:p>
        </w:tc>
      </w:tr>
      <w:tr w:rsidR="00304BBF" w:rsidRPr="000863A5" w14:paraId="4FCF5B0D" w14:textId="77777777" w:rsidTr="009D6100">
        <w:tc>
          <w:tcPr>
            <w:tcW w:w="5000" w:type="pct"/>
            <w:tcBorders>
              <w:top w:val="single" w:sz="6" w:space="0" w:color="78A22F"/>
              <w:left w:val="nil"/>
              <w:bottom w:val="nil"/>
              <w:right w:val="nil"/>
            </w:tcBorders>
          </w:tcPr>
          <w:p w14:paraId="64BA07EF" w14:textId="5146B619" w:rsidR="00304BBF" w:rsidRPr="00626D32" w:rsidRDefault="00304BBF" w:rsidP="009D6100">
            <w:pPr>
              <w:pStyle w:val="BoxSpaceBelow"/>
            </w:pPr>
          </w:p>
        </w:tc>
      </w:tr>
    </w:tbl>
    <w:p w14:paraId="781061E4" w14:textId="20C4BF9D" w:rsidR="00EA1B51" w:rsidRDefault="00EA1B51" w:rsidP="00EA1B5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A1B51" w14:paraId="68A5B0E0" w14:textId="77777777" w:rsidTr="36E5E979">
        <w:trPr>
          <w:tblHeader/>
        </w:trPr>
        <w:tc>
          <w:tcPr>
            <w:tcW w:w="5000" w:type="pct"/>
            <w:tcBorders>
              <w:top w:val="single" w:sz="6" w:space="0" w:color="78A22F" w:themeColor="accent1"/>
              <w:left w:val="nil"/>
              <w:bottom w:val="nil"/>
              <w:right w:val="nil"/>
            </w:tcBorders>
            <w:shd w:val="clear" w:color="auto" w:fill="auto"/>
          </w:tcPr>
          <w:p w14:paraId="27886290" w14:textId="30081457" w:rsidR="00EA1B51" w:rsidRDefault="00EA1B51" w:rsidP="00CB6A81">
            <w:pPr>
              <w:pStyle w:val="FigureTitle"/>
            </w:pPr>
            <w:r w:rsidRPr="00784A05">
              <w:rPr>
                <w:b w:val="0"/>
              </w:rPr>
              <w:t xml:space="preserve">Figure </w:t>
            </w:r>
            <w:r w:rsidR="00331D7A">
              <w:rPr>
                <w:b w:val="0"/>
                <w:noProof/>
              </w:rPr>
              <w:t>6</w:t>
            </w:r>
            <w:r>
              <w:tab/>
            </w:r>
            <w:r w:rsidR="003A4A0F">
              <w:t xml:space="preserve">… </w:t>
            </w:r>
            <w:r w:rsidR="0071052F">
              <w:t>though this growth has mostly been in business services in recent decades</w:t>
            </w:r>
          </w:p>
          <w:p w14:paraId="3639F62B" w14:textId="77777777" w:rsidR="00EA1B51" w:rsidRPr="00176D3F" w:rsidRDefault="00EA1B51" w:rsidP="00CB6A81">
            <w:pPr>
              <w:pStyle w:val="Subtitle"/>
            </w:pPr>
            <w:r>
              <w:t>Service industry share of total employment and GDP</w:t>
            </w:r>
            <w:r w:rsidRPr="008E77FE">
              <w:rPr>
                <w:rStyle w:val="NoteLabel"/>
              </w:rPr>
              <w:t>a</w:t>
            </w:r>
          </w:p>
        </w:tc>
      </w:tr>
      <w:tr w:rsidR="00EA1B51" w14:paraId="40B56B91"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A1B51" w:rsidRPr="00B1465D" w14:paraId="3047ABB3" w14:textId="77777777" w:rsidTr="36E5E979">
              <w:trPr>
                <w:tblHeader/>
                <w:jc w:val="center"/>
              </w:trPr>
              <w:tc>
                <w:tcPr>
                  <w:tcW w:w="5000" w:type="pct"/>
                  <w:tcBorders>
                    <w:top w:val="nil"/>
                    <w:bottom w:val="nil"/>
                  </w:tcBorders>
                </w:tcPr>
                <w:p w14:paraId="377F78BD" w14:textId="5BF2BF95" w:rsidR="00EA1B51" w:rsidRPr="00B1465D" w:rsidRDefault="00606F35" w:rsidP="00CB6A81">
                  <w:pPr>
                    <w:pStyle w:val="Figure"/>
                    <w:spacing w:before="60" w:after="60"/>
                    <w:rPr>
                      <w:rFonts w:ascii="Tahoma" w:hAnsi="Tahoma" w:cs="Tahoma"/>
                      <w:sz w:val="18"/>
                      <w:szCs w:val="18"/>
                    </w:rPr>
                  </w:pPr>
                  <w:r w:rsidRPr="00606F35">
                    <w:rPr>
                      <w:rFonts w:ascii="Tahoma" w:hAnsi="Tahoma" w:cs="Tahoma"/>
                      <w:noProof/>
                      <w:sz w:val="18"/>
                      <w:szCs w:val="18"/>
                    </w:rPr>
                    <w:drawing>
                      <wp:inline distT="0" distB="0" distL="0" distR="0" wp14:anchorId="3F8765F0" wp14:editId="63872037">
                        <wp:extent cx="5402580" cy="3055620"/>
                        <wp:effectExtent l="0" t="0" r="7620" b="0"/>
                        <wp:docPr id="10" name="Picture 10" descr="From 1990 to 2020, the goods sector has decreased its share of employment while services such a non-market services have increased. Over the same period the good sector has decreased its share of GDP but not as drastically as in employment. Business services have substantially increased their share of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om 1990 to 2020, the goods sector has decreased its share of employment while services such a non-market services have increased. Over the same period the good sector has decreased its share of GDP but not as drastically as in employment. Business services have substantially increased their share of GD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425"/>
                                <a:stretch/>
                              </pic:blipFill>
                              <pic:spPr bwMode="auto">
                                <a:xfrm>
                                  <a:off x="0" y="0"/>
                                  <a:ext cx="5402580" cy="3055620"/>
                                </a:xfrm>
                                <a:prstGeom prst="rect">
                                  <a:avLst/>
                                </a:prstGeom>
                                <a:noFill/>
                                <a:ln>
                                  <a:noFill/>
                                </a:ln>
                                <a:extLst>
                                  <a:ext uri="{53640926-AAD7-44D8-BBD7-CCE9431645EC}">
                                    <a14:shadowObscured xmlns:a14="http://schemas.microsoft.com/office/drawing/2010/main"/>
                                  </a:ext>
                                </a:extLst>
                              </pic:spPr>
                            </pic:pic>
                          </a:graphicData>
                        </a:graphic>
                      </wp:inline>
                    </w:drawing>
                  </w:r>
                  <w:r w:rsidR="00777FF0" w:rsidRPr="00777FF0">
                    <w:rPr>
                      <w:rFonts w:ascii="Tahoma" w:hAnsi="Tahoma" w:cs="Tahoma"/>
                      <w:sz w:val="18"/>
                      <w:szCs w:val="18"/>
                    </w:rPr>
                    <w:t xml:space="preserve"> </w:t>
                  </w:r>
                </w:p>
              </w:tc>
            </w:tr>
          </w:tbl>
          <w:p w14:paraId="4892BEFA" w14:textId="77777777" w:rsidR="00EA1B51" w:rsidRDefault="00EA1B51" w:rsidP="00CB6A81">
            <w:pPr>
              <w:pStyle w:val="Figure"/>
            </w:pPr>
          </w:p>
        </w:tc>
      </w:tr>
      <w:tr w:rsidR="00EA1B51" w:rsidRPr="00176D3F" w14:paraId="2904C410" w14:textId="77777777" w:rsidTr="36E5E979">
        <w:tc>
          <w:tcPr>
            <w:tcW w:w="5000" w:type="pct"/>
            <w:tcBorders>
              <w:top w:val="nil"/>
              <w:left w:val="nil"/>
              <w:bottom w:val="nil"/>
              <w:right w:val="nil"/>
            </w:tcBorders>
            <w:shd w:val="clear" w:color="auto" w:fill="auto"/>
          </w:tcPr>
          <w:p w14:paraId="0AEC5EFD" w14:textId="77777777" w:rsidR="00EA1B51" w:rsidRPr="00784A05" w:rsidRDefault="00EA1B51" w:rsidP="00CB6A81">
            <w:pPr>
              <w:pStyle w:val="Source"/>
              <w:rPr>
                <w:i/>
              </w:rPr>
            </w:pPr>
            <w:r w:rsidRPr="008E77FE">
              <w:rPr>
                <w:rStyle w:val="NoteLabel"/>
              </w:rPr>
              <w:t>a</w:t>
            </w:r>
            <w:r>
              <w:t xml:space="preserve"> Contribution to GDP is proxied by gross value added and as such does not include the effects of taxation or subsidies.</w:t>
            </w:r>
          </w:p>
        </w:tc>
      </w:tr>
      <w:tr w:rsidR="00EA1B51" w:rsidRPr="00176D3F" w14:paraId="2528C59F" w14:textId="77777777" w:rsidTr="36E5E979">
        <w:tc>
          <w:tcPr>
            <w:tcW w:w="5000" w:type="pct"/>
            <w:tcBorders>
              <w:top w:val="nil"/>
              <w:left w:val="nil"/>
              <w:bottom w:val="nil"/>
              <w:right w:val="nil"/>
            </w:tcBorders>
            <w:shd w:val="clear" w:color="auto" w:fill="auto"/>
          </w:tcPr>
          <w:p w14:paraId="36E25D79" w14:textId="17E67F07" w:rsidR="00EA1B51" w:rsidRPr="00176D3F" w:rsidRDefault="00EA1B51" w:rsidP="00CB6A81">
            <w:pPr>
              <w:pStyle w:val="Source"/>
            </w:pPr>
            <w:r w:rsidRPr="00784A05">
              <w:rPr>
                <w:i/>
              </w:rPr>
              <w:t>Data source</w:t>
            </w:r>
            <w:r w:rsidR="00740CA2">
              <w:rPr>
                <w:i/>
              </w:rPr>
              <w:t>s</w:t>
            </w:r>
            <w:r w:rsidRPr="00176D3F">
              <w:t xml:space="preserve">: </w:t>
            </w:r>
            <w:r>
              <w:t xml:space="preserve"> ABS (</w:t>
            </w:r>
            <w:r w:rsidRPr="003D1194">
              <w:rPr>
                <w:i/>
                <w:iCs/>
              </w:rPr>
              <w:t>Labour Account</w:t>
            </w:r>
            <w:r w:rsidRPr="008246B9">
              <w:rPr>
                <w:i/>
              </w:rPr>
              <w:t>, 2018-19</w:t>
            </w:r>
            <w:r>
              <w:t>, Cat. no.</w:t>
            </w:r>
            <w:r w:rsidR="009B32BC">
              <w:t xml:space="preserve"> </w:t>
            </w:r>
            <w:r w:rsidRPr="009B32BC" w:rsidDel="009B32BC">
              <w:t>6150.0.55.003</w:t>
            </w:r>
            <w:r>
              <w:t xml:space="preserve">, tables 2-20; </w:t>
            </w:r>
            <w:r w:rsidRPr="008246B9">
              <w:rPr>
                <w:i/>
              </w:rPr>
              <w:t>Australian System of National Accounts, 2018-19</w:t>
            </w:r>
            <w:r>
              <w:t>, Cat. no. </w:t>
            </w:r>
            <w:r w:rsidRPr="004828E1">
              <w:t>5204.0</w:t>
            </w:r>
            <w:r>
              <w:t>, table 5).</w:t>
            </w:r>
          </w:p>
        </w:tc>
      </w:tr>
      <w:tr w:rsidR="00EA1B51" w14:paraId="295C39D8" w14:textId="77777777" w:rsidTr="36E5E979">
        <w:tc>
          <w:tcPr>
            <w:tcW w:w="5000" w:type="pct"/>
            <w:tcBorders>
              <w:top w:val="nil"/>
              <w:left w:val="nil"/>
              <w:bottom w:val="single" w:sz="6" w:space="0" w:color="78A22F" w:themeColor="accent1"/>
              <w:right w:val="nil"/>
            </w:tcBorders>
            <w:shd w:val="clear" w:color="auto" w:fill="auto"/>
          </w:tcPr>
          <w:p w14:paraId="2832365C" w14:textId="77777777" w:rsidR="00EA1B51" w:rsidRDefault="00EA1B51" w:rsidP="00CB6A81">
            <w:pPr>
              <w:pStyle w:val="Figurespace"/>
            </w:pPr>
          </w:p>
        </w:tc>
      </w:tr>
      <w:tr w:rsidR="00EA1B51" w:rsidRPr="000863A5" w14:paraId="46344E4E" w14:textId="77777777" w:rsidTr="36E5E979">
        <w:trPr>
          <w:trHeight w:val="65"/>
        </w:trPr>
        <w:tc>
          <w:tcPr>
            <w:tcW w:w="5000" w:type="pct"/>
            <w:tcBorders>
              <w:top w:val="single" w:sz="6" w:space="0" w:color="78A22F" w:themeColor="accent1"/>
              <w:left w:val="nil"/>
              <w:bottom w:val="nil"/>
              <w:right w:val="nil"/>
            </w:tcBorders>
          </w:tcPr>
          <w:p w14:paraId="5223E5D0" w14:textId="36F7BE68" w:rsidR="00EA1B51" w:rsidRPr="00626D32" w:rsidRDefault="00EA1B51" w:rsidP="00CB6A81">
            <w:pPr>
              <w:pStyle w:val="BoxSpaceBelow"/>
            </w:pPr>
          </w:p>
        </w:tc>
      </w:tr>
    </w:tbl>
    <w:p w14:paraId="5FACD5D5" w14:textId="5950637D" w:rsidR="00EA1B51" w:rsidRDefault="00EA1B51" w:rsidP="00EA1B5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A1B51" w14:paraId="5DA4887F" w14:textId="77777777" w:rsidTr="36E5E979">
        <w:trPr>
          <w:tblHeader/>
        </w:trPr>
        <w:tc>
          <w:tcPr>
            <w:tcW w:w="5000" w:type="pct"/>
            <w:tcBorders>
              <w:top w:val="single" w:sz="6" w:space="0" w:color="78A22F" w:themeColor="accent1"/>
              <w:left w:val="nil"/>
              <w:bottom w:val="nil"/>
              <w:right w:val="nil"/>
            </w:tcBorders>
            <w:shd w:val="clear" w:color="auto" w:fill="auto"/>
          </w:tcPr>
          <w:p w14:paraId="049441DF" w14:textId="3BEF1269" w:rsidR="00EA1B51" w:rsidRDefault="00EA1B51" w:rsidP="00CB6A81">
            <w:pPr>
              <w:pStyle w:val="FigureTitle"/>
            </w:pPr>
            <w:r w:rsidRPr="00784A05">
              <w:rPr>
                <w:b w:val="0"/>
              </w:rPr>
              <w:t xml:space="preserve">Figure </w:t>
            </w:r>
            <w:r w:rsidR="00331D7A">
              <w:rPr>
                <w:b w:val="0"/>
                <w:noProof/>
              </w:rPr>
              <w:t>7</w:t>
            </w:r>
            <w:r>
              <w:tab/>
              <w:t>Business and non-market services make up the bulk of the increased size of the service sector in the US</w:t>
            </w:r>
            <w:r w:rsidR="000D2729">
              <w:t xml:space="preserve"> as well</w:t>
            </w:r>
          </w:p>
          <w:p w14:paraId="46AFB44B" w14:textId="77777777" w:rsidR="00EA1B51" w:rsidRPr="004D3D25" w:rsidRDefault="00EA1B51" w:rsidP="00CB6A81">
            <w:pPr>
              <w:pStyle w:val="Subtitle"/>
              <w:rPr>
                <w:spacing w:val="-4"/>
              </w:rPr>
            </w:pPr>
            <w:r w:rsidRPr="004D3D25">
              <w:rPr>
                <w:spacing w:val="-4"/>
              </w:rPr>
              <w:t>Shares of different portions of the service sector in the US between 1950 and 2010</w:t>
            </w:r>
          </w:p>
        </w:tc>
      </w:tr>
      <w:tr w:rsidR="00EA1B51" w14:paraId="61593CB5"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A1B51" w:rsidRPr="00B1465D" w14:paraId="297E7994" w14:textId="77777777" w:rsidTr="36E5E979">
              <w:trPr>
                <w:trHeight w:val="257"/>
                <w:tblHeader/>
                <w:jc w:val="center"/>
              </w:trPr>
              <w:tc>
                <w:tcPr>
                  <w:tcW w:w="5000" w:type="pct"/>
                  <w:tcBorders>
                    <w:top w:val="nil"/>
                    <w:bottom w:val="nil"/>
                  </w:tcBorders>
                </w:tcPr>
                <w:p w14:paraId="0C155585" w14:textId="760ABC7C" w:rsidR="00EA1B51" w:rsidRPr="00B1465D" w:rsidRDefault="0020787E" w:rsidP="00CB6A81">
                  <w:pPr>
                    <w:pStyle w:val="Figure"/>
                    <w:spacing w:before="60" w:after="60"/>
                    <w:rPr>
                      <w:rFonts w:ascii="Tahoma" w:hAnsi="Tahoma" w:cs="Tahoma"/>
                      <w:sz w:val="18"/>
                      <w:szCs w:val="18"/>
                    </w:rPr>
                  </w:pPr>
                  <w:r w:rsidRPr="0020787E">
                    <w:rPr>
                      <w:rFonts w:ascii="Tahoma" w:hAnsi="Tahoma" w:cs="Tahoma"/>
                      <w:noProof/>
                      <w:sz w:val="18"/>
                      <w:szCs w:val="18"/>
                    </w:rPr>
                    <w:drawing>
                      <wp:inline distT="0" distB="0" distL="0" distR="0" wp14:anchorId="45ABD601" wp14:editId="2447EAE3">
                        <wp:extent cx="5431790" cy="3016250"/>
                        <wp:effectExtent l="0" t="0" r="0" b="0"/>
                        <wp:docPr id="24" name="Picture 24" descr="From 1950 to 2010, United States finance, insurance, real estate and business services have substantially increased their share of gross value added. Overall the United States Service sector has grown from around 65 per cent of GVA to over 8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rom 1950 to 2010, United States finance, insurance, real estate and business services have substantially increased their share of gross value added. Overall the United States Service sector has grown from around 65 per cent of GVA to over 80 per c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1790" cy="3016250"/>
                                </a:xfrm>
                                <a:prstGeom prst="rect">
                                  <a:avLst/>
                                </a:prstGeom>
                                <a:noFill/>
                                <a:ln>
                                  <a:noFill/>
                                </a:ln>
                              </pic:spPr>
                            </pic:pic>
                          </a:graphicData>
                        </a:graphic>
                      </wp:inline>
                    </w:drawing>
                  </w:r>
                </w:p>
              </w:tc>
            </w:tr>
          </w:tbl>
          <w:p w14:paraId="740AE752" w14:textId="77777777" w:rsidR="00EA1B51" w:rsidRDefault="00EA1B51" w:rsidP="00CB6A81">
            <w:pPr>
              <w:pStyle w:val="Figure"/>
            </w:pPr>
          </w:p>
        </w:tc>
      </w:tr>
      <w:tr w:rsidR="00EA1B51" w:rsidRPr="00176D3F" w14:paraId="7EDB08C8" w14:textId="77777777" w:rsidTr="36E5E979">
        <w:tc>
          <w:tcPr>
            <w:tcW w:w="5000" w:type="pct"/>
            <w:tcBorders>
              <w:top w:val="nil"/>
              <w:left w:val="nil"/>
              <w:bottom w:val="nil"/>
              <w:right w:val="nil"/>
            </w:tcBorders>
            <w:shd w:val="clear" w:color="auto" w:fill="auto"/>
          </w:tcPr>
          <w:p w14:paraId="377AD8C7" w14:textId="77777777" w:rsidR="00EA1B51" w:rsidRPr="00176D3F" w:rsidRDefault="00EA1B51" w:rsidP="00CB6A81">
            <w:pPr>
              <w:pStyle w:val="Note"/>
            </w:pPr>
            <w:r>
              <w:rPr>
                <w:rStyle w:val="NoteLabel"/>
              </w:rPr>
              <w:t>a</w:t>
            </w:r>
            <w:r>
              <w:t xml:space="preserve"> Community, social and personal services </w:t>
            </w:r>
            <w:proofErr w:type="gramStart"/>
            <w:r>
              <w:t>are:</w:t>
            </w:r>
            <w:proofErr w:type="gramEnd"/>
            <w:r>
              <w:t xml:space="preserve"> o</w:t>
            </w:r>
            <w:r w:rsidRPr="006536EA">
              <w:t xml:space="preserve">ther </w:t>
            </w:r>
            <w:r>
              <w:t>c</w:t>
            </w:r>
            <w:r w:rsidRPr="006536EA">
              <w:t xml:space="preserve">ommunity, </w:t>
            </w:r>
            <w:r>
              <w:t>s</w:t>
            </w:r>
            <w:r w:rsidRPr="006536EA">
              <w:t xml:space="preserve">ocial and </w:t>
            </w:r>
            <w:r>
              <w:t>p</w:t>
            </w:r>
            <w:r w:rsidRPr="006536EA">
              <w:t xml:space="preserve">ersonal service activities, </w:t>
            </w:r>
            <w:r>
              <w:t>a</w:t>
            </w:r>
            <w:r w:rsidRPr="006536EA">
              <w:t xml:space="preserve">ctivities of </w:t>
            </w:r>
            <w:r>
              <w:t>p</w:t>
            </w:r>
            <w:r w:rsidRPr="006536EA">
              <w:t xml:space="preserve">rivate </w:t>
            </w:r>
            <w:r>
              <w:t>h</w:t>
            </w:r>
            <w:r w:rsidRPr="006536EA">
              <w:t>ouseholds</w:t>
            </w:r>
            <w:r>
              <w:t>; Government services are: p</w:t>
            </w:r>
            <w:r w:rsidRPr="00AE13AB">
              <w:t xml:space="preserve">ublic </w:t>
            </w:r>
            <w:r>
              <w:t>a</w:t>
            </w:r>
            <w:r w:rsidRPr="00AE13AB">
              <w:t xml:space="preserve">dministration and </w:t>
            </w:r>
            <w:r>
              <w:t>d</w:t>
            </w:r>
            <w:r w:rsidRPr="00AE13AB">
              <w:t xml:space="preserve">efence, </w:t>
            </w:r>
            <w:r>
              <w:t>e</w:t>
            </w:r>
            <w:r w:rsidRPr="00AE13AB">
              <w:t xml:space="preserve">ducation, </w:t>
            </w:r>
            <w:r>
              <w:t>h</w:t>
            </w:r>
            <w:r w:rsidRPr="00AE13AB">
              <w:t xml:space="preserve">ealth and </w:t>
            </w:r>
            <w:r>
              <w:t>s</w:t>
            </w:r>
            <w:r w:rsidRPr="00AE13AB">
              <w:t>ocial work</w:t>
            </w:r>
            <w:r>
              <w:t>; Distribution, and restaurant services are: w</w:t>
            </w:r>
            <w:r w:rsidRPr="001A4754">
              <w:t xml:space="preserve">holesale and </w:t>
            </w:r>
            <w:r>
              <w:t>r</w:t>
            </w:r>
            <w:r w:rsidRPr="001A4754">
              <w:t xml:space="preserve">etail trade; repair of motor vehicles, motorcycles and personal and household goods, </w:t>
            </w:r>
            <w:r>
              <w:t>h</w:t>
            </w:r>
            <w:r w:rsidRPr="001A4754">
              <w:t xml:space="preserve">otels and </w:t>
            </w:r>
            <w:r>
              <w:t>r</w:t>
            </w:r>
            <w:r w:rsidRPr="001A4754">
              <w:t>estaurants</w:t>
            </w:r>
            <w:r>
              <w:t>; Utilities and construction services are: construction, e</w:t>
            </w:r>
            <w:r w:rsidRPr="005267B6">
              <w:t xml:space="preserve">lectricity, </w:t>
            </w:r>
            <w:r>
              <w:t>g</w:t>
            </w:r>
            <w:r w:rsidRPr="005267B6">
              <w:t xml:space="preserve">as and </w:t>
            </w:r>
            <w:r>
              <w:t>w</w:t>
            </w:r>
            <w:r w:rsidRPr="005267B6">
              <w:t>ater supply</w:t>
            </w:r>
            <w:r>
              <w:t xml:space="preserve">. </w:t>
            </w:r>
          </w:p>
        </w:tc>
      </w:tr>
      <w:tr w:rsidR="00EA1B51" w:rsidRPr="00176D3F" w14:paraId="1E8A0B8E" w14:textId="77777777" w:rsidTr="36E5E979">
        <w:tc>
          <w:tcPr>
            <w:tcW w:w="5000" w:type="pct"/>
            <w:tcBorders>
              <w:top w:val="nil"/>
              <w:left w:val="nil"/>
              <w:bottom w:val="nil"/>
              <w:right w:val="nil"/>
            </w:tcBorders>
            <w:shd w:val="clear" w:color="auto" w:fill="auto"/>
          </w:tcPr>
          <w:p w14:paraId="33ECCD3A" w14:textId="647EA432" w:rsidR="00EA1B51" w:rsidRPr="00176D3F" w:rsidRDefault="00EA1B51" w:rsidP="00CB6A81">
            <w:pPr>
              <w:pStyle w:val="Source"/>
            </w:pPr>
            <w:r>
              <w:rPr>
                <w:i/>
              </w:rPr>
              <w:t>S</w:t>
            </w:r>
            <w:r w:rsidRPr="00784A05">
              <w:rPr>
                <w:i/>
              </w:rPr>
              <w:t>ource</w:t>
            </w:r>
            <w:r w:rsidRPr="00176D3F">
              <w:t xml:space="preserve">: </w:t>
            </w:r>
            <w:r>
              <w:t xml:space="preserve">Commission estimates based on Timmer &amp; Vries </w:t>
            </w:r>
            <w:r w:rsidRPr="00FF5D6E">
              <w:rPr>
                <w:rFonts w:cs="Tahoma"/>
              </w:rPr>
              <w:t>(2015)</w:t>
            </w:r>
            <w:r>
              <w:t>.</w:t>
            </w:r>
          </w:p>
        </w:tc>
      </w:tr>
      <w:tr w:rsidR="00EA1B51" w14:paraId="1CF9D4AA" w14:textId="77777777" w:rsidTr="36E5E979">
        <w:tc>
          <w:tcPr>
            <w:tcW w:w="5000" w:type="pct"/>
            <w:tcBorders>
              <w:top w:val="nil"/>
              <w:left w:val="nil"/>
              <w:bottom w:val="single" w:sz="6" w:space="0" w:color="78A22F" w:themeColor="accent1"/>
              <w:right w:val="nil"/>
            </w:tcBorders>
            <w:shd w:val="clear" w:color="auto" w:fill="auto"/>
          </w:tcPr>
          <w:p w14:paraId="30EA0620" w14:textId="77777777" w:rsidR="00EA1B51" w:rsidRDefault="00EA1B51" w:rsidP="00CB6A81">
            <w:pPr>
              <w:pStyle w:val="Figurespace"/>
            </w:pPr>
          </w:p>
        </w:tc>
      </w:tr>
      <w:tr w:rsidR="00EA1B51" w:rsidRPr="000863A5" w14:paraId="044A0E90" w14:textId="77777777" w:rsidTr="36E5E979">
        <w:tc>
          <w:tcPr>
            <w:tcW w:w="5000" w:type="pct"/>
            <w:tcBorders>
              <w:top w:val="single" w:sz="6" w:space="0" w:color="78A22F" w:themeColor="accent1"/>
              <w:left w:val="nil"/>
              <w:bottom w:val="nil"/>
              <w:right w:val="nil"/>
            </w:tcBorders>
          </w:tcPr>
          <w:p w14:paraId="37604BD5" w14:textId="7DA18DEC" w:rsidR="00EA1B51" w:rsidRPr="00626D32" w:rsidRDefault="00EA1B51" w:rsidP="00CB6A81">
            <w:pPr>
              <w:pStyle w:val="BoxSpaceBelow"/>
            </w:pPr>
          </w:p>
        </w:tc>
      </w:tr>
    </w:tbl>
    <w:p w14:paraId="199099A2" w14:textId="3639F7F0" w:rsidR="00972942" w:rsidRDefault="00972942" w:rsidP="004D3D25">
      <w:pPr>
        <w:pStyle w:val="Heading3"/>
        <w:spacing w:before="480"/>
      </w:pPr>
      <w:r>
        <w:t>Why has the service sector grown?</w:t>
      </w:r>
    </w:p>
    <w:p w14:paraId="5F542021" w14:textId="37A637AC" w:rsidR="00831303" w:rsidRDefault="00EF173C" w:rsidP="00FD4378">
      <w:pPr>
        <w:pStyle w:val="BodyText"/>
      </w:pPr>
      <w:r>
        <w:t>Broadly speaking</w:t>
      </w:r>
      <w:r w:rsidR="00971FB4">
        <w:t xml:space="preserve">, </w:t>
      </w:r>
      <w:r w:rsidR="00A40AB6">
        <w:t xml:space="preserve">the </w:t>
      </w:r>
      <w:r w:rsidR="00B62DEA">
        <w:t xml:space="preserve">enduring </w:t>
      </w:r>
      <w:r w:rsidR="0098441E">
        <w:t xml:space="preserve">structural shift </w:t>
      </w:r>
      <w:r w:rsidR="00217776">
        <w:t xml:space="preserve">towards </w:t>
      </w:r>
      <w:r w:rsidR="00A40AB6">
        <w:t xml:space="preserve">services reflects </w:t>
      </w:r>
      <w:r w:rsidR="007B6B12">
        <w:t xml:space="preserve">shifting trade patterns, </w:t>
      </w:r>
      <w:r w:rsidR="00700CE6">
        <w:t xml:space="preserve">innovation and </w:t>
      </w:r>
      <w:r w:rsidR="006068F3">
        <w:t xml:space="preserve">productivity </w:t>
      </w:r>
      <w:r w:rsidR="00966181">
        <w:t>growth</w:t>
      </w:r>
      <w:r w:rsidR="00FA3D33">
        <w:t>,</w:t>
      </w:r>
      <w:r w:rsidR="005512B5">
        <w:t xml:space="preserve"> </w:t>
      </w:r>
      <w:r w:rsidR="007D3854">
        <w:t>which change production patterns</w:t>
      </w:r>
      <w:r w:rsidR="00DC51D4">
        <w:t xml:space="preserve"> and </w:t>
      </w:r>
      <w:r w:rsidR="00CC361D">
        <w:t>business models</w:t>
      </w:r>
      <w:r w:rsidR="007D3854">
        <w:t xml:space="preserve"> </w:t>
      </w:r>
      <w:r w:rsidR="00C15587">
        <w:t xml:space="preserve">and </w:t>
      </w:r>
      <w:r w:rsidR="00FA3D33">
        <w:t xml:space="preserve">generally </w:t>
      </w:r>
      <w:r w:rsidR="007D3854">
        <w:t xml:space="preserve">increase </w:t>
      </w:r>
      <w:r w:rsidR="004D442F">
        <w:t xml:space="preserve">real </w:t>
      </w:r>
      <w:r w:rsidR="007D3854">
        <w:t>incomes</w:t>
      </w:r>
      <w:r w:rsidR="00FA3D33">
        <w:t>,</w:t>
      </w:r>
      <w:r w:rsidR="007D3854">
        <w:t xml:space="preserve"> </w:t>
      </w:r>
      <w:r w:rsidR="007733AE">
        <w:t xml:space="preserve">combined with </w:t>
      </w:r>
      <w:r w:rsidR="00966181">
        <w:t>consumer preferences</w:t>
      </w:r>
      <w:r w:rsidR="007B6B12">
        <w:t xml:space="preserve">. </w:t>
      </w:r>
      <w:r w:rsidR="00091057">
        <w:t>O</w:t>
      </w:r>
      <w:r w:rsidR="009C049C">
        <w:t>ther factors such as</w:t>
      </w:r>
      <w:r w:rsidR="00966181">
        <w:t xml:space="preserve"> </w:t>
      </w:r>
      <w:r w:rsidR="009C049C">
        <w:t xml:space="preserve">changes in labour supply </w:t>
      </w:r>
      <w:r w:rsidR="005862F7">
        <w:t xml:space="preserve">have </w:t>
      </w:r>
      <w:r w:rsidR="000A3A10">
        <w:t xml:space="preserve">also </w:t>
      </w:r>
      <w:r w:rsidR="005862F7">
        <w:t xml:space="preserve">likely </w:t>
      </w:r>
      <w:r w:rsidR="000A3A10">
        <w:t xml:space="preserve">played a </w:t>
      </w:r>
      <w:r w:rsidR="00FA3D33">
        <w:t xml:space="preserve">role. </w:t>
      </w:r>
    </w:p>
    <w:p w14:paraId="45ECC306" w14:textId="36B19DB4" w:rsidR="002C7DB8" w:rsidRDefault="0096385C" w:rsidP="004D3D25">
      <w:pPr>
        <w:pStyle w:val="Heading4"/>
        <w:spacing w:before="360"/>
      </w:pPr>
      <w:r>
        <w:t>Trade-induced structural change</w:t>
      </w:r>
    </w:p>
    <w:p w14:paraId="2E612D2C" w14:textId="493762F8" w:rsidR="00FD4378" w:rsidRPr="004D3D25" w:rsidRDefault="00FD4378" w:rsidP="00FD4378">
      <w:pPr>
        <w:pStyle w:val="BodyText"/>
        <w:rPr>
          <w:spacing w:val="-2"/>
        </w:rPr>
      </w:pPr>
      <w:r w:rsidRPr="004D3D25">
        <w:rPr>
          <w:spacing w:val="-2"/>
        </w:rPr>
        <w:t>A large part of the growth in the share of services in high-income</w:t>
      </w:r>
      <w:r w:rsidR="00FD10EF" w:rsidRPr="004D3D25">
        <w:rPr>
          <w:spacing w:val="-2"/>
        </w:rPr>
        <w:t xml:space="preserve"> countries</w:t>
      </w:r>
      <w:r w:rsidRPr="004D3D25">
        <w:rPr>
          <w:spacing w:val="-2"/>
        </w:rPr>
        <w:t xml:space="preserve"> reflects comparative advantage</w:t>
      </w:r>
      <w:r w:rsidR="00CF7895" w:rsidRPr="004D3D25">
        <w:rPr>
          <w:spacing w:val="-2"/>
        </w:rPr>
        <w:t xml:space="preserve"> </w:t>
      </w:r>
      <w:r w:rsidR="00966931" w:rsidRPr="004D3D25">
        <w:rPr>
          <w:spacing w:val="-2"/>
          <w:szCs w:val="24"/>
        </w:rPr>
        <w:t>(Blanco et al. 2020; Connolly and Lewis 2010, p. 7)</w:t>
      </w:r>
      <w:r w:rsidRPr="004D3D25">
        <w:rPr>
          <w:spacing w:val="-2"/>
        </w:rPr>
        <w:t xml:space="preserve">. </w:t>
      </w:r>
      <w:r w:rsidR="000D5907" w:rsidRPr="004D3D25">
        <w:rPr>
          <w:spacing w:val="-2"/>
        </w:rPr>
        <w:t xml:space="preserve">A combination of factors (including </w:t>
      </w:r>
      <w:r w:rsidR="00224446" w:rsidRPr="004D3D25">
        <w:rPr>
          <w:spacing w:val="-2"/>
        </w:rPr>
        <w:t>falling transport costs, falling tariffs in advanced economies</w:t>
      </w:r>
      <w:r w:rsidR="007B7193" w:rsidRPr="004D3D25">
        <w:rPr>
          <w:spacing w:val="-2"/>
        </w:rPr>
        <w:t>, growth in developing economies</w:t>
      </w:r>
      <w:r w:rsidR="00224446" w:rsidRPr="004D3D25">
        <w:rPr>
          <w:spacing w:val="-2"/>
        </w:rPr>
        <w:t xml:space="preserve"> and the emergence of many developing economies from near autarky)</w:t>
      </w:r>
      <w:r w:rsidR="008D183F" w:rsidRPr="004D3D25">
        <w:rPr>
          <w:spacing w:val="-2"/>
        </w:rPr>
        <w:t xml:space="preserve"> </w:t>
      </w:r>
      <w:r w:rsidR="00224446" w:rsidRPr="004D3D25">
        <w:rPr>
          <w:spacing w:val="-2"/>
        </w:rPr>
        <w:t xml:space="preserve">have </w:t>
      </w:r>
      <w:r w:rsidR="00E22977" w:rsidRPr="004D3D25">
        <w:rPr>
          <w:spacing w:val="-2"/>
        </w:rPr>
        <w:t>intensified</w:t>
      </w:r>
      <w:r w:rsidR="00224446" w:rsidRPr="004D3D25">
        <w:rPr>
          <w:spacing w:val="-2"/>
        </w:rPr>
        <w:t xml:space="preserve"> </w:t>
      </w:r>
      <w:r w:rsidR="00020275" w:rsidRPr="004D3D25">
        <w:rPr>
          <w:spacing w:val="-2"/>
        </w:rPr>
        <w:t xml:space="preserve">global trade </w:t>
      </w:r>
      <w:r w:rsidR="00966931" w:rsidRPr="004D3D25">
        <w:rPr>
          <w:spacing w:val="-2"/>
          <w:szCs w:val="24"/>
        </w:rPr>
        <w:t>(Krugman 1995)</w:t>
      </w:r>
      <w:r w:rsidR="00426C63" w:rsidRPr="004D3D25">
        <w:rPr>
          <w:spacing w:val="-2"/>
        </w:rPr>
        <w:t xml:space="preserve">. </w:t>
      </w:r>
      <w:r w:rsidRPr="004D3D25">
        <w:rPr>
          <w:spacing w:val="-2"/>
        </w:rPr>
        <w:t xml:space="preserve">As </w:t>
      </w:r>
      <w:r w:rsidR="00E22977" w:rsidRPr="004D3D25">
        <w:rPr>
          <w:spacing w:val="-2"/>
        </w:rPr>
        <w:t xml:space="preserve">trade </w:t>
      </w:r>
      <w:r w:rsidR="00CC56AA" w:rsidRPr="004D3D25">
        <w:rPr>
          <w:spacing w:val="-2"/>
        </w:rPr>
        <w:t>barriers were reduced</w:t>
      </w:r>
      <w:r w:rsidRPr="004D3D25">
        <w:rPr>
          <w:spacing w:val="-2"/>
        </w:rPr>
        <w:t>, Australia imported more manufacturing goods</w:t>
      </w:r>
      <w:r w:rsidR="008D0C01" w:rsidRPr="004D3D25">
        <w:rPr>
          <w:spacing w:val="-2"/>
        </w:rPr>
        <w:t xml:space="preserve"> (</w:t>
      </w:r>
      <w:r w:rsidRPr="004D3D25">
        <w:rPr>
          <w:spacing w:val="-2"/>
        </w:rPr>
        <w:t>as these are more cheaply produced by countries with an abundant population</w:t>
      </w:r>
      <w:r w:rsidR="008D0C01" w:rsidRPr="004D3D25">
        <w:rPr>
          <w:spacing w:val="-2"/>
        </w:rPr>
        <w:t>)</w:t>
      </w:r>
      <w:r w:rsidRPr="004D3D25">
        <w:rPr>
          <w:spacing w:val="-2"/>
        </w:rPr>
        <w:t xml:space="preserve"> </w:t>
      </w:r>
      <w:r w:rsidR="007B7193" w:rsidRPr="004D3D25">
        <w:rPr>
          <w:spacing w:val="-2"/>
        </w:rPr>
        <w:t>and</w:t>
      </w:r>
      <w:r w:rsidRPr="004D3D25">
        <w:rPr>
          <w:spacing w:val="-2"/>
        </w:rPr>
        <w:t xml:space="preserve"> increased its exports of mineral </w:t>
      </w:r>
      <w:r w:rsidR="0049206F" w:rsidRPr="004D3D25">
        <w:rPr>
          <w:spacing w:val="-2"/>
        </w:rPr>
        <w:t xml:space="preserve">commodities </w:t>
      </w:r>
      <w:r w:rsidRPr="004D3D25">
        <w:rPr>
          <w:spacing w:val="-2"/>
        </w:rPr>
        <w:t>and natural gas, resources that are relatively abundant</w:t>
      </w:r>
      <w:r w:rsidR="008D0C01" w:rsidRPr="004D3D25">
        <w:rPr>
          <w:spacing w:val="-2"/>
        </w:rPr>
        <w:t xml:space="preserve"> in Australia</w:t>
      </w:r>
      <w:r w:rsidRPr="004D3D25">
        <w:rPr>
          <w:spacing w:val="-2"/>
        </w:rPr>
        <w:t xml:space="preserve">. Likewise, Australia has increasingly </w:t>
      </w:r>
      <w:r w:rsidRPr="004D3D25">
        <w:rPr>
          <w:spacing w:val="-2"/>
        </w:rPr>
        <w:lastRenderedPageBreak/>
        <w:t>exported education services (</w:t>
      </w:r>
      <w:r w:rsidR="000D230D" w:rsidRPr="004D3D25">
        <w:rPr>
          <w:spacing w:val="-2"/>
        </w:rPr>
        <w:t>via</w:t>
      </w:r>
      <w:r w:rsidRPr="004D3D25">
        <w:rPr>
          <w:spacing w:val="-2"/>
        </w:rPr>
        <w:t xml:space="preserve"> students coming to Australia to study). Trade patterns also reflect the fact that some services </w:t>
      </w:r>
      <w:r w:rsidR="00BE14F7" w:rsidRPr="004D3D25">
        <w:rPr>
          <w:spacing w:val="-2"/>
        </w:rPr>
        <w:t>are usually</w:t>
      </w:r>
      <w:r w:rsidRPr="004D3D25">
        <w:rPr>
          <w:spacing w:val="-2"/>
        </w:rPr>
        <w:t xml:space="preserve"> delivered in person, </w:t>
      </w:r>
      <w:r w:rsidR="00BE14F7" w:rsidRPr="004D3D25">
        <w:rPr>
          <w:spacing w:val="-2"/>
        </w:rPr>
        <w:t>making it harder for</w:t>
      </w:r>
      <w:r w:rsidRPr="004D3D25">
        <w:rPr>
          <w:spacing w:val="-2"/>
        </w:rPr>
        <w:t xml:space="preserve"> those services </w:t>
      </w:r>
      <w:r w:rsidR="00BE14F7" w:rsidRPr="004D3D25">
        <w:rPr>
          <w:spacing w:val="-2"/>
        </w:rPr>
        <w:t xml:space="preserve">to </w:t>
      </w:r>
      <w:r w:rsidR="000A322B" w:rsidRPr="004D3D25">
        <w:rPr>
          <w:spacing w:val="-2"/>
        </w:rPr>
        <w:t xml:space="preserve">be delivered from </w:t>
      </w:r>
      <w:r w:rsidRPr="004D3D25">
        <w:rPr>
          <w:spacing w:val="-2"/>
        </w:rPr>
        <w:t>overseas, even if they are labour</w:t>
      </w:r>
      <w:r w:rsidR="003F720C" w:rsidRPr="004D3D25">
        <w:rPr>
          <w:spacing w:val="-2"/>
        </w:rPr>
        <w:t xml:space="preserve"> </w:t>
      </w:r>
      <w:r w:rsidRPr="004D3D25">
        <w:rPr>
          <w:spacing w:val="-2"/>
        </w:rPr>
        <w:t xml:space="preserve">intensive. </w:t>
      </w:r>
    </w:p>
    <w:p w14:paraId="4CF3854F" w14:textId="0AA05784" w:rsidR="002655FC" w:rsidRDefault="00DC51D4" w:rsidP="00403C9B">
      <w:pPr>
        <w:pStyle w:val="Heading4"/>
      </w:pPr>
      <w:r>
        <w:t xml:space="preserve">Higher incomes and consumer preferences </w:t>
      </w:r>
    </w:p>
    <w:p w14:paraId="610EC161" w14:textId="54DB21F6" w:rsidR="00FD4378" w:rsidRPr="004D3D25" w:rsidRDefault="00B86DFE" w:rsidP="00FD4378">
      <w:pPr>
        <w:pStyle w:val="BodyText"/>
        <w:rPr>
          <w:spacing w:val="-2"/>
        </w:rPr>
      </w:pPr>
      <w:r w:rsidRPr="004D3D25">
        <w:rPr>
          <w:spacing w:val="-2"/>
        </w:rPr>
        <w:t>T</w:t>
      </w:r>
      <w:r w:rsidR="00FD4378" w:rsidRPr="004D3D25">
        <w:rPr>
          <w:spacing w:val="-2"/>
        </w:rPr>
        <w:t xml:space="preserve">he growth in services worldwide also reflects consumer preferences. Average incomes are growing over time in Australia </w:t>
      </w:r>
      <w:r w:rsidR="00E34CC2" w:rsidRPr="004D3D25">
        <w:rPr>
          <w:spacing w:val="-2"/>
        </w:rPr>
        <w:t>(</w:t>
      </w:r>
      <w:r w:rsidR="00126026" w:rsidRPr="004D3D25">
        <w:rPr>
          <w:spacing w:val="-2"/>
        </w:rPr>
        <w:t>as</w:t>
      </w:r>
      <w:r w:rsidR="00E34CC2" w:rsidRPr="004D3D25">
        <w:rPr>
          <w:spacing w:val="-2"/>
        </w:rPr>
        <w:t xml:space="preserve"> in </w:t>
      </w:r>
      <w:r w:rsidR="00FD4378" w:rsidRPr="004D3D25">
        <w:rPr>
          <w:spacing w:val="-2"/>
        </w:rPr>
        <w:t xml:space="preserve">most </w:t>
      </w:r>
      <w:r w:rsidR="00D42AF6" w:rsidRPr="004D3D25">
        <w:rPr>
          <w:spacing w:val="-2"/>
        </w:rPr>
        <w:t xml:space="preserve">developed </w:t>
      </w:r>
      <w:r w:rsidR="00FD4378" w:rsidRPr="004D3D25">
        <w:rPr>
          <w:spacing w:val="-2"/>
        </w:rPr>
        <w:t>countries</w:t>
      </w:r>
      <w:r w:rsidR="00E34CC2" w:rsidRPr="004D3D25">
        <w:rPr>
          <w:spacing w:val="-2"/>
        </w:rPr>
        <w:t>)</w:t>
      </w:r>
      <w:r w:rsidR="006353ED" w:rsidRPr="004D3D25">
        <w:rPr>
          <w:spacing w:val="-2"/>
        </w:rPr>
        <w:t xml:space="preserve"> and</w:t>
      </w:r>
      <w:r w:rsidR="00FD4378" w:rsidRPr="004D3D25">
        <w:rPr>
          <w:spacing w:val="-2"/>
        </w:rPr>
        <w:t xml:space="preserve"> </w:t>
      </w:r>
      <w:r w:rsidR="007D3790" w:rsidRPr="004D3D25">
        <w:rPr>
          <w:spacing w:val="-2"/>
        </w:rPr>
        <w:t xml:space="preserve">once </w:t>
      </w:r>
      <w:r w:rsidR="006353ED" w:rsidRPr="004D3D25">
        <w:rPr>
          <w:spacing w:val="-2"/>
        </w:rPr>
        <w:t>these</w:t>
      </w:r>
      <w:r w:rsidR="003A0165" w:rsidRPr="004D3D25">
        <w:rPr>
          <w:spacing w:val="-2"/>
        </w:rPr>
        <w:t xml:space="preserve"> income</w:t>
      </w:r>
      <w:r w:rsidR="00B7455A" w:rsidRPr="004D3D25">
        <w:rPr>
          <w:spacing w:val="-2"/>
        </w:rPr>
        <w:t>s</w:t>
      </w:r>
      <w:r w:rsidR="003A0165" w:rsidRPr="004D3D25">
        <w:rPr>
          <w:spacing w:val="-2"/>
        </w:rPr>
        <w:t xml:space="preserve"> grow</w:t>
      </w:r>
      <w:r w:rsidR="004F40DD" w:rsidRPr="004D3D25">
        <w:rPr>
          <w:spacing w:val="-2"/>
        </w:rPr>
        <w:t xml:space="preserve"> above a certain threshold</w:t>
      </w:r>
      <w:r w:rsidR="003A0165" w:rsidRPr="004D3D25">
        <w:rPr>
          <w:spacing w:val="-2"/>
        </w:rPr>
        <w:t xml:space="preserve">, consumers tend to spend </w:t>
      </w:r>
      <w:r w:rsidR="007D3790" w:rsidRPr="004D3D25">
        <w:rPr>
          <w:spacing w:val="-2"/>
        </w:rPr>
        <w:t>proportionally</w:t>
      </w:r>
      <w:r w:rsidR="003A0165" w:rsidRPr="004D3D25">
        <w:rPr>
          <w:spacing w:val="-2"/>
        </w:rPr>
        <w:t xml:space="preserve"> more on vacations, time-saving services such as house-cleaning and afterschool care, gyms, allied health, and aged care services. Their consumption of goods (TVs and clothing and sports equipment) also grows, but not at the same </w:t>
      </w:r>
      <w:r w:rsidR="00BD0509" w:rsidRPr="004D3D25">
        <w:rPr>
          <w:spacing w:val="-2"/>
        </w:rPr>
        <w:t>rate</w:t>
      </w:r>
      <w:r w:rsidR="003A0165" w:rsidRPr="004D3D25">
        <w:rPr>
          <w:spacing w:val="-2"/>
        </w:rPr>
        <w:t xml:space="preserve">. </w:t>
      </w:r>
      <w:r w:rsidR="00F54A31" w:rsidRPr="004D3D25">
        <w:rPr>
          <w:spacing w:val="-2"/>
        </w:rPr>
        <w:t>I</w:t>
      </w:r>
      <w:r w:rsidR="004F40DD" w:rsidRPr="004D3D25">
        <w:rPr>
          <w:spacing w:val="-2"/>
        </w:rPr>
        <w:t>f</w:t>
      </w:r>
      <w:r w:rsidR="00FD4378" w:rsidRPr="004D3D25">
        <w:rPr>
          <w:spacing w:val="-2"/>
        </w:rPr>
        <w:t xml:space="preserve"> consumers prefer to spend more on services as their incomes grow, then</w:t>
      </w:r>
      <w:r w:rsidR="0035714B" w:rsidRPr="004D3D25">
        <w:rPr>
          <w:spacing w:val="-2"/>
        </w:rPr>
        <w:t xml:space="preserve"> (subject to supply conditions)</w:t>
      </w:r>
      <w:r w:rsidR="00FD4378" w:rsidRPr="004D3D25">
        <w:rPr>
          <w:spacing w:val="-2"/>
        </w:rPr>
        <w:t xml:space="preserve"> services will </w:t>
      </w:r>
      <w:r w:rsidR="00F4486E" w:rsidRPr="004D3D25">
        <w:rPr>
          <w:spacing w:val="-2"/>
        </w:rPr>
        <w:t xml:space="preserve">increase as a </w:t>
      </w:r>
      <w:r w:rsidR="00FD4378" w:rsidRPr="004D3D25">
        <w:rPr>
          <w:spacing w:val="-2"/>
        </w:rPr>
        <w:t xml:space="preserve">share of the economy. </w:t>
      </w:r>
    </w:p>
    <w:p w14:paraId="0E1DA29F" w14:textId="25BE8B5F" w:rsidR="00FD4378" w:rsidRDefault="00FD4378" w:rsidP="00FD4378">
      <w:pPr>
        <w:pStyle w:val="BodyText"/>
      </w:pPr>
      <w:r>
        <w:t xml:space="preserve">Baumol </w:t>
      </w:r>
      <w:r w:rsidR="007F1994" w:rsidRPr="004E2C30">
        <w:rPr>
          <w:szCs w:val="24"/>
        </w:rPr>
        <w:t>(Baumol 1967)</w:t>
      </w:r>
      <w:r>
        <w:t xml:space="preserve"> pointed out that this effect of consumer preferences could be greatly amplified if productivity grows faster in manufacturing than in some services. If productivity growth is lagging in certain categories of services, for instance personal services or non</w:t>
      </w:r>
      <w:r w:rsidR="00E91668">
        <w:noBreakHyphen/>
      </w:r>
      <w:r>
        <w:t xml:space="preserve">market services, manufactured goods will become comparatively cheaper. If consumers have a strong increase in demand for some of these services as their income increases, but are not very responsive to relative price changes, then the </w:t>
      </w:r>
      <w:r w:rsidR="00C63AE5">
        <w:t xml:space="preserve">dollar value of </w:t>
      </w:r>
      <w:r>
        <w:t xml:space="preserve">demand for those services can remain high or increase despite relatively modest (or absent) productivity growth. A growing share of income would go to services. For example, as the real incomes of a city increase, demand for restaurant meals might explode, while the value share of increasingly productive automated manufacturing might decline. </w:t>
      </w:r>
    </w:p>
    <w:p w14:paraId="21F47552" w14:textId="2D0DF847" w:rsidR="00FD4378" w:rsidRDefault="00FD4378" w:rsidP="00FD4378">
      <w:pPr>
        <w:pStyle w:val="BodyText"/>
      </w:pPr>
      <w:r>
        <w:t xml:space="preserve">The evidence on productivity in Australian services will be explored in Section </w:t>
      </w:r>
      <w:r w:rsidR="005E152F">
        <w:t>4</w:t>
      </w:r>
      <w:r>
        <w:t xml:space="preserve">, but the overseas evidence largely supports </w:t>
      </w:r>
      <w:r w:rsidR="00E85D00">
        <w:t xml:space="preserve">the above </w:t>
      </w:r>
      <w:r>
        <w:t xml:space="preserve">reasoning. For example, Nordhaus </w:t>
      </w:r>
      <w:r w:rsidR="004E2C30" w:rsidRPr="004E2C30">
        <w:rPr>
          <w:szCs w:val="24"/>
        </w:rPr>
        <w:t>(2008)</w:t>
      </w:r>
      <w:r>
        <w:t xml:space="preserve"> found industries with lower productivity growth had faster relative price growth and an increasing share of national output. And </w:t>
      </w:r>
      <w:proofErr w:type="spellStart"/>
      <w:r>
        <w:t>Iscan</w:t>
      </w:r>
      <w:proofErr w:type="spellEnd"/>
      <w:r>
        <w:t xml:space="preserve"> </w:t>
      </w:r>
      <w:r w:rsidR="004E2C30" w:rsidRPr="004E2C30">
        <w:rPr>
          <w:szCs w:val="24"/>
        </w:rPr>
        <w:t>(2010)</w:t>
      </w:r>
      <w:r>
        <w:t xml:space="preserve"> found that about two thirds of the structural change in the labour force of the United States in the Twentieth Century can be attributed to low productivity growth in services and consumers having a greater preference for services as their incomes grow.</w:t>
      </w:r>
    </w:p>
    <w:p w14:paraId="2573C598" w14:textId="310DC861" w:rsidR="00972942" w:rsidRDefault="00972942" w:rsidP="00972942">
      <w:pPr>
        <w:pStyle w:val="BodyText"/>
      </w:pPr>
      <w:r>
        <w:t xml:space="preserve">Several other factors have also </w:t>
      </w:r>
      <w:r w:rsidR="00911211">
        <w:t>contributed to the growth of the service sector</w:t>
      </w:r>
      <w:r w:rsidR="0088600B">
        <w:t xml:space="preserve"> as a share of the economy:</w:t>
      </w:r>
    </w:p>
    <w:p w14:paraId="52204A88" w14:textId="39CE9F8E" w:rsidR="00DE1166" w:rsidRDefault="004247E4" w:rsidP="00DE1166">
      <w:pPr>
        <w:pStyle w:val="ListBullet"/>
      </w:pPr>
      <w:r>
        <w:t xml:space="preserve">a </w:t>
      </w:r>
      <w:r w:rsidR="00DE1166">
        <w:t xml:space="preserve">decline in middle skill jobs, particularly in manufacturing production and clerical work </w:t>
      </w:r>
      <w:r w:rsidR="004E2C30" w:rsidRPr="004E2C30">
        <w:rPr>
          <w:szCs w:val="24"/>
        </w:rPr>
        <w:t>(</w:t>
      </w:r>
      <w:proofErr w:type="spellStart"/>
      <w:r w:rsidR="004E2C30" w:rsidRPr="004E2C30">
        <w:rPr>
          <w:szCs w:val="24"/>
        </w:rPr>
        <w:t>Coelli</w:t>
      </w:r>
      <w:proofErr w:type="spellEnd"/>
      <w:r w:rsidR="004E2C30" w:rsidRPr="004E2C30">
        <w:rPr>
          <w:szCs w:val="24"/>
        </w:rPr>
        <w:t xml:space="preserve"> and Borland 2016)</w:t>
      </w:r>
      <w:r w:rsidR="00DE1166">
        <w:t xml:space="preserve"> </w:t>
      </w:r>
      <w:r w:rsidR="00DE51F5">
        <w:t>that</w:t>
      </w:r>
      <w:r w:rsidR="00DE1166">
        <w:t xml:space="preserve"> also </w:t>
      </w:r>
      <w:r w:rsidR="00DE51F5">
        <w:t xml:space="preserve">increases </w:t>
      </w:r>
      <w:r w:rsidR="00DE1166">
        <w:t>demand for education services to reskill and upskill</w:t>
      </w:r>
    </w:p>
    <w:p w14:paraId="6570112A" w14:textId="7A505D5B" w:rsidR="00972942" w:rsidRDefault="00972942" w:rsidP="00972942">
      <w:pPr>
        <w:pStyle w:val="ListBullet"/>
      </w:pPr>
      <w:r>
        <w:t xml:space="preserve">an ageing population that increases demand for health care and social services </w:t>
      </w:r>
      <w:r w:rsidR="00823E4A" w:rsidRPr="00823E4A">
        <w:rPr>
          <w:szCs w:val="24"/>
        </w:rPr>
        <w:t>(PC 2005, p. XXIX)</w:t>
      </w:r>
    </w:p>
    <w:p w14:paraId="46F964E1" w14:textId="029E0D0A" w:rsidR="00972942" w:rsidRDefault="00972942" w:rsidP="00972942">
      <w:pPr>
        <w:pStyle w:val="ListBullet"/>
      </w:pPr>
      <w:r>
        <w:t>increased prevalence of chronic disease (in part driven by ageing)</w:t>
      </w:r>
      <w:r w:rsidR="00EE61E3">
        <w:t>,</w:t>
      </w:r>
      <w:r>
        <w:t xml:space="preserve"> which further increases demand for health care and social assistance</w:t>
      </w:r>
      <w:r w:rsidR="003379DC">
        <w:t xml:space="preserve"> </w:t>
      </w:r>
      <w:r w:rsidR="00823E4A" w:rsidRPr="00823E4A">
        <w:rPr>
          <w:szCs w:val="24"/>
        </w:rPr>
        <w:t>(PC 2017b, pp. 16–19)</w:t>
      </w:r>
    </w:p>
    <w:p w14:paraId="689FE2F4" w14:textId="007F74D0" w:rsidR="00972942" w:rsidRDefault="00972942" w:rsidP="00972942">
      <w:pPr>
        <w:pStyle w:val="ListBullet"/>
      </w:pPr>
      <w:r>
        <w:lastRenderedPageBreak/>
        <w:t>increased participation of women in the workforce accelerating growth in market provision of previously home-produced goods and service</w:t>
      </w:r>
      <w:r w:rsidR="006906C3">
        <w:t>s</w:t>
      </w:r>
      <w:r>
        <w:t xml:space="preserve"> (such as </w:t>
      </w:r>
      <w:proofErr w:type="gramStart"/>
      <w:r>
        <w:t>child care</w:t>
      </w:r>
      <w:proofErr w:type="gramEnd"/>
      <w:r>
        <w:t>)</w:t>
      </w:r>
      <w:r w:rsidR="00EC762F">
        <w:t xml:space="preserve"> </w:t>
      </w:r>
      <w:r w:rsidR="00823E4A" w:rsidRPr="00823E4A">
        <w:rPr>
          <w:szCs w:val="24"/>
        </w:rPr>
        <w:t xml:space="preserve">(Connolly and Lewis 2010, p. 6; Ngai and </w:t>
      </w:r>
      <w:proofErr w:type="spellStart"/>
      <w:r w:rsidR="00823E4A" w:rsidRPr="00823E4A">
        <w:rPr>
          <w:szCs w:val="24"/>
        </w:rPr>
        <w:t>Pissarides</w:t>
      </w:r>
      <w:proofErr w:type="spellEnd"/>
      <w:r w:rsidR="00823E4A" w:rsidRPr="00823E4A">
        <w:rPr>
          <w:szCs w:val="24"/>
        </w:rPr>
        <w:t> 2008)</w:t>
      </w:r>
      <w:r>
        <w:t>.</w:t>
      </w:r>
    </w:p>
    <w:p w14:paraId="50CCE28F" w14:textId="2BFAF83E" w:rsidR="00023132" w:rsidRPr="004170F2" w:rsidRDefault="00023132" w:rsidP="00403C9B">
      <w:pPr>
        <w:pStyle w:val="Heading4"/>
      </w:pPr>
      <w:r>
        <w:t xml:space="preserve">Services are an important </w:t>
      </w:r>
      <w:r w:rsidRPr="004170F2">
        <w:t xml:space="preserve">input </w:t>
      </w:r>
      <w:r w:rsidR="006D4661">
        <w:t>throughout the economy</w:t>
      </w:r>
    </w:p>
    <w:p w14:paraId="5DD7DFF3" w14:textId="2D501DEC" w:rsidR="00023132" w:rsidRPr="004D3D25" w:rsidRDefault="00023132" w:rsidP="00023132">
      <w:pPr>
        <w:pStyle w:val="BodyText"/>
        <w:rPr>
          <w:spacing w:val="-4"/>
        </w:rPr>
      </w:pPr>
      <w:r w:rsidRPr="004D3D25">
        <w:rPr>
          <w:spacing w:val="-4"/>
        </w:rPr>
        <w:t xml:space="preserve">Another explanation for the expansion of the service sector is the increased importance of services as an input to the goods sector. </w:t>
      </w:r>
      <w:r w:rsidR="001D7889" w:rsidRPr="004D3D25">
        <w:rPr>
          <w:spacing w:val="-4"/>
        </w:rPr>
        <w:t>B</w:t>
      </w:r>
      <w:r w:rsidR="00070EAD" w:rsidRPr="004D3D25">
        <w:rPr>
          <w:spacing w:val="-4"/>
        </w:rPr>
        <w:t>usiness</w:t>
      </w:r>
      <w:r w:rsidRPr="004D3D25">
        <w:rPr>
          <w:spacing w:val="-4"/>
        </w:rPr>
        <w:t xml:space="preserve"> expenditure on services </w:t>
      </w:r>
      <w:r w:rsidR="000B55E4" w:rsidRPr="004D3D25">
        <w:rPr>
          <w:spacing w:val="-4"/>
        </w:rPr>
        <w:t xml:space="preserve">as an input to </w:t>
      </w:r>
      <w:r w:rsidRPr="004D3D25">
        <w:rPr>
          <w:spacing w:val="-4"/>
        </w:rPr>
        <w:t>the goods sector has been rising almost continuously since 1994</w:t>
      </w:r>
      <w:r w:rsidRPr="004D3D25">
        <w:rPr>
          <w:spacing w:val="-4"/>
        </w:rPr>
        <w:noBreakHyphen/>
        <w:t>95</w:t>
      </w:r>
      <w:r w:rsidR="001D7889" w:rsidRPr="004D3D25">
        <w:rPr>
          <w:spacing w:val="-4"/>
        </w:rPr>
        <w:t xml:space="preserve"> (figure 8)</w:t>
      </w:r>
      <w:r w:rsidRPr="004D3D25">
        <w:rPr>
          <w:spacing w:val="-4"/>
        </w:rPr>
        <w:t>. This increase in business demand for services has, in part, been driven by increase</w:t>
      </w:r>
      <w:r w:rsidR="00071E51" w:rsidRPr="004D3D25">
        <w:rPr>
          <w:spacing w:val="-4"/>
        </w:rPr>
        <w:t>d</w:t>
      </w:r>
      <w:r w:rsidRPr="004D3D25">
        <w:rPr>
          <w:spacing w:val="-4"/>
        </w:rPr>
        <w:t xml:space="preserve"> outsourcing of activities</w:t>
      </w:r>
      <w:r w:rsidR="000E473E" w:rsidRPr="004D3D25">
        <w:rPr>
          <w:spacing w:val="-4"/>
        </w:rPr>
        <w:t>,</w:t>
      </w:r>
      <w:r w:rsidRPr="004D3D25">
        <w:rPr>
          <w:spacing w:val="-4"/>
        </w:rPr>
        <w:t xml:space="preserve"> </w:t>
      </w:r>
      <w:r w:rsidR="000E473E" w:rsidRPr="004D3D25">
        <w:rPr>
          <w:spacing w:val="-4"/>
        </w:rPr>
        <w:t xml:space="preserve">which </w:t>
      </w:r>
      <w:r w:rsidR="00C362C5" w:rsidRPr="004D3D25">
        <w:rPr>
          <w:spacing w:val="-4"/>
        </w:rPr>
        <w:t>causes</w:t>
      </w:r>
      <w:r w:rsidRPr="004D3D25">
        <w:rPr>
          <w:spacing w:val="-4"/>
        </w:rPr>
        <w:t xml:space="preserve"> a reclassification of activities that were once counted as the </w:t>
      </w:r>
      <w:r w:rsidR="00C362C5" w:rsidRPr="004D3D25">
        <w:rPr>
          <w:spacing w:val="-4"/>
        </w:rPr>
        <w:t xml:space="preserve">goods </w:t>
      </w:r>
      <w:r w:rsidRPr="004D3D25">
        <w:rPr>
          <w:spacing w:val="-4"/>
        </w:rPr>
        <w:t>sector</w:t>
      </w:r>
      <w:r w:rsidR="00C60BD9" w:rsidRPr="004D3D25">
        <w:rPr>
          <w:spacing w:val="-4"/>
        </w:rPr>
        <w:t xml:space="preserve"> </w:t>
      </w:r>
      <w:r w:rsidRPr="004D3D25">
        <w:rPr>
          <w:spacing w:val="-4"/>
        </w:rPr>
        <w:t xml:space="preserve">— such as cleaning, customer support and accounting/finance. </w:t>
      </w:r>
      <w:r w:rsidR="003C29B4" w:rsidRPr="004D3D25">
        <w:rPr>
          <w:spacing w:val="-4"/>
        </w:rPr>
        <w:t xml:space="preserve">This is supported by </w:t>
      </w:r>
      <w:proofErr w:type="spellStart"/>
      <w:r w:rsidRPr="004D3D25">
        <w:rPr>
          <w:spacing w:val="-4"/>
        </w:rPr>
        <w:t>Berlingieri</w:t>
      </w:r>
      <w:proofErr w:type="spellEnd"/>
      <w:r w:rsidRPr="004D3D25">
        <w:rPr>
          <w:spacing w:val="-4"/>
        </w:rPr>
        <w:t xml:space="preserve"> (2014)</w:t>
      </w:r>
      <w:r w:rsidR="003C29B4" w:rsidRPr="004D3D25">
        <w:rPr>
          <w:spacing w:val="-4"/>
        </w:rPr>
        <w:t xml:space="preserve"> who finds that</w:t>
      </w:r>
      <w:r w:rsidRPr="004D3D25">
        <w:rPr>
          <w:spacing w:val="-4"/>
        </w:rPr>
        <w:t xml:space="preserve"> when accounting for the uses of these services in final demand, about 36 per cent of the growth in service sector employment (and 25 per cent of the fall in manufacturing employment) is due to growth in demand for services as an input by business (in the US between 1948 and 2002). Moreover, 14 percentage points of this rise in employment in services is estimated to be due to increased outsourcing</w:t>
      </w:r>
      <w:r w:rsidR="00E94E67" w:rsidRPr="004D3D25">
        <w:rPr>
          <w:spacing w:val="-4"/>
        </w:rPr>
        <w:t xml:space="preserve"> of </w:t>
      </w:r>
      <w:r w:rsidR="00CD6778" w:rsidRPr="004D3D25">
        <w:rPr>
          <w:spacing w:val="-4"/>
        </w:rPr>
        <w:t>back-office</w:t>
      </w:r>
      <w:r w:rsidR="00E94E67" w:rsidRPr="004D3D25">
        <w:rPr>
          <w:spacing w:val="-4"/>
        </w:rPr>
        <w:t xml:space="preserve"> functions </w:t>
      </w:r>
      <w:r w:rsidR="002F45C1" w:rsidRPr="004D3D25">
        <w:rPr>
          <w:spacing w:val="-4"/>
        </w:rPr>
        <w:t>from</w:t>
      </w:r>
      <w:r w:rsidR="00E94E67" w:rsidRPr="004D3D25">
        <w:rPr>
          <w:spacing w:val="-4"/>
        </w:rPr>
        <w:t xml:space="preserve"> the goods sector</w:t>
      </w:r>
      <w:r w:rsidRPr="004D3D25">
        <w:rPr>
          <w:spacing w:val="-4"/>
        </w:rPr>
        <w:t>.</w:t>
      </w:r>
    </w:p>
    <w:p w14:paraId="6D37263E" w14:textId="3B728180" w:rsidR="00B26586" w:rsidRDefault="00C93507" w:rsidP="0086015F">
      <w:pPr>
        <w:pStyle w:val="BodyText"/>
      </w:pPr>
      <w:r>
        <w:t xml:space="preserve">Additionally, </w:t>
      </w:r>
      <w:r w:rsidR="00795EF4">
        <w:t xml:space="preserve">increasing scale of </w:t>
      </w:r>
      <w:r w:rsidR="002D390D">
        <w:t xml:space="preserve">service production allows </w:t>
      </w:r>
      <w:r w:rsidR="00EF06A2">
        <w:t xml:space="preserve">for </w:t>
      </w:r>
      <w:r w:rsidR="002D390D">
        <w:t xml:space="preserve">specialisation </w:t>
      </w:r>
      <w:r w:rsidR="00EF06A2">
        <w:t>and subsequent</w:t>
      </w:r>
      <w:r w:rsidR="00264B0B">
        <w:t xml:space="preserve"> efficiency gains</w:t>
      </w:r>
      <w:r w:rsidR="00BD4FF0">
        <w:t xml:space="preserve"> </w:t>
      </w:r>
      <w:r w:rsidR="00BD099E" w:rsidRPr="00BD099E">
        <w:rPr>
          <w:szCs w:val="24"/>
        </w:rPr>
        <w:t>(</w:t>
      </w:r>
      <w:proofErr w:type="spellStart"/>
      <w:r w:rsidR="00BD099E" w:rsidRPr="00BD099E">
        <w:rPr>
          <w:szCs w:val="24"/>
        </w:rPr>
        <w:t>Sorbe</w:t>
      </w:r>
      <w:proofErr w:type="spellEnd"/>
      <w:r w:rsidR="00BD099E" w:rsidRPr="00BD099E">
        <w:rPr>
          <w:szCs w:val="24"/>
        </w:rPr>
        <w:t xml:space="preserve">, Gal and </w:t>
      </w:r>
      <w:proofErr w:type="spellStart"/>
      <w:r w:rsidR="00BD099E" w:rsidRPr="00BD099E">
        <w:rPr>
          <w:szCs w:val="24"/>
        </w:rPr>
        <w:t>Millot</w:t>
      </w:r>
      <w:proofErr w:type="spellEnd"/>
      <w:r w:rsidR="00BD099E" w:rsidRPr="00BD099E">
        <w:rPr>
          <w:szCs w:val="24"/>
        </w:rPr>
        <w:t> 2018)</w:t>
      </w:r>
      <w:r>
        <w:t xml:space="preserve">. The rise of </w:t>
      </w:r>
      <w:r w:rsidR="00023132">
        <w:t>business services</w:t>
      </w:r>
      <w:r>
        <w:t xml:space="preserve"> both as a share of the economy and an input into other industries is indicative of this change. Companies are increasingly outsourcing business services such as IT networks, finance, and logistics, allowing the companies providing these services to increase productivity through greater economies of scale </w:t>
      </w:r>
      <w:r w:rsidR="00680C2A">
        <w:t>and specialisation</w:t>
      </w:r>
      <w:r>
        <w:t xml:space="preserve"> (and often improving quality in the process). </w:t>
      </w:r>
      <w:r w:rsidR="00B26586">
        <w:t xml:space="preserve">For example, </w:t>
      </w:r>
      <w:r w:rsidR="0091238E">
        <w:t xml:space="preserve">a company </w:t>
      </w:r>
      <w:r w:rsidR="00663661">
        <w:t>might have</w:t>
      </w:r>
      <w:r w:rsidR="0091238E">
        <w:t xml:space="preserve"> previously </w:t>
      </w:r>
      <w:r w:rsidR="00BF4B2B">
        <w:t xml:space="preserve">used </w:t>
      </w:r>
      <w:r w:rsidR="00ED5A0E">
        <w:t>on-premise</w:t>
      </w:r>
      <w:r w:rsidR="00B24547">
        <w:t>s</w:t>
      </w:r>
      <w:r w:rsidR="00BF4B2B">
        <w:t xml:space="preserve"> servers to manage</w:t>
      </w:r>
      <w:r w:rsidR="00663661">
        <w:t xml:space="preserve"> their </w:t>
      </w:r>
      <w:r w:rsidR="00BF4B2B">
        <w:t xml:space="preserve">ICT storage </w:t>
      </w:r>
      <w:r w:rsidR="00096625">
        <w:t xml:space="preserve">which </w:t>
      </w:r>
      <w:r w:rsidR="007B0025">
        <w:t xml:space="preserve">not </w:t>
      </w:r>
      <w:r w:rsidR="00D2272A">
        <w:t xml:space="preserve">only involves physical capital but also requires a trained staff member to maintain and service that storage space. Now that same company could outsource their </w:t>
      </w:r>
      <w:r w:rsidR="00C66FE7">
        <w:t>storage to a cloud</w:t>
      </w:r>
      <w:r w:rsidR="008D37A6">
        <w:t>-</w:t>
      </w:r>
      <w:r w:rsidR="00C66FE7">
        <w:t xml:space="preserve">based storage solution from a company like </w:t>
      </w:r>
      <w:r w:rsidR="005762A6">
        <w:t>Amazon Web Services</w:t>
      </w:r>
      <w:r w:rsidR="003A53ED">
        <w:t xml:space="preserve">. This removes the need for physical capital and </w:t>
      </w:r>
      <w:r w:rsidR="00113E8D">
        <w:t>brings the productivity benefits of Amazon’</w:t>
      </w:r>
      <w:r w:rsidR="00956E4D">
        <w:t xml:space="preserve">s scale to </w:t>
      </w:r>
      <w:r w:rsidR="00E40B94">
        <w:t xml:space="preserve">companies of all sizes. </w:t>
      </w:r>
    </w:p>
    <w:p w14:paraId="7A9D8217" w14:textId="34DD1C7B" w:rsidR="0001530E" w:rsidRDefault="002E040E" w:rsidP="007926D6">
      <w:pPr>
        <w:pStyle w:val="BodyText"/>
      </w:pPr>
      <w:r>
        <w:t xml:space="preserve">Figure 8 </w:t>
      </w:r>
      <w:r w:rsidR="006704D6">
        <w:t xml:space="preserve">presents the </w:t>
      </w:r>
      <w:r w:rsidR="000B288E">
        <w:t xml:space="preserve">proportion of </w:t>
      </w:r>
      <w:r w:rsidR="003D581B">
        <w:t>gross value added required from</w:t>
      </w:r>
      <w:r w:rsidR="00E60823">
        <w:t xml:space="preserve"> </w:t>
      </w:r>
      <w:r w:rsidR="00674E1A">
        <w:t>input</w:t>
      </w:r>
      <w:r w:rsidR="00683064">
        <w:t xml:space="preserve"> sectors to produce </w:t>
      </w:r>
      <w:r w:rsidR="005941EC">
        <w:t xml:space="preserve">one </w:t>
      </w:r>
      <w:r w:rsidR="003D581B">
        <w:t xml:space="preserve">unit </w:t>
      </w:r>
      <w:r w:rsidR="005941EC">
        <w:t xml:space="preserve">of </w:t>
      </w:r>
      <w:r w:rsidR="00CD6778">
        <w:t>output</w:t>
      </w:r>
      <w:r w:rsidR="00C81438">
        <w:t xml:space="preserve"> in </w:t>
      </w:r>
      <w:r w:rsidR="00BE7CE2">
        <w:t>an</w:t>
      </w:r>
      <w:r w:rsidR="003D581B">
        <w:t xml:space="preserve"> output</w:t>
      </w:r>
      <w:r w:rsidR="00C81438">
        <w:t xml:space="preserve"> sector</w:t>
      </w:r>
      <w:r w:rsidR="005941EC">
        <w:t>.</w:t>
      </w:r>
      <w:r w:rsidR="00661A24">
        <w:t xml:space="preserve"> For example, </w:t>
      </w:r>
      <w:r w:rsidR="003D581B">
        <w:t xml:space="preserve">reading the top left facet of </w:t>
      </w:r>
      <w:r w:rsidR="0046007C">
        <w:t>figure 8 shows that</w:t>
      </w:r>
      <w:r w:rsidR="007B3FE9">
        <w:t>,</w:t>
      </w:r>
      <w:r w:rsidR="0046007C">
        <w:t xml:space="preserve"> </w:t>
      </w:r>
      <w:r w:rsidR="00D9087F">
        <w:t>in</w:t>
      </w:r>
      <w:r w:rsidR="000628DB">
        <w:t xml:space="preserve"> produc</w:t>
      </w:r>
      <w:r w:rsidR="007B3FE9">
        <w:t>ing</w:t>
      </w:r>
      <w:r w:rsidR="000628DB">
        <w:t xml:space="preserve"> one unit of output</w:t>
      </w:r>
      <w:r w:rsidR="00D9087F">
        <w:t>, the goods sector</w:t>
      </w:r>
      <w:r w:rsidR="000628DB">
        <w:t xml:space="preserve"> </w:t>
      </w:r>
      <w:r w:rsidR="00547695">
        <w:t xml:space="preserve">(the </w:t>
      </w:r>
      <w:r w:rsidR="00A245D6">
        <w:t>light</w:t>
      </w:r>
      <w:r w:rsidR="00547695">
        <w:t xml:space="preserve"> green line) </w:t>
      </w:r>
      <w:r w:rsidR="000628DB">
        <w:t xml:space="preserve">outsources over </w:t>
      </w:r>
      <w:r w:rsidR="00992A20">
        <w:t>15</w:t>
      </w:r>
      <w:r w:rsidR="000628DB">
        <w:t xml:space="preserve"> per cent of its production to the business services sector</w:t>
      </w:r>
      <w:r w:rsidR="00547695">
        <w:t xml:space="preserve"> (a value of 15 per cent in 2013 increased to about 17.5 per cent in 2016, before dropping again slightly)</w:t>
      </w:r>
      <w:r w:rsidR="000628DB">
        <w:t xml:space="preserve">. </w:t>
      </w:r>
      <w:r w:rsidR="00023132">
        <w:t xml:space="preserve">This represents a large increase from its almost non-existent role fifty years ago </w:t>
      </w:r>
      <w:r w:rsidR="00023132" w:rsidRPr="00594DA1">
        <w:rPr>
          <w:szCs w:val="24"/>
        </w:rPr>
        <w:t>(Heath 2017)</w:t>
      </w:r>
      <w:r w:rsidR="00023132">
        <w:t xml:space="preserve">. </w:t>
      </w:r>
    </w:p>
    <w:p w14:paraId="454BC391" w14:textId="0AABB550" w:rsidR="00116F70" w:rsidRDefault="00C51BF9" w:rsidP="0086015F">
      <w:pPr>
        <w:pStyle w:val="BodyText"/>
      </w:pPr>
      <w:r>
        <w:t xml:space="preserve">Figure 8 shows that business services are increasing </w:t>
      </w:r>
      <w:r w:rsidR="00B7435D">
        <w:t xml:space="preserve">as a </w:t>
      </w:r>
      <w:r>
        <w:t xml:space="preserve">share of costs for most industries, </w:t>
      </w:r>
      <w:r w:rsidR="00B7435D">
        <w:t xml:space="preserve">while </w:t>
      </w:r>
      <w:r>
        <w:t xml:space="preserve">distribution services are a decreasing </w:t>
      </w:r>
      <w:r w:rsidR="00B7435D">
        <w:t>as a</w:t>
      </w:r>
      <w:r>
        <w:t xml:space="preserve"> share of costs</w:t>
      </w:r>
      <w:r w:rsidR="00BC7BFC">
        <w:t xml:space="preserve"> </w:t>
      </w:r>
      <w:r w:rsidR="00B7435D">
        <w:t>for most industries</w:t>
      </w:r>
      <w:r w:rsidR="00BC7BFC">
        <w:t xml:space="preserve"> (the goods sector is a steady share of costs, and </w:t>
      </w:r>
      <w:r w:rsidR="00285AEF">
        <w:t xml:space="preserve">the </w:t>
      </w:r>
      <w:r w:rsidR="00BC7BFC">
        <w:t>last three categories are a small share of costs)</w:t>
      </w:r>
      <w:r>
        <w:t xml:space="preserve">. It is important to note that figure 8 does not differentiate price and quantity effects. Therefore, increases in inputs (by value) could be due to increased price of inputs or increased quantity of inputs used; and similarly, decreases in inputs could be due to decreases in price or quantity. A positive interpretation of figure 8 would be that distribution services have </w:t>
      </w:r>
      <w:r>
        <w:lastRenderedPageBreak/>
        <w:t xml:space="preserve">become lower cost because of high productivity growth, whereas the total volume of business services has increased because more </w:t>
      </w:r>
      <w:r w:rsidR="00285AEF">
        <w:t xml:space="preserve">firms </w:t>
      </w:r>
      <w:r>
        <w:t>are outsourcing</w:t>
      </w:r>
      <w:r w:rsidR="00B7435D">
        <w:t xml:space="preserve"> their distribution</w:t>
      </w:r>
      <w:r>
        <w:t xml:space="preserve">. However, the opposite could </w:t>
      </w:r>
      <w:r w:rsidR="00B7435D">
        <w:t xml:space="preserve">also </w:t>
      </w:r>
      <w:r>
        <w:t xml:space="preserve">be </w:t>
      </w:r>
      <w:r w:rsidR="00056637">
        <w:t>the case</w:t>
      </w:r>
      <w:r>
        <w:t xml:space="preserve">. </w:t>
      </w:r>
      <w:r w:rsidR="001D37C2">
        <w:t>However,</w:t>
      </w:r>
      <w:r>
        <w:t xml:space="preserve"> the strong productivity performance of distribution services in recent years provide suggestive evidence that the positive interpretation is more likely the case. </w:t>
      </w:r>
    </w:p>
    <w:p w14:paraId="53810259" w14:textId="65D02829" w:rsidR="007D1E74" w:rsidRDefault="007D1E74" w:rsidP="007D1E7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1E74" w14:paraId="3EE61519" w14:textId="77777777" w:rsidTr="36E5E979">
        <w:trPr>
          <w:tblHeader/>
        </w:trPr>
        <w:tc>
          <w:tcPr>
            <w:tcW w:w="5000" w:type="pct"/>
            <w:tcBorders>
              <w:top w:val="single" w:sz="6" w:space="0" w:color="78A22F"/>
              <w:left w:val="nil"/>
              <w:bottom w:val="nil"/>
              <w:right w:val="nil"/>
            </w:tcBorders>
            <w:shd w:val="clear" w:color="auto" w:fill="auto"/>
          </w:tcPr>
          <w:p w14:paraId="1743F3FD" w14:textId="18D7812E" w:rsidR="007D1E74" w:rsidRDefault="007D1E74" w:rsidP="00EE4D1A">
            <w:pPr>
              <w:pStyle w:val="FigureTitle"/>
            </w:pPr>
            <w:r>
              <w:rPr>
                <w:b w:val="0"/>
              </w:rPr>
              <w:t xml:space="preserve">Figure </w:t>
            </w:r>
            <w:r w:rsidR="00061963" w:rsidRPr="4BB26481">
              <w:rPr>
                <w:b w:val="0"/>
                <w:noProof/>
              </w:rPr>
              <w:t>8</w:t>
            </w:r>
            <w:r>
              <w:tab/>
            </w:r>
            <w:r w:rsidR="00670AB4">
              <w:t>Some services have grown as an input, others have shrunk</w:t>
            </w:r>
          </w:p>
          <w:p w14:paraId="24F3FAB7" w14:textId="2205164D" w:rsidR="007D1E74" w:rsidRPr="00176D3F" w:rsidRDefault="00D34E14" w:rsidP="00EE4D1A">
            <w:pPr>
              <w:pStyle w:val="Subtitle"/>
            </w:pPr>
            <w:r>
              <w:t>Per cent of gross value added</w:t>
            </w:r>
            <w:r>
              <w:rPr>
                <w:rStyle w:val="NoteLabel"/>
              </w:rPr>
              <w:t>a</w:t>
            </w:r>
            <w:r w:rsidDel="00BB6631">
              <w:t xml:space="preserve"> </w:t>
            </w:r>
            <w:r w:rsidR="00BB6631">
              <w:t>required</w:t>
            </w:r>
            <w:r>
              <w:t xml:space="preserve"> from input sectors (</w:t>
            </w:r>
            <w:r w:rsidR="00FE31B7">
              <w:t>plot title</w:t>
            </w:r>
            <w:r>
              <w:t>) to produce on unit of output</w:t>
            </w:r>
            <w:r w:rsidR="00C717B2">
              <w:t xml:space="preserve"> in output sector (coloured lines within plots</w:t>
            </w:r>
            <w:r w:rsidR="00BB6631">
              <w:t xml:space="preserve">) </w:t>
            </w:r>
          </w:p>
        </w:tc>
      </w:tr>
      <w:tr w:rsidR="007D1E74" w14:paraId="5432FAC7"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1E74" w:rsidRPr="00B1465D" w14:paraId="51CC65F5" w14:textId="77777777" w:rsidTr="36E5E979">
              <w:trPr>
                <w:tblHeader/>
                <w:jc w:val="center"/>
              </w:trPr>
              <w:tc>
                <w:tcPr>
                  <w:tcW w:w="8504" w:type="dxa"/>
                  <w:tcBorders>
                    <w:top w:val="nil"/>
                    <w:bottom w:val="nil"/>
                  </w:tcBorders>
                </w:tcPr>
                <w:p w14:paraId="1BC43906" w14:textId="38353B4D" w:rsidR="007D1E74" w:rsidRPr="00B1465D" w:rsidRDefault="0032719B" w:rsidP="004D3D25">
                  <w:pPr>
                    <w:pStyle w:val="Figure"/>
                    <w:spacing w:before="0" w:after="0"/>
                    <w:rPr>
                      <w:rFonts w:ascii="Tahoma" w:hAnsi="Tahoma" w:cs="Tahoma"/>
                      <w:sz w:val="18"/>
                      <w:szCs w:val="18"/>
                    </w:rPr>
                  </w:pPr>
                  <w:r>
                    <w:rPr>
                      <w:noProof/>
                    </w:rPr>
                    <w:drawing>
                      <wp:inline distT="0" distB="0" distL="0" distR="0" wp14:anchorId="2B4E31D2" wp14:editId="1E8BC2EA">
                        <wp:extent cx="5400675" cy="6191250"/>
                        <wp:effectExtent l="0" t="0" r="9525" b="0"/>
                        <wp:docPr id="173" name="Picture 173" descr="Figure 8: This figure shows a time series representation of how much gross value added would be required from each industry aggregation to satisfy an extra $1 of de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Figure 8: This figure shows a time series representation of how much gross value added would be required from each industry aggregation to satisfy an extra $1 of demand.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412"/>
                                <a:stretch/>
                              </pic:blipFill>
                              <pic:spPr bwMode="auto">
                                <a:xfrm>
                                  <a:off x="0" y="0"/>
                                  <a:ext cx="5400675" cy="6191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704C7C" w14:textId="77777777" w:rsidR="007D1E74" w:rsidRDefault="007D1E74" w:rsidP="00EE4D1A">
            <w:pPr>
              <w:pStyle w:val="Figure"/>
            </w:pPr>
          </w:p>
        </w:tc>
      </w:tr>
      <w:tr w:rsidR="007D1E74" w:rsidRPr="00176D3F" w14:paraId="122BC19D" w14:textId="77777777" w:rsidTr="36E5E979">
        <w:tc>
          <w:tcPr>
            <w:tcW w:w="5000" w:type="pct"/>
            <w:tcBorders>
              <w:top w:val="nil"/>
              <w:left w:val="nil"/>
              <w:bottom w:val="nil"/>
              <w:right w:val="nil"/>
            </w:tcBorders>
            <w:shd w:val="clear" w:color="auto" w:fill="auto"/>
          </w:tcPr>
          <w:p w14:paraId="42CB73F1" w14:textId="13E3FBA6" w:rsidR="007D1E74" w:rsidRPr="00176D3F" w:rsidRDefault="00D02F4A" w:rsidP="00EE4D1A">
            <w:pPr>
              <w:pStyle w:val="Note"/>
            </w:pPr>
            <w:proofErr w:type="spellStart"/>
            <w:r>
              <w:rPr>
                <w:rStyle w:val="NoteLabel"/>
              </w:rPr>
              <w:t>a</w:t>
            </w:r>
            <w:proofErr w:type="spellEnd"/>
            <w:r>
              <w:t xml:space="preserve"> </w:t>
            </w:r>
            <w:proofErr w:type="gramStart"/>
            <w:r w:rsidRPr="004D3D25">
              <w:rPr>
                <w:spacing w:val="-4"/>
              </w:rPr>
              <w:t>An</w:t>
            </w:r>
            <w:proofErr w:type="gramEnd"/>
            <w:r w:rsidRPr="004D3D25">
              <w:rPr>
                <w:spacing w:val="-4"/>
              </w:rPr>
              <w:t xml:space="preserve"> application of the ‘GVA requirements’ matrix from Rayner and Bishop (2013), as applied in Heath (2017)</w:t>
            </w:r>
            <w:r w:rsidR="004D3D25">
              <w:rPr>
                <w:spacing w:val="-4"/>
              </w:rPr>
              <w:t>.</w:t>
            </w:r>
          </w:p>
        </w:tc>
      </w:tr>
      <w:tr w:rsidR="007D1E74" w:rsidRPr="00176D3F" w14:paraId="6C2CA6B0" w14:textId="77777777" w:rsidTr="36E5E979">
        <w:tc>
          <w:tcPr>
            <w:tcW w:w="5000" w:type="pct"/>
            <w:tcBorders>
              <w:top w:val="nil"/>
              <w:left w:val="nil"/>
              <w:bottom w:val="nil"/>
              <w:right w:val="nil"/>
            </w:tcBorders>
            <w:shd w:val="clear" w:color="auto" w:fill="auto"/>
          </w:tcPr>
          <w:p w14:paraId="33AF6E71" w14:textId="16D62B92" w:rsidR="007D1E74" w:rsidRPr="00176D3F" w:rsidRDefault="00D02F4A" w:rsidP="00EE4D1A">
            <w:pPr>
              <w:pStyle w:val="Source"/>
            </w:pPr>
            <w:r>
              <w:rPr>
                <w:i/>
              </w:rPr>
              <w:t>S</w:t>
            </w:r>
            <w:r w:rsidRPr="00784A05">
              <w:rPr>
                <w:i/>
              </w:rPr>
              <w:t>ource</w:t>
            </w:r>
            <w:r w:rsidRPr="00176D3F">
              <w:t xml:space="preserve">: </w:t>
            </w:r>
            <w:r>
              <w:t>ABS (</w:t>
            </w:r>
            <w:r>
              <w:rPr>
                <w:i/>
              </w:rPr>
              <w:t>Australian National Accounts: Input-Output Tables</w:t>
            </w:r>
            <w:r w:rsidRPr="008246B9">
              <w:rPr>
                <w:i/>
              </w:rPr>
              <w:t>, 201</w:t>
            </w:r>
            <w:r>
              <w:rPr>
                <w:i/>
              </w:rPr>
              <w:t>0</w:t>
            </w:r>
            <w:r w:rsidRPr="008246B9">
              <w:rPr>
                <w:i/>
              </w:rPr>
              <w:t>-1</w:t>
            </w:r>
            <w:r>
              <w:rPr>
                <w:i/>
              </w:rPr>
              <w:t>8</w:t>
            </w:r>
            <w:r>
              <w:t>, Cat. no. </w:t>
            </w:r>
            <w:r w:rsidRPr="00704427">
              <w:t>5209.0.55.001</w:t>
            </w:r>
            <w:r>
              <w:t>, table 8)</w:t>
            </w:r>
            <w:r w:rsidR="004C5FAF">
              <w:t>.</w:t>
            </w:r>
          </w:p>
        </w:tc>
      </w:tr>
      <w:tr w:rsidR="007D1E74" w14:paraId="0B292749" w14:textId="77777777" w:rsidTr="36E5E979">
        <w:tc>
          <w:tcPr>
            <w:tcW w:w="5000" w:type="pct"/>
            <w:tcBorders>
              <w:top w:val="nil"/>
              <w:left w:val="nil"/>
              <w:bottom w:val="single" w:sz="6" w:space="0" w:color="78A22F"/>
              <w:right w:val="nil"/>
            </w:tcBorders>
            <w:shd w:val="clear" w:color="auto" w:fill="auto"/>
          </w:tcPr>
          <w:p w14:paraId="08038C47" w14:textId="77777777" w:rsidR="007D1E74" w:rsidRDefault="007D1E74" w:rsidP="004D3D25">
            <w:pPr>
              <w:pStyle w:val="Figurespace"/>
              <w:keepNext w:val="0"/>
            </w:pPr>
          </w:p>
        </w:tc>
      </w:tr>
    </w:tbl>
    <w:p w14:paraId="571DBA7C" w14:textId="755FE1C3" w:rsidR="00513AEB" w:rsidRDefault="00A75965" w:rsidP="002C1538">
      <w:pPr>
        <w:pStyle w:val="Heading2"/>
      </w:pPr>
      <w:bookmarkStart w:id="9" w:name="_Toc67912995"/>
      <w:r>
        <w:rPr>
          <w:noProof/>
        </w:rPr>
        <w:lastRenderedPageBreak/>
        <w:t>2</w:t>
      </w:r>
      <w:r w:rsidR="001F37D1">
        <w:tab/>
      </w:r>
      <w:r w:rsidR="00A5465C">
        <w:t>Service sector f</w:t>
      </w:r>
      <w:r w:rsidR="00425F14">
        <w:t>acts and myths</w:t>
      </w:r>
      <w:bookmarkEnd w:id="9"/>
      <w:r w:rsidR="00513AEB">
        <w:t xml:space="preserve"> </w:t>
      </w:r>
    </w:p>
    <w:p w14:paraId="6B1A70EB" w14:textId="12FB05BA" w:rsidR="001F37D1" w:rsidRDefault="00425F14" w:rsidP="004D3D25">
      <w:pPr>
        <w:pStyle w:val="Heading3"/>
        <w:spacing w:before="280"/>
      </w:pPr>
      <w:r>
        <w:t>Myth: s</w:t>
      </w:r>
      <w:r w:rsidR="00972942">
        <w:t>ervice-sector jobs are ‘lousy jobs’</w:t>
      </w:r>
    </w:p>
    <w:p w14:paraId="762518E6" w14:textId="6CD4E71C" w:rsidR="00007C08" w:rsidRDefault="00007C08" w:rsidP="00007C08">
      <w:pPr>
        <w:pStyle w:val="BodyText"/>
      </w:pPr>
      <w:r>
        <w:t>Contrary to public perceptions</w:t>
      </w:r>
      <w:r w:rsidR="00405431">
        <w:t xml:space="preserve"> of</w:t>
      </w:r>
      <w:r>
        <w:t xml:space="preserve"> services </w:t>
      </w:r>
      <w:r w:rsidR="00273647">
        <w:t>providing</w:t>
      </w:r>
      <w:r w:rsidR="00423CBD">
        <w:t xml:space="preserve"> ‘lousy’ </w:t>
      </w:r>
      <w:r>
        <w:t>jobs</w:t>
      </w:r>
      <w:r w:rsidR="00C665C0">
        <w:t xml:space="preserve"> </w:t>
      </w:r>
      <w:r w:rsidR="004E2C30" w:rsidRPr="004E2C30">
        <w:rPr>
          <w:szCs w:val="24"/>
        </w:rPr>
        <w:t>(</w:t>
      </w:r>
      <w:proofErr w:type="spellStart"/>
      <w:r w:rsidR="004E2C30" w:rsidRPr="004E2C30">
        <w:rPr>
          <w:szCs w:val="24"/>
        </w:rPr>
        <w:t>Burtless</w:t>
      </w:r>
      <w:proofErr w:type="spellEnd"/>
      <w:r w:rsidR="004E2C30" w:rsidRPr="004E2C30">
        <w:rPr>
          <w:szCs w:val="24"/>
        </w:rPr>
        <w:t> 2010)</w:t>
      </w:r>
      <w:r w:rsidR="00423CBD">
        <w:t>, services</w:t>
      </w:r>
      <w:r>
        <w:t xml:space="preserve"> tend to pay higher wages </w:t>
      </w:r>
      <w:r w:rsidR="00431910">
        <w:t>per hour</w:t>
      </w:r>
      <w:r>
        <w:t xml:space="preserve"> than their goods sector counterparts</w:t>
      </w:r>
      <w:r w:rsidR="00F556AB">
        <w:t xml:space="preserve">, </w:t>
      </w:r>
      <w:r>
        <w:t xml:space="preserve">though they typically have fewer compensated hours (figure </w:t>
      </w:r>
      <w:r w:rsidR="00DE65A5">
        <w:t>9</w:t>
      </w:r>
      <w:r>
        <w:t xml:space="preserve">). The net result of these </w:t>
      </w:r>
      <w:r w:rsidR="006051D7">
        <w:t>two</w:t>
      </w:r>
      <w:r>
        <w:t xml:space="preserve"> effects is that average earnings in services is </w:t>
      </w:r>
      <w:r w:rsidR="00820EC9">
        <w:t xml:space="preserve">only </w:t>
      </w:r>
      <w:r>
        <w:t xml:space="preserve">slightly </w:t>
      </w:r>
      <w:r w:rsidR="0005381B">
        <w:t>lower</w:t>
      </w:r>
      <w:r>
        <w:t xml:space="preserve"> than manufacturing (figure 1</w:t>
      </w:r>
      <w:r w:rsidR="00DE65A5">
        <w:t>0</w:t>
      </w:r>
      <w:r>
        <w:t>), however</w:t>
      </w:r>
      <w:r w:rsidR="006051D7">
        <w:t>,</w:t>
      </w:r>
      <w:r>
        <w:t xml:space="preserve"> as Figure 1</w:t>
      </w:r>
      <w:r w:rsidR="00DE65A5">
        <w:t>0</w:t>
      </w:r>
      <w:r>
        <w:t xml:space="preserve"> shows, the </w:t>
      </w:r>
      <w:r w:rsidR="00431910">
        <w:t>subcomponents</w:t>
      </w:r>
      <w:r w:rsidR="00472188">
        <w:t xml:space="preserve"> of the </w:t>
      </w:r>
      <w:r w:rsidR="00431910">
        <w:t>service sector</w:t>
      </w:r>
      <w:r>
        <w:t xml:space="preserve"> are not uniform in this regard. </w:t>
      </w:r>
      <w:r w:rsidR="00F1289F">
        <w:t>W</w:t>
      </w:r>
      <w:r>
        <w:t xml:space="preserve">orkers in business, construction and utilities services have higher average earnings than those in manufacturing, whereas those in distribution and personal services </w:t>
      </w:r>
      <w:r w:rsidR="006C16C9">
        <w:t xml:space="preserve">earn </w:t>
      </w:r>
      <w:r>
        <w:t xml:space="preserve">less. However, there is substantial variation in both average industry wages and hours worked. </w:t>
      </w:r>
    </w:p>
    <w:p w14:paraId="08046E92" w14:textId="648BEC25" w:rsidR="00B9291F" w:rsidRDefault="00B9291F" w:rsidP="00007C08">
      <w:pPr>
        <w:pStyle w:val="BodyText"/>
      </w:pPr>
      <w:r>
        <w:t>Another common concern is that the service sector has contributed to the higher prevalence of cas</w:t>
      </w:r>
      <w:r w:rsidR="002C2728">
        <w:t>u</w:t>
      </w:r>
      <w:r>
        <w:t xml:space="preserve">al work. </w:t>
      </w:r>
      <w:r w:rsidR="008C54F9">
        <w:t>However, a</w:t>
      </w:r>
      <w:r>
        <w:t>s</w:t>
      </w:r>
      <w:r w:rsidDel="0003154F">
        <w:t xml:space="preserve"> </w:t>
      </w:r>
      <w:r w:rsidR="0003154F">
        <w:t>box</w:t>
      </w:r>
      <w:r>
        <w:t xml:space="preserve"> </w:t>
      </w:r>
      <w:r w:rsidR="002C059E">
        <w:t>3</w:t>
      </w:r>
      <w:r>
        <w:t xml:space="preserve"> outlines, </w:t>
      </w:r>
      <w:r w:rsidR="00557B6E">
        <w:t xml:space="preserve">while </w:t>
      </w:r>
      <w:r>
        <w:t xml:space="preserve">the rate of casual employment has always been higher in services than in manufacturing and mining, the </w:t>
      </w:r>
      <w:r w:rsidR="001113E9" w:rsidRPr="00947404">
        <w:rPr>
          <w:i/>
        </w:rPr>
        <w:t>proportional</w:t>
      </w:r>
      <w:r>
        <w:t xml:space="preserve"> </w:t>
      </w:r>
      <w:r w:rsidRPr="00947404">
        <w:rPr>
          <w:i/>
        </w:rPr>
        <w:t>increase</w:t>
      </w:r>
      <w:r>
        <w:t xml:space="preserve"> in casual jobs has been </w:t>
      </w:r>
      <w:r w:rsidR="001113E9">
        <w:t>higher</w:t>
      </w:r>
      <w:r>
        <w:t xml:space="preserve"> in the </w:t>
      </w:r>
      <w:r w:rsidR="001113E9">
        <w:t>goods</w:t>
      </w:r>
      <w:r>
        <w:t xml:space="preserve"> sector.</w:t>
      </w:r>
    </w:p>
    <w:p w14:paraId="00196E90" w14:textId="77777777" w:rsidR="00007C08" w:rsidRPr="004D4BCE" w:rsidRDefault="00007C08" w:rsidP="00007C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C08" w14:paraId="638F19BF" w14:textId="77777777" w:rsidTr="36E5E979">
        <w:trPr>
          <w:tblHeader/>
        </w:trPr>
        <w:tc>
          <w:tcPr>
            <w:tcW w:w="5000" w:type="pct"/>
            <w:tcBorders>
              <w:top w:val="single" w:sz="6" w:space="0" w:color="78A22F" w:themeColor="accent1"/>
              <w:left w:val="nil"/>
              <w:bottom w:val="nil"/>
              <w:right w:val="nil"/>
            </w:tcBorders>
            <w:shd w:val="clear" w:color="auto" w:fill="auto"/>
          </w:tcPr>
          <w:p w14:paraId="6AB33312" w14:textId="149BECD3" w:rsidR="00007C08" w:rsidRDefault="00007C08" w:rsidP="00C10A79">
            <w:pPr>
              <w:pStyle w:val="FigureTitle"/>
            </w:pPr>
            <w:r w:rsidRPr="00784A05">
              <w:rPr>
                <w:b w:val="0"/>
              </w:rPr>
              <w:t xml:space="preserve">Figure </w:t>
            </w:r>
            <w:r w:rsidR="00061963">
              <w:rPr>
                <w:b w:val="0"/>
                <w:noProof/>
              </w:rPr>
              <w:t>9</w:t>
            </w:r>
            <w:r>
              <w:tab/>
              <w:t xml:space="preserve">Service sector </w:t>
            </w:r>
            <w:r w:rsidR="0050634A">
              <w:t xml:space="preserve">employers </w:t>
            </w:r>
            <w:r>
              <w:t xml:space="preserve">tend to </w:t>
            </w:r>
            <w:r w:rsidR="0050634A">
              <w:t xml:space="preserve">earn more per hour but work less relative to manufacturing </w:t>
            </w:r>
            <w:r w:rsidR="008E064C">
              <w:t>employees</w:t>
            </w:r>
            <w:r w:rsidR="00DD6814">
              <w:t xml:space="preserve"> </w:t>
            </w:r>
            <w:r w:rsidR="002437AC">
              <w:t>…</w:t>
            </w:r>
          </w:p>
          <w:p w14:paraId="77BB328C" w14:textId="178A8D8F" w:rsidR="00007C08" w:rsidRPr="00176D3F" w:rsidRDefault="00007C08" w:rsidP="00C10A79">
            <w:pPr>
              <w:pStyle w:val="Subtitle"/>
            </w:pPr>
            <w:r>
              <w:t>Average hourly wage (AUD) and average weekly hours</w:t>
            </w:r>
            <w:r w:rsidRPr="007729BB">
              <w:rPr>
                <w:rStyle w:val="NoteLabel"/>
              </w:rPr>
              <w:t>a</w:t>
            </w:r>
            <w:r>
              <w:t xml:space="preserve"> compensated for in various</w:t>
            </w:r>
            <w:r w:rsidRPr="007729BB">
              <w:rPr>
                <w:rStyle w:val="NoteLabel"/>
              </w:rPr>
              <w:t>b</w:t>
            </w:r>
            <w:r>
              <w:t xml:space="preserve"> service subsectors, mining and manufacturing </w:t>
            </w:r>
          </w:p>
        </w:tc>
      </w:tr>
      <w:tr w:rsidR="00007C08" w14:paraId="461B0804" w14:textId="77777777" w:rsidTr="36E5E979">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07C08" w:rsidRPr="00B1465D" w14:paraId="1AFD00F3" w14:textId="77777777" w:rsidTr="36E5E979">
              <w:trPr>
                <w:trHeight w:val="180"/>
                <w:tblHeader/>
                <w:jc w:val="center"/>
              </w:trPr>
              <w:tc>
                <w:tcPr>
                  <w:tcW w:w="8505" w:type="dxa"/>
                  <w:tcBorders>
                    <w:top w:val="nil"/>
                    <w:bottom w:val="nil"/>
                  </w:tcBorders>
                </w:tcPr>
                <w:p w14:paraId="03DB9C04" w14:textId="11FF6B1D" w:rsidR="00007C08" w:rsidRPr="00B1465D" w:rsidRDefault="00606F35" w:rsidP="00C10A79">
                  <w:pPr>
                    <w:pStyle w:val="Figure"/>
                    <w:spacing w:before="60" w:after="60"/>
                    <w:rPr>
                      <w:rFonts w:ascii="Tahoma" w:hAnsi="Tahoma" w:cs="Tahoma"/>
                      <w:sz w:val="18"/>
                      <w:szCs w:val="18"/>
                    </w:rPr>
                  </w:pPr>
                  <w:r w:rsidRPr="00606F35">
                    <w:rPr>
                      <w:rFonts w:ascii="Tahoma" w:hAnsi="Tahoma" w:cs="Tahoma"/>
                      <w:noProof/>
                      <w:sz w:val="18"/>
                      <w:szCs w:val="18"/>
                    </w:rPr>
                    <w:drawing>
                      <wp:inline distT="0" distB="0" distL="0" distR="0" wp14:anchorId="4A6C3F92" wp14:editId="55394B02">
                        <wp:extent cx="5410200" cy="3093720"/>
                        <wp:effectExtent l="0" t="0" r="0" b="0"/>
                        <wp:docPr id="8" name="Picture 8" descr="On average, the service sector pays a higher hourly wage than manufacturing. There is substantial variation in hourly wages with mining paying the most and personal services paying the l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n average, the service sector pays a higher hourly wage than manufacturing. There is substantial variation in hourly wages with mining paying the most and personal services paying the lea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0200" cy="3093720"/>
                                </a:xfrm>
                                <a:prstGeom prst="rect">
                                  <a:avLst/>
                                </a:prstGeom>
                                <a:noFill/>
                                <a:ln>
                                  <a:noFill/>
                                </a:ln>
                              </pic:spPr>
                            </pic:pic>
                          </a:graphicData>
                        </a:graphic>
                      </wp:inline>
                    </w:drawing>
                  </w:r>
                </w:p>
              </w:tc>
            </w:tr>
            <w:tr w:rsidR="00007C08" w:rsidRPr="00B1465D" w14:paraId="413BF80B" w14:textId="77777777" w:rsidTr="36E5E979">
              <w:tblPrEx>
                <w:tblCellMar>
                  <w:left w:w="0" w:type="dxa"/>
                  <w:right w:w="0" w:type="dxa"/>
                </w:tblCellMar>
              </w:tblPrEx>
              <w:trPr>
                <w:trHeight w:val="180"/>
                <w:tblHeader/>
                <w:jc w:val="center"/>
              </w:trPr>
              <w:tc>
                <w:tcPr>
                  <w:tcW w:w="8505" w:type="dxa"/>
                  <w:tcBorders>
                    <w:top w:val="nil"/>
                    <w:bottom w:val="nil"/>
                  </w:tcBorders>
                </w:tcPr>
                <w:p w14:paraId="771A264B" w14:textId="014ECF5D" w:rsidR="00743D6D" w:rsidRPr="00B1465D" w:rsidRDefault="00457CA1" w:rsidP="00813AD0">
                  <w:pPr>
                    <w:pStyle w:val="Figure"/>
                    <w:spacing w:before="60" w:after="0"/>
                    <w:rPr>
                      <w:rFonts w:ascii="Tahoma" w:hAnsi="Tahoma" w:cs="Tahoma"/>
                      <w:noProof/>
                      <w:sz w:val="18"/>
                      <w:szCs w:val="18"/>
                    </w:rPr>
                  </w:pPr>
                  <w:r w:rsidRPr="00600D32">
                    <w:rPr>
                      <w:rFonts w:ascii="Tahoma" w:hAnsi="Tahoma" w:cs="Tahoma"/>
                      <w:noProof/>
                      <w:sz w:val="18"/>
                      <w:szCs w:val="18"/>
                    </w:rPr>
                    <w:drawing>
                      <wp:inline distT="0" distB="0" distL="0" distR="0" wp14:anchorId="4775C0AE" wp14:editId="0B6DBF43">
                        <wp:extent cx="5402580" cy="2910840"/>
                        <wp:effectExtent l="0" t="0" r="7620" b="3810"/>
                        <wp:docPr id="53" name="Picture 53" descr="On average, service workers work less hours than manufacturing employees. There is substantial variation in hours worked with mining employees working the most hours the most and personal service employees working the l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n average, service workers work less hours than manufacturing employees. There is substantial variation in hours worked with mining employees working the most hours the most and personal service employees working the lea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2580" cy="2910840"/>
                                </a:xfrm>
                                <a:prstGeom prst="rect">
                                  <a:avLst/>
                                </a:prstGeom>
                                <a:noFill/>
                                <a:ln>
                                  <a:noFill/>
                                </a:ln>
                              </pic:spPr>
                            </pic:pic>
                          </a:graphicData>
                        </a:graphic>
                      </wp:inline>
                    </w:drawing>
                  </w:r>
                </w:p>
              </w:tc>
            </w:tr>
            <w:tr w:rsidR="00007C08" w:rsidRPr="00B1465D" w14:paraId="1AFD4F7D" w14:textId="77777777" w:rsidTr="36E5E979">
              <w:tblPrEx>
                <w:tblCellMar>
                  <w:left w:w="0" w:type="dxa"/>
                  <w:right w:w="0" w:type="dxa"/>
                </w:tblCellMar>
              </w:tblPrEx>
              <w:trPr>
                <w:trHeight w:val="180"/>
                <w:tblHeader/>
                <w:jc w:val="center"/>
              </w:trPr>
              <w:tc>
                <w:tcPr>
                  <w:tcW w:w="8505" w:type="dxa"/>
                  <w:tcBorders>
                    <w:top w:val="nil"/>
                    <w:bottom w:val="nil"/>
                  </w:tcBorders>
                </w:tcPr>
                <w:p w14:paraId="34A78DF2" w14:textId="15039337" w:rsidR="00007C08" w:rsidRPr="00B1465D" w:rsidRDefault="003B43B8" w:rsidP="00813AD0">
                  <w:pPr>
                    <w:pStyle w:val="Figure"/>
                    <w:spacing w:before="0" w:after="60"/>
                    <w:rPr>
                      <w:rFonts w:ascii="Tahoma" w:hAnsi="Tahoma" w:cs="Tahoma"/>
                      <w:sz w:val="18"/>
                      <w:szCs w:val="18"/>
                    </w:rPr>
                  </w:pPr>
                  <w:r w:rsidRPr="003B43B8">
                    <w:rPr>
                      <w:rFonts w:ascii="Tahoma" w:hAnsi="Tahoma" w:cs="Tahoma"/>
                      <w:noProof/>
                      <w:sz w:val="18"/>
                      <w:szCs w:val="18"/>
                    </w:rPr>
                    <w:drawing>
                      <wp:inline distT="0" distB="0" distL="0" distR="0" wp14:anchorId="7099E6AE" wp14:editId="69981916">
                        <wp:extent cx="2314575" cy="339725"/>
                        <wp:effectExtent l="0" t="0" r="9525" b="3175"/>
                        <wp:docPr id="9" name="Picture 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egen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127" t="88650" r="27859"/>
                                <a:stretch/>
                              </pic:blipFill>
                              <pic:spPr bwMode="auto">
                                <a:xfrm>
                                  <a:off x="0" y="0"/>
                                  <a:ext cx="2318697" cy="3403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DF2855" w14:textId="77777777" w:rsidR="00007C08" w:rsidRDefault="00007C08" w:rsidP="00C10A79">
            <w:pPr>
              <w:pStyle w:val="Figure"/>
            </w:pPr>
          </w:p>
        </w:tc>
      </w:tr>
      <w:tr w:rsidR="00007C08" w:rsidRPr="00176D3F" w14:paraId="64BE4579" w14:textId="77777777" w:rsidTr="36E5E979">
        <w:tc>
          <w:tcPr>
            <w:tcW w:w="5000" w:type="pct"/>
            <w:tcBorders>
              <w:top w:val="nil"/>
              <w:left w:val="nil"/>
              <w:bottom w:val="nil"/>
              <w:right w:val="nil"/>
            </w:tcBorders>
            <w:shd w:val="clear" w:color="auto" w:fill="auto"/>
          </w:tcPr>
          <w:p w14:paraId="160F51B5" w14:textId="610127E6" w:rsidR="00007C08" w:rsidRPr="00176D3F" w:rsidRDefault="00007C08" w:rsidP="00C10A79">
            <w:pPr>
              <w:pStyle w:val="Note"/>
            </w:pPr>
            <w:proofErr w:type="spellStart"/>
            <w:r>
              <w:rPr>
                <w:rStyle w:val="NoteLabel"/>
              </w:rPr>
              <w:t>a</w:t>
            </w:r>
            <w:proofErr w:type="spellEnd"/>
            <w:r w:rsidR="00602972">
              <w:rPr>
                <w:rStyle w:val="NoteLabel"/>
              </w:rPr>
              <w:t xml:space="preserve"> </w:t>
            </w:r>
            <w:r>
              <w:t>All industries consider only non-managerial employees paid at the adult rate (e</w:t>
            </w:r>
            <w:r w:rsidR="00FB0704">
              <w:t>.</w:t>
            </w:r>
            <w:r>
              <w:t xml:space="preserve">g. excluding apprentices, junior rates of pay etc). </w:t>
            </w:r>
            <w:r>
              <w:rPr>
                <w:rStyle w:val="NoteLabel"/>
              </w:rPr>
              <w:t>b</w:t>
            </w:r>
            <w:r>
              <w:t>Service subsectors were aggregated from industries using the industry share of total employee hours compensated.</w:t>
            </w:r>
          </w:p>
        </w:tc>
      </w:tr>
      <w:tr w:rsidR="00007C08" w:rsidRPr="00176D3F" w14:paraId="1EE67E8C" w14:textId="77777777" w:rsidTr="36E5E979">
        <w:tc>
          <w:tcPr>
            <w:tcW w:w="5000" w:type="pct"/>
            <w:tcBorders>
              <w:top w:val="nil"/>
              <w:left w:val="nil"/>
              <w:bottom w:val="nil"/>
              <w:right w:val="nil"/>
            </w:tcBorders>
            <w:shd w:val="clear" w:color="auto" w:fill="auto"/>
          </w:tcPr>
          <w:p w14:paraId="727C200D" w14:textId="77777777" w:rsidR="00007C08" w:rsidRPr="00176D3F" w:rsidRDefault="00007C08" w:rsidP="00C10A79">
            <w:pPr>
              <w:pStyle w:val="Source"/>
            </w:pPr>
            <w:r>
              <w:rPr>
                <w:i/>
              </w:rPr>
              <w:t>S</w:t>
            </w:r>
            <w:r w:rsidRPr="00784A05">
              <w:rPr>
                <w:i/>
              </w:rPr>
              <w:t>ource</w:t>
            </w:r>
            <w:r w:rsidRPr="00176D3F">
              <w:t xml:space="preserve">: </w:t>
            </w:r>
            <w:r>
              <w:t>Commission estimated based on ABS (</w:t>
            </w:r>
            <w:r w:rsidRPr="002816EA">
              <w:rPr>
                <w:i/>
              </w:rPr>
              <w:t>Employee Earnings and Hours, Australia, May 2018</w:t>
            </w:r>
            <w:r>
              <w:t>, Cat. no. </w:t>
            </w:r>
            <w:r w:rsidRPr="004F1BD1">
              <w:t>6306.0</w:t>
            </w:r>
            <w:r>
              <w:t>,</w:t>
            </w:r>
            <w:r w:rsidRPr="004F1BD1">
              <w:t xml:space="preserve"> </w:t>
            </w:r>
            <w:r>
              <w:t>data cube 1).</w:t>
            </w:r>
          </w:p>
        </w:tc>
      </w:tr>
      <w:tr w:rsidR="00007C08" w14:paraId="685C3F90" w14:textId="77777777" w:rsidTr="36E5E979">
        <w:tc>
          <w:tcPr>
            <w:tcW w:w="5000" w:type="pct"/>
            <w:tcBorders>
              <w:top w:val="nil"/>
              <w:left w:val="nil"/>
              <w:bottom w:val="single" w:sz="6" w:space="0" w:color="78A22F" w:themeColor="accent1"/>
              <w:right w:val="nil"/>
            </w:tcBorders>
            <w:shd w:val="clear" w:color="auto" w:fill="auto"/>
          </w:tcPr>
          <w:p w14:paraId="0B918306" w14:textId="77777777" w:rsidR="00007C08" w:rsidRDefault="00007C08" w:rsidP="00C10A79">
            <w:pPr>
              <w:pStyle w:val="Figurespace"/>
            </w:pPr>
          </w:p>
        </w:tc>
      </w:tr>
      <w:tr w:rsidR="00007C08" w:rsidRPr="000863A5" w14:paraId="24371906" w14:textId="77777777" w:rsidTr="36E5E979">
        <w:tc>
          <w:tcPr>
            <w:tcW w:w="5000" w:type="pct"/>
            <w:tcBorders>
              <w:top w:val="single" w:sz="6" w:space="0" w:color="78A22F" w:themeColor="accent1"/>
              <w:left w:val="nil"/>
              <w:bottom w:val="nil"/>
              <w:right w:val="nil"/>
            </w:tcBorders>
          </w:tcPr>
          <w:p w14:paraId="35FF74F8" w14:textId="7C0585BA" w:rsidR="00007C08" w:rsidRPr="00626D32" w:rsidRDefault="00007C08" w:rsidP="00C10A79">
            <w:pPr>
              <w:pStyle w:val="BoxSpaceBelow"/>
            </w:pPr>
          </w:p>
        </w:tc>
      </w:tr>
    </w:tbl>
    <w:p w14:paraId="70C7C73B" w14:textId="388CEEB6" w:rsidR="00007C08" w:rsidRDefault="00007C08" w:rsidP="00007C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C08" w14:paraId="18CB6722" w14:textId="77777777" w:rsidTr="36E5E979">
        <w:trPr>
          <w:tblHeader/>
        </w:trPr>
        <w:tc>
          <w:tcPr>
            <w:tcW w:w="5000" w:type="pct"/>
            <w:tcBorders>
              <w:top w:val="single" w:sz="6" w:space="0" w:color="78A22F"/>
              <w:left w:val="nil"/>
              <w:bottom w:val="nil"/>
              <w:right w:val="nil"/>
            </w:tcBorders>
            <w:shd w:val="clear" w:color="auto" w:fill="auto"/>
          </w:tcPr>
          <w:p w14:paraId="3B330A49" w14:textId="758B218A" w:rsidR="00007C08" w:rsidRPr="004D3D25" w:rsidRDefault="00007C08" w:rsidP="00C10A79">
            <w:pPr>
              <w:pStyle w:val="FigureTitle"/>
              <w:rPr>
                <w:rFonts w:ascii="Arial Bold" w:hAnsi="Arial Bold"/>
                <w:spacing w:val="-4"/>
              </w:rPr>
            </w:pPr>
            <w:r w:rsidRPr="00784A05">
              <w:rPr>
                <w:b w:val="0"/>
              </w:rPr>
              <w:t xml:space="preserve">Figure </w:t>
            </w:r>
            <w:r w:rsidR="00061963">
              <w:rPr>
                <w:b w:val="0"/>
                <w:noProof/>
              </w:rPr>
              <w:t>10</w:t>
            </w:r>
            <w:r>
              <w:tab/>
            </w:r>
            <w:r w:rsidRPr="004D3D25">
              <w:rPr>
                <w:rFonts w:ascii="Arial Bold" w:hAnsi="Arial Bold"/>
                <w:spacing w:val="-4"/>
              </w:rPr>
              <w:t xml:space="preserve">… </w:t>
            </w:r>
            <w:r w:rsidR="004C14F4" w:rsidRPr="004D3D25">
              <w:rPr>
                <w:rFonts w:ascii="Arial Bold" w:hAnsi="Arial Bold"/>
                <w:spacing w:val="-4"/>
              </w:rPr>
              <w:t xml:space="preserve">and </w:t>
            </w:r>
            <w:r w:rsidRPr="004D3D25">
              <w:rPr>
                <w:rFonts w:ascii="Arial Bold" w:hAnsi="Arial Bold"/>
                <w:spacing w:val="-4"/>
              </w:rPr>
              <w:t>the net effect is that</w:t>
            </w:r>
            <w:r w:rsidR="00C43ABD" w:rsidRPr="004D3D25">
              <w:rPr>
                <w:rFonts w:ascii="Arial Bold" w:hAnsi="Arial Bold"/>
                <w:spacing w:val="-4"/>
              </w:rPr>
              <w:t>,</w:t>
            </w:r>
            <w:r w:rsidRPr="004D3D25">
              <w:rPr>
                <w:rFonts w:ascii="Arial Bold" w:hAnsi="Arial Bold"/>
                <w:spacing w:val="-4"/>
              </w:rPr>
              <w:t xml:space="preserve"> on average</w:t>
            </w:r>
            <w:r w:rsidR="00C43ABD" w:rsidRPr="004D3D25">
              <w:rPr>
                <w:rFonts w:ascii="Arial Bold" w:hAnsi="Arial Bold"/>
                <w:spacing w:val="-4"/>
              </w:rPr>
              <w:t>,</w:t>
            </w:r>
            <w:r w:rsidRPr="004D3D25">
              <w:rPr>
                <w:rFonts w:ascii="Arial Bold" w:hAnsi="Arial Bold"/>
                <w:spacing w:val="-4"/>
              </w:rPr>
              <w:t xml:space="preserve"> workers earn </w:t>
            </w:r>
            <w:r w:rsidR="00FD284C" w:rsidRPr="004D3D25">
              <w:rPr>
                <w:rFonts w:ascii="Arial Bold" w:hAnsi="Arial Bold"/>
                <w:spacing w:val="-4"/>
              </w:rPr>
              <w:t>roughly the same</w:t>
            </w:r>
            <w:r w:rsidRPr="004D3D25">
              <w:rPr>
                <w:rFonts w:ascii="Arial Bold" w:hAnsi="Arial Bold"/>
                <w:spacing w:val="-4"/>
              </w:rPr>
              <w:t xml:space="preserve"> in </w:t>
            </w:r>
            <w:r w:rsidR="005F1E20" w:rsidRPr="004D3D25">
              <w:rPr>
                <w:rFonts w:ascii="Arial Bold" w:hAnsi="Arial Bold"/>
                <w:spacing w:val="-4"/>
              </w:rPr>
              <w:t>the</w:t>
            </w:r>
            <w:r w:rsidRPr="004D3D25">
              <w:rPr>
                <w:rFonts w:ascii="Arial Bold" w:hAnsi="Arial Bold"/>
                <w:spacing w:val="-4"/>
              </w:rPr>
              <w:t xml:space="preserve"> average service industry </w:t>
            </w:r>
            <w:r w:rsidR="005F1E20" w:rsidRPr="004D3D25">
              <w:rPr>
                <w:rFonts w:ascii="Arial Bold" w:hAnsi="Arial Bold"/>
                <w:spacing w:val="-4"/>
              </w:rPr>
              <w:t xml:space="preserve">as in </w:t>
            </w:r>
            <w:r w:rsidRPr="004D3D25">
              <w:rPr>
                <w:rFonts w:ascii="Arial Bold" w:hAnsi="Arial Bold"/>
                <w:spacing w:val="-4"/>
              </w:rPr>
              <w:t>manufacturing</w:t>
            </w:r>
          </w:p>
          <w:p w14:paraId="301E6312" w14:textId="77777777" w:rsidR="00007C08" w:rsidRPr="00176D3F" w:rsidRDefault="00007C08" w:rsidP="00C10A79">
            <w:pPr>
              <w:pStyle w:val="Subtitle"/>
            </w:pPr>
            <w:r>
              <w:t>Average total weekly earnings (AUD)</w:t>
            </w:r>
            <w:r w:rsidRPr="007729BB">
              <w:rPr>
                <w:rStyle w:val="NoteLabel"/>
              </w:rPr>
              <w:t>a</w:t>
            </w:r>
            <w:r>
              <w:t xml:space="preserve"> compensated for in various</w:t>
            </w:r>
            <w:r w:rsidRPr="007729BB">
              <w:rPr>
                <w:rStyle w:val="NoteLabel"/>
              </w:rPr>
              <w:t>b</w:t>
            </w:r>
            <w:r>
              <w:t xml:space="preserve"> service subsectors, mining and manufacturing</w:t>
            </w:r>
          </w:p>
        </w:tc>
      </w:tr>
      <w:tr w:rsidR="00007C08" w14:paraId="32196DC7"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07C08" w:rsidRPr="00B1465D" w14:paraId="124A6042" w14:textId="77777777" w:rsidTr="36E5E979">
              <w:trPr>
                <w:tblHeader/>
                <w:jc w:val="center"/>
              </w:trPr>
              <w:tc>
                <w:tcPr>
                  <w:tcW w:w="8504" w:type="dxa"/>
                  <w:tcBorders>
                    <w:top w:val="nil"/>
                    <w:bottom w:val="nil"/>
                  </w:tcBorders>
                </w:tcPr>
                <w:p w14:paraId="4E4042AA" w14:textId="179DDFD7" w:rsidR="00007C08" w:rsidRPr="00B1465D" w:rsidRDefault="00145673" w:rsidP="00C10A79">
                  <w:pPr>
                    <w:pStyle w:val="Figure"/>
                    <w:spacing w:before="60" w:after="60"/>
                    <w:rPr>
                      <w:rFonts w:ascii="Tahoma" w:hAnsi="Tahoma" w:cs="Tahoma"/>
                      <w:sz w:val="18"/>
                      <w:szCs w:val="18"/>
                    </w:rPr>
                  </w:pPr>
                  <w:r w:rsidRPr="24271538">
                    <w:rPr>
                      <w:noProof/>
                    </w:rPr>
                    <w:t xml:space="preserve"> </w:t>
                  </w:r>
                  <w:r w:rsidR="004F641B" w:rsidRPr="004F641B">
                    <w:rPr>
                      <w:noProof/>
                    </w:rPr>
                    <w:drawing>
                      <wp:inline distT="0" distB="0" distL="0" distR="0" wp14:anchorId="66C6731E" wp14:editId="61190BB5">
                        <wp:extent cx="5402580" cy="3238500"/>
                        <wp:effectExtent l="0" t="0" r="7620" b="0"/>
                        <wp:docPr id="54" name="Picture 54" descr="The service sector average earnings are similar to manufacturing however slightly lower. Mining employees earn the most whereas personal services employees earn the l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e service sector average earnings are similar to manufacturing however slightly lower. Mining employees earn the most whereas personal services employees earn the leas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2580" cy="3238500"/>
                                </a:xfrm>
                                <a:prstGeom prst="rect">
                                  <a:avLst/>
                                </a:prstGeom>
                                <a:noFill/>
                                <a:ln>
                                  <a:noFill/>
                                </a:ln>
                              </pic:spPr>
                            </pic:pic>
                          </a:graphicData>
                        </a:graphic>
                      </wp:inline>
                    </w:drawing>
                  </w:r>
                </w:p>
              </w:tc>
            </w:tr>
          </w:tbl>
          <w:p w14:paraId="4A5B780D" w14:textId="77777777" w:rsidR="00007C08" w:rsidRDefault="00007C08" w:rsidP="00C10A79">
            <w:pPr>
              <w:pStyle w:val="Figure"/>
            </w:pPr>
          </w:p>
        </w:tc>
      </w:tr>
      <w:tr w:rsidR="00007C08" w:rsidRPr="00176D3F" w14:paraId="3E47B27D" w14:textId="77777777" w:rsidTr="36E5E979">
        <w:tc>
          <w:tcPr>
            <w:tcW w:w="5000" w:type="pct"/>
            <w:tcBorders>
              <w:top w:val="nil"/>
              <w:left w:val="nil"/>
              <w:bottom w:val="nil"/>
              <w:right w:val="nil"/>
            </w:tcBorders>
            <w:shd w:val="clear" w:color="auto" w:fill="auto"/>
          </w:tcPr>
          <w:p w14:paraId="14954A15" w14:textId="6FA9D299" w:rsidR="00007C08" w:rsidRPr="00176D3F" w:rsidRDefault="00A14B22" w:rsidP="00C10A79">
            <w:pPr>
              <w:pStyle w:val="Note"/>
            </w:pPr>
            <w:r>
              <w:rPr>
                <w:rStyle w:val="NoteLabel"/>
              </w:rPr>
              <w:t>a</w:t>
            </w:r>
            <w:r w:rsidR="00602972">
              <w:rPr>
                <w:rStyle w:val="NoteLabel"/>
              </w:rPr>
              <w:t xml:space="preserve"> </w:t>
            </w:r>
            <w:r>
              <w:t>Seasonally adjusted</w:t>
            </w:r>
            <w:r w:rsidR="00007C08">
              <w:t xml:space="preserve"> estimates of </w:t>
            </w:r>
            <w:r w:rsidR="00007C08" w:rsidRPr="00B31FF6">
              <w:t>Average weekly total earnings for all employees</w:t>
            </w:r>
            <w:r w:rsidR="00007C08">
              <w:t xml:space="preserve">, as at November 2019 </w:t>
            </w:r>
            <w:r w:rsidR="00007C08">
              <w:rPr>
                <w:rStyle w:val="NoteLabel"/>
              </w:rPr>
              <w:t>b</w:t>
            </w:r>
            <w:r w:rsidR="00602972">
              <w:rPr>
                <w:rStyle w:val="NoteLabel"/>
              </w:rPr>
              <w:t xml:space="preserve"> </w:t>
            </w:r>
            <w:r w:rsidR="00007C08">
              <w:t>Service subsectors were aggregated from industries using the industry share of total employment.</w:t>
            </w:r>
          </w:p>
        </w:tc>
      </w:tr>
      <w:tr w:rsidR="00007C08" w:rsidRPr="00176D3F" w14:paraId="47CCD2A6" w14:textId="77777777" w:rsidTr="36E5E979">
        <w:tc>
          <w:tcPr>
            <w:tcW w:w="5000" w:type="pct"/>
            <w:tcBorders>
              <w:top w:val="nil"/>
              <w:left w:val="nil"/>
              <w:bottom w:val="nil"/>
              <w:right w:val="nil"/>
            </w:tcBorders>
            <w:shd w:val="clear" w:color="auto" w:fill="auto"/>
          </w:tcPr>
          <w:p w14:paraId="5F973B5A" w14:textId="2C0F4C12" w:rsidR="00007C08" w:rsidRPr="00176D3F" w:rsidRDefault="001E20DA" w:rsidP="00C10A79">
            <w:pPr>
              <w:pStyle w:val="Source"/>
            </w:pPr>
            <w:r>
              <w:rPr>
                <w:i/>
              </w:rPr>
              <w:t>S</w:t>
            </w:r>
            <w:r w:rsidRPr="00784A05">
              <w:rPr>
                <w:i/>
              </w:rPr>
              <w:t>ource</w:t>
            </w:r>
            <w:r w:rsidR="00007C08" w:rsidRPr="00176D3F">
              <w:t xml:space="preserve">: </w:t>
            </w:r>
            <w:r w:rsidR="00007C08">
              <w:t>Commission estimated based on ABS (</w:t>
            </w:r>
            <w:r w:rsidRPr="002816EA">
              <w:rPr>
                <w:i/>
              </w:rPr>
              <w:t>Employee</w:t>
            </w:r>
            <w:r w:rsidR="00007C08" w:rsidRPr="002816EA">
              <w:rPr>
                <w:i/>
              </w:rPr>
              <w:t xml:space="preserve"> Earnings </w:t>
            </w:r>
            <w:r w:rsidRPr="002816EA">
              <w:rPr>
                <w:i/>
              </w:rPr>
              <w:t>and Hours, Australia, May 2018</w:t>
            </w:r>
            <w:r w:rsidR="00007C08">
              <w:t>, Cat. no. </w:t>
            </w:r>
            <w:r w:rsidRPr="004F1BD1">
              <w:t>6306.0</w:t>
            </w:r>
            <w:r>
              <w:t>,</w:t>
            </w:r>
            <w:r w:rsidRPr="004F1BD1">
              <w:t xml:space="preserve"> </w:t>
            </w:r>
            <w:r>
              <w:t>data cube 1).</w:t>
            </w:r>
          </w:p>
        </w:tc>
      </w:tr>
      <w:tr w:rsidR="00007C08" w14:paraId="53CB2D4E" w14:textId="77777777" w:rsidTr="36E5E979">
        <w:tc>
          <w:tcPr>
            <w:tcW w:w="5000" w:type="pct"/>
            <w:tcBorders>
              <w:top w:val="nil"/>
              <w:left w:val="nil"/>
              <w:bottom w:val="single" w:sz="6" w:space="0" w:color="78A22F"/>
              <w:right w:val="nil"/>
            </w:tcBorders>
            <w:shd w:val="clear" w:color="auto" w:fill="auto"/>
          </w:tcPr>
          <w:p w14:paraId="17B9F3D0" w14:textId="77777777" w:rsidR="00007C08" w:rsidRDefault="00007C08" w:rsidP="00C10A79">
            <w:pPr>
              <w:pStyle w:val="Figurespace"/>
            </w:pPr>
          </w:p>
        </w:tc>
      </w:tr>
      <w:tr w:rsidR="00007C08" w:rsidRPr="000863A5" w14:paraId="778EEC1E" w14:textId="77777777" w:rsidTr="36E5E979">
        <w:tc>
          <w:tcPr>
            <w:tcW w:w="5000" w:type="pct"/>
            <w:tcBorders>
              <w:top w:val="single" w:sz="6" w:space="0" w:color="78A22F"/>
              <w:left w:val="nil"/>
              <w:bottom w:val="nil"/>
              <w:right w:val="nil"/>
            </w:tcBorders>
          </w:tcPr>
          <w:p w14:paraId="3495F2C3" w14:textId="45A3FA47" w:rsidR="00007C08" w:rsidRPr="00626D32" w:rsidRDefault="00007C08" w:rsidP="00C10A79">
            <w:pPr>
              <w:pStyle w:val="BoxSpaceBelow"/>
            </w:pPr>
          </w:p>
        </w:tc>
      </w:tr>
    </w:tbl>
    <w:p w14:paraId="26CE1FC3" w14:textId="0BF8B177" w:rsidR="00FB30F6" w:rsidRDefault="00FB30F6" w:rsidP="00075E52">
      <w:pPr>
        <w:pStyle w:val="BoxSpaceAbove"/>
        <w:tabs>
          <w:tab w:val="left" w:pos="1114"/>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C08" w14:paraId="35E71819" w14:textId="77777777" w:rsidTr="36E5E979">
        <w:trPr>
          <w:tblHeader/>
        </w:trPr>
        <w:tc>
          <w:tcPr>
            <w:tcW w:w="5000" w:type="pct"/>
            <w:tcBorders>
              <w:top w:val="single" w:sz="6" w:space="0" w:color="78A22F" w:themeColor="accent1"/>
              <w:left w:val="nil"/>
              <w:bottom w:val="nil"/>
              <w:right w:val="nil"/>
            </w:tcBorders>
            <w:shd w:val="clear" w:color="auto" w:fill="F2F2F2" w:themeFill="background1" w:themeFillShade="F2"/>
          </w:tcPr>
          <w:p w14:paraId="73EBBE0E" w14:textId="35F0E946" w:rsidR="00007C08" w:rsidRDefault="00007C08" w:rsidP="00C10A79">
            <w:pPr>
              <w:pStyle w:val="BoxTitle"/>
            </w:pPr>
            <w:r>
              <w:rPr>
                <w:b w:val="0"/>
              </w:rPr>
              <w:t xml:space="preserve">Box </w:t>
            </w:r>
            <w:r w:rsidR="005367D2">
              <w:rPr>
                <w:b w:val="0"/>
                <w:noProof/>
              </w:rPr>
              <w:t>3</w:t>
            </w:r>
            <w:r>
              <w:tab/>
            </w:r>
            <w:r w:rsidR="008679FB">
              <w:t>The transition to a service-based economy is not the main reason for more casualised work</w:t>
            </w:r>
          </w:p>
        </w:tc>
      </w:tr>
      <w:tr w:rsidR="00007C08" w14:paraId="516504E2" w14:textId="77777777" w:rsidTr="36E5E979">
        <w:tc>
          <w:tcPr>
            <w:tcW w:w="5000" w:type="pct"/>
            <w:tcBorders>
              <w:top w:val="nil"/>
              <w:left w:val="nil"/>
              <w:bottom w:val="nil"/>
              <w:right w:val="nil"/>
            </w:tcBorders>
            <w:shd w:val="clear" w:color="auto" w:fill="F2F2F2" w:themeFill="background1" w:themeFillShade="F2"/>
          </w:tcPr>
          <w:p w14:paraId="7D94380B" w14:textId="21BF69B9" w:rsidR="00007C08" w:rsidRDefault="00007C08" w:rsidP="00C10A79">
            <w:pPr>
              <w:pStyle w:val="Box"/>
            </w:pPr>
            <w:r>
              <w:t xml:space="preserve">The proportion of workers engaged in casual employment </w:t>
            </w:r>
            <w:r w:rsidR="007C7834">
              <w:t>(where access to paid leave is used to define non-casual work)</w:t>
            </w:r>
            <w:r>
              <w:t xml:space="preserve"> has increased since the early 1980s</w:t>
            </w:r>
            <w:r w:rsidR="0013366C">
              <w:t xml:space="preserve"> (though it has been stable since the early 1990s)</w:t>
            </w:r>
            <w:r>
              <w:t xml:space="preserve">. In 1982, about 13 per cent of employees were casual, while in 2019 the figure was about 24 per cent. </w:t>
            </w:r>
          </w:p>
          <w:p w14:paraId="67C8FE9E" w14:textId="7D7F5F22" w:rsidR="00007C08" w:rsidRDefault="00BE1384" w:rsidP="00C10A79">
            <w:pPr>
              <w:pStyle w:val="Box"/>
            </w:pPr>
            <w:r>
              <w:t xml:space="preserve">Casualisation can grow either because the industries that use casual labour heavily are growing (labour reallocation </w:t>
            </w:r>
            <w:r w:rsidRPr="00AE329F">
              <w:rPr>
                <w:i/>
                <w:iCs/>
              </w:rPr>
              <w:t>between</w:t>
            </w:r>
            <w:r>
              <w:t xml:space="preserve"> industries) or because casual employment is growing in most industries (</w:t>
            </w:r>
            <w:r w:rsidRPr="00AE329F">
              <w:rPr>
                <w:i/>
                <w:iCs/>
              </w:rPr>
              <w:t>within</w:t>
            </w:r>
            <w:r>
              <w:t xml:space="preserve"> industry growth). </w:t>
            </w:r>
            <w:r w:rsidR="005D18D6">
              <w:t>T</w:t>
            </w:r>
            <w:r w:rsidR="00007C08">
              <w:t xml:space="preserve">he Commission analysed the industry level data on sick leave entitlements in 1985 and </w:t>
            </w:r>
            <w:proofErr w:type="gramStart"/>
            <w:r w:rsidR="00007C08">
              <w:t>2019, and</w:t>
            </w:r>
            <w:proofErr w:type="gramEnd"/>
            <w:r w:rsidR="00007C08">
              <w:t xml:space="preserve"> found that the </w:t>
            </w:r>
            <w:r w:rsidR="00007C08">
              <w:rPr>
                <w:i/>
              </w:rPr>
              <w:t>within</w:t>
            </w:r>
            <w:r w:rsidR="00007C08">
              <w:t xml:space="preserve"> industry growth in casualised labour was more important than labour being reallocated </w:t>
            </w:r>
            <w:r w:rsidR="00007C08">
              <w:rPr>
                <w:i/>
              </w:rPr>
              <w:t>between</w:t>
            </w:r>
            <w:r w:rsidR="00007C08">
              <w:t xml:space="preserve"> industries. Indeed, the rise in the proportion of workers without an entitlement to sick leave within the manufacturing sector is (proportionally) larger than the increase in the </w:t>
            </w:r>
            <w:r w:rsidR="00A003F8">
              <w:t>service sector</w:t>
            </w:r>
            <w:r w:rsidR="00007C08">
              <w:t xml:space="preserve">. This indicates that factors common to all industries are the main causes of increased casualisation, rather than the mix of industries. </w:t>
            </w:r>
          </w:p>
          <w:p w14:paraId="24DCECA2" w14:textId="372560E9" w:rsidR="00007C08" w:rsidRPr="00D570F6" w:rsidRDefault="00C45BA0" w:rsidP="003B43B8">
            <w:pPr>
              <w:pStyle w:val="Box"/>
              <w:spacing w:before="240" w:after="80"/>
              <w:rPr>
                <w:b/>
                <w:bCs/>
              </w:rPr>
            </w:pPr>
            <w:r w:rsidRPr="00D570F6">
              <w:rPr>
                <w:b/>
                <w:bCs/>
              </w:rPr>
              <w:t>C</w:t>
            </w:r>
            <w:r w:rsidR="00007C08" w:rsidRPr="00D570F6">
              <w:rPr>
                <w:b/>
                <w:bCs/>
              </w:rPr>
              <w:t>ontributions</w:t>
            </w:r>
            <w:r w:rsidR="00E52F49" w:rsidRPr="00D570F6">
              <w:rPr>
                <w:b/>
                <w:bCs/>
              </w:rPr>
              <w:t xml:space="preserve"> </w:t>
            </w:r>
            <w:r w:rsidR="00007C08" w:rsidRPr="00D570F6">
              <w:rPr>
                <w:b/>
                <w:bCs/>
              </w:rPr>
              <w:t>to casualisation between 1985 and 2019</w:t>
            </w:r>
          </w:p>
          <w:tbl>
            <w:tblPr>
              <w:tblW w:w="5000" w:type="pct"/>
              <w:tblCellMar>
                <w:left w:w="0" w:type="dxa"/>
                <w:right w:w="0" w:type="dxa"/>
              </w:tblCellMar>
              <w:tblLook w:val="0000" w:firstRow="0" w:lastRow="0" w:firstColumn="0" w:lastColumn="0" w:noHBand="0" w:noVBand="0"/>
            </w:tblPr>
            <w:tblGrid>
              <w:gridCol w:w="1418"/>
              <w:gridCol w:w="1419"/>
              <w:gridCol w:w="1419"/>
              <w:gridCol w:w="1417"/>
              <w:gridCol w:w="1417"/>
              <w:gridCol w:w="1415"/>
            </w:tblGrid>
            <w:tr w:rsidR="002A2421" w14:paraId="39D39588" w14:textId="77777777" w:rsidTr="0051498E">
              <w:tc>
                <w:tcPr>
                  <w:tcW w:w="834" w:type="pct"/>
                  <w:tcBorders>
                    <w:top w:val="single" w:sz="6" w:space="0" w:color="BFBFBF"/>
                    <w:bottom w:val="single" w:sz="6" w:space="0" w:color="BFBFBF"/>
                  </w:tcBorders>
                  <w:shd w:val="clear" w:color="auto" w:fill="auto"/>
                </w:tcPr>
                <w:p w14:paraId="5574BD7B" w14:textId="77777777" w:rsidR="002A2421" w:rsidRDefault="002A2421" w:rsidP="002A2421">
                  <w:pPr>
                    <w:pStyle w:val="TableColumnHeading"/>
                    <w:jc w:val="left"/>
                  </w:pPr>
                </w:p>
              </w:tc>
              <w:tc>
                <w:tcPr>
                  <w:tcW w:w="834" w:type="pct"/>
                  <w:tcBorders>
                    <w:top w:val="single" w:sz="6" w:space="0" w:color="BFBFBF"/>
                    <w:bottom w:val="single" w:sz="6" w:space="0" w:color="BFBFBF"/>
                  </w:tcBorders>
                  <w:shd w:val="clear" w:color="auto" w:fill="auto"/>
                </w:tcPr>
                <w:p w14:paraId="7A960BE5" w14:textId="77777777" w:rsidR="002A2421" w:rsidRDefault="002A2421" w:rsidP="002A2421">
                  <w:pPr>
                    <w:pStyle w:val="TableColumnHeading"/>
                  </w:pPr>
                  <w:r>
                    <w:t>Agriculture</w:t>
                  </w:r>
                </w:p>
              </w:tc>
              <w:tc>
                <w:tcPr>
                  <w:tcW w:w="834" w:type="pct"/>
                  <w:tcBorders>
                    <w:top w:val="single" w:sz="6" w:space="0" w:color="BFBFBF"/>
                    <w:bottom w:val="single" w:sz="6" w:space="0" w:color="BFBFBF"/>
                  </w:tcBorders>
                  <w:shd w:val="clear" w:color="auto" w:fill="auto"/>
                </w:tcPr>
                <w:p w14:paraId="695345D4" w14:textId="77777777" w:rsidR="002A2421" w:rsidRDefault="002A2421" w:rsidP="002A2421">
                  <w:pPr>
                    <w:pStyle w:val="TableColumnHeading"/>
                  </w:pPr>
                  <w:r>
                    <w:t>Manufacturing</w:t>
                  </w:r>
                </w:p>
              </w:tc>
              <w:tc>
                <w:tcPr>
                  <w:tcW w:w="833" w:type="pct"/>
                  <w:tcBorders>
                    <w:top w:val="single" w:sz="6" w:space="0" w:color="BFBFBF"/>
                    <w:bottom w:val="single" w:sz="6" w:space="0" w:color="BFBFBF"/>
                  </w:tcBorders>
                  <w:shd w:val="clear" w:color="auto" w:fill="auto"/>
                </w:tcPr>
                <w:p w14:paraId="3AAAB6C0" w14:textId="77777777" w:rsidR="002A2421" w:rsidRDefault="002A2421" w:rsidP="002A2421">
                  <w:pPr>
                    <w:pStyle w:val="TableColumnHeading"/>
                  </w:pPr>
                  <w:r>
                    <w:t>Mining</w:t>
                  </w:r>
                </w:p>
              </w:tc>
              <w:tc>
                <w:tcPr>
                  <w:tcW w:w="833" w:type="pct"/>
                  <w:tcBorders>
                    <w:top w:val="single" w:sz="6" w:space="0" w:color="BFBFBF"/>
                    <w:bottom w:val="single" w:sz="6" w:space="0" w:color="BFBFBF"/>
                  </w:tcBorders>
                  <w:shd w:val="clear" w:color="auto" w:fill="auto"/>
                </w:tcPr>
                <w:p w14:paraId="4231AA55" w14:textId="77777777" w:rsidR="002A2421" w:rsidRDefault="002A2421" w:rsidP="002A2421">
                  <w:pPr>
                    <w:pStyle w:val="TableColumnHeading"/>
                  </w:pPr>
                  <w:r>
                    <w:t>Services</w:t>
                  </w:r>
                </w:p>
              </w:tc>
              <w:tc>
                <w:tcPr>
                  <w:tcW w:w="833" w:type="pct"/>
                  <w:tcBorders>
                    <w:top w:val="single" w:sz="6" w:space="0" w:color="BFBFBF"/>
                    <w:bottom w:val="single" w:sz="6" w:space="0" w:color="BFBFBF"/>
                  </w:tcBorders>
                  <w:shd w:val="clear" w:color="auto" w:fill="auto"/>
                </w:tcPr>
                <w:p w14:paraId="06605CC5" w14:textId="77777777" w:rsidR="002A2421" w:rsidRDefault="002A2421" w:rsidP="002A2421">
                  <w:pPr>
                    <w:pStyle w:val="TableColumnHeading"/>
                    <w:ind w:right="6"/>
                  </w:pPr>
                  <w:r>
                    <w:t>Economywide</w:t>
                  </w:r>
                </w:p>
              </w:tc>
            </w:tr>
            <w:tr w:rsidR="002A2421" w14:paraId="7F0E4939" w14:textId="77777777" w:rsidTr="0051498E">
              <w:tc>
                <w:tcPr>
                  <w:tcW w:w="834" w:type="pct"/>
                  <w:tcBorders>
                    <w:top w:val="single" w:sz="6" w:space="0" w:color="BFBFBF"/>
                  </w:tcBorders>
                </w:tcPr>
                <w:p w14:paraId="051C6371" w14:textId="72E1E1B9" w:rsidR="002A2421" w:rsidRDefault="002A2421" w:rsidP="002A2421">
                  <w:pPr>
                    <w:pStyle w:val="TableUnitsRow"/>
                    <w:jc w:val="left"/>
                  </w:pPr>
                </w:p>
              </w:tc>
              <w:tc>
                <w:tcPr>
                  <w:tcW w:w="834" w:type="pct"/>
                  <w:tcBorders>
                    <w:top w:val="single" w:sz="6" w:space="0" w:color="BFBFBF"/>
                  </w:tcBorders>
                </w:tcPr>
                <w:p w14:paraId="2D1FA225" w14:textId="77777777" w:rsidR="002A2421" w:rsidRDefault="002A2421" w:rsidP="002A2421">
                  <w:pPr>
                    <w:pStyle w:val="TableUnitsRow"/>
                  </w:pPr>
                  <w:r>
                    <w:t>p.p.</w:t>
                  </w:r>
                </w:p>
              </w:tc>
              <w:tc>
                <w:tcPr>
                  <w:tcW w:w="834" w:type="pct"/>
                  <w:tcBorders>
                    <w:top w:val="single" w:sz="6" w:space="0" w:color="BFBFBF"/>
                  </w:tcBorders>
                </w:tcPr>
                <w:p w14:paraId="319C32D8" w14:textId="77777777" w:rsidR="002A2421" w:rsidRDefault="002A2421" w:rsidP="002A2421">
                  <w:pPr>
                    <w:pStyle w:val="TableUnitsRow"/>
                  </w:pPr>
                  <w:r>
                    <w:t>p.p.</w:t>
                  </w:r>
                </w:p>
              </w:tc>
              <w:tc>
                <w:tcPr>
                  <w:tcW w:w="833" w:type="pct"/>
                  <w:tcBorders>
                    <w:top w:val="single" w:sz="6" w:space="0" w:color="BFBFBF"/>
                  </w:tcBorders>
                </w:tcPr>
                <w:p w14:paraId="5057544C" w14:textId="77777777" w:rsidR="002A2421" w:rsidRDefault="002A2421" w:rsidP="002A2421">
                  <w:pPr>
                    <w:pStyle w:val="TableUnitsRow"/>
                  </w:pPr>
                  <w:r>
                    <w:t>p.p.</w:t>
                  </w:r>
                </w:p>
              </w:tc>
              <w:tc>
                <w:tcPr>
                  <w:tcW w:w="833" w:type="pct"/>
                  <w:tcBorders>
                    <w:top w:val="single" w:sz="6" w:space="0" w:color="BFBFBF"/>
                  </w:tcBorders>
                </w:tcPr>
                <w:p w14:paraId="4149BA8E" w14:textId="77777777" w:rsidR="002A2421" w:rsidRDefault="002A2421" w:rsidP="002A2421">
                  <w:pPr>
                    <w:pStyle w:val="TableUnitsRow"/>
                  </w:pPr>
                  <w:r>
                    <w:t>p.p.</w:t>
                  </w:r>
                </w:p>
              </w:tc>
              <w:tc>
                <w:tcPr>
                  <w:tcW w:w="833" w:type="pct"/>
                  <w:tcBorders>
                    <w:top w:val="single" w:sz="6" w:space="0" w:color="BFBFBF"/>
                  </w:tcBorders>
                </w:tcPr>
                <w:p w14:paraId="4486B659" w14:textId="77777777" w:rsidR="002A2421" w:rsidRDefault="002A2421" w:rsidP="002A2421">
                  <w:pPr>
                    <w:pStyle w:val="TableUnitsRow"/>
                    <w:ind w:right="6"/>
                  </w:pPr>
                  <w:r>
                    <w:t>p.p.</w:t>
                  </w:r>
                </w:p>
              </w:tc>
            </w:tr>
            <w:tr w:rsidR="002A2421" w14:paraId="78319616" w14:textId="77777777" w:rsidTr="0035178E">
              <w:tc>
                <w:tcPr>
                  <w:tcW w:w="834" w:type="pct"/>
                </w:tcPr>
                <w:p w14:paraId="621C0831" w14:textId="77777777" w:rsidR="002A2421" w:rsidRDefault="002A2421" w:rsidP="002A2421">
                  <w:pPr>
                    <w:pStyle w:val="TableBodyText"/>
                    <w:jc w:val="left"/>
                  </w:pPr>
                  <w:r>
                    <w:t>Within</w:t>
                  </w:r>
                </w:p>
              </w:tc>
              <w:tc>
                <w:tcPr>
                  <w:tcW w:w="834" w:type="pct"/>
                </w:tcPr>
                <w:p w14:paraId="68731CA3" w14:textId="77777777" w:rsidR="002A2421" w:rsidRDefault="002A2421" w:rsidP="002A2421">
                  <w:pPr>
                    <w:pStyle w:val="TableBodyText"/>
                  </w:pPr>
                  <w:r>
                    <w:t>-0.10</w:t>
                  </w:r>
                </w:p>
              </w:tc>
              <w:tc>
                <w:tcPr>
                  <w:tcW w:w="834" w:type="pct"/>
                </w:tcPr>
                <w:p w14:paraId="231E7514" w14:textId="77777777" w:rsidR="002A2421" w:rsidRDefault="002A2421" w:rsidP="002A2421">
                  <w:pPr>
                    <w:pStyle w:val="TableBodyText"/>
                  </w:pPr>
                  <w:r>
                    <w:t>0.22</w:t>
                  </w:r>
                </w:p>
              </w:tc>
              <w:tc>
                <w:tcPr>
                  <w:tcW w:w="833" w:type="pct"/>
                </w:tcPr>
                <w:p w14:paraId="627E4E44" w14:textId="77777777" w:rsidR="002A2421" w:rsidRDefault="002A2421" w:rsidP="002A2421">
                  <w:pPr>
                    <w:pStyle w:val="TableBodyText"/>
                  </w:pPr>
                  <w:r>
                    <w:t>1.19</w:t>
                  </w:r>
                </w:p>
              </w:tc>
              <w:tc>
                <w:tcPr>
                  <w:tcW w:w="833" w:type="pct"/>
                </w:tcPr>
                <w:p w14:paraId="228D63EB" w14:textId="77777777" w:rsidR="002A2421" w:rsidRDefault="002A2421" w:rsidP="002A2421">
                  <w:pPr>
                    <w:pStyle w:val="TableBodyText"/>
                  </w:pPr>
                  <w:r>
                    <w:t>2.92</w:t>
                  </w:r>
                </w:p>
              </w:tc>
              <w:tc>
                <w:tcPr>
                  <w:tcW w:w="833" w:type="pct"/>
                </w:tcPr>
                <w:p w14:paraId="253EE05A" w14:textId="77777777" w:rsidR="002A2421" w:rsidRDefault="002A2421" w:rsidP="002A2421">
                  <w:pPr>
                    <w:pStyle w:val="TableBodyText"/>
                    <w:ind w:right="6"/>
                  </w:pPr>
                  <w:r>
                    <w:t>4.23</w:t>
                  </w:r>
                </w:p>
              </w:tc>
            </w:tr>
            <w:tr w:rsidR="002A2421" w14:paraId="15BB34DA" w14:textId="77777777" w:rsidTr="0051498E">
              <w:tc>
                <w:tcPr>
                  <w:tcW w:w="834" w:type="pct"/>
                </w:tcPr>
                <w:p w14:paraId="2157CF71" w14:textId="77777777" w:rsidR="002A2421" w:rsidRDefault="002A2421" w:rsidP="002A2421">
                  <w:pPr>
                    <w:pStyle w:val="TableBodyText"/>
                    <w:jc w:val="left"/>
                  </w:pPr>
                  <w:r>
                    <w:t>Between</w:t>
                  </w:r>
                </w:p>
              </w:tc>
              <w:tc>
                <w:tcPr>
                  <w:tcW w:w="834" w:type="pct"/>
                </w:tcPr>
                <w:p w14:paraId="40BDE8DC" w14:textId="77777777" w:rsidR="002A2421" w:rsidRDefault="002A2421" w:rsidP="002A2421">
                  <w:pPr>
                    <w:pStyle w:val="TableBodyText"/>
                  </w:pPr>
                  <w:r>
                    <w:t>-0.18</w:t>
                  </w:r>
                </w:p>
              </w:tc>
              <w:tc>
                <w:tcPr>
                  <w:tcW w:w="834" w:type="pct"/>
                </w:tcPr>
                <w:p w14:paraId="509B0C59" w14:textId="77777777" w:rsidR="002A2421" w:rsidRDefault="002A2421" w:rsidP="002A2421">
                  <w:pPr>
                    <w:pStyle w:val="TableBodyText"/>
                  </w:pPr>
                  <w:r>
                    <w:t>-0.04</w:t>
                  </w:r>
                </w:p>
              </w:tc>
              <w:tc>
                <w:tcPr>
                  <w:tcW w:w="833" w:type="pct"/>
                </w:tcPr>
                <w:p w14:paraId="673596A9" w14:textId="77777777" w:rsidR="002A2421" w:rsidRDefault="002A2421" w:rsidP="002A2421">
                  <w:pPr>
                    <w:pStyle w:val="TableBodyText"/>
                  </w:pPr>
                  <w:r>
                    <w:t>0.81</w:t>
                  </w:r>
                </w:p>
              </w:tc>
              <w:tc>
                <w:tcPr>
                  <w:tcW w:w="833" w:type="pct"/>
                </w:tcPr>
                <w:p w14:paraId="0DE1B38E" w14:textId="77777777" w:rsidR="002A2421" w:rsidRDefault="002A2421" w:rsidP="002A2421">
                  <w:pPr>
                    <w:pStyle w:val="TableBodyText"/>
                  </w:pPr>
                  <w:r>
                    <w:t>0.14</w:t>
                  </w:r>
                </w:p>
              </w:tc>
              <w:tc>
                <w:tcPr>
                  <w:tcW w:w="833" w:type="pct"/>
                </w:tcPr>
                <w:p w14:paraId="26B2001E" w14:textId="77777777" w:rsidR="002A2421" w:rsidRDefault="002A2421" w:rsidP="002A2421">
                  <w:pPr>
                    <w:pStyle w:val="TableBodyText"/>
                    <w:ind w:right="6"/>
                  </w:pPr>
                  <w:r>
                    <w:t>0.73</w:t>
                  </w:r>
                </w:p>
              </w:tc>
            </w:tr>
            <w:tr w:rsidR="002A2421" w14:paraId="23DC39BF" w14:textId="77777777" w:rsidTr="0051498E">
              <w:tc>
                <w:tcPr>
                  <w:tcW w:w="834" w:type="pct"/>
                  <w:tcBorders>
                    <w:bottom w:val="single" w:sz="6" w:space="0" w:color="BFBFBF"/>
                  </w:tcBorders>
                  <w:shd w:val="clear" w:color="auto" w:fill="auto"/>
                </w:tcPr>
                <w:p w14:paraId="49E73A47" w14:textId="77777777" w:rsidR="002A2421" w:rsidRDefault="002A2421" w:rsidP="002A2421">
                  <w:pPr>
                    <w:pStyle w:val="TableBodyText"/>
                    <w:jc w:val="left"/>
                  </w:pPr>
                  <w:r>
                    <w:t>Total</w:t>
                  </w:r>
                </w:p>
              </w:tc>
              <w:tc>
                <w:tcPr>
                  <w:tcW w:w="834" w:type="pct"/>
                  <w:tcBorders>
                    <w:bottom w:val="single" w:sz="6" w:space="0" w:color="BFBFBF"/>
                  </w:tcBorders>
                  <w:shd w:val="clear" w:color="auto" w:fill="auto"/>
                </w:tcPr>
                <w:p w14:paraId="46B3A0A4" w14:textId="77777777" w:rsidR="002A2421" w:rsidRDefault="002A2421" w:rsidP="002A2421">
                  <w:pPr>
                    <w:pStyle w:val="TableBodyText"/>
                  </w:pPr>
                  <w:r>
                    <w:t>-0.27</w:t>
                  </w:r>
                </w:p>
              </w:tc>
              <w:tc>
                <w:tcPr>
                  <w:tcW w:w="834" w:type="pct"/>
                  <w:tcBorders>
                    <w:bottom w:val="single" w:sz="6" w:space="0" w:color="BFBFBF"/>
                  </w:tcBorders>
                  <w:shd w:val="clear" w:color="auto" w:fill="auto"/>
                </w:tcPr>
                <w:p w14:paraId="74268E2A" w14:textId="77777777" w:rsidR="002A2421" w:rsidRDefault="002A2421" w:rsidP="002A2421">
                  <w:pPr>
                    <w:pStyle w:val="TableBodyText"/>
                  </w:pPr>
                  <w:r>
                    <w:t>0.18</w:t>
                  </w:r>
                </w:p>
              </w:tc>
              <w:tc>
                <w:tcPr>
                  <w:tcW w:w="833" w:type="pct"/>
                  <w:tcBorders>
                    <w:bottom w:val="single" w:sz="6" w:space="0" w:color="BFBFBF"/>
                  </w:tcBorders>
                  <w:shd w:val="clear" w:color="auto" w:fill="auto"/>
                </w:tcPr>
                <w:p w14:paraId="0628D241" w14:textId="77777777" w:rsidR="002A2421" w:rsidRDefault="002A2421" w:rsidP="002A2421">
                  <w:pPr>
                    <w:pStyle w:val="TableBodyText"/>
                  </w:pPr>
                  <w:r>
                    <w:t>2.00</w:t>
                  </w:r>
                </w:p>
              </w:tc>
              <w:tc>
                <w:tcPr>
                  <w:tcW w:w="833" w:type="pct"/>
                  <w:tcBorders>
                    <w:bottom w:val="single" w:sz="6" w:space="0" w:color="BFBFBF"/>
                  </w:tcBorders>
                  <w:shd w:val="clear" w:color="auto" w:fill="auto"/>
                </w:tcPr>
                <w:p w14:paraId="6716B7CA" w14:textId="77777777" w:rsidR="002A2421" w:rsidRDefault="002A2421" w:rsidP="002A2421">
                  <w:pPr>
                    <w:pStyle w:val="TableBodyText"/>
                  </w:pPr>
                  <w:r>
                    <w:t>3.05</w:t>
                  </w:r>
                </w:p>
              </w:tc>
              <w:tc>
                <w:tcPr>
                  <w:tcW w:w="833" w:type="pct"/>
                  <w:tcBorders>
                    <w:bottom w:val="single" w:sz="6" w:space="0" w:color="BFBFBF"/>
                  </w:tcBorders>
                  <w:shd w:val="clear" w:color="auto" w:fill="auto"/>
                </w:tcPr>
                <w:p w14:paraId="6D95B8B7" w14:textId="77777777" w:rsidR="002A2421" w:rsidRDefault="002A2421" w:rsidP="002A2421">
                  <w:pPr>
                    <w:pStyle w:val="TableBodyText"/>
                    <w:ind w:right="6"/>
                  </w:pPr>
                  <w:r>
                    <w:t>4.96</w:t>
                  </w:r>
                </w:p>
              </w:tc>
            </w:tr>
          </w:tbl>
          <w:p w14:paraId="494964D9" w14:textId="77777777" w:rsidR="00777FF0" w:rsidRPr="00777FF0" w:rsidRDefault="00777FF0" w:rsidP="003B43B8">
            <w:pPr>
              <w:pStyle w:val="Box"/>
              <w:spacing w:before="240" w:after="80"/>
            </w:pPr>
            <w:r w:rsidRPr="00777FF0">
              <w:rPr>
                <w:b/>
                <w:bCs/>
              </w:rPr>
              <w:t>Proportionally casual work has grown more in manufacturing than in the whole economy</w:t>
            </w:r>
          </w:p>
          <w:p w14:paraId="03AAFAD2" w14:textId="1EE761AC" w:rsidR="00007C08" w:rsidRPr="007F12F5" w:rsidRDefault="00777FF0" w:rsidP="00F559F2">
            <w:pPr>
              <w:pStyle w:val="Box"/>
              <w:spacing w:before="0"/>
            </w:pPr>
            <w:r w:rsidRPr="00777FF0">
              <w:rPr>
                <w:noProof/>
              </w:rPr>
              <w:drawing>
                <wp:inline distT="0" distB="0" distL="0" distR="0" wp14:anchorId="326381BB" wp14:editId="70475C56">
                  <wp:extent cx="5400675" cy="2876550"/>
                  <wp:effectExtent l="0" t="0" r="0" b="0"/>
                  <wp:docPr id="15" name="Picture 15" descr="The proportion of employees not entitled to sick leave is increasing throughout the economy from 1985 to 2019. While services have a higher portion of employees not entitled to sick leave, manufacturing and mining are increasing at a faster rate th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proportion of employees not entitled to sick leave is increasing throughout the economy from 1985 to 2019. While services have a higher portion of employees not entitled to sick leave, manufacturing and mining are increasing at a faster rate than servic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007C08" w14:paraId="62D6CB60" w14:textId="77777777" w:rsidTr="36E5E979">
        <w:tc>
          <w:tcPr>
            <w:tcW w:w="5000" w:type="pct"/>
            <w:tcBorders>
              <w:top w:val="nil"/>
              <w:left w:val="nil"/>
              <w:bottom w:val="nil"/>
              <w:right w:val="nil"/>
            </w:tcBorders>
            <w:shd w:val="clear" w:color="auto" w:fill="F2F2F2" w:themeFill="background1" w:themeFillShade="F2"/>
          </w:tcPr>
          <w:p w14:paraId="2B792D97" w14:textId="718EB523" w:rsidR="00007C08" w:rsidRPr="0051498E" w:rsidRDefault="00007C08" w:rsidP="00C10A79">
            <w:pPr>
              <w:pStyle w:val="BoxSource"/>
              <w:rPr>
                <w:spacing w:val="-4"/>
              </w:rPr>
            </w:pPr>
            <w:r w:rsidRPr="0051498E">
              <w:rPr>
                <w:i/>
                <w:spacing w:val="-4"/>
              </w:rPr>
              <w:t>Source</w:t>
            </w:r>
            <w:r w:rsidRPr="0051498E">
              <w:rPr>
                <w:spacing w:val="-4"/>
              </w:rPr>
              <w:t>: Commission estimates based on ABS (</w:t>
            </w:r>
            <w:r w:rsidRPr="0051498E">
              <w:rPr>
                <w:i/>
                <w:spacing w:val="-4"/>
              </w:rPr>
              <w:t>Microdata: Characteristics of Employment, August 2019</w:t>
            </w:r>
            <w:r w:rsidRPr="0051498E">
              <w:rPr>
                <w:spacing w:val="-4"/>
              </w:rPr>
              <w:t xml:space="preserve">, Cat. No. 6333.0.00.001; </w:t>
            </w:r>
            <w:r w:rsidRPr="0051498E">
              <w:rPr>
                <w:i/>
                <w:spacing w:val="-4"/>
              </w:rPr>
              <w:t>Weekly Earnings of Employees (Distribution), Australia, Aug 1985</w:t>
            </w:r>
            <w:r w:rsidRPr="0051498E">
              <w:rPr>
                <w:spacing w:val="-4"/>
              </w:rPr>
              <w:t xml:space="preserve">, Cat. no. 6310.0); </w:t>
            </w:r>
            <w:proofErr w:type="spellStart"/>
            <w:r w:rsidRPr="0051498E">
              <w:rPr>
                <w:spacing w:val="-4"/>
              </w:rPr>
              <w:t>Gilfillian</w:t>
            </w:r>
            <w:proofErr w:type="spellEnd"/>
            <w:r w:rsidRPr="0051498E">
              <w:rPr>
                <w:spacing w:val="-4"/>
              </w:rPr>
              <w:t xml:space="preserve"> </w:t>
            </w:r>
            <w:r w:rsidRPr="0051498E">
              <w:rPr>
                <w:rFonts w:cs="Tahoma"/>
                <w:spacing w:val="-4"/>
              </w:rPr>
              <w:t>(2018)</w:t>
            </w:r>
            <w:r w:rsidRPr="0051498E">
              <w:rPr>
                <w:spacing w:val="-4"/>
              </w:rPr>
              <w:t>.</w:t>
            </w:r>
          </w:p>
        </w:tc>
      </w:tr>
      <w:tr w:rsidR="00007C08" w14:paraId="261143C5" w14:textId="77777777" w:rsidTr="36E5E979">
        <w:tc>
          <w:tcPr>
            <w:tcW w:w="5000" w:type="pct"/>
            <w:tcBorders>
              <w:top w:val="nil"/>
              <w:left w:val="nil"/>
              <w:bottom w:val="single" w:sz="6" w:space="0" w:color="78A22F" w:themeColor="accent1"/>
              <w:right w:val="nil"/>
            </w:tcBorders>
            <w:shd w:val="clear" w:color="auto" w:fill="F2F2F2" w:themeFill="background1" w:themeFillShade="F2"/>
          </w:tcPr>
          <w:p w14:paraId="654513B0" w14:textId="77777777" w:rsidR="00007C08" w:rsidRDefault="00007C08" w:rsidP="00C10A79">
            <w:pPr>
              <w:pStyle w:val="Box"/>
              <w:spacing w:before="0" w:line="120" w:lineRule="exact"/>
            </w:pPr>
          </w:p>
        </w:tc>
      </w:tr>
      <w:tr w:rsidR="00007C08" w:rsidRPr="00D570F6" w14:paraId="5449037C" w14:textId="77777777" w:rsidTr="36E5E979">
        <w:trPr>
          <w:hidden/>
        </w:trPr>
        <w:tc>
          <w:tcPr>
            <w:tcW w:w="5000" w:type="pct"/>
            <w:tcBorders>
              <w:top w:val="single" w:sz="6" w:space="0" w:color="78A22F" w:themeColor="accent1"/>
              <w:left w:val="nil"/>
              <w:bottom w:val="nil"/>
              <w:right w:val="nil"/>
            </w:tcBorders>
          </w:tcPr>
          <w:p w14:paraId="5259A62E" w14:textId="77777777" w:rsidR="00007C08" w:rsidRPr="00D570F6" w:rsidRDefault="00007C08" w:rsidP="00C10A79">
            <w:pPr>
              <w:pStyle w:val="BoxSpaceBelow"/>
              <w:rPr>
                <w:rFonts w:ascii="Times New Roman" w:hAnsi="Times New Roman"/>
                <w:b/>
                <w:vanish/>
              </w:rPr>
            </w:pPr>
          </w:p>
        </w:tc>
      </w:tr>
    </w:tbl>
    <w:p w14:paraId="34A6268E" w14:textId="77777777" w:rsidR="00813AD0" w:rsidRDefault="00813AD0">
      <w:pPr>
        <w:rPr>
          <w:rFonts w:ascii="Times New Roman" w:eastAsia="Times New Roman" w:hAnsi="Times New Roman" w:cs="Times New Roman"/>
          <w:sz w:val="24"/>
          <w:szCs w:val="20"/>
          <w:lang w:eastAsia="en-AU"/>
        </w:rPr>
      </w:pPr>
      <w:r>
        <w:br w:type="page"/>
      </w:r>
    </w:p>
    <w:p w14:paraId="5F8F712B" w14:textId="7F60839D" w:rsidR="0021773C" w:rsidRDefault="008A5D98" w:rsidP="008A5D98">
      <w:pPr>
        <w:pStyle w:val="BodyText"/>
      </w:pPr>
      <w:r>
        <w:lastRenderedPageBreak/>
        <w:t xml:space="preserve">Higher wages in some service </w:t>
      </w:r>
      <w:r w:rsidR="0058535D">
        <w:t>sub</w:t>
      </w:r>
      <w:r>
        <w:t>sectors can likely be explained by higher</w:t>
      </w:r>
      <w:r w:rsidR="000847C5">
        <w:t>-</w:t>
      </w:r>
      <w:r>
        <w:t xml:space="preserve">level human capital </w:t>
      </w:r>
      <w:r w:rsidR="000847C5">
        <w:t xml:space="preserve">requirements </w:t>
      </w:r>
      <w:r w:rsidR="00B72C3C">
        <w:t>of</w:t>
      </w:r>
      <w:r w:rsidR="003E05B4">
        <w:t xml:space="preserve"> those </w:t>
      </w:r>
      <w:r w:rsidR="00AB02FF">
        <w:t>sub</w:t>
      </w:r>
      <w:r w:rsidR="00B72C3C">
        <w:t>sectors’ workers</w:t>
      </w:r>
      <w:r>
        <w:t>. Figure 1</w:t>
      </w:r>
      <w:r w:rsidR="00DE65A5">
        <w:t>1</w:t>
      </w:r>
      <w:r>
        <w:t xml:space="preserve"> shows that the service sector has higher shares of workers with at least an Advanced Diploma, relative to </w:t>
      </w:r>
      <w:r w:rsidR="007625C2">
        <w:t xml:space="preserve">the </w:t>
      </w:r>
      <w:r>
        <w:t>goods sector. And this difference has become more pronounced over time</w:t>
      </w:r>
      <w:r w:rsidR="00D61EF3">
        <w:t xml:space="preserve"> (figure 1</w:t>
      </w:r>
      <w:r w:rsidR="00DE65A5">
        <w:t>2</w:t>
      </w:r>
      <w:r w:rsidR="00D61EF3">
        <w:t>)</w:t>
      </w:r>
      <w:r>
        <w:t>.</w:t>
      </w:r>
      <w:r w:rsidR="00D61EF3">
        <w:t xml:space="preserve"> </w:t>
      </w:r>
      <w:r w:rsidR="000B6279">
        <w:t xml:space="preserve">From 2014 to 2020, the </w:t>
      </w:r>
      <w:r w:rsidR="00A527DA">
        <w:t xml:space="preserve">service sector wage </w:t>
      </w:r>
      <w:r w:rsidR="001D7644">
        <w:t>premium</w:t>
      </w:r>
      <w:r w:rsidR="00CE2F00">
        <w:t xml:space="preserve"> (that is the difference in wages)</w:t>
      </w:r>
      <w:r w:rsidR="00A527DA">
        <w:t xml:space="preserve"> of a </w:t>
      </w:r>
      <w:r w:rsidR="0048509F">
        <w:t>bachelor’s</w:t>
      </w:r>
      <w:r w:rsidR="00A527DA">
        <w:t xml:space="preserve"> degree </w:t>
      </w:r>
      <w:r w:rsidR="001131C5">
        <w:t>compared to</w:t>
      </w:r>
      <w:r w:rsidR="008334C3">
        <w:t xml:space="preserve"> </w:t>
      </w:r>
      <w:r w:rsidR="00A527DA">
        <w:t xml:space="preserve">completing </w:t>
      </w:r>
      <w:r w:rsidR="008334C3">
        <w:t xml:space="preserve">year 12 has risen from </w:t>
      </w:r>
      <w:r w:rsidR="00F50D75">
        <w:t>57</w:t>
      </w:r>
      <w:r w:rsidR="00AA19F3">
        <w:t xml:space="preserve"> per cent </w:t>
      </w:r>
      <w:r w:rsidR="00F50D75">
        <w:t xml:space="preserve">to </w:t>
      </w:r>
      <w:r w:rsidR="004003DA">
        <w:t>65</w:t>
      </w:r>
      <w:r w:rsidR="00AA19F3">
        <w:t> per cent</w:t>
      </w:r>
      <w:r w:rsidR="004B2C7D">
        <w:t xml:space="preserve"> </w:t>
      </w:r>
      <w:r w:rsidR="00213A40" w:rsidRPr="00213A40">
        <w:rPr>
          <w:szCs w:val="24"/>
        </w:rPr>
        <w:t>(ABS 2020b)</w:t>
      </w:r>
      <w:r w:rsidR="001D7644">
        <w:t>.</w:t>
      </w:r>
      <w:r w:rsidR="00D61EF3">
        <w:t xml:space="preserve"> </w:t>
      </w:r>
    </w:p>
    <w:p w14:paraId="45BE3863" w14:textId="47C9ACD2" w:rsidR="007F2FCD" w:rsidRDefault="00D61EF3" w:rsidP="008A5D98">
      <w:pPr>
        <w:pStyle w:val="BodyText"/>
      </w:pPr>
      <w:r>
        <w:t>W</w:t>
      </w:r>
      <w:r w:rsidR="008A5D98">
        <w:t xml:space="preserve">hile both the goods and service sectors have increased their share of higher educated workers since 2006, the magnitude of this increase was significantly higher in the service sector. </w:t>
      </w:r>
      <w:proofErr w:type="gramStart"/>
      <w:r w:rsidR="00827653">
        <w:t>This compounds</w:t>
      </w:r>
      <w:proofErr w:type="gramEnd"/>
      <w:r w:rsidR="00827653">
        <w:t xml:space="preserve"> the effect caused by a shift from a predominately goods producing economy to a predominately service-based economy.</w:t>
      </w:r>
      <w:r w:rsidR="007F2FCD">
        <w:t xml:space="preserve"> </w:t>
      </w:r>
    </w:p>
    <w:p w14:paraId="2391BAD3" w14:textId="77777777" w:rsidR="0020787E" w:rsidRDefault="0020787E" w:rsidP="0020787E">
      <w:pPr>
        <w:pStyle w:val="BodyText"/>
      </w:pPr>
      <w:r>
        <w:t>Even were services workers have lower levels of post-school education, there are still opportunities to earn above median wage (figure 13). This could suggest that some service industries provide avenues for on-the-job</w:t>
      </w:r>
      <w:r w:rsidRPr="00D655EA">
        <w:t xml:space="preserve"> </w:t>
      </w:r>
      <w:r>
        <w:t xml:space="preserve">training as the ABS defines its low-skilled occupations by the level of education in that occupation (other measures of human capital such as on-the-job training and experience are sometimes used as substitutes for formal education but are secondary measures in defining occupation skill levels). There are other explanatory factors, however. It could be that certain skills and experience are scarce and earn higher wages, for example specialised technicians in the utilities industries. It could be a wage premium related to the risk or the demanding nature of the work. Finally, unionisation rates (that are high in construction and utilities industries) may lead to higher wages </w:t>
      </w:r>
      <w:r w:rsidRPr="00E04E0F">
        <w:rPr>
          <w:szCs w:val="24"/>
        </w:rPr>
        <w:t>(Andrews et al. 1998)</w:t>
      </w:r>
      <w:r>
        <w:t>.</w:t>
      </w:r>
    </w:p>
    <w:p w14:paraId="705E73CF" w14:textId="2BCFC97D" w:rsidR="00007C08" w:rsidRDefault="00007C08" w:rsidP="00007C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C08" w14:paraId="26B75FCF" w14:textId="77777777" w:rsidTr="36E5E979">
        <w:trPr>
          <w:tblHeader/>
        </w:trPr>
        <w:tc>
          <w:tcPr>
            <w:tcW w:w="5000" w:type="pct"/>
            <w:tcBorders>
              <w:top w:val="single" w:sz="6" w:space="0" w:color="78A22F" w:themeColor="accent1"/>
              <w:left w:val="nil"/>
              <w:bottom w:val="nil"/>
              <w:right w:val="nil"/>
            </w:tcBorders>
            <w:shd w:val="clear" w:color="auto" w:fill="auto"/>
          </w:tcPr>
          <w:p w14:paraId="728DB9D1" w14:textId="17943D35" w:rsidR="00007C08" w:rsidRPr="0051498E" w:rsidRDefault="00007C08" w:rsidP="00C10A79">
            <w:pPr>
              <w:pStyle w:val="FigureTitle"/>
              <w:rPr>
                <w:rFonts w:ascii="Arial Bold" w:hAnsi="Arial Bold"/>
                <w:spacing w:val="-4"/>
              </w:rPr>
            </w:pPr>
            <w:r w:rsidRPr="00784A05">
              <w:rPr>
                <w:b w:val="0"/>
              </w:rPr>
              <w:t xml:space="preserve">Figure </w:t>
            </w:r>
            <w:r w:rsidR="00061963">
              <w:rPr>
                <w:b w:val="0"/>
                <w:noProof/>
              </w:rPr>
              <w:t>11</w:t>
            </w:r>
            <w:r>
              <w:tab/>
            </w:r>
            <w:r w:rsidRPr="0051498E">
              <w:rPr>
                <w:rFonts w:ascii="Arial Bold" w:hAnsi="Arial Bold"/>
                <w:spacing w:val="-4"/>
              </w:rPr>
              <w:t>In aggregate, services tend towards higher education levels</w:t>
            </w:r>
            <w:r w:rsidR="0051498E" w:rsidRPr="0051498E">
              <w:rPr>
                <w:rFonts w:ascii="Arial Bold" w:hAnsi="Arial Bold"/>
                <w:spacing w:val="-4"/>
              </w:rPr>
              <w:t> </w:t>
            </w:r>
            <w:r w:rsidR="00BB02D2" w:rsidRPr="0051498E">
              <w:rPr>
                <w:rFonts w:ascii="Arial Bold" w:hAnsi="Arial Bold"/>
                <w:spacing w:val="-4"/>
              </w:rPr>
              <w:t>…</w:t>
            </w:r>
          </w:p>
          <w:p w14:paraId="421E7D3D" w14:textId="35A6A0F5" w:rsidR="00007C08" w:rsidRPr="00176D3F" w:rsidRDefault="00492311" w:rsidP="00C10A79">
            <w:pPr>
              <w:pStyle w:val="Subtitle"/>
            </w:pPr>
            <w:r>
              <w:t xml:space="preserve">Distribution of </w:t>
            </w:r>
            <w:r w:rsidR="009C2D86">
              <w:t xml:space="preserve">workers </w:t>
            </w:r>
            <w:r w:rsidR="00E43FDD">
              <w:t>b</w:t>
            </w:r>
            <w:r w:rsidR="009C2D86">
              <w:t>y highest education</w:t>
            </w:r>
            <w:r w:rsidR="00176BB0">
              <w:t>al</w:t>
            </w:r>
            <w:r w:rsidR="009C2D86">
              <w:t xml:space="preserve"> attainment</w:t>
            </w:r>
          </w:p>
        </w:tc>
      </w:tr>
      <w:tr w:rsidR="00007C08" w14:paraId="6A2FA246"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C08" w:rsidRPr="00B1465D" w14:paraId="2177B65F" w14:textId="77777777" w:rsidTr="36E5E979">
              <w:trPr>
                <w:tblHeader/>
                <w:jc w:val="center"/>
              </w:trPr>
              <w:tc>
                <w:tcPr>
                  <w:tcW w:w="5000" w:type="pct"/>
                  <w:tcBorders>
                    <w:top w:val="nil"/>
                    <w:bottom w:val="nil"/>
                  </w:tcBorders>
                </w:tcPr>
                <w:p w14:paraId="63E34916" w14:textId="674A14A1" w:rsidR="00007C08" w:rsidRPr="00B1465D" w:rsidRDefault="00007C08" w:rsidP="00813AD0">
                  <w:pPr>
                    <w:pStyle w:val="Figure"/>
                    <w:spacing w:before="0" w:after="60"/>
                    <w:rPr>
                      <w:rFonts w:ascii="Tahoma" w:hAnsi="Tahoma" w:cs="Tahoma"/>
                      <w:sz w:val="18"/>
                      <w:szCs w:val="18"/>
                    </w:rPr>
                  </w:pPr>
                  <w:r>
                    <w:rPr>
                      <w:noProof/>
                    </w:rPr>
                    <w:drawing>
                      <wp:inline distT="0" distB="0" distL="0" distR="0" wp14:anchorId="4702FABF" wp14:editId="2ADA506C">
                        <wp:extent cx="5399998" cy="2884235"/>
                        <wp:effectExtent l="0" t="0" r="0" b="0"/>
                        <wp:docPr id="29" name="Graphic 29" descr="The goods sector employs a relatively higher portion of persons with only school or certificate 3/4 qualifications. Services employ a relatively higher portion of people with advance diplomas, bachelors degrees and postgraduate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36">
                                  <a:extLst>
                                    <a:ext uri="{96DAC541-7B7A-43D3-8B79-37D633B846F1}">
                                      <asvg:svgBlip xmlns:asvg="http://schemas.microsoft.com/office/drawing/2016/SVG/main" r:embed="rId37"/>
                                    </a:ext>
                                  </a:extLst>
                                </a:blip>
                                <a:stretch>
                                  <a:fillRect/>
                                </a:stretch>
                              </pic:blipFill>
                              <pic:spPr>
                                <a:xfrm>
                                  <a:off x="0" y="0"/>
                                  <a:ext cx="5399998" cy="2884235"/>
                                </a:xfrm>
                                <a:prstGeom prst="rect">
                                  <a:avLst/>
                                </a:prstGeom>
                              </pic:spPr>
                            </pic:pic>
                          </a:graphicData>
                        </a:graphic>
                      </wp:inline>
                    </w:drawing>
                  </w:r>
                </w:p>
              </w:tc>
            </w:tr>
          </w:tbl>
          <w:p w14:paraId="089C2B23" w14:textId="77777777" w:rsidR="00007C08" w:rsidRDefault="00007C08" w:rsidP="00C10A79">
            <w:pPr>
              <w:pStyle w:val="Figure"/>
            </w:pPr>
          </w:p>
        </w:tc>
      </w:tr>
      <w:tr w:rsidR="00007C08" w:rsidRPr="00176D3F" w14:paraId="32745ED5" w14:textId="77777777" w:rsidTr="36E5E979">
        <w:tc>
          <w:tcPr>
            <w:tcW w:w="5000" w:type="pct"/>
            <w:tcBorders>
              <w:top w:val="nil"/>
              <w:left w:val="nil"/>
              <w:bottom w:val="nil"/>
              <w:right w:val="nil"/>
            </w:tcBorders>
            <w:shd w:val="clear" w:color="auto" w:fill="auto"/>
          </w:tcPr>
          <w:p w14:paraId="79E3C7C9" w14:textId="7B25898F" w:rsidR="00007C08" w:rsidRPr="0051498E" w:rsidRDefault="000847C0" w:rsidP="00C10A79">
            <w:pPr>
              <w:pStyle w:val="Source"/>
              <w:rPr>
                <w:spacing w:val="-4"/>
              </w:rPr>
            </w:pPr>
            <w:r w:rsidRPr="0051498E">
              <w:rPr>
                <w:i/>
                <w:spacing w:val="-4"/>
              </w:rPr>
              <w:t>Source</w:t>
            </w:r>
            <w:r w:rsidRPr="0051498E">
              <w:rPr>
                <w:spacing w:val="-4"/>
              </w:rPr>
              <w:t xml:space="preserve">: ABS </w:t>
            </w:r>
            <w:proofErr w:type="spellStart"/>
            <w:r w:rsidRPr="0051498E">
              <w:rPr>
                <w:spacing w:val="-4"/>
              </w:rPr>
              <w:t>Tablebuilder</w:t>
            </w:r>
            <w:proofErr w:type="spellEnd"/>
            <w:r w:rsidRPr="0051498E">
              <w:rPr>
                <w:spacing w:val="-4"/>
              </w:rPr>
              <w:t xml:space="preserve"> (</w:t>
            </w:r>
            <w:r w:rsidRPr="0051498E">
              <w:rPr>
                <w:i/>
                <w:spacing w:val="-4"/>
              </w:rPr>
              <w:t>Microdata: Characteristics of Employment, August 2019</w:t>
            </w:r>
            <w:r w:rsidRPr="0051498E">
              <w:rPr>
                <w:spacing w:val="-4"/>
              </w:rPr>
              <w:t>, Cat. No. 6333.0.00.001).</w:t>
            </w:r>
          </w:p>
        </w:tc>
      </w:tr>
      <w:tr w:rsidR="00007C08" w14:paraId="4963091E" w14:textId="77777777" w:rsidTr="36E5E979">
        <w:tc>
          <w:tcPr>
            <w:tcW w:w="5000" w:type="pct"/>
            <w:tcBorders>
              <w:top w:val="nil"/>
              <w:left w:val="nil"/>
              <w:bottom w:val="single" w:sz="6" w:space="0" w:color="78A22F" w:themeColor="accent1"/>
              <w:right w:val="nil"/>
            </w:tcBorders>
            <w:shd w:val="clear" w:color="auto" w:fill="auto"/>
          </w:tcPr>
          <w:p w14:paraId="3566F21D" w14:textId="77777777" w:rsidR="00007C08" w:rsidRDefault="00007C08" w:rsidP="00C10A79">
            <w:pPr>
              <w:pStyle w:val="Figurespace"/>
            </w:pPr>
          </w:p>
        </w:tc>
      </w:tr>
      <w:tr w:rsidR="00007C08" w:rsidRPr="00D570F6" w14:paraId="77886658" w14:textId="77777777" w:rsidTr="36E5E979">
        <w:trPr>
          <w:hidden/>
        </w:trPr>
        <w:tc>
          <w:tcPr>
            <w:tcW w:w="5000" w:type="pct"/>
            <w:tcBorders>
              <w:top w:val="single" w:sz="6" w:space="0" w:color="78A22F" w:themeColor="accent1"/>
              <w:left w:val="nil"/>
              <w:bottom w:val="nil"/>
              <w:right w:val="nil"/>
            </w:tcBorders>
          </w:tcPr>
          <w:p w14:paraId="7761A1C8" w14:textId="5D7194B4" w:rsidR="00141322" w:rsidRPr="00D570F6" w:rsidRDefault="00141322" w:rsidP="00FD68D8">
            <w:pPr>
              <w:pStyle w:val="BoxSpaceBelow"/>
              <w:rPr>
                <w:rFonts w:ascii="Times New Roman" w:hAnsi="Times New Roman"/>
                <w:b/>
                <w:vanish/>
              </w:rPr>
            </w:pPr>
          </w:p>
        </w:tc>
      </w:tr>
    </w:tbl>
    <w:p w14:paraId="68B6ACEF" w14:textId="6962A47D" w:rsidR="00AC4F64" w:rsidRDefault="00AC4F64" w:rsidP="00AC4F6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C4F64" w14:paraId="613FACA6" w14:textId="77777777" w:rsidTr="36E5E979">
        <w:trPr>
          <w:tblHeader/>
        </w:trPr>
        <w:tc>
          <w:tcPr>
            <w:tcW w:w="5000" w:type="pct"/>
            <w:tcBorders>
              <w:top w:val="single" w:sz="6" w:space="0" w:color="78A22F" w:themeColor="accent1"/>
              <w:left w:val="nil"/>
              <w:bottom w:val="nil"/>
              <w:right w:val="nil"/>
            </w:tcBorders>
            <w:shd w:val="clear" w:color="auto" w:fill="auto"/>
          </w:tcPr>
          <w:p w14:paraId="43152EAE" w14:textId="5623B022" w:rsidR="00AC4F64" w:rsidRDefault="00AC4F64" w:rsidP="00D9302F">
            <w:pPr>
              <w:pStyle w:val="FigureTitle"/>
            </w:pPr>
            <w:r w:rsidRPr="00784A05">
              <w:rPr>
                <w:b w:val="0"/>
              </w:rPr>
              <w:t xml:space="preserve">Figure </w:t>
            </w:r>
            <w:r w:rsidR="00061963">
              <w:rPr>
                <w:b w:val="0"/>
                <w:noProof/>
              </w:rPr>
              <w:t>12</w:t>
            </w:r>
            <w:r>
              <w:tab/>
            </w:r>
            <w:r w:rsidR="00BB02D2" w:rsidRPr="0051498E">
              <w:rPr>
                <w:rFonts w:ascii="Arial Bold" w:hAnsi="Arial Bold"/>
                <w:spacing w:val="-2"/>
              </w:rPr>
              <w:t xml:space="preserve">… and this </w:t>
            </w:r>
            <w:r w:rsidR="00953C55" w:rsidRPr="0051498E">
              <w:rPr>
                <w:rFonts w:ascii="Arial Bold" w:hAnsi="Arial Bold"/>
                <w:spacing w:val="-2"/>
              </w:rPr>
              <w:t>difference</w:t>
            </w:r>
            <w:r w:rsidR="00BB02D2" w:rsidRPr="0051498E">
              <w:rPr>
                <w:rFonts w:ascii="Arial Bold" w:hAnsi="Arial Bold"/>
                <w:spacing w:val="-2"/>
              </w:rPr>
              <w:t xml:space="preserve"> has become more pronounced over time</w:t>
            </w:r>
            <w:r>
              <w:t xml:space="preserve"> </w:t>
            </w:r>
          </w:p>
          <w:p w14:paraId="1EACAB98" w14:textId="4F439565" w:rsidR="00AC4F64" w:rsidRPr="00176D3F" w:rsidRDefault="009C7E1D" w:rsidP="00D9302F">
            <w:pPr>
              <w:pStyle w:val="Subtitle"/>
            </w:pPr>
            <w:r>
              <w:t>C</w:t>
            </w:r>
            <w:r w:rsidR="00265938">
              <w:t xml:space="preserve">hanges in </w:t>
            </w:r>
            <w:r w:rsidR="00176BB0">
              <w:t>employ</w:t>
            </w:r>
            <w:r w:rsidR="00473AF9">
              <w:t>ment</w:t>
            </w:r>
            <w:r w:rsidR="00176BB0">
              <w:t xml:space="preserve"> by </w:t>
            </w:r>
            <w:r w:rsidR="00891617">
              <w:t>skill level</w:t>
            </w:r>
            <w:proofErr w:type="spellStart"/>
            <w:r w:rsidR="00891617">
              <w:rPr>
                <w:rStyle w:val="NoteLabel"/>
              </w:rPr>
              <w:t>a</w:t>
            </w:r>
            <w:proofErr w:type="spellEnd"/>
            <w:r w:rsidR="00891617">
              <w:t xml:space="preserve"> </w:t>
            </w:r>
            <w:r w:rsidR="00F95538">
              <w:t xml:space="preserve">between </w:t>
            </w:r>
            <w:r w:rsidR="002A1B7F">
              <w:t>20</w:t>
            </w:r>
            <w:r w:rsidR="00F95538">
              <w:t>06</w:t>
            </w:r>
            <w:r w:rsidR="00F94F0E">
              <w:t xml:space="preserve"> and 20</w:t>
            </w:r>
            <w:r w:rsidR="00A9028E">
              <w:t>16</w:t>
            </w:r>
          </w:p>
        </w:tc>
      </w:tr>
      <w:tr w:rsidR="00AC4F64" w14:paraId="2CE591B5" w14:textId="77777777" w:rsidTr="36E5E979">
        <w:tc>
          <w:tcPr>
            <w:tcW w:w="5000" w:type="pct"/>
            <w:tcBorders>
              <w:top w:val="nil"/>
              <w:left w:val="nil"/>
              <w:bottom w:val="nil"/>
              <w:right w:val="nil"/>
            </w:tcBorders>
            <w:shd w:val="clear" w:color="auto" w:fill="auto"/>
            <w:tcMar>
              <w:top w:w="28" w:type="dxa"/>
              <w:bottom w:w="28" w:type="dxa"/>
            </w:tcMar>
          </w:tcPr>
          <w:p w14:paraId="5028161F" w14:textId="47B900E8" w:rsidR="00AC4F64" w:rsidRDefault="0022546D" w:rsidP="00D9302F">
            <w:pPr>
              <w:pStyle w:val="Figure"/>
              <w:spacing w:before="60" w:after="60"/>
              <w:rPr>
                <w:noProof/>
              </w:rPr>
            </w:pPr>
            <w:r>
              <w:rPr>
                <w:noProof/>
              </w:rPr>
              <w:drawing>
                <wp:inline distT="0" distB="0" distL="0" distR="0" wp14:anchorId="571C8BB9" wp14:editId="509A9188">
                  <wp:extent cx="5400673" cy="6296247"/>
                  <wp:effectExtent l="0" t="0" r="0" b="0"/>
                  <wp:docPr id="2" name="Graphic 2" descr="The service sector has absorbed a higher proportion of workers at every skill level. However, this has been most pronounced at the mid skill level where the service sector has increased its share of employment from 82 per cent to 87 per cent between 2006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rotWithShape="1">
                          <a:blip r:embed="rId38">
                            <a:extLst>
                              <a:ext uri="{96DAC541-7B7A-43D3-8B79-37D633B846F1}">
                                <asvg:svgBlip xmlns:asvg="http://schemas.microsoft.com/office/drawing/2016/SVG/main" r:embed="rId39"/>
                              </a:ext>
                            </a:extLst>
                          </a:blip>
                          <a:srcRect t="2790"/>
                          <a:stretch/>
                        </pic:blipFill>
                        <pic:spPr bwMode="auto">
                          <a:xfrm>
                            <a:off x="0" y="0"/>
                            <a:ext cx="5400675" cy="6296249"/>
                          </a:xfrm>
                          <a:prstGeom prst="rect">
                            <a:avLst/>
                          </a:prstGeom>
                          <a:ln>
                            <a:noFill/>
                          </a:ln>
                          <a:extLst>
                            <a:ext uri="{53640926-AAD7-44D8-BBD7-CCE9431645EC}">
                              <a14:shadowObscured xmlns:a14="http://schemas.microsoft.com/office/drawing/2010/main"/>
                            </a:ext>
                          </a:extLst>
                        </pic:spPr>
                      </pic:pic>
                    </a:graphicData>
                  </a:graphic>
                </wp:inline>
              </w:drawing>
            </w:r>
          </w:p>
        </w:tc>
      </w:tr>
      <w:tr w:rsidR="00AC4F64" w:rsidRPr="00176D3F" w14:paraId="5169B838" w14:textId="77777777" w:rsidTr="36E5E979">
        <w:tc>
          <w:tcPr>
            <w:tcW w:w="5000" w:type="pct"/>
            <w:tcBorders>
              <w:top w:val="nil"/>
              <w:left w:val="nil"/>
              <w:bottom w:val="nil"/>
              <w:right w:val="nil"/>
            </w:tcBorders>
            <w:shd w:val="clear" w:color="auto" w:fill="auto"/>
          </w:tcPr>
          <w:p w14:paraId="7E139C8D" w14:textId="64CB0B59" w:rsidR="00AC4F64" w:rsidRPr="00176D3F" w:rsidRDefault="00FD6558" w:rsidP="00D9302F">
            <w:pPr>
              <w:pStyle w:val="Note"/>
            </w:pPr>
            <w:r>
              <w:rPr>
                <w:rStyle w:val="NoteLabel"/>
              </w:rPr>
              <w:t>a</w:t>
            </w:r>
            <w:r w:rsidR="00D570F6">
              <w:rPr>
                <w:rStyle w:val="NoteLabel"/>
              </w:rPr>
              <w:t xml:space="preserve"> </w:t>
            </w:r>
            <w:r w:rsidR="00C47BB3">
              <w:t xml:space="preserve">High skill are employees </w:t>
            </w:r>
            <w:r w:rsidR="00C16F32">
              <w:t xml:space="preserve">with </w:t>
            </w:r>
            <w:r w:rsidR="009459A2">
              <w:t xml:space="preserve">diploma level or above qualification, mid skill are employees with year 11 to certificate level qualifications and low skill are employees with below year 11 secondary education. </w:t>
            </w:r>
          </w:p>
        </w:tc>
      </w:tr>
      <w:tr w:rsidR="00AC4F64" w:rsidRPr="00176D3F" w14:paraId="5C0C4166" w14:textId="77777777" w:rsidTr="36E5E979">
        <w:tc>
          <w:tcPr>
            <w:tcW w:w="5000" w:type="pct"/>
            <w:tcBorders>
              <w:top w:val="nil"/>
              <w:left w:val="nil"/>
              <w:bottom w:val="nil"/>
              <w:right w:val="nil"/>
            </w:tcBorders>
            <w:shd w:val="clear" w:color="auto" w:fill="auto"/>
          </w:tcPr>
          <w:p w14:paraId="5FCD24DE" w14:textId="0DE4012D" w:rsidR="00AC4F64" w:rsidRPr="00176D3F" w:rsidRDefault="000847C0" w:rsidP="00D9302F">
            <w:pPr>
              <w:pStyle w:val="Source"/>
            </w:pPr>
            <w:r>
              <w:rPr>
                <w:i/>
              </w:rPr>
              <w:t>S</w:t>
            </w:r>
            <w:r w:rsidRPr="00784A05">
              <w:rPr>
                <w:i/>
              </w:rPr>
              <w:t>ource</w:t>
            </w:r>
            <w:r w:rsidRPr="00176D3F">
              <w:t>:</w:t>
            </w:r>
            <w:r>
              <w:t xml:space="preserve"> ABS </w:t>
            </w:r>
            <w:proofErr w:type="spellStart"/>
            <w:r>
              <w:t>Tablebuilder</w:t>
            </w:r>
            <w:proofErr w:type="spellEnd"/>
            <w:r>
              <w:t xml:space="preserve"> (</w:t>
            </w:r>
            <w:r w:rsidRPr="004B7ABD">
              <w:rPr>
                <w:i/>
              </w:rPr>
              <w:t>Microdata:</w:t>
            </w:r>
            <w:r>
              <w:rPr>
                <w:i/>
              </w:rPr>
              <w:t xml:space="preserve"> </w:t>
            </w:r>
            <w:r w:rsidR="00764260" w:rsidRPr="00764260">
              <w:rPr>
                <w:i/>
              </w:rPr>
              <w:t>Australian Census Longitudinal Dataset</w:t>
            </w:r>
            <w:r>
              <w:t>, Cat. No. </w:t>
            </w:r>
            <w:r w:rsidR="00764260">
              <w:t>2080</w:t>
            </w:r>
            <w:r w:rsidRPr="00A858DE">
              <w:t>.0</w:t>
            </w:r>
            <w:r>
              <w:t>).</w:t>
            </w:r>
          </w:p>
        </w:tc>
      </w:tr>
      <w:tr w:rsidR="00AC4F64" w14:paraId="71ADCA42" w14:textId="77777777" w:rsidTr="36E5E979">
        <w:tc>
          <w:tcPr>
            <w:tcW w:w="5000" w:type="pct"/>
            <w:tcBorders>
              <w:top w:val="nil"/>
              <w:left w:val="nil"/>
              <w:bottom w:val="single" w:sz="6" w:space="0" w:color="78A22F" w:themeColor="accent1"/>
              <w:right w:val="nil"/>
            </w:tcBorders>
            <w:shd w:val="clear" w:color="auto" w:fill="auto"/>
          </w:tcPr>
          <w:p w14:paraId="5D35BD58" w14:textId="77777777" w:rsidR="00AC4F64" w:rsidRDefault="00AC4F64" w:rsidP="00D9302F">
            <w:pPr>
              <w:pStyle w:val="Figurespace"/>
            </w:pPr>
          </w:p>
        </w:tc>
      </w:tr>
      <w:tr w:rsidR="00AC4F64" w:rsidRPr="000863A5" w14:paraId="1BC13C42" w14:textId="77777777" w:rsidTr="36E5E979">
        <w:tc>
          <w:tcPr>
            <w:tcW w:w="5000" w:type="pct"/>
            <w:tcBorders>
              <w:top w:val="single" w:sz="6" w:space="0" w:color="78A22F" w:themeColor="accent1"/>
              <w:left w:val="nil"/>
              <w:bottom w:val="nil"/>
              <w:right w:val="nil"/>
            </w:tcBorders>
          </w:tcPr>
          <w:p w14:paraId="33353865" w14:textId="084D4D38" w:rsidR="00AC4F64" w:rsidRPr="00626D32" w:rsidRDefault="00AC4F64" w:rsidP="00D9302F">
            <w:pPr>
              <w:pStyle w:val="BoxSpaceBelow"/>
            </w:pPr>
          </w:p>
        </w:tc>
      </w:tr>
    </w:tbl>
    <w:p w14:paraId="7F30E350" w14:textId="18980FD9" w:rsidR="00007C08" w:rsidRDefault="00007C08" w:rsidP="00007C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C08" w14:paraId="2D6897FD" w14:textId="77777777" w:rsidTr="36E5E979">
        <w:trPr>
          <w:tblHeader/>
        </w:trPr>
        <w:tc>
          <w:tcPr>
            <w:tcW w:w="5000" w:type="pct"/>
            <w:tcBorders>
              <w:top w:val="single" w:sz="6" w:space="0" w:color="78A22F" w:themeColor="accent1"/>
              <w:left w:val="nil"/>
              <w:bottom w:val="nil"/>
              <w:right w:val="nil"/>
            </w:tcBorders>
            <w:shd w:val="clear" w:color="auto" w:fill="auto"/>
          </w:tcPr>
          <w:p w14:paraId="118D6ECC" w14:textId="42ED3F1D" w:rsidR="00007C08" w:rsidRDefault="00007C08" w:rsidP="00C10A79">
            <w:pPr>
              <w:pStyle w:val="FigureTitle"/>
            </w:pPr>
            <w:r w:rsidRPr="00784A05">
              <w:rPr>
                <w:b w:val="0"/>
              </w:rPr>
              <w:t xml:space="preserve">Figure </w:t>
            </w:r>
            <w:r w:rsidR="00061963">
              <w:rPr>
                <w:b w:val="0"/>
                <w:noProof/>
              </w:rPr>
              <w:t>13</w:t>
            </w:r>
            <w:r>
              <w:tab/>
              <w:t>Many low</w:t>
            </w:r>
            <w:r>
              <w:noBreakHyphen/>
              <w:t xml:space="preserve">skilled workers earn above the median wage in </w:t>
            </w:r>
            <w:r w:rsidR="00180DF2">
              <w:t xml:space="preserve">some </w:t>
            </w:r>
            <w:r>
              <w:t>service industries</w:t>
            </w:r>
          </w:p>
          <w:p w14:paraId="79E04FF6" w14:textId="77777777" w:rsidR="00007C08" w:rsidRPr="00176D3F" w:rsidRDefault="00007C08" w:rsidP="00C10A79">
            <w:pPr>
              <w:pStyle w:val="Subtitle"/>
            </w:pPr>
            <w:r>
              <w:t>Proportion of low skilled</w:t>
            </w:r>
            <w:r w:rsidRPr="004B7ABD">
              <w:rPr>
                <w:rStyle w:val="NoteLabel"/>
              </w:rPr>
              <w:t>a</w:t>
            </w:r>
            <w:r>
              <w:t xml:space="preserve"> workers that earn above the median wage</w:t>
            </w:r>
            <w:r w:rsidRPr="004B7ABD">
              <w:rPr>
                <w:rStyle w:val="NoteLabel"/>
              </w:rPr>
              <w:t>b</w:t>
            </w:r>
            <w:r>
              <w:rPr>
                <w:rStyle w:val="NoteLabel"/>
              </w:rPr>
              <w:t xml:space="preserve"> </w:t>
            </w:r>
            <w:r w:rsidRPr="004B7ABD">
              <w:t>by industry category</w:t>
            </w:r>
          </w:p>
        </w:tc>
      </w:tr>
      <w:tr w:rsidR="00007C08" w14:paraId="66E8FDD4" w14:textId="77777777" w:rsidTr="36E5E979">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07C08" w:rsidRPr="00B1465D" w14:paraId="0BD88C6D" w14:textId="77777777" w:rsidTr="36E5E979">
              <w:trPr>
                <w:tblHeader/>
                <w:jc w:val="center"/>
              </w:trPr>
              <w:tc>
                <w:tcPr>
                  <w:tcW w:w="8505" w:type="dxa"/>
                  <w:tcBorders>
                    <w:top w:val="nil"/>
                    <w:bottom w:val="nil"/>
                  </w:tcBorders>
                </w:tcPr>
                <w:p w14:paraId="209B960F" w14:textId="030F4DCD" w:rsidR="00007C08" w:rsidRPr="00B1465D" w:rsidRDefault="00ED78EA" w:rsidP="00C10A79">
                  <w:pPr>
                    <w:pStyle w:val="Figure"/>
                    <w:spacing w:before="60" w:after="60"/>
                    <w:rPr>
                      <w:rFonts w:ascii="Tahoma" w:hAnsi="Tahoma" w:cs="Tahoma"/>
                      <w:sz w:val="18"/>
                      <w:szCs w:val="18"/>
                    </w:rPr>
                  </w:pPr>
                  <w:r w:rsidRPr="00ED78EA">
                    <w:rPr>
                      <w:rFonts w:ascii="Tahoma" w:hAnsi="Tahoma" w:cs="Tahoma"/>
                      <w:noProof/>
                      <w:sz w:val="18"/>
                      <w:szCs w:val="18"/>
                    </w:rPr>
                    <w:drawing>
                      <wp:inline distT="0" distB="0" distL="0" distR="0" wp14:anchorId="14DAE518" wp14:editId="01E3B77D">
                        <wp:extent cx="5151120" cy="2842260"/>
                        <wp:effectExtent l="0" t="0" r="0" b="0"/>
                        <wp:docPr id="18" name="Picture 18" descr="Figure 13: About 20 per cent of low-skilled workers in the service sector early above the median wage in service industries. This is slightly lower than the goods sector where around 35 per cent of low skilled workers earn above the minimum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3: About 20 per cent of low-skilled workers in the service sector early above the median wage in service industries. This is slightly lower than the goods sector where around 35 per cent of low skilled workers earn above the minimum w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51120" cy="2842260"/>
                                </a:xfrm>
                                <a:prstGeom prst="rect">
                                  <a:avLst/>
                                </a:prstGeom>
                                <a:noFill/>
                                <a:ln>
                                  <a:noFill/>
                                </a:ln>
                              </pic:spPr>
                            </pic:pic>
                          </a:graphicData>
                        </a:graphic>
                      </wp:inline>
                    </w:drawing>
                  </w:r>
                </w:p>
              </w:tc>
            </w:tr>
          </w:tbl>
          <w:p w14:paraId="0D8FF64F" w14:textId="77777777" w:rsidR="00007C08" w:rsidRDefault="00007C08" w:rsidP="00C10A79">
            <w:pPr>
              <w:pStyle w:val="Figure"/>
            </w:pPr>
          </w:p>
        </w:tc>
      </w:tr>
      <w:tr w:rsidR="00007C08" w:rsidRPr="00176D3F" w14:paraId="2E2C9B9C" w14:textId="77777777" w:rsidTr="36E5E979">
        <w:tc>
          <w:tcPr>
            <w:tcW w:w="5000" w:type="pct"/>
            <w:tcBorders>
              <w:top w:val="nil"/>
              <w:left w:val="nil"/>
              <w:bottom w:val="nil"/>
              <w:right w:val="nil"/>
            </w:tcBorders>
            <w:shd w:val="clear" w:color="auto" w:fill="auto"/>
          </w:tcPr>
          <w:p w14:paraId="135E92A6" w14:textId="68C85CC3" w:rsidR="00007C08" w:rsidRPr="00777FF0" w:rsidRDefault="00007C08" w:rsidP="00C10A79">
            <w:pPr>
              <w:pStyle w:val="Note"/>
              <w:rPr>
                <w:spacing w:val="-4"/>
              </w:rPr>
            </w:pPr>
            <w:r w:rsidRPr="00777FF0">
              <w:rPr>
                <w:rStyle w:val="NoteLabel"/>
                <w:spacing w:val="-4"/>
              </w:rPr>
              <w:t>a</w:t>
            </w:r>
            <w:r w:rsidRPr="00777FF0">
              <w:rPr>
                <w:spacing w:val="-4"/>
              </w:rPr>
              <w:t xml:space="preserve"> </w:t>
            </w:r>
            <w:proofErr w:type="gramStart"/>
            <w:r w:rsidR="00980263" w:rsidRPr="00777FF0">
              <w:rPr>
                <w:spacing w:val="-4"/>
              </w:rPr>
              <w:t>Low skilled worker</w:t>
            </w:r>
            <w:r w:rsidR="00777FF0" w:rsidRPr="00777FF0">
              <w:rPr>
                <w:spacing w:val="-4"/>
              </w:rPr>
              <w:t>s</w:t>
            </w:r>
            <w:proofErr w:type="gramEnd"/>
            <w:r w:rsidRPr="00777FF0">
              <w:rPr>
                <w:spacing w:val="-4"/>
              </w:rPr>
              <w:t xml:space="preserve"> are those who are classified as skill level 5 by the ABS (the lowest rating). </w:t>
            </w:r>
            <w:r w:rsidRPr="00777FF0">
              <w:rPr>
                <w:rStyle w:val="NoteLabel"/>
                <w:spacing w:val="-4"/>
              </w:rPr>
              <w:t>b</w:t>
            </w:r>
            <w:r w:rsidRPr="00777FF0">
              <w:rPr>
                <w:spacing w:val="-4"/>
              </w:rPr>
              <w:t xml:space="preserve"> </w:t>
            </w:r>
            <w:proofErr w:type="gramStart"/>
            <w:r w:rsidRPr="00777FF0">
              <w:rPr>
                <w:spacing w:val="-4"/>
              </w:rPr>
              <w:t>The</w:t>
            </w:r>
            <w:proofErr w:type="gramEnd"/>
            <w:r w:rsidRPr="00777FF0">
              <w:rPr>
                <w:spacing w:val="-4"/>
              </w:rPr>
              <w:t xml:space="preserve"> median </w:t>
            </w:r>
            <w:r w:rsidR="00BA4610" w:rsidRPr="00777FF0">
              <w:rPr>
                <w:spacing w:val="-4"/>
              </w:rPr>
              <w:t xml:space="preserve">weekly </w:t>
            </w:r>
            <w:r w:rsidRPr="00777FF0">
              <w:rPr>
                <w:spacing w:val="-4"/>
              </w:rPr>
              <w:t>wage in this dataset was about $</w:t>
            </w:r>
            <w:r w:rsidR="00FE664C" w:rsidRPr="00777FF0">
              <w:rPr>
                <w:spacing w:val="-4"/>
              </w:rPr>
              <w:t>1150</w:t>
            </w:r>
            <w:r w:rsidRPr="00777FF0">
              <w:rPr>
                <w:spacing w:val="-4"/>
              </w:rPr>
              <w:t>.</w:t>
            </w:r>
          </w:p>
        </w:tc>
      </w:tr>
      <w:tr w:rsidR="00007C08" w:rsidRPr="00176D3F" w14:paraId="29971814" w14:textId="77777777" w:rsidTr="36E5E979">
        <w:tc>
          <w:tcPr>
            <w:tcW w:w="5000" w:type="pct"/>
            <w:tcBorders>
              <w:top w:val="nil"/>
              <w:left w:val="nil"/>
              <w:bottom w:val="nil"/>
              <w:right w:val="nil"/>
            </w:tcBorders>
            <w:shd w:val="clear" w:color="auto" w:fill="auto"/>
          </w:tcPr>
          <w:p w14:paraId="005A7715" w14:textId="13F25352" w:rsidR="00007C08" w:rsidRPr="0051498E" w:rsidRDefault="00007C08" w:rsidP="00C10A79">
            <w:pPr>
              <w:pStyle w:val="Source"/>
              <w:rPr>
                <w:spacing w:val="-4"/>
              </w:rPr>
            </w:pPr>
            <w:r w:rsidRPr="0051498E">
              <w:rPr>
                <w:i/>
                <w:spacing w:val="-4"/>
              </w:rPr>
              <w:t>Source</w:t>
            </w:r>
            <w:r w:rsidRPr="0051498E">
              <w:rPr>
                <w:spacing w:val="-4"/>
              </w:rPr>
              <w:t xml:space="preserve">: ABS </w:t>
            </w:r>
            <w:proofErr w:type="spellStart"/>
            <w:r w:rsidRPr="0051498E">
              <w:rPr>
                <w:spacing w:val="-4"/>
              </w:rPr>
              <w:t>Tablebuilder</w:t>
            </w:r>
            <w:proofErr w:type="spellEnd"/>
            <w:r w:rsidRPr="0051498E">
              <w:rPr>
                <w:spacing w:val="-4"/>
              </w:rPr>
              <w:t xml:space="preserve"> (</w:t>
            </w:r>
            <w:r w:rsidRPr="0051498E">
              <w:rPr>
                <w:i/>
                <w:spacing w:val="-4"/>
              </w:rPr>
              <w:t xml:space="preserve">Microdata: Characteristics of Employment, August </w:t>
            </w:r>
            <w:r w:rsidR="004E0794" w:rsidRPr="0051498E">
              <w:rPr>
                <w:i/>
                <w:spacing w:val="-4"/>
              </w:rPr>
              <w:t>2020</w:t>
            </w:r>
            <w:r w:rsidRPr="0051498E">
              <w:rPr>
                <w:spacing w:val="-4"/>
              </w:rPr>
              <w:t xml:space="preserve">, Cat. No. 6333.0.00.001). </w:t>
            </w:r>
          </w:p>
        </w:tc>
      </w:tr>
      <w:tr w:rsidR="00007C08" w14:paraId="63043FAA" w14:textId="77777777" w:rsidTr="36E5E979">
        <w:tc>
          <w:tcPr>
            <w:tcW w:w="5000" w:type="pct"/>
            <w:tcBorders>
              <w:top w:val="nil"/>
              <w:left w:val="nil"/>
              <w:bottom w:val="single" w:sz="6" w:space="0" w:color="78A22F" w:themeColor="accent1"/>
              <w:right w:val="nil"/>
            </w:tcBorders>
            <w:shd w:val="clear" w:color="auto" w:fill="auto"/>
          </w:tcPr>
          <w:p w14:paraId="24837AA1" w14:textId="77777777" w:rsidR="00007C08" w:rsidRDefault="00007C08" w:rsidP="00C10A79">
            <w:pPr>
              <w:pStyle w:val="Figurespace"/>
            </w:pPr>
          </w:p>
        </w:tc>
      </w:tr>
      <w:tr w:rsidR="00007C08" w:rsidRPr="000863A5" w14:paraId="0ABE974F" w14:textId="77777777" w:rsidTr="36E5E979">
        <w:tc>
          <w:tcPr>
            <w:tcW w:w="5000" w:type="pct"/>
            <w:tcBorders>
              <w:top w:val="single" w:sz="6" w:space="0" w:color="78A22F" w:themeColor="accent1"/>
              <w:left w:val="nil"/>
              <w:bottom w:val="nil"/>
              <w:right w:val="nil"/>
            </w:tcBorders>
          </w:tcPr>
          <w:p w14:paraId="350B3A0B" w14:textId="1CA4BBA5" w:rsidR="00007C08" w:rsidRPr="00626D32" w:rsidRDefault="00007C08" w:rsidP="00C10A79">
            <w:pPr>
              <w:pStyle w:val="BoxSpaceBelow"/>
            </w:pPr>
          </w:p>
        </w:tc>
      </w:tr>
    </w:tbl>
    <w:p w14:paraId="1933BB94" w14:textId="00B7113B" w:rsidR="00E830BE" w:rsidRPr="0051498E" w:rsidRDefault="00425F14" w:rsidP="00E830BE">
      <w:pPr>
        <w:pStyle w:val="Heading3"/>
        <w:rPr>
          <w:u w:val="dotted"/>
        </w:rPr>
      </w:pPr>
      <w:r w:rsidRPr="0051498E">
        <w:rPr>
          <w:rStyle w:val="Heading4Char"/>
        </w:rPr>
        <w:t>Fact: market services are clustered in major cities on the coast</w:t>
      </w:r>
    </w:p>
    <w:p w14:paraId="70AFDDE0" w14:textId="57D23586" w:rsidR="00E830BE" w:rsidRDefault="00E830BE" w:rsidP="00E830BE">
      <w:pPr>
        <w:pStyle w:val="BodyText"/>
        <w:rPr>
          <w:spacing w:val="-2"/>
        </w:rPr>
      </w:pPr>
      <w:r w:rsidRPr="0051498E">
        <w:rPr>
          <w:spacing w:val="-2"/>
        </w:rPr>
        <w:t>Market sector services</w:t>
      </w:r>
      <w:r w:rsidRPr="0051498E">
        <w:rPr>
          <w:rStyle w:val="FootnoteReference"/>
          <w:spacing w:val="-2"/>
        </w:rPr>
        <w:footnoteReference w:id="3"/>
      </w:r>
      <w:r w:rsidRPr="0051498E">
        <w:rPr>
          <w:spacing w:val="-2"/>
        </w:rPr>
        <w:t xml:space="preserve"> are highly clustered around the coastline of Australia, and market sector service employment is </w:t>
      </w:r>
      <w:r w:rsidR="004C7D7E" w:rsidRPr="0051498E">
        <w:rPr>
          <w:spacing w:val="-2"/>
        </w:rPr>
        <w:t>positively</w:t>
      </w:r>
      <w:r w:rsidRPr="0051498E">
        <w:rPr>
          <w:spacing w:val="-2"/>
        </w:rPr>
        <w:t xml:space="preserve"> correlated with population (figure 1</w:t>
      </w:r>
      <w:r w:rsidR="00D1085F" w:rsidRPr="0051498E">
        <w:rPr>
          <w:spacing w:val="-2"/>
        </w:rPr>
        <w:t>4</w:t>
      </w:r>
      <w:r w:rsidRPr="0051498E">
        <w:rPr>
          <w:spacing w:val="-2"/>
        </w:rPr>
        <w:t xml:space="preserve">). Intuitively this makes sense, </w:t>
      </w:r>
      <w:r w:rsidR="00723092" w:rsidRPr="0051498E">
        <w:rPr>
          <w:spacing w:val="-2"/>
        </w:rPr>
        <w:t xml:space="preserve">many </w:t>
      </w:r>
      <w:r w:rsidRPr="0051498E">
        <w:rPr>
          <w:spacing w:val="-2"/>
        </w:rPr>
        <w:t xml:space="preserve">service industries deliver labour as their ‘final product’ and can therefore reduce their transaction costs by operating in the most densely populated areas, which in Australia’s case is around the coast. In contrast, goods producing industries are more likely to operate away from dense areas (relative to service industries), taking advantage of the lower cost of land and transporting their goods to high density areas for distribution. That said, the relationship between population density and service sector employment appears to be </w:t>
      </w:r>
      <w:r w:rsidR="00BF6FE9" w:rsidRPr="0051498E">
        <w:rPr>
          <w:spacing w:val="-2"/>
        </w:rPr>
        <w:t>slightly</w:t>
      </w:r>
      <w:r w:rsidRPr="0051498E">
        <w:rPr>
          <w:spacing w:val="-2"/>
        </w:rPr>
        <w:t xml:space="preserve"> funnel shaped — low density areas can have large service sectors, but an area cannot become high density without having a sizeable service sector (figure 1</w:t>
      </w:r>
      <w:r w:rsidR="00D1085F" w:rsidRPr="0051498E">
        <w:rPr>
          <w:spacing w:val="-2"/>
        </w:rPr>
        <w:t>4</w:t>
      </w:r>
      <w:r w:rsidRPr="0051498E">
        <w:rPr>
          <w:spacing w:val="-2"/>
        </w:rPr>
        <w:t xml:space="preserve">). </w:t>
      </w:r>
    </w:p>
    <w:p w14:paraId="2D6CCAEE" w14:textId="44C4433D" w:rsidR="004B67D4" w:rsidRDefault="004B67D4" w:rsidP="00AC38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B67D4" w14:paraId="16B6E6FA" w14:textId="77777777" w:rsidTr="00AC38FD">
        <w:trPr>
          <w:tblHeader/>
        </w:trPr>
        <w:tc>
          <w:tcPr>
            <w:tcW w:w="5000" w:type="pct"/>
            <w:tcBorders>
              <w:top w:val="single" w:sz="6" w:space="0" w:color="78A22F"/>
              <w:left w:val="nil"/>
              <w:bottom w:val="nil"/>
              <w:right w:val="nil"/>
            </w:tcBorders>
            <w:shd w:val="clear" w:color="auto" w:fill="auto"/>
          </w:tcPr>
          <w:p w14:paraId="41B1C914" w14:textId="40DC6C63" w:rsidR="004B67D4" w:rsidRPr="004B67D4" w:rsidRDefault="004B67D4" w:rsidP="00AC38FD">
            <w:pPr>
              <w:pStyle w:val="FigureTitle"/>
              <w:rPr>
                <w:rFonts w:ascii="Arial Bold" w:hAnsi="Arial Bold"/>
                <w:spacing w:val="-8"/>
              </w:rPr>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Pr>
                <w:b w:val="0"/>
              </w:rPr>
              <w:t>14</w:t>
            </w:r>
            <w:r>
              <w:tab/>
            </w:r>
            <w:r w:rsidRPr="004B67D4">
              <w:rPr>
                <w:rFonts w:ascii="Arial Bold" w:hAnsi="Arial Bold"/>
                <w:spacing w:val="-8"/>
              </w:rPr>
              <w:t>Market sector services are concentrated around Australia’s coast</w:t>
            </w:r>
          </w:p>
          <w:p w14:paraId="5C7BDC15" w14:textId="5A0835BF" w:rsidR="004B67D4" w:rsidRPr="00176D3F" w:rsidRDefault="004B67D4" w:rsidP="00AC38FD">
            <w:pPr>
              <w:pStyle w:val="Subtitle"/>
            </w:pPr>
            <w:r>
              <w:t>Share of employment</w:t>
            </w:r>
            <w:proofErr w:type="spellStart"/>
            <w:r>
              <w:rPr>
                <w:rStyle w:val="NoteLabel"/>
              </w:rPr>
              <w:t>a</w:t>
            </w:r>
            <w:proofErr w:type="spellEnd"/>
            <w:r>
              <w:t xml:space="preserve"> </w:t>
            </w:r>
            <w:proofErr w:type="spellStart"/>
            <w:r>
              <w:t>in</w:t>
            </w:r>
            <w:proofErr w:type="spellEnd"/>
            <w:r>
              <w:t xml:space="preserve"> market sector services</w:t>
            </w:r>
            <w:r w:rsidDel="00BF1813">
              <w:t xml:space="preserve"> </w:t>
            </w:r>
            <w:r>
              <w:t>by local government area (LGA) (top) and the correlation of market sector service employment and population density (bottom)</w:t>
            </w:r>
          </w:p>
        </w:tc>
      </w:tr>
      <w:tr w:rsidR="004B67D4" w14:paraId="21B57088" w14:textId="77777777" w:rsidTr="00AC38F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B67D4" w:rsidRPr="00B1465D" w14:paraId="655234A7" w14:textId="77777777" w:rsidTr="00AC38FD">
              <w:trPr>
                <w:tblHeader/>
                <w:jc w:val="center"/>
              </w:trPr>
              <w:tc>
                <w:tcPr>
                  <w:tcW w:w="5000" w:type="pct"/>
                  <w:tcBorders>
                    <w:top w:val="nil"/>
                    <w:bottom w:val="nil"/>
                  </w:tcBorders>
                </w:tcPr>
                <w:p w14:paraId="3FA192AF" w14:textId="77777777" w:rsidR="004B67D4" w:rsidRDefault="004B67D4" w:rsidP="00AC38FD">
                  <w:pPr>
                    <w:pStyle w:val="Figure"/>
                    <w:spacing w:before="60" w:after="60"/>
                    <w:rPr>
                      <w:rFonts w:ascii="Arial" w:hAnsi="Arial" w:cs="Arial"/>
                      <w:sz w:val="18"/>
                      <w:szCs w:val="18"/>
                    </w:rPr>
                  </w:pPr>
                  <w:r>
                    <w:rPr>
                      <w:noProof/>
                    </w:rPr>
                    <w:drawing>
                      <wp:inline distT="0" distB="0" distL="0" distR="0" wp14:anchorId="3E198A16" wp14:editId="74D33073">
                        <wp:extent cx="4212000" cy="3850192"/>
                        <wp:effectExtent l="0" t="0" r="0" b="0"/>
                        <wp:docPr id="30" name="Picture 30" descr="The share of employment in market sector services is clustered around Australia’s coastline. In particular capital cities tend to have high concentration of market sector services compared to more rural parts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12000" cy="3850192"/>
                                </a:xfrm>
                                <a:prstGeom prst="rect">
                                  <a:avLst/>
                                </a:prstGeom>
                              </pic:spPr>
                            </pic:pic>
                          </a:graphicData>
                        </a:graphic>
                      </wp:inline>
                    </w:drawing>
                  </w:r>
                </w:p>
                <w:p w14:paraId="01C7B407" w14:textId="348518C5" w:rsidR="004B67D4" w:rsidRPr="00B1465D" w:rsidRDefault="004B67D4" w:rsidP="00AC38FD">
                  <w:pPr>
                    <w:pStyle w:val="Figure"/>
                    <w:spacing w:before="60" w:after="60"/>
                    <w:rPr>
                      <w:rFonts w:ascii="Arial" w:hAnsi="Arial" w:cs="Arial"/>
                      <w:sz w:val="18"/>
                      <w:szCs w:val="18"/>
                    </w:rPr>
                  </w:pPr>
                  <w:r>
                    <w:rPr>
                      <w:noProof/>
                    </w:rPr>
                    <w:drawing>
                      <wp:inline distT="0" distB="0" distL="0" distR="0" wp14:anchorId="71140532" wp14:editId="281841E2">
                        <wp:extent cx="5400675" cy="3238500"/>
                        <wp:effectExtent l="0" t="0" r="9525" b="0"/>
                        <wp:docPr id="6" name="Picture 6" descr="There is a positive relationship between population and share of employment in market sector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675" cy="3238500"/>
                                </a:xfrm>
                                <a:prstGeom prst="rect">
                                  <a:avLst/>
                                </a:prstGeom>
                              </pic:spPr>
                            </pic:pic>
                          </a:graphicData>
                        </a:graphic>
                      </wp:inline>
                    </w:drawing>
                  </w:r>
                </w:p>
              </w:tc>
            </w:tr>
          </w:tbl>
          <w:p w14:paraId="1DBAC8C8" w14:textId="77777777" w:rsidR="004B67D4" w:rsidRDefault="004B67D4" w:rsidP="00AC38FD">
            <w:pPr>
              <w:pStyle w:val="Figure"/>
            </w:pPr>
          </w:p>
        </w:tc>
      </w:tr>
      <w:tr w:rsidR="004B67D4" w:rsidRPr="00176D3F" w14:paraId="5DED7A21" w14:textId="77777777" w:rsidTr="00AC38FD">
        <w:tc>
          <w:tcPr>
            <w:tcW w:w="5000" w:type="pct"/>
            <w:tcBorders>
              <w:top w:val="nil"/>
              <w:left w:val="nil"/>
              <w:bottom w:val="nil"/>
              <w:right w:val="nil"/>
            </w:tcBorders>
            <w:shd w:val="clear" w:color="auto" w:fill="auto"/>
          </w:tcPr>
          <w:p w14:paraId="48AADD02" w14:textId="283A5C52" w:rsidR="004B67D4" w:rsidRPr="00176D3F" w:rsidRDefault="004B67D4" w:rsidP="00AC38FD">
            <w:pPr>
              <w:pStyle w:val="Note"/>
            </w:pPr>
            <w:proofErr w:type="spellStart"/>
            <w:r>
              <w:rPr>
                <w:rStyle w:val="NoteLabel"/>
              </w:rPr>
              <w:t>a</w:t>
            </w:r>
            <w:proofErr w:type="spellEnd"/>
            <w:r>
              <w:t xml:space="preserve"> </w:t>
            </w:r>
            <w:proofErr w:type="gramStart"/>
            <w:r>
              <w:t>The</w:t>
            </w:r>
            <w:proofErr w:type="gramEnd"/>
            <w:r>
              <w:t xml:space="preserve"> share of employment is binned into quartiles that are displayed as colours from low to high.</w:t>
            </w:r>
          </w:p>
        </w:tc>
      </w:tr>
      <w:tr w:rsidR="004B67D4" w:rsidRPr="00176D3F" w14:paraId="2F96854E" w14:textId="77777777" w:rsidTr="00AC38FD">
        <w:tc>
          <w:tcPr>
            <w:tcW w:w="5000" w:type="pct"/>
            <w:tcBorders>
              <w:top w:val="nil"/>
              <w:left w:val="nil"/>
              <w:bottom w:val="nil"/>
              <w:right w:val="nil"/>
            </w:tcBorders>
            <w:shd w:val="clear" w:color="auto" w:fill="auto"/>
          </w:tcPr>
          <w:p w14:paraId="7A732D1C" w14:textId="7D4C0EA3" w:rsidR="004B67D4" w:rsidRPr="00176D3F" w:rsidRDefault="004B67D4" w:rsidP="00AC38FD">
            <w:pPr>
              <w:pStyle w:val="Source"/>
            </w:pPr>
            <w:r>
              <w:rPr>
                <w:i/>
              </w:rPr>
              <w:t>S</w:t>
            </w:r>
            <w:r w:rsidRPr="00784A05">
              <w:rPr>
                <w:i/>
              </w:rPr>
              <w:t>ource</w:t>
            </w:r>
            <w:r w:rsidRPr="00176D3F">
              <w:t xml:space="preserve">: </w:t>
            </w:r>
            <w:r>
              <w:t xml:space="preserve">ABS </w:t>
            </w:r>
            <w:proofErr w:type="spellStart"/>
            <w:r>
              <w:t>Tablebuilder</w:t>
            </w:r>
            <w:proofErr w:type="spellEnd"/>
            <w:r>
              <w:t xml:space="preserve"> (</w:t>
            </w:r>
            <w:r w:rsidRPr="00947404">
              <w:rPr>
                <w:i/>
              </w:rPr>
              <w:t>Microdata: Census of Population and Housing, 2016</w:t>
            </w:r>
            <w:r>
              <w:t>, Cat. no. </w:t>
            </w:r>
            <w:r w:rsidRPr="004C5359">
              <w:t>2037.0.30.001</w:t>
            </w:r>
            <w:r>
              <w:t>).</w:t>
            </w:r>
          </w:p>
        </w:tc>
      </w:tr>
      <w:tr w:rsidR="004B67D4" w14:paraId="504C19D9" w14:textId="77777777" w:rsidTr="00AC38FD">
        <w:tc>
          <w:tcPr>
            <w:tcW w:w="5000" w:type="pct"/>
            <w:tcBorders>
              <w:top w:val="nil"/>
              <w:left w:val="nil"/>
              <w:bottom w:val="single" w:sz="6" w:space="0" w:color="78A22F"/>
              <w:right w:val="nil"/>
            </w:tcBorders>
            <w:shd w:val="clear" w:color="auto" w:fill="auto"/>
          </w:tcPr>
          <w:p w14:paraId="3C84DE2C" w14:textId="77777777" w:rsidR="004B67D4" w:rsidRDefault="004B67D4" w:rsidP="004B67D4">
            <w:pPr>
              <w:pStyle w:val="Figurespace"/>
              <w:keepNext w:val="0"/>
            </w:pPr>
          </w:p>
        </w:tc>
      </w:tr>
    </w:tbl>
    <w:p w14:paraId="476B0984" w14:textId="3AA6C012" w:rsidR="00546ED9" w:rsidRDefault="00425F14" w:rsidP="00546ED9">
      <w:pPr>
        <w:pStyle w:val="Heading3"/>
      </w:pPr>
      <w:r>
        <w:lastRenderedPageBreak/>
        <w:t xml:space="preserve">Myth: </w:t>
      </w:r>
      <w:r w:rsidR="008513F1">
        <w:t>services are</w:t>
      </w:r>
      <w:r w:rsidR="00FB41E5">
        <w:t xml:space="preserve"> all</w:t>
      </w:r>
      <w:r w:rsidR="008513F1">
        <w:t xml:space="preserve"> labour intensive </w:t>
      </w:r>
    </w:p>
    <w:p w14:paraId="7058F912" w14:textId="2738D6C8" w:rsidR="00546ED9" w:rsidRPr="005D687E" w:rsidRDefault="00546ED9" w:rsidP="00546ED9">
      <w:pPr>
        <w:pStyle w:val="BodyText"/>
      </w:pPr>
      <w:r>
        <w:t>Capital intensity can also affect labour productivity growth. Contrary to common wisdom, most service industries are actually more capital intensive than manufacturing (</w:t>
      </w:r>
      <w:r w:rsidR="00635A85">
        <w:t>f</w:t>
      </w:r>
      <w:r>
        <w:t>igure 1</w:t>
      </w:r>
      <w:r w:rsidR="00D1085F">
        <w:t>5</w:t>
      </w:r>
      <w:r>
        <w:t xml:space="preserve">), though this may merely reflect the small scale and scope of the contemporary Australian manufacturing industry. The exception to this is personal services, which has always been less capital intensive than manufacturing. </w:t>
      </w:r>
    </w:p>
    <w:p w14:paraId="20582BDD" w14:textId="287F8D11" w:rsidR="00546ED9" w:rsidRDefault="00546ED9" w:rsidP="00546ED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46ED9" w14:paraId="127E8166" w14:textId="77777777" w:rsidTr="36E5E979">
        <w:trPr>
          <w:tblHeader/>
        </w:trPr>
        <w:tc>
          <w:tcPr>
            <w:tcW w:w="5000" w:type="pct"/>
            <w:tcBorders>
              <w:top w:val="single" w:sz="6" w:space="0" w:color="78A22F"/>
              <w:left w:val="nil"/>
              <w:bottom w:val="nil"/>
              <w:right w:val="nil"/>
            </w:tcBorders>
            <w:shd w:val="clear" w:color="auto" w:fill="auto"/>
          </w:tcPr>
          <w:p w14:paraId="71978EBB" w14:textId="07236664" w:rsidR="00546ED9" w:rsidRDefault="00546ED9" w:rsidP="00AE4E3B">
            <w:pPr>
              <w:pStyle w:val="FigureTitle"/>
            </w:pPr>
            <w:r w:rsidRPr="00784A05">
              <w:rPr>
                <w:b w:val="0"/>
              </w:rPr>
              <w:t xml:space="preserve">Figure </w:t>
            </w:r>
            <w:r w:rsidR="000A2F9A">
              <w:rPr>
                <w:b w:val="0"/>
                <w:noProof/>
              </w:rPr>
              <w:t>15</w:t>
            </w:r>
            <w:r>
              <w:tab/>
              <w:t>Most services industries are more capital intensive than manufacturing</w:t>
            </w:r>
          </w:p>
          <w:p w14:paraId="5E4B86C8" w14:textId="77777777" w:rsidR="00546ED9" w:rsidRPr="00176D3F" w:rsidRDefault="00546ED9" w:rsidP="00AE4E3B">
            <w:pPr>
              <w:pStyle w:val="Subtitle"/>
            </w:pPr>
            <w:r>
              <w:t>Capital-labour ratio</w:t>
            </w:r>
            <w:r w:rsidRPr="008246B9">
              <w:rPr>
                <w:rStyle w:val="NoteLabel"/>
              </w:rPr>
              <w:t xml:space="preserve"> a</w:t>
            </w:r>
            <w:r>
              <w:t xml:space="preserve"> of service sectors relative to manufacturing</w:t>
            </w:r>
            <w:r>
              <w:rPr>
                <w:rStyle w:val="NoteLabel"/>
              </w:rPr>
              <w:t xml:space="preserve"> </w:t>
            </w:r>
            <w:r w:rsidRPr="00947404">
              <w:t>between</w:t>
            </w:r>
            <w:r>
              <w:t xml:space="preserve"> 1994</w:t>
            </w:r>
            <w:r>
              <w:noBreakHyphen/>
              <w:t>95 and 2018</w:t>
            </w:r>
            <w:r>
              <w:noBreakHyphen/>
              <w:t>19</w:t>
            </w:r>
          </w:p>
        </w:tc>
      </w:tr>
      <w:tr w:rsidR="00546ED9" w14:paraId="263867D0"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546ED9" w:rsidRPr="00B1465D" w14:paraId="45132A47" w14:textId="77777777" w:rsidTr="36E5E979">
              <w:trPr>
                <w:tblHeader/>
                <w:jc w:val="center"/>
              </w:trPr>
              <w:tc>
                <w:tcPr>
                  <w:tcW w:w="5000" w:type="pct"/>
                  <w:tcBorders>
                    <w:top w:val="nil"/>
                    <w:bottom w:val="nil"/>
                  </w:tcBorders>
                </w:tcPr>
                <w:p w14:paraId="1A36D842" w14:textId="64270748" w:rsidR="00546ED9" w:rsidRPr="00B1465D" w:rsidRDefault="04B6C23E" w:rsidP="00AE4E3B">
                  <w:pPr>
                    <w:pStyle w:val="Figure"/>
                    <w:spacing w:before="60" w:after="60"/>
                    <w:rPr>
                      <w:rFonts w:ascii="Tahoma" w:hAnsi="Tahoma" w:cs="Tahoma"/>
                      <w:sz w:val="18"/>
                      <w:szCs w:val="18"/>
                    </w:rPr>
                  </w:pPr>
                  <w:r>
                    <w:rPr>
                      <w:noProof/>
                    </w:rPr>
                    <w:drawing>
                      <wp:inline distT="0" distB="0" distL="0" distR="0" wp14:anchorId="1EA52D88" wp14:editId="13C02AB0">
                        <wp:extent cx="5403217" cy="2874010"/>
                        <wp:effectExtent l="0" t="0" r="6985" b="2540"/>
                        <wp:docPr id="7" name="Picture 7" descr="Business services, distribution services and utilities and construction services all had higher capital intensity than manufacturing for the majority of the period 1995-2019. There was a brief period between 2005 to 2010 where manufacturing had higher capital intensity than these services in some years. Personal services has consistently lower capital intensity compared to manufacturing over the period (around 50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3217" cy="2874010"/>
                                </a:xfrm>
                                <a:prstGeom prst="rect">
                                  <a:avLst/>
                                </a:prstGeom>
                              </pic:spPr>
                            </pic:pic>
                          </a:graphicData>
                        </a:graphic>
                      </wp:inline>
                    </w:drawing>
                  </w:r>
                </w:p>
              </w:tc>
            </w:tr>
          </w:tbl>
          <w:p w14:paraId="0B49B884" w14:textId="77777777" w:rsidR="00546ED9" w:rsidRDefault="00546ED9" w:rsidP="00AE4E3B">
            <w:pPr>
              <w:pStyle w:val="Figure"/>
            </w:pPr>
          </w:p>
        </w:tc>
      </w:tr>
      <w:tr w:rsidR="00546ED9" w:rsidRPr="00176D3F" w14:paraId="7D88C67F" w14:textId="77777777" w:rsidTr="36E5E979">
        <w:tc>
          <w:tcPr>
            <w:tcW w:w="5000" w:type="pct"/>
            <w:tcBorders>
              <w:top w:val="nil"/>
              <w:left w:val="nil"/>
              <w:bottom w:val="nil"/>
              <w:right w:val="nil"/>
            </w:tcBorders>
            <w:shd w:val="clear" w:color="auto" w:fill="auto"/>
          </w:tcPr>
          <w:p w14:paraId="5CF35174" w14:textId="77777777" w:rsidR="00546ED9" w:rsidRPr="00176D3F" w:rsidRDefault="00546ED9" w:rsidP="00AE4E3B">
            <w:pPr>
              <w:pStyle w:val="Note"/>
            </w:pPr>
            <w:r>
              <w:rPr>
                <w:rStyle w:val="NoteLabel"/>
              </w:rPr>
              <w:t>a</w:t>
            </w:r>
            <w:r>
              <w:t xml:space="preserve"> Calculated as the ratio of nominal productive capital stock and actual hours worked.</w:t>
            </w:r>
          </w:p>
        </w:tc>
      </w:tr>
      <w:tr w:rsidR="00546ED9" w:rsidRPr="00176D3F" w14:paraId="7D8681DE" w14:textId="77777777" w:rsidTr="36E5E979">
        <w:tc>
          <w:tcPr>
            <w:tcW w:w="5000" w:type="pct"/>
            <w:tcBorders>
              <w:top w:val="nil"/>
              <w:left w:val="nil"/>
              <w:bottom w:val="nil"/>
              <w:right w:val="nil"/>
            </w:tcBorders>
            <w:shd w:val="clear" w:color="auto" w:fill="auto"/>
          </w:tcPr>
          <w:p w14:paraId="033403E8" w14:textId="77777777" w:rsidR="00546ED9" w:rsidRPr="004B67D4" w:rsidRDefault="00546ED9" w:rsidP="00AE4E3B">
            <w:pPr>
              <w:pStyle w:val="Source"/>
              <w:rPr>
                <w:spacing w:val="-4"/>
              </w:rPr>
            </w:pPr>
            <w:r w:rsidRPr="004B67D4">
              <w:rPr>
                <w:i/>
                <w:spacing w:val="-4"/>
              </w:rPr>
              <w:t>Sources</w:t>
            </w:r>
            <w:r w:rsidRPr="004B67D4">
              <w:rPr>
                <w:spacing w:val="-4"/>
              </w:rPr>
              <w:t>: Commission estimates using ABS (</w:t>
            </w:r>
            <w:r w:rsidRPr="004B67D4">
              <w:rPr>
                <w:i/>
                <w:spacing w:val="-4"/>
              </w:rPr>
              <w:t>Estimates of Industry Multifactor Productivity, 2018-19</w:t>
            </w:r>
            <w:r w:rsidRPr="004B67D4">
              <w:rPr>
                <w:spacing w:val="-4"/>
              </w:rPr>
              <w:t xml:space="preserve">, Cat. no. 5260.0.55.002, tables 1-19; </w:t>
            </w:r>
            <w:r w:rsidRPr="004B67D4">
              <w:rPr>
                <w:i/>
                <w:spacing w:val="-4"/>
              </w:rPr>
              <w:t xml:space="preserve">Labour Account Australia, March 2020, </w:t>
            </w:r>
            <w:r w:rsidRPr="004B67D4">
              <w:rPr>
                <w:spacing w:val="-4"/>
              </w:rPr>
              <w:t>Cat. no</w:t>
            </w:r>
            <w:r w:rsidRPr="004B67D4">
              <w:rPr>
                <w:i/>
                <w:iCs/>
                <w:spacing w:val="-4"/>
              </w:rPr>
              <w:t>. </w:t>
            </w:r>
            <w:r w:rsidRPr="004B67D4">
              <w:rPr>
                <w:spacing w:val="-4"/>
              </w:rPr>
              <w:t>6150.0.55.003, tables 2-20).</w:t>
            </w:r>
          </w:p>
        </w:tc>
      </w:tr>
      <w:tr w:rsidR="00546ED9" w14:paraId="714ECF13" w14:textId="77777777" w:rsidTr="36E5E979">
        <w:tc>
          <w:tcPr>
            <w:tcW w:w="5000" w:type="pct"/>
            <w:tcBorders>
              <w:top w:val="nil"/>
              <w:left w:val="nil"/>
              <w:bottom w:val="single" w:sz="6" w:space="0" w:color="78A22F"/>
              <w:right w:val="nil"/>
            </w:tcBorders>
            <w:shd w:val="clear" w:color="auto" w:fill="auto"/>
          </w:tcPr>
          <w:p w14:paraId="2C311065" w14:textId="77777777" w:rsidR="00546ED9" w:rsidRDefault="00546ED9" w:rsidP="00AE4E3B">
            <w:pPr>
              <w:pStyle w:val="Figurespace"/>
            </w:pPr>
          </w:p>
        </w:tc>
      </w:tr>
      <w:tr w:rsidR="00546ED9" w:rsidRPr="000863A5" w14:paraId="60859BF0" w14:textId="77777777" w:rsidTr="36E5E979">
        <w:tc>
          <w:tcPr>
            <w:tcW w:w="5000" w:type="pct"/>
            <w:tcBorders>
              <w:top w:val="single" w:sz="6" w:space="0" w:color="78A22F"/>
              <w:left w:val="nil"/>
              <w:bottom w:val="nil"/>
              <w:right w:val="nil"/>
            </w:tcBorders>
          </w:tcPr>
          <w:p w14:paraId="776B0AAE" w14:textId="4053986C" w:rsidR="00546ED9" w:rsidRPr="00626D32" w:rsidRDefault="00546ED9" w:rsidP="00AE4E3B">
            <w:pPr>
              <w:pStyle w:val="BoxSpaceBelow"/>
            </w:pPr>
          </w:p>
        </w:tc>
      </w:tr>
    </w:tbl>
    <w:p w14:paraId="605F5F93" w14:textId="0CC5B55D" w:rsidR="00007C08" w:rsidRDefault="003A5210" w:rsidP="00310846">
      <w:pPr>
        <w:pStyle w:val="Heading2"/>
      </w:pPr>
      <w:bookmarkStart w:id="10" w:name="_Toc67912996"/>
      <w:r>
        <w:t>3</w:t>
      </w:r>
      <w:r>
        <w:tab/>
      </w:r>
      <w:r w:rsidR="00DE6DE2">
        <w:t>Challe</w:t>
      </w:r>
      <w:r w:rsidR="00994725">
        <w:t xml:space="preserve">nges in measuring </w:t>
      </w:r>
      <w:r w:rsidR="00BE14F7">
        <w:t>p</w:t>
      </w:r>
      <w:r w:rsidR="00096CFC">
        <w:t>roductivity in the service sector</w:t>
      </w:r>
      <w:bookmarkEnd w:id="10"/>
    </w:p>
    <w:p w14:paraId="304B8E45" w14:textId="40590915" w:rsidR="004D78FB" w:rsidRDefault="0006103B" w:rsidP="004B67D4">
      <w:pPr>
        <w:pStyle w:val="Heading3"/>
        <w:spacing w:before="280"/>
      </w:pPr>
      <w:r>
        <w:t>What is a ‘unit’ of services?</w:t>
      </w:r>
    </w:p>
    <w:p w14:paraId="1F8DA9F4" w14:textId="6D93EC77" w:rsidR="0006103B" w:rsidRDefault="00AE64FB" w:rsidP="004D78FB">
      <w:pPr>
        <w:pStyle w:val="BodyText"/>
      </w:pPr>
      <w:r>
        <w:t xml:space="preserve">A basic requirement of productivity measurement is defining a ‘unit’ of </w:t>
      </w:r>
      <w:r w:rsidR="000360E8">
        <w:t xml:space="preserve">output. </w:t>
      </w:r>
      <w:r w:rsidR="00A25B29">
        <w:t xml:space="preserve">Without knowing what </w:t>
      </w:r>
      <w:r w:rsidR="0063447E">
        <w:t>constitutes</w:t>
      </w:r>
      <w:r w:rsidR="00A25B29">
        <w:t xml:space="preserve"> a single unit</w:t>
      </w:r>
      <w:r w:rsidR="0063447E">
        <w:t xml:space="preserve"> </w:t>
      </w:r>
      <w:r w:rsidR="000B165F">
        <w:t xml:space="preserve">of output, one cannot determine the price of output and hence cannot control for the changes in prices. </w:t>
      </w:r>
      <w:r w:rsidR="00431E12">
        <w:t xml:space="preserve">Service sector productivity is more difficult to measure than for the goods sector </w:t>
      </w:r>
      <w:r w:rsidR="00FA0D0A">
        <w:t>mainly</w:t>
      </w:r>
      <w:r w:rsidR="00431E12">
        <w:t xml:space="preserve"> because </w:t>
      </w:r>
      <w:r w:rsidR="00762DE7">
        <w:t xml:space="preserve">it is difficult to define a standard ‘unit’ </w:t>
      </w:r>
      <w:r w:rsidR="00DD015E">
        <w:t>for many</w:t>
      </w:r>
      <w:r w:rsidR="00762DE7">
        <w:t xml:space="preserve"> services. </w:t>
      </w:r>
      <w:r w:rsidR="00EB366C">
        <w:t xml:space="preserve">For physical </w:t>
      </w:r>
      <w:r w:rsidR="00C63D1B">
        <w:t>good</w:t>
      </w:r>
      <w:r w:rsidR="00D90DD1">
        <w:t>s</w:t>
      </w:r>
      <w:r w:rsidR="00EB366C">
        <w:t>,</w:t>
      </w:r>
      <w:r w:rsidR="00D90DD1">
        <w:t xml:space="preserve"> one can either look at</w:t>
      </w:r>
      <w:r w:rsidR="00EB366C">
        <w:t xml:space="preserve"> </w:t>
      </w:r>
      <w:r w:rsidR="00D90DD1">
        <w:t xml:space="preserve">either </w:t>
      </w:r>
      <w:r w:rsidR="00CF7002">
        <w:t xml:space="preserve">the </w:t>
      </w:r>
      <w:r w:rsidR="00CF7002">
        <w:lastRenderedPageBreak/>
        <w:t xml:space="preserve">smallest unit </w:t>
      </w:r>
      <w:r w:rsidR="00D17957">
        <w:t>(</w:t>
      </w:r>
      <w:r w:rsidR="00D17957">
        <w:rPr>
          <w:i/>
          <w:iCs/>
        </w:rPr>
        <w:t>a</w:t>
      </w:r>
      <w:r w:rsidR="00C63D1B">
        <w:rPr>
          <w:i/>
          <w:iCs/>
        </w:rPr>
        <w:t> </w:t>
      </w:r>
      <w:r w:rsidR="00D17957">
        <w:t xml:space="preserve">car, or </w:t>
      </w:r>
      <w:r w:rsidR="00D17957">
        <w:rPr>
          <w:i/>
          <w:iCs/>
        </w:rPr>
        <w:t xml:space="preserve">a </w:t>
      </w:r>
      <w:r w:rsidR="00D17957">
        <w:t xml:space="preserve">toaster) or </w:t>
      </w:r>
      <w:r w:rsidR="0063082A">
        <w:t xml:space="preserve">they can be standardised by weight </w:t>
      </w:r>
      <w:r w:rsidR="00A36F81">
        <w:t>(an ounce of gold, a ton</w:t>
      </w:r>
      <w:r w:rsidR="005B2591">
        <w:t>n</w:t>
      </w:r>
      <w:r w:rsidR="00A36F81">
        <w:t xml:space="preserve">e of iron ore). </w:t>
      </w:r>
      <w:r w:rsidR="00076DE1">
        <w:t>But often neither of these approaches has an obvious application for services.</w:t>
      </w:r>
      <w:r w:rsidR="0061246D">
        <w:t xml:space="preserve"> </w:t>
      </w:r>
      <w:r w:rsidR="00076DE1">
        <w:t>W</w:t>
      </w:r>
      <w:r w:rsidR="0061246D">
        <w:t>hat is the smallest unit of</w:t>
      </w:r>
      <w:r w:rsidR="00D90DD1">
        <w:t xml:space="preserve"> </w:t>
      </w:r>
      <w:r w:rsidR="00076DE1">
        <w:t>a haircut? And can one standardise a haircut by say the time taken</w:t>
      </w:r>
      <w:r w:rsidR="00641B03">
        <w:t xml:space="preserve"> or the particular tasks included (men’s cut, hair dye, wash and shampoo etc</w:t>
      </w:r>
      <w:r w:rsidR="0062494C">
        <w:t>.</w:t>
      </w:r>
      <w:r w:rsidR="00641B03">
        <w:t>)?</w:t>
      </w:r>
      <w:r w:rsidR="0061246D">
        <w:t xml:space="preserve"> </w:t>
      </w:r>
      <w:r w:rsidR="003125D0">
        <w:t>Statistical</w:t>
      </w:r>
      <w:r w:rsidR="00CD6FD9">
        <w:t xml:space="preserve"> agencies take a</w:t>
      </w:r>
      <w:r w:rsidR="00E324B3">
        <w:t xml:space="preserve"> variety of approaches to address th</w:t>
      </w:r>
      <w:r w:rsidR="00CE6C0F">
        <w:t>e</w:t>
      </w:r>
      <w:r w:rsidR="00E324B3">
        <w:t>s</w:t>
      </w:r>
      <w:r w:rsidR="00CE6C0F">
        <w:t>e</w:t>
      </w:r>
      <w:r w:rsidR="00E324B3">
        <w:t xml:space="preserve"> issue</w:t>
      </w:r>
      <w:r w:rsidR="001456D8">
        <w:t>s</w:t>
      </w:r>
      <w:r w:rsidR="00E324B3">
        <w:t xml:space="preserve"> </w:t>
      </w:r>
      <w:r w:rsidR="003125D0">
        <w:t xml:space="preserve">but there </w:t>
      </w:r>
      <w:r w:rsidR="0085600F">
        <w:t>is</w:t>
      </w:r>
      <w:r w:rsidR="003125D0">
        <w:t xml:space="preserve"> still </w:t>
      </w:r>
      <w:r w:rsidR="00152987">
        <w:t>doubt about how well th</w:t>
      </w:r>
      <w:r w:rsidR="001456D8">
        <w:t xml:space="preserve">ese problems of measurement can be solved. </w:t>
      </w:r>
    </w:p>
    <w:p w14:paraId="1DB0DFE0" w14:textId="1E8DD77D" w:rsidR="00040A52" w:rsidRDefault="00040A52" w:rsidP="004D78FB">
      <w:pPr>
        <w:pStyle w:val="BodyText"/>
      </w:pPr>
      <w:r>
        <w:t xml:space="preserve">Goods often have some of </w:t>
      </w:r>
      <w:r w:rsidR="00057FF1">
        <w:t xml:space="preserve">these </w:t>
      </w:r>
      <w:r w:rsidR="00CE6C0F">
        <w:t xml:space="preserve">definitional </w:t>
      </w:r>
      <w:r w:rsidR="00057FF1">
        <w:t xml:space="preserve">issues as well. For example, </w:t>
      </w:r>
      <w:r w:rsidR="006B1213">
        <w:t>do</w:t>
      </w:r>
      <w:r w:rsidR="00C11DC9">
        <w:t xml:space="preserve"> all potential </w:t>
      </w:r>
      <w:r w:rsidR="00D94645">
        <w:t xml:space="preserve">car </w:t>
      </w:r>
      <w:r w:rsidR="000D5E66">
        <w:t xml:space="preserve">models from all companies need to be accounted for to </w:t>
      </w:r>
      <w:r w:rsidR="00957999">
        <w:t>represent the ‘car market’ in national accounts? However, in the case of most goods, it is at least theoretically feasible to account for most of the variations of a particular good</w:t>
      </w:r>
      <w:r w:rsidR="008C2B1A">
        <w:t xml:space="preserve">. But this is not possible for certain </w:t>
      </w:r>
      <w:r w:rsidR="00F847AF">
        <w:t xml:space="preserve">services where every single </w:t>
      </w:r>
      <w:r w:rsidR="00AB205A">
        <w:t xml:space="preserve">firm could be thought of as offering a distinct </w:t>
      </w:r>
      <w:r w:rsidR="00FC1A14">
        <w:t>service</w:t>
      </w:r>
      <w:r w:rsidR="005619E0">
        <w:t>,</w:t>
      </w:r>
      <w:r w:rsidR="00AB205A">
        <w:t xml:space="preserve"> </w:t>
      </w:r>
      <w:r w:rsidR="005619E0">
        <w:t>and even for any particular firm these services might</w:t>
      </w:r>
      <w:r w:rsidR="00AB205A">
        <w:t xml:space="preserve"> </w:t>
      </w:r>
      <w:r w:rsidR="005619E0">
        <w:t>vary</w:t>
      </w:r>
      <w:r w:rsidR="006B1213">
        <w:t xml:space="preserve"> over time</w:t>
      </w:r>
      <w:r w:rsidR="005619E0">
        <w:t xml:space="preserve"> (for example, if provided on a different day by a different employee)</w:t>
      </w:r>
      <w:r w:rsidR="006B1213">
        <w:t xml:space="preserve">. </w:t>
      </w:r>
    </w:p>
    <w:p w14:paraId="011C8323" w14:textId="0678FED6" w:rsidR="00390B66" w:rsidRPr="00D17957" w:rsidRDefault="00390B66" w:rsidP="004D78FB">
      <w:pPr>
        <w:pStyle w:val="BodyText"/>
      </w:pPr>
      <w:r>
        <w:t>Services sector productivity measurement is also complicated by the contribution of the ‘customer’ to the product</w:t>
      </w:r>
      <w:r w:rsidR="005B1331">
        <w:t>. T</w:t>
      </w:r>
      <w:r w:rsidR="00BD3188">
        <w:t xml:space="preserve">he healthiness of the patient will </w:t>
      </w:r>
      <w:r w:rsidR="005B1331">
        <w:t>affect</w:t>
      </w:r>
      <w:r w:rsidR="00BD3188">
        <w:t xml:space="preserve"> how well a particular treatment plan </w:t>
      </w:r>
      <w:r w:rsidR="00AF4F05">
        <w:t xml:space="preserve">works. And whether or not a student pays attention and studies </w:t>
      </w:r>
      <w:r w:rsidR="008C0D27">
        <w:t xml:space="preserve">(and even the ways in which that individual learns) </w:t>
      </w:r>
      <w:r w:rsidR="00AF4F05">
        <w:t xml:space="preserve">will </w:t>
      </w:r>
      <w:r w:rsidR="005B1331">
        <w:t>affect</w:t>
      </w:r>
      <w:r w:rsidR="006725BB">
        <w:t xml:space="preserve"> how well a school</w:t>
      </w:r>
      <w:r w:rsidR="005B1331">
        <w:t xml:space="preserve"> can educate this student. </w:t>
      </w:r>
    </w:p>
    <w:p w14:paraId="5D9DB4B2" w14:textId="7638097A" w:rsidR="004D78FB" w:rsidRDefault="000360E8" w:rsidP="004D78FB">
      <w:pPr>
        <w:pStyle w:val="BodyText"/>
      </w:pPr>
      <w:r>
        <w:t xml:space="preserve">That said, it </w:t>
      </w:r>
      <w:r w:rsidR="004D78FB">
        <w:t xml:space="preserve">is important not to overstate the difficulty of measuring productivity in the service sector relative to the goods sector. Productivity measurement in </w:t>
      </w:r>
      <w:r w:rsidR="004D78FB" w:rsidRPr="00C22CB0">
        <w:rPr>
          <w:i/>
        </w:rPr>
        <w:t>any</w:t>
      </w:r>
      <w:r w:rsidR="004D78FB">
        <w:t xml:space="preserve"> industry is fraught with numerous theoretical and practical issues and even choosing the right measure of productivity can be challenging (box 7)</w:t>
      </w:r>
      <w:r w:rsidR="004D78FB" w:rsidDel="00A607CB">
        <w:t>.</w:t>
      </w:r>
      <w:r w:rsidR="004D78FB">
        <w:t xml:space="preserve"> Indeed, the Commission </w:t>
      </w:r>
      <w:r w:rsidR="00823E4A" w:rsidRPr="00823E4A">
        <w:rPr>
          <w:szCs w:val="24"/>
        </w:rPr>
        <w:t xml:space="preserve">(Barnes et al. 2013; </w:t>
      </w:r>
      <w:proofErr w:type="spellStart"/>
      <w:r w:rsidR="00823E4A" w:rsidRPr="00823E4A">
        <w:rPr>
          <w:szCs w:val="24"/>
        </w:rPr>
        <w:t>Topp</w:t>
      </w:r>
      <w:proofErr w:type="spellEnd"/>
      <w:r w:rsidR="00823E4A" w:rsidRPr="00823E4A">
        <w:rPr>
          <w:szCs w:val="24"/>
        </w:rPr>
        <w:t xml:space="preserve"> et al. 2008; </w:t>
      </w:r>
      <w:proofErr w:type="spellStart"/>
      <w:r w:rsidR="00823E4A" w:rsidRPr="00823E4A">
        <w:rPr>
          <w:szCs w:val="24"/>
        </w:rPr>
        <w:t>Topp</w:t>
      </w:r>
      <w:proofErr w:type="spellEnd"/>
      <w:r w:rsidR="00823E4A" w:rsidRPr="00823E4A">
        <w:rPr>
          <w:szCs w:val="24"/>
        </w:rPr>
        <w:t xml:space="preserve">, and </w:t>
      </w:r>
      <w:proofErr w:type="spellStart"/>
      <w:r w:rsidR="00823E4A" w:rsidRPr="00823E4A">
        <w:rPr>
          <w:szCs w:val="24"/>
        </w:rPr>
        <w:t>Kulys</w:t>
      </w:r>
      <w:proofErr w:type="spellEnd"/>
      <w:r w:rsidR="00823E4A" w:rsidRPr="00823E4A">
        <w:rPr>
          <w:szCs w:val="24"/>
        </w:rPr>
        <w:t>, 2013)</w:t>
      </w:r>
      <w:r w:rsidR="004D78FB">
        <w:t xml:space="preserve"> </w:t>
      </w:r>
      <w:r w:rsidR="00FE6572">
        <w:t>has d</w:t>
      </w:r>
      <w:r w:rsidR="00622A82">
        <w:t>elved into the</w:t>
      </w:r>
      <w:r w:rsidR="004D78FB">
        <w:t xml:space="preserve"> challenges of productivity measurement in the ‘goods’ sector</w:t>
      </w:r>
      <w:r w:rsidR="00622A82">
        <w:t xml:space="preserve"> in numerous past papers</w:t>
      </w:r>
      <w:r w:rsidR="004D78FB">
        <w:t>.</w:t>
      </w:r>
    </w:p>
    <w:p w14:paraId="062A0362" w14:textId="620B3981" w:rsidR="004D78FB" w:rsidRDefault="004D78FB" w:rsidP="004D78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D78FB" w14:paraId="1D6F3CDD" w14:textId="77777777" w:rsidTr="009D6100">
        <w:trPr>
          <w:tblHeader/>
        </w:trPr>
        <w:tc>
          <w:tcPr>
            <w:tcW w:w="5000" w:type="pct"/>
            <w:tcBorders>
              <w:top w:val="single" w:sz="6" w:space="0" w:color="78A22F"/>
              <w:left w:val="nil"/>
              <w:bottom w:val="nil"/>
              <w:right w:val="nil"/>
            </w:tcBorders>
            <w:shd w:val="clear" w:color="auto" w:fill="F2F2F2"/>
          </w:tcPr>
          <w:p w14:paraId="14D07D9A" w14:textId="034E7C8A" w:rsidR="004D78FB" w:rsidRDefault="004D78FB" w:rsidP="009D6100">
            <w:pPr>
              <w:pStyle w:val="BoxTitle"/>
            </w:pPr>
            <w:r>
              <w:rPr>
                <w:b w:val="0"/>
              </w:rPr>
              <w:t xml:space="preserve">Box </w:t>
            </w:r>
            <w:r w:rsidR="000A2F9A">
              <w:rPr>
                <w:b w:val="0"/>
                <w:noProof/>
              </w:rPr>
              <w:t>4</w:t>
            </w:r>
            <w:r>
              <w:tab/>
              <w:t>Which measure is which in productivity measurement?</w:t>
            </w:r>
          </w:p>
        </w:tc>
      </w:tr>
      <w:tr w:rsidR="004D78FB" w14:paraId="1461F220" w14:textId="77777777" w:rsidTr="009D6100">
        <w:tc>
          <w:tcPr>
            <w:tcW w:w="5000" w:type="pct"/>
            <w:tcBorders>
              <w:top w:val="nil"/>
              <w:left w:val="nil"/>
              <w:bottom w:val="nil"/>
              <w:right w:val="nil"/>
            </w:tcBorders>
            <w:shd w:val="clear" w:color="auto" w:fill="F2F2F2"/>
          </w:tcPr>
          <w:p w14:paraId="4CE7B23B" w14:textId="215DE4E5" w:rsidR="007043A2" w:rsidRPr="004B67D4" w:rsidRDefault="004D78FB" w:rsidP="00443A60">
            <w:pPr>
              <w:pStyle w:val="Box"/>
              <w:rPr>
                <w:spacing w:val="-2"/>
              </w:rPr>
            </w:pPr>
            <w:r w:rsidRPr="004B67D4">
              <w:rPr>
                <w:spacing w:val="-2"/>
              </w:rPr>
              <w:t>A comparison of productivity growth between industries and sectors is complicated by the numerous different measures of productivity</w:t>
            </w:r>
            <w:r w:rsidR="009268A2" w:rsidRPr="004B67D4">
              <w:rPr>
                <w:spacing w:val="-2"/>
              </w:rPr>
              <w:t xml:space="preserve">. </w:t>
            </w:r>
            <w:r w:rsidR="00945999" w:rsidRPr="004B67D4">
              <w:rPr>
                <w:spacing w:val="-2"/>
              </w:rPr>
              <w:t xml:space="preserve">The broadest definition of </w:t>
            </w:r>
            <w:r w:rsidR="00DC5048" w:rsidRPr="004B67D4">
              <w:rPr>
                <w:spacing w:val="-2"/>
              </w:rPr>
              <w:t>productivity</w:t>
            </w:r>
            <w:r w:rsidR="00910B3D" w:rsidRPr="004B67D4">
              <w:rPr>
                <w:spacing w:val="-2"/>
              </w:rPr>
              <w:t xml:space="preserve"> is </w:t>
            </w:r>
            <w:r w:rsidR="00945999" w:rsidRPr="004B67D4">
              <w:rPr>
                <w:spacing w:val="-2"/>
              </w:rPr>
              <w:t>‘</w:t>
            </w:r>
            <w:r w:rsidR="00910B3D" w:rsidRPr="004B67D4">
              <w:rPr>
                <w:spacing w:val="-2"/>
              </w:rPr>
              <w:t xml:space="preserve">the </w:t>
            </w:r>
            <w:r w:rsidR="00945999" w:rsidRPr="004B67D4">
              <w:rPr>
                <w:spacing w:val="-2"/>
              </w:rPr>
              <w:t xml:space="preserve">ratio between output and the total input of factors required to achieve it’. </w:t>
            </w:r>
            <w:r w:rsidR="00931805" w:rsidRPr="004B67D4">
              <w:rPr>
                <w:spacing w:val="-2"/>
              </w:rPr>
              <w:t>Therefore,</w:t>
            </w:r>
            <w:r w:rsidR="00945999" w:rsidRPr="004B67D4">
              <w:rPr>
                <w:spacing w:val="-2"/>
              </w:rPr>
              <w:t xml:space="preserve"> the </w:t>
            </w:r>
            <w:r w:rsidR="008B775C" w:rsidRPr="004B67D4">
              <w:rPr>
                <w:spacing w:val="-2"/>
              </w:rPr>
              <w:t xml:space="preserve">difference between productivity measures </w:t>
            </w:r>
            <w:r w:rsidR="00931805" w:rsidRPr="004B67D4">
              <w:rPr>
                <w:spacing w:val="-2"/>
              </w:rPr>
              <w:t>comes from the input</w:t>
            </w:r>
            <w:r w:rsidR="00945999" w:rsidRPr="004B67D4">
              <w:rPr>
                <w:spacing w:val="-2"/>
              </w:rPr>
              <w:t xml:space="preserve"> </w:t>
            </w:r>
            <w:r w:rsidR="00DD7161" w:rsidRPr="004B67D4">
              <w:rPr>
                <w:spacing w:val="-2"/>
              </w:rPr>
              <w:t xml:space="preserve">and </w:t>
            </w:r>
            <w:r w:rsidR="00945999" w:rsidRPr="004B67D4">
              <w:rPr>
                <w:spacing w:val="-2"/>
              </w:rPr>
              <w:t xml:space="preserve">output </w:t>
            </w:r>
            <w:r w:rsidR="00B162C2" w:rsidRPr="004B67D4">
              <w:rPr>
                <w:spacing w:val="-2"/>
              </w:rPr>
              <w:t>measure</w:t>
            </w:r>
            <w:r w:rsidR="00DD7161" w:rsidRPr="004B67D4">
              <w:rPr>
                <w:spacing w:val="-2"/>
              </w:rPr>
              <w:t>s</w:t>
            </w:r>
            <w:r w:rsidR="00B162C2" w:rsidRPr="004B67D4">
              <w:rPr>
                <w:spacing w:val="-2"/>
              </w:rPr>
              <w:t xml:space="preserve"> used.</w:t>
            </w:r>
            <w:r w:rsidR="000C2202" w:rsidRPr="004B67D4">
              <w:rPr>
                <w:spacing w:val="-2"/>
              </w:rPr>
              <w:t xml:space="preserve"> There are three commonly used measures of productivity, each with their relative merits and drawbacks</w:t>
            </w:r>
            <w:r w:rsidR="00B162C2" w:rsidRPr="004B67D4">
              <w:rPr>
                <w:spacing w:val="-2"/>
              </w:rPr>
              <w:t>.</w:t>
            </w:r>
            <w:r w:rsidR="00DC5048" w:rsidRPr="004B67D4">
              <w:rPr>
                <w:spacing w:val="-2"/>
              </w:rPr>
              <w:t xml:space="preserve"> </w:t>
            </w:r>
            <w:r w:rsidR="00AD2791" w:rsidRPr="004B67D4">
              <w:rPr>
                <w:spacing w:val="-2"/>
              </w:rPr>
              <w:t xml:space="preserve">Labour productivity </w:t>
            </w:r>
            <w:r w:rsidR="00415EB0" w:rsidRPr="004B67D4">
              <w:rPr>
                <w:spacing w:val="-2"/>
              </w:rPr>
              <w:t xml:space="preserve">— output divided by hours worked —  </w:t>
            </w:r>
            <w:r w:rsidR="00B01296" w:rsidRPr="004B67D4">
              <w:rPr>
                <w:spacing w:val="-2"/>
              </w:rPr>
              <w:t xml:space="preserve">measures the </w:t>
            </w:r>
            <w:r w:rsidR="009E1EB1" w:rsidRPr="004B67D4">
              <w:rPr>
                <w:spacing w:val="-2"/>
              </w:rPr>
              <w:t>efficiency with which labour</w:t>
            </w:r>
            <w:r w:rsidR="00B01296" w:rsidRPr="004B67D4">
              <w:rPr>
                <w:spacing w:val="-2"/>
              </w:rPr>
              <w:t xml:space="preserve"> </w:t>
            </w:r>
            <w:r w:rsidR="008F30AC" w:rsidRPr="004B67D4">
              <w:rPr>
                <w:spacing w:val="-2"/>
              </w:rPr>
              <w:t>produces output</w:t>
            </w:r>
            <w:r w:rsidR="00347E24" w:rsidRPr="004B67D4">
              <w:rPr>
                <w:spacing w:val="-2"/>
              </w:rPr>
              <w:t>.</w:t>
            </w:r>
            <w:r w:rsidR="008F30AC" w:rsidRPr="004B67D4">
              <w:rPr>
                <w:spacing w:val="-2"/>
              </w:rPr>
              <w:t xml:space="preserve"> </w:t>
            </w:r>
            <w:r w:rsidR="00347E24" w:rsidRPr="004B67D4">
              <w:rPr>
                <w:spacing w:val="-2"/>
              </w:rPr>
              <w:t>M</w:t>
            </w:r>
            <w:r w:rsidR="008F30AC" w:rsidRPr="004B67D4">
              <w:rPr>
                <w:spacing w:val="-2"/>
              </w:rPr>
              <w:t>ultifactor productivity (MFP) extends</w:t>
            </w:r>
            <w:r w:rsidR="00F64112" w:rsidRPr="004B67D4">
              <w:rPr>
                <w:spacing w:val="-2"/>
              </w:rPr>
              <w:t xml:space="preserve"> this definition</w:t>
            </w:r>
            <w:r w:rsidR="008F30AC" w:rsidRPr="004B67D4">
              <w:rPr>
                <w:spacing w:val="-2"/>
              </w:rPr>
              <w:t xml:space="preserve"> by </w:t>
            </w:r>
            <w:r w:rsidR="00347E24" w:rsidRPr="004B67D4">
              <w:rPr>
                <w:spacing w:val="-2"/>
              </w:rPr>
              <w:t xml:space="preserve">measuring the </w:t>
            </w:r>
            <w:r w:rsidR="006369A4" w:rsidRPr="004B67D4">
              <w:rPr>
                <w:spacing w:val="-2"/>
              </w:rPr>
              <w:t xml:space="preserve">efficiency with which the </w:t>
            </w:r>
            <w:r w:rsidR="00347E24" w:rsidRPr="004B67D4">
              <w:rPr>
                <w:spacing w:val="-2"/>
              </w:rPr>
              <w:t>combination</w:t>
            </w:r>
            <w:r w:rsidR="00333D2C" w:rsidRPr="004B67D4">
              <w:rPr>
                <w:spacing w:val="-2"/>
              </w:rPr>
              <w:t xml:space="preserve"> </w:t>
            </w:r>
            <w:r w:rsidR="00F64112" w:rsidRPr="004B67D4">
              <w:rPr>
                <w:spacing w:val="-2"/>
              </w:rPr>
              <w:t>of capital and labour</w:t>
            </w:r>
            <w:r w:rsidR="0039620B" w:rsidRPr="004B67D4">
              <w:rPr>
                <w:spacing w:val="-2"/>
              </w:rPr>
              <w:t xml:space="preserve"> </w:t>
            </w:r>
            <w:r w:rsidR="006369A4" w:rsidRPr="004B67D4">
              <w:rPr>
                <w:spacing w:val="-2"/>
              </w:rPr>
              <w:t>produce output. And finally KLEMS</w:t>
            </w:r>
            <w:r w:rsidR="009268A2" w:rsidRPr="004B67D4">
              <w:rPr>
                <w:spacing w:val="-2"/>
              </w:rPr>
              <w:t xml:space="preserve"> relates gross output to </w:t>
            </w:r>
            <w:r w:rsidR="009D0B01" w:rsidRPr="004B67D4">
              <w:rPr>
                <w:spacing w:val="-2"/>
              </w:rPr>
              <w:t xml:space="preserve">a combination of </w:t>
            </w:r>
            <w:r w:rsidR="009268A2" w:rsidRPr="004B67D4">
              <w:rPr>
                <w:spacing w:val="-2"/>
              </w:rPr>
              <w:t xml:space="preserve">primary (capital and labour) and intermediate inputs (energy, materials, services). </w:t>
            </w:r>
          </w:p>
          <w:p w14:paraId="4F7E9B70" w14:textId="5053CD34" w:rsidR="004D78FB" w:rsidRDefault="00AE0914" w:rsidP="009D6100">
            <w:pPr>
              <w:pStyle w:val="Box"/>
            </w:pPr>
            <w:r>
              <w:t xml:space="preserve">Labour productivity is measured </w:t>
            </w:r>
            <w:r w:rsidR="00B921E0">
              <w:t xml:space="preserve">as </w:t>
            </w:r>
            <w:r w:rsidR="002C5C38">
              <w:t xml:space="preserve">dollars of output divided by </w:t>
            </w:r>
            <w:r w:rsidR="00676B84">
              <w:t xml:space="preserve">the number of worker hours to produce the output. </w:t>
            </w:r>
            <w:r w:rsidR="00F478E4">
              <w:t>It is an imperfect measure, because a</w:t>
            </w:r>
            <w:r w:rsidR="00262DF2">
              <w:t>n industry that uses more capital (machinery</w:t>
            </w:r>
            <w:r w:rsidR="001A5DC8">
              <w:t xml:space="preserve">, IT, etc.) will have a higher labour productivity, even if it is not </w:t>
            </w:r>
            <w:r w:rsidR="00F478E4">
              <w:t>using those inputs efficiently.</w:t>
            </w:r>
            <w:r w:rsidR="00222BE2">
              <w:t xml:space="preserve"> However, it may capture</w:t>
            </w:r>
            <w:r w:rsidR="004D78FB">
              <w:t xml:space="preserve"> the </w:t>
            </w:r>
            <w:r w:rsidR="004D78FB">
              <w:rPr>
                <w:i/>
                <w:iCs/>
              </w:rPr>
              <w:t>capacity</w:t>
            </w:r>
            <w:r w:rsidR="004D78FB">
              <w:t xml:space="preserve"> to expand use of a particular input (without hitting significant diminishing returns or capacity constraints)</w:t>
            </w:r>
            <w:r w:rsidR="00394154">
              <w:t>, which</w:t>
            </w:r>
            <w:r w:rsidR="004D78FB">
              <w:t xml:space="preserve"> may be as relevant as how efficiently it uses that input. </w:t>
            </w:r>
            <w:r w:rsidR="00C55789">
              <w:t>For example, innovation in manufacturing can allow factories to use more capital per worker rather than just making individual workers more productive with their existing capital. By contrast</w:t>
            </w:r>
            <w:r w:rsidR="004D78FB">
              <w:t>, an orchestra may use its existing capital</w:t>
            </w:r>
            <w:r w:rsidR="00C55789">
              <w:t xml:space="preserve"> and</w:t>
            </w:r>
            <w:r w:rsidR="004D78FB">
              <w:t xml:space="preserve"> musical instruments very efficiently</w:t>
            </w:r>
            <w:r w:rsidR="00C55789">
              <w:t>,</w:t>
            </w:r>
            <w:r w:rsidR="004D78FB">
              <w:t xml:space="preserve"> but it has little capacity to increase its use of musical instruments per musician. </w:t>
            </w:r>
          </w:p>
          <w:p w14:paraId="63AD8F5E" w14:textId="1E1492A0" w:rsidR="004D78FB" w:rsidRDefault="009815FB" w:rsidP="009D6100">
            <w:pPr>
              <w:pStyle w:val="Box"/>
            </w:pPr>
            <w:r>
              <w:t>Value added MFP is</w:t>
            </w:r>
            <w:r w:rsidR="004D78FB">
              <w:t xml:space="preserve"> a measure of ‘total factor’ productivity</w:t>
            </w:r>
            <w:r w:rsidR="00341F2A">
              <w:t xml:space="preserve">, measuring how </w:t>
            </w:r>
            <w:r w:rsidR="00531332">
              <w:t>much value added is create</w:t>
            </w:r>
            <w:r w:rsidR="005872CA">
              <w:t>d by</w:t>
            </w:r>
            <w:r w:rsidR="00531332">
              <w:t xml:space="preserve"> a given amount of labour and capital</w:t>
            </w:r>
            <w:r w:rsidR="00341F2A">
              <w:t xml:space="preserve">. (KLEMS is even more precise, but the </w:t>
            </w:r>
            <w:r w:rsidR="00706491">
              <w:t xml:space="preserve">underlying data is generally more difficult to obtain.) </w:t>
            </w:r>
            <w:r w:rsidR="004D78FB">
              <w:t xml:space="preserve">The large difference in performance between MFP and labour productivity for the goods sector (figure </w:t>
            </w:r>
            <w:r w:rsidR="00C43117">
              <w:t>18</w:t>
            </w:r>
            <w:r w:rsidR="004D78FB">
              <w:t xml:space="preserve">) highlights the importance of evaluating multiple indicators when assessing performance. While MFP is better indicator of the overall ability </w:t>
            </w:r>
            <w:r w:rsidR="004941E9">
              <w:t xml:space="preserve">to </w:t>
            </w:r>
            <w:r w:rsidR="004D78FB">
              <w:t xml:space="preserve">use resources more efficiently, labour productivity allows for both differences in efficiency and the </w:t>
            </w:r>
            <w:r w:rsidR="004D78FB">
              <w:rPr>
                <w:i/>
                <w:iCs/>
              </w:rPr>
              <w:t>capacity</w:t>
            </w:r>
            <w:r w:rsidR="004D78FB">
              <w:t xml:space="preserve"> to increase capital inputs to </w:t>
            </w:r>
            <w:r w:rsidR="008C60E5">
              <w:t xml:space="preserve">effect </w:t>
            </w:r>
            <w:r w:rsidR="004D78FB">
              <w:t xml:space="preserve">output. </w:t>
            </w:r>
          </w:p>
        </w:tc>
      </w:tr>
      <w:tr w:rsidR="004D78FB" w14:paraId="779C5AC8" w14:textId="77777777" w:rsidTr="009D6100">
        <w:tc>
          <w:tcPr>
            <w:tcW w:w="5000" w:type="pct"/>
            <w:tcBorders>
              <w:top w:val="nil"/>
              <w:left w:val="nil"/>
              <w:bottom w:val="nil"/>
              <w:right w:val="nil"/>
            </w:tcBorders>
            <w:shd w:val="clear" w:color="auto" w:fill="F2F2F2"/>
          </w:tcPr>
          <w:p w14:paraId="422A9B80" w14:textId="38544F88" w:rsidR="004D78FB" w:rsidRDefault="004D78FB" w:rsidP="009D6100">
            <w:pPr>
              <w:pStyle w:val="BoxSource"/>
            </w:pPr>
            <w:r>
              <w:rPr>
                <w:i/>
              </w:rPr>
              <w:t>Source</w:t>
            </w:r>
            <w:r w:rsidRPr="00167F06">
              <w:t>:</w:t>
            </w:r>
            <w:r>
              <w:t xml:space="preserve"> Australian System of National Accounts Concepts, Sources and Methods </w:t>
            </w:r>
            <w:r w:rsidR="00213A40" w:rsidRPr="00213A40">
              <w:rPr>
                <w:rFonts w:cs="Arial"/>
                <w:szCs w:val="24"/>
              </w:rPr>
              <w:t>(ABS 2020a)</w:t>
            </w:r>
            <w:r w:rsidR="004B67D4">
              <w:rPr>
                <w:rFonts w:cs="Arial"/>
                <w:szCs w:val="24"/>
              </w:rPr>
              <w:t>.</w:t>
            </w:r>
          </w:p>
        </w:tc>
      </w:tr>
      <w:tr w:rsidR="004D78FB" w14:paraId="59A06227" w14:textId="77777777" w:rsidTr="009D6100">
        <w:tc>
          <w:tcPr>
            <w:tcW w:w="5000" w:type="pct"/>
            <w:tcBorders>
              <w:top w:val="nil"/>
              <w:left w:val="nil"/>
              <w:bottom w:val="single" w:sz="6" w:space="0" w:color="78A22F"/>
              <w:right w:val="nil"/>
            </w:tcBorders>
            <w:shd w:val="clear" w:color="auto" w:fill="F2F2F2"/>
          </w:tcPr>
          <w:p w14:paraId="4453B054" w14:textId="77777777" w:rsidR="004D78FB" w:rsidRDefault="004D78FB" w:rsidP="009D6100">
            <w:pPr>
              <w:pStyle w:val="Box"/>
              <w:spacing w:before="0" w:line="120" w:lineRule="exact"/>
            </w:pPr>
          </w:p>
        </w:tc>
      </w:tr>
      <w:tr w:rsidR="004D78FB" w:rsidRPr="000863A5" w14:paraId="1D6250B4" w14:textId="77777777" w:rsidTr="009D6100">
        <w:trPr>
          <w:trHeight w:val="65"/>
        </w:trPr>
        <w:tc>
          <w:tcPr>
            <w:tcW w:w="5000" w:type="pct"/>
            <w:tcBorders>
              <w:top w:val="single" w:sz="6" w:space="0" w:color="78A22F"/>
              <w:left w:val="nil"/>
              <w:bottom w:val="nil"/>
              <w:right w:val="nil"/>
            </w:tcBorders>
          </w:tcPr>
          <w:p w14:paraId="78E251A0" w14:textId="63A9F4A2" w:rsidR="004D78FB" w:rsidRPr="00626D32" w:rsidRDefault="004D78FB" w:rsidP="009D6100">
            <w:pPr>
              <w:pStyle w:val="BoxSpaceBelow"/>
            </w:pPr>
          </w:p>
        </w:tc>
      </w:tr>
    </w:tbl>
    <w:p w14:paraId="32FEA6B8" w14:textId="21CD2C5A" w:rsidR="004D78FB" w:rsidRDefault="004D78FB" w:rsidP="004D78FB">
      <w:pPr>
        <w:pStyle w:val="BodyText"/>
      </w:pPr>
      <w:r>
        <w:t>It is convenient to divide the measurement issues affecting services into two parts: those affecting the ‘market’ provided services</w:t>
      </w:r>
      <w:r w:rsidR="004A094E">
        <w:t xml:space="preserve"> (box 5)</w:t>
      </w:r>
      <w:r>
        <w:t xml:space="preserve"> and those affecting the ‘non-market’ services. The non-market sector is defined as those services (health care and social assistance, education and training, and public services) that lack meaningful market prices due to them being provided ‘</w:t>
      </w:r>
      <w:r w:rsidRPr="00A25629">
        <w:t xml:space="preserve">free of </w:t>
      </w:r>
      <w:proofErr w:type="gramStart"/>
      <w:r w:rsidRPr="00A25629">
        <w:t>charge, or</w:t>
      </w:r>
      <w:proofErr w:type="gramEnd"/>
      <w:r w:rsidRPr="00A25629">
        <w:t xml:space="preserve"> sold at highly subsidised prices</w:t>
      </w:r>
      <w:r>
        <w:t xml:space="preserve">’ </w:t>
      </w:r>
      <w:r w:rsidR="00E04E0F" w:rsidRPr="00E04E0F">
        <w:rPr>
          <w:szCs w:val="24"/>
        </w:rPr>
        <w:t>(ABS 2020e)</w:t>
      </w:r>
      <w:r>
        <w:t xml:space="preserve">. Prices are used to weight different goods in overall production and without them a measure of overall output (and productivity) is not possible. Many non-market services have </w:t>
      </w:r>
      <w:r w:rsidDel="00002BB3">
        <w:t>prices</w:t>
      </w:r>
      <w:r>
        <w:t>, but the</w:t>
      </w:r>
      <w:r w:rsidR="00095AFC">
        <w:t>y</w:t>
      </w:r>
      <w:r>
        <w:t xml:space="preserve"> may not convey economically meaningful information. For example, GP services are subsidised (often to the full cost) by Medicare, so the price of seeing a GP does not reflect the (marginal) cost of providing health care. </w:t>
      </w:r>
    </w:p>
    <w:p w14:paraId="0A661531" w14:textId="0A1AE4D7" w:rsidR="00727219" w:rsidRDefault="007272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27219" w14:paraId="1CC8BB8E" w14:textId="77777777" w:rsidTr="009D6100">
        <w:trPr>
          <w:tblHeader/>
        </w:trPr>
        <w:tc>
          <w:tcPr>
            <w:tcW w:w="5000" w:type="pct"/>
            <w:tcBorders>
              <w:top w:val="single" w:sz="6" w:space="0" w:color="78A22F"/>
              <w:left w:val="nil"/>
              <w:bottom w:val="nil"/>
              <w:right w:val="nil"/>
            </w:tcBorders>
            <w:shd w:val="clear" w:color="auto" w:fill="F2F2F2"/>
          </w:tcPr>
          <w:p w14:paraId="0947A670" w14:textId="6C6D5691" w:rsidR="00727219" w:rsidRDefault="00727219">
            <w:pPr>
              <w:pStyle w:val="BoxTitle"/>
            </w:pPr>
            <w:r>
              <w:rPr>
                <w:b w:val="0"/>
              </w:rPr>
              <w:t xml:space="preserve">Box </w:t>
            </w:r>
            <w:r>
              <w:rPr>
                <w:b w:val="0"/>
                <w:noProof/>
              </w:rPr>
              <w:t>5</w:t>
            </w:r>
            <w:r>
              <w:tab/>
            </w:r>
            <w:r w:rsidR="00EA5F15">
              <w:t>Output measurement issues in the market sector</w:t>
            </w:r>
          </w:p>
        </w:tc>
      </w:tr>
      <w:tr w:rsidR="00727219" w14:paraId="546FA12C" w14:textId="77777777" w:rsidTr="009D6100">
        <w:tc>
          <w:tcPr>
            <w:tcW w:w="5000" w:type="pct"/>
            <w:tcBorders>
              <w:top w:val="nil"/>
              <w:left w:val="nil"/>
              <w:bottom w:val="nil"/>
              <w:right w:val="nil"/>
            </w:tcBorders>
            <w:shd w:val="clear" w:color="auto" w:fill="F2F2F2"/>
          </w:tcPr>
          <w:p w14:paraId="0DB2335D" w14:textId="07B0D492" w:rsidR="00AF3E32" w:rsidRDefault="00AF3E32" w:rsidP="002816EA">
            <w:pPr>
              <w:pStyle w:val="Box"/>
            </w:pPr>
            <w:r>
              <w:t>Productivity measurement for the market sector is considered less difficult than for the non</w:t>
            </w:r>
            <w:r>
              <w:noBreakHyphen/>
              <w:t>market sector. Nonetheless there are still numerous conceptual and methodological challenges in the market sector. Perhaps the most significant of these is the issue of changes in the quality of output, especially for information and communication technology (ICT) where some services are provided free of charge (such as Facebook</w:t>
            </w:r>
            <w:proofErr w:type="gramStart"/>
            <w:r>
              <w:t>)</w:t>
            </w:r>
            <w:proofErr w:type="gramEnd"/>
            <w:r>
              <w:t xml:space="preserve"> so the value created by these services are not captured in productivity statistics </w:t>
            </w:r>
            <w:r w:rsidR="00E04E0F" w:rsidRPr="00E04E0F">
              <w:rPr>
                <w:rFonts w:cs="Arial"/>
                <w:szCs w:val="24"/>
              </w:rPr>
              <w:t xml:space="preserve">(Brynjolfsson, Eggers and </w:t>
            </w:r>
            <w:proofErr w:type="spellStart"/>
            <w:r w:rsidR="00E04E0F" w:rsidRPr="00E04E0F">
              <w:rPr>
                <w:rFonts w:cs="Arial"/>
                <w:szCs w:val="24"/>
              </w:rPr>
              <w:t>Gannamaneni</w:t>
            </w:r>
            <w:proofErr w:type="spellEnd"/>
            <w:r w:rsidR="00E04E0F" w:rsidRPr="00E04E0F">
              <w:rPr>
                <w:rFonts w:cs="Arial"/>
                <w:szCs w:val="24"/>
              </w:rPr>
              <w:t> 2018)</w:t>
            </w:r>
            <w:r>
              <w:t xml:space="preserve">, or where firms have intangible ICT assets that </w:t>
            </w:r>
            <w:r w:rsidR="00C478A4">
              <w:t xml:space="preserve">are </w:t>
            </w:r>
            <w:r>
              <w:t xml:space="preserve">difficult to measure (discussed </w:t>
            </w:r>
            <w:r w:rsidR="00323471">
              <w:t>b</w:t>
            </w:r>
            <w:r>
              <w:t>e</w:t>
            </w:r>
            <w:r w:rsidR="00323471">
              <w:t>low</w:t>
            </w:r>
            <w:r>
              <w:t xml:space="preserve">). These issues can amount to substantial mismeasurement. For example, Nakamura et al. </w:t>
            </w:r>
            <w:r w:rsidRPr="00B202CB">
              <w:t>(2017)</w:t>
            </w:r>
            <w:r>
              <w:t xml:space="preserve"> estimated that the consumer surplus from free digital services is the equivalent of an additional 0.1 percentage points of GDP growth between 1995 to 2015. </w:t>
            </w:r>
          </w:p>
          <w:p w14:paraId="08692F6F" w14:textId="77777777" w:rsidR="00AF3E32" w:rsidRDefault="00AF3E32" w:rsidP="002816EA">
            <w:pPr>
              <w:pStyle w:val="Box"/>
            </w:pPr>
            <w:r>
              <w:t>Most of the other issues in service output measurement differs by industry. Taking an industry-by-industry approach, some examples are in:</w:t>
            </w:r>
          </w:p>
          <w:p w14:paraId="464D7517" w14:textId="39777B8F" w:rsidR="00AF3E32" w:rsidRDefault="00AF3E32" w:rsidP="002816EA">
            <w:pPr>
              <w:pStyle w:val="BoxListBullet"/>
            </w:pPr>
            <w:r>
              <w:t xml:space="preserve">Financial and insurance services: over 65 per cent of the output in the finance and insurance industries is imputed in a way that conflates production with the risk premium received by banks. In times of rising or falling market risk, this can cause over or underestimation of financial services output and productivity </w:t>
            </w:r>
            <w:r w:rsidRPr="00594DA1">
              <w:rPr>
                <w:szCs w:val="24"/>
              </w:rPr>
              <w:t>(Zhao et al. 2016)</w:t>
            </w:r>
            <w:r>
              <w:t xml:space="preserve">. </w:t>
            </w:r>
          </w:p>
          <w:p w14:paraId="2491BCF0" w14:textId="11D28486" w:rsidR="00AF3E32" w:rsidRPr="0020787E" w:rsidRDefault="00AF3E32" w:rsidP="002816EA">
            <w:pPr>
              <w:pStyle w:val="BoxListBullet"/>
              <w:rPr>
                <w:spacing w:val="-2"/>
              </w:rPr>
            </w:pPr>
            <w:r w:rsidRPr="0020787E">
              <w:rPr>
                <w:spacing w:val="-2"/>
              </w:rPr>
              <w:t xml:space="preserve">Retail and wholesale trade: changes in practices such as longer trading hours or greater scope of retail offering may not be fully captured in the retail price (though higher costs of providing these may partially offset this), giving the potential for underestimation of productivity. On balance, it is unclear if these issues matter very much in practice and may be offset by other issues that would be expected to cause </w:t>
            </w:r>
            <w:r w:rsidRPr="0020787E">
              <w:rPr>
                <w:i/>
                <w:iCs/>
                <w:spacing w:val="-2"/>
              </w:rPr>
              <w:t>overestimation</w:t>
            </w:r>
            <w:r w:rsidRPr="0020787E">
              <w:rPr>
                <w:spacing w:val="-2"/>
              </w:rPr>
              <w:t xml:space="preserve"> of productivity, such as outsourcing (Johnston et al. 2000). </w:t>
            </w:r>
          </w:p>
          <w:p w14:paraId="5BCFF826" w14:textId="235092E3" w:rsidR="00727219" w:rsidRDefault="00AF3E32" w:rsidP="002816EA">
            <w:pPr>
              <w:pStyle w:val="BoxListBullet"/>
            </w:pPr>
            <w:r>
              <w:t>Electricity, gas, water and sewerage: numerous unmeasured quality improvements in the provision of utilities (such as undergrounding of electricity distribution and changed standards for sewerage and waste disposal) are believed to have contributed to low productivity growth in this industry (</w:t>
            </w:r>
            <w:proofErr w:type="spellStart"/>
            <w:r>
              <w:t>Topp</w:t>
            </w:r>
            <w:proofErr w:type="spellEnd"/>
            <w:r>
              <w:t xml:space="preserve"> and </w:t>
            </w:r>
            <w:proofErr w:type="spellStart"/>
            <w:r>
              <w:t>Kulys</w:t>
            </w:r>
            <w:proofErr w:type="spellEnd"/>
            <w:r>
              <w:t> 2012).</w:t>
            </w:r>
          </w:p>
        </w:tc>
      </w:tr>
      <w:tr w:rsidR="00727219" w14:paraId="5EB4883A" w14:textId="77777777" w:rsidTr="009D6100">
        <w:tc>
          <w:tcPr>
            <w:tcW w:w="5000" w:type="pct"/>
            <w:tcBorders>
              <w:top w:val="nil"/>
              <w:left w:val="nil"/>
              <w:bottom w:val="single" w:sz="6" w:space="0" w:color="78A22F"/>
              <w:right w:val="nil"/>
            </w:tcBorders>
            <w:shd w:val="clear" w:color="auto" w:fill="F2F2F2"/>
          </w:tcPr>
          <w:p w14:paraId="645CFF21" w14:textId="77777777" w:rsidR="00727219" w:rsidRDefault="00727219">
            <w:pPr>
              <w:pStyle w:val="Box"/>
              <w:spacing w:before="0" w:line="120" w:lineRule="exact"/>
            </w:pPr>
          </w:p>
        </w:tc>
      </w:tr>
      <w:tr w:rsidR="00727219" w:rsidRPr="000863A5" w14:paraId="42BC4E43" w14:textId="77777777" w:rsidTr="009D6100">
        <w:tc>
          <w:tcPr>
            <w:tcW w:w="5000" w:type="pct"/>
            <w:tcBorders>
              <w:top w:val="single" w:sz="6" w:space="0" w:color="78A22F"/>
              <w:left w:val="nil"/>
              <w:bottom w:val="nil"/>
              <w:right w:val="nil"/>
            </w:tcBorders>
          </w:tcPr>
          <w:p w14:paraId="4EDB00D8" w14:textId="44C9B47E" w:rsidR="00727219" w:rsidRPr="00626D32" w:rsidRDefault="00727219" w:rsidP="009D6100">
            <w:pPr>
              <w:pStyle w:val="BoxSpaceBelow"/>
            </w:pPr>
          </w:p>
        </w:tc>
      </w:tr>
    </w:tbl>
    <w:p w14:paraId="7883E93D" w14:textId="1190CB1F" w:rsidR="00740E06" w:rsidRDefault="00740E06" w:rsidP="0020787E">
      <w:pPr>
        <w:pStyle w:val="Heading3"/>
        <w:spacing w:before="360"/>
      </w:pPr>
      <w:r>
        <w:t>Service inputs can also be harder to measure …</w:t>
      </w:r>
    </w:p>
    <w:p w14:paraId="54404D56" w14:textId="3D797B81" w:rsidR="004D78FB" w:rsidRPr="00AA1D65" w:rsidRDefault="004D78FB" w:rsidP="004D78FB">
      <w:pPr>
        <w:pStyle w:val="BodyText"/>
      </w:pPr>
      <w:r>
        <w:t xml:space="preserve">There are also issues in the service sector in measuring changes in the quality of </w:t>
      </w:r>
      <w:r>
        <w:rPr>
          <w:i/>
          <w:iCs/>
        </w:rPr>
        <w:t>inputs</w:t>
      </w:r>
      <w:r>
        <w:t xml:space="preserve"> as well as outputs. Unlike unmeasured quality improvements in output (which would lead to underestimation of productivity growth), unmeasured quality improvement of inputs leads to </w:t>
      </w:r>
      <w:r>
        <w:rPr>
          <w:i/>
          <w:iCs/>
        </w:rPr>
        <w:t>overestimation</w:t>
      </w:r>
      <w:r>
        <w:t xml:space="preserve"> of productivity growth. </w:t>
      </w:r>
    </w:p>
    <w:p w14:paraId="41E3B5DB" w14:textId="7FDC0963" w:rsidR="004D78FB" w:rsidRPr="0020787E" w:rsidRDefault="004D78FB" w:rsidP="004D78FB">
      <w:pPr>
        <w:pStyle w:val="BodyText"/>
        <w:rPr>
          <w:spacing w:val="-4"/>
        </w:rPr>
      </w:pPr>
      <w:r w:rsidRPr="0020787E">
        <w:rPr>
          <w:spacing w:val="-4"/>
        </w:rPr>
        <w:t xml:space="preserve">The ABS </w:t>
      </w:r>
      <w:proofErr w:type="gramStart"/>
      <w:r w:rsidRPr="0020787E">
        <w:rPr>
          <w:spacing w:val="-4"/>
        </w:rPr>
        <w:t>attempts</w:t>
      </w:r>
      <w:proofErr w:type="gramEnd"/>
      <w:r w:rsidRPr="0020787E">
        <w:rPr>
          <w:spacing w:val="-4"/>
        </w:rPr>
        <w:t xml:space="preserve"> to adjust for the fact that workers with more skill </w:t>
      </w:r>
      <w:r w:rsidR="009C7D82" w:rsidRPr="0020787E">
        <w:rPr>
          <w:spacing w:val="-4"/>
        </w:rPr>
        <w:t>might be</w:t>
      </w:r>
      <w:r w:rsidRPr="0020787E">
        <w:rPr>
          <w:spacing w:val="-4"/>
        </w:rPr>
        <w:t xml:space="preserve"> more productive, but this only captures the effect of </w:t>
      </w:r>
      <w:r w:rsidRPr="0020787E">
        <w:rPr>
          <w:i/>
          <w:iCs/>
          <w:spacing w:val="-4"/>
        </w:rPr>
        <w:t>formal</w:t>
      </w:r>
      <w:r w:rsidRPr="0020787E">
        <w:rPr>
          <w:spacing w:val="-4"/>
        </w:rPr>
        <w:t xml:space="preserve"> education and not the effect on the job skill acquisition. Moreover, the ABS methods do not capture the potential heterogeneity of different qualifications within the same class (say law degrees vs medical degrees) on productivity</w:t>
      </w:r>
      <w:r w:rsidR="009603C0" w:rsidRPr="0020787E">
        <w:rPr>
          <w:spacing w:val="-4"/>
        </w:rPr>
        <w:t xml:space="preserve"> </w:t>
      </w:r>
      <w:r w:rsidR="005E738B" w:rsidRPr="0020787E">
        <w:rPr>
          <w:spacing w:val="-4"/>
          <w:szCs w:val="24"/>
        </w:rPr>
        <w:t>(ABS 2015)</w:t>
      </w:r>
      <w:r w:rsidRPr="0020787E">
        <w:rPr>
          <w:spacing w:val="-4"/>
        </w:rPr>
        <w:t xml:space="preserve">. </w:t>
      </w:r>
    </w:p>
    <w:p w14:paraId="57C475B0" w14:textId="3EF3DEC3" w:rsidR="004D78FB" w:rsidRPr="004B67D4" w:rsidRDefault="004D78FB" w:rsidP="004D78FB">
      <w:pPr>
        <w:pStyle w:val="BodyText"/>
        <w:rPr>
          <w:spacing w:val="2"/>
        </w:rPr>
      </w:pPr>
      <w:r w:rsidRPr="004B67D4">
        <w:rPr>
          <w:spacing w:val="2"/>
        </w:rPr>
        <w:t xml:space="preserve">There can also be issues in the industry classification of inputs (especially labour) due to outsourcing, which is particularly acute for the service sector. For example, revisions to the classification of labour hours worked by labour hire workers in the construction industry led to the office administration and support industry having its productivity growth revised down significantly. </w:t>
      </w:r>
    </w:p>
    <w:p w14:paraId="26E3C6B1" w14:textId="552F6172" w:rsidR="004D78FB" w:rsidRDefault="00740E06" w:rsidP="000A73EC">
      <w:pPr>
        <w:pStyle w:val="Heading3"/>
      </w:pPr>
      <w:r>
        <w:lastRenderedPageBreak/>
        <w:t>… especially intangible investment</w:t>
      </w:r>
      <w:r w:rsidR="00141277">
        <w:t>, which m</w:t>
      </w:r>
      <w:r w:rsidR="009C1B4E">
        <w:t>ight</w:t>
      </w:r>
      <w:r w:rsidR="00141277">
        <w:t xml:space="preserve"> </w:t>
      </w:r>
      <w:r w:rsidR="00CA5A1A">
        <w:t>a</w:t>
      </w:r>
      <w:r w:rsidR="0037793D">
        <w:t>ffect</w:t>
      </w:r>
      <w:r w:rsidR="00141277">
        <w:t xml:space="preserve"> more than just measurement of productivity</w:t>
      </w:r>
    </w:p>
    <w:p w14:paraId="0B4A4168" w14:textId="2E587A6A" w:rsidR="004D78FB" w:rsidRPr="003946C2" w:rsidRDefault="004D78FB" w:rsidP="004D78FB">
      <w:pPr>
        <w:pStyle w:val="BodyText"/>
      </w:pPr>
      <w:r>
        <w:t xml:space="preserve">The need to measure investment </w:t>
      </w:r>
      <w:r w:rsidR="00095AFC">
        <w:t>accurately</w:t>
      </w:r>
      <w:r>
        <w:t xml:space="preserve"> is critical to the measurement of productivity for two main reasons. First, investment (used to estimate the stock of capital) forms a part of the inputs a firm uses and so mismeasurement of investment results in mismeasured productivity. Second, measuring investment is directly related to the measurement of gross value added (the main measure of output) because recurrent non-wage expenditure is counted as an intermediate input, which is deducted from gross output. </w:t>
      </w:r>
      <w:r w:rsidR="00262AE9">
        <w:t>Hence</w:t>
      </w:r>
      <w:r>
        <w:t xml:space="preserve"> misclassification of investment as recurrent expenditure (or vice versa) leads to mismeasurement of output and hence mismeasurement of productivity. </w:t>
      </w:r>
    </w:p>
    <w:p w14:paraId="3ABBE2BC" w14:textId="77777777" w:rsidR="004D78FB" w:rsidRDefault="004D78FB" w:rsidP="004D78FB">
      <w:pPr>
        <w:pStyle w:val="BodyText"/>
      </w:pPr>
      <w:r>
        <w:t xml:space="preserve">‘Intangible’ (non-physical) investment contributes to these measurement problems because it can be difficult to accurately (and consistently) delineate between recurrent and capital expenditure when the spending is on intangible products. For example, when a firm spends money on marketing this is usually classified as recurrent expenditure rather than investment. But for many firms, marketing builds a brand name that delivers value for years or even decades, and so might be better classified as investment. </w:t>
      </w:r>
    </w:p>
    <w:p w14:paraId="54F629BA" w14:textId="58A6C3C1" w:rsidR="004D78FB" w:rsidRDefault="004D78FB" w:rsidP="004D78FB">
      <w:pPr>
        <w:pStyle w:val="BodyText"/>
      </w:pPr>
      <w:r>
        <w:t>Just as intangible products (services) are a large and increasing share of economic activity, intangible investment</w:t>
      </w:r>
      <w:r w:rsidR="0077322C">
        <w:t xml:space="preserve"> </w:t>
      </w:r>
      <w:r>
        <w:t xml:space="preserve">— any investment that is not in physical capital — is an increasing proportion of total investment (figure </w:t>
      </w:r>
      <w:r w:rsidR="00C43117">
        <w:t>16</w:t>
      </w:r>
      <w:r>
        <w:t>).</w:t>
      </w:r>
      <w:r w:rsidRPr="00CA2A7E">
        <w:rPr>
          <w:rStyle w:val="FootnoteReference"/>
        </w:rPr>
        <w:footnoteReference w:id="4"/>
      </w:r>
      <w:r>
        <w:t xml:space="preserve"> And this increase has been more pronounced in certain subsectors of the service sector (figure </w:t>
      </w:r>
      <w:r w:rsidR="00C43117">
        <w:t>17</w:t>
      </w:r>
      <w:r>
        <w:t xml:space="preserve">). The gradual adoption of computers and information technology in the 1980s, 1990s and 2000s explains most of the increase in the share of intangibles investment in the official ABS data, although a small increase in research and development investment since 1990s has also played </w:t>
      </w:r>
      <w:r w:rsidR="00FD125E">
        <w:t xml:space="preserve">a </w:t>
      </w:r>
      <w:r>
        <w:t xml:space="preserve">role. </w:t>
      </w:r>
    </w:p>
    <w:p w14:paraId="18E178B6" w14:textId="6873FB21" w:rsidR="009D27B3" w:rsidRDefault="009C7811" w:rsidP="004D78FB">
      <w:pPr>
        <w:pStyle w:val="BodyText"/>
      </w:pPr>
      <w:r>
        <w:t>The</w:t>
      </w:r>
      <w:r w:rsidR="00E7319F">
        <w:t xml:space="preserve"> </w:t>
      </w:r>
      <w:r w:rsidR="00E75AC4">
        <w:t xml:space="preserve">sector that uses the most intangible investment is </w:t>
      </w:r>
      <w:r w:rsidR="009D27B3">
        <w:t xml:space="preserve">business services </w:t>
      </w:r>
      <w:r w:rsidR="00E75AC4">
        <w:t>(</w:t>
      </w:r>
      <w:r w:rsidR="00973346">
        <w:t xml:space="preserve">figure </w:t>
      </w:r>
      <w:r w:rsidR="00C43117">
        <w:t>17</w:t>
      </w:r>
      <w:r w:rsidR="00E75AC4">
        <w:t>),</w:t>
      </w:r>
      <w:r w:rsidR="00973346">
        <w:t xml:space="preserve"> </w:t>
      </w:r>
      <w:r w:rsidR="009D27B3">
        <w:t>mainly reflect</w:t>
      </w:r>
      <w:r>
        <w:t>ing</w:t>
      </w:r>
      <w:r w:rsidR="00060C8B">
        <w:t xml:space="preserve"> </w:t>
      </w:r>
      <w:r w:rsidR="009D27B3">
        <w:t>higher software investment acros</w:t>
      </w:r>
      <w:r w:rsidR="00060C8B">
        <w:t>s its subindustries as well as increased R&amp;D in professional services</w:t>
      </w:r>
      <w:r w:rsidR="00973346">
        <w:t xml:space="preserve"> and an associated fall in investment in machinery and equipment </w:t>
      </w:r>
      <w:r w:rsidR="00213A40" w:rsidRPr="00213A40">
        <w:rPr>
          <w:szCs w:val="24"/>
        </w:rPr>
        <w:t>(ABS 2020a)</w:t>
      </w:r>
      <w:r w:rsidR="00060C8B">
        <w:t xml:space="preserve">. </w:t>
      </w:r>
      <w:r w:rsidR="00FD057E">
        <w:t>And intangibles are more important for certain service subindustries than they are for the goods sector. For example, the</w:t>
      </w:r>
      <w:r w:rsidR="00113870">
        <w:t xml:space="preserve"> assets of the</w:t>
      </w:r>
      <w:r w:rsidR="00FD057E">
        <w:t xml:space="preserve"> </w:t>
      </w:r>
      <w:r w:rsidR="00CD49F6">
        <w:t>‘F</w:t>
      </w:r>
      <w:r w:rsidR="00802263">
        <w:t>A</w:t>
      </w:r>
      <w:r w:rsidR="00CD49F6">
        <w:t>ANG’</w:t>
      </w:r>
      <w:r w:rsidR="00FD057E">
        <w:t xml:space="preserve"> firms </w:t>
      </w:r>
      <w:r w:rsidR="00113870">
        <w:t xml:space="preserve">— </w:t>
      </w:r>
      <w:r w:rsidR="00CD49F6">
        <w:t>Facebook</w:t>
      </w:r>
      <w:r w:rsidR="00113870">
        <w:t>, Amazon,</w:t>
      </w:r>
      <w:r w:rsidR="00802263">
        <w:t xml:space="preserve"> Apple</w:t>
      </w:r>
      <w:r w:rsidR="00387BFB">
        <w:t>,</w:t>
      </w:r>
      <w:r w:rsidR="00CD49F6">
        <w:t xml:space="preserve"> </w:t>
      </w:r>
      <w:r w:rsidR="00387BFB">
        <w:t>Netflix</w:t>
      </w:r>
      <w:r w:rsidR="00113870">
        <w:t xml:space="preserve"> </w:t>
      </w:r>
      <w:r w:rsidR="00387BFB">
        <w:t xml:space="preserve">and Alphabet (Google’s parent company) </w:t>
      </w:r>
      <w:r w:rsidR="00113870">
        <w:t xml:space="preserve">— </w:t>
      </w:r>
      <w:r w:rsidR="00BB4996">
        <w:t>are</w:t>
      </w:r>
      <w:r w:rsidR="004E4B9E">
        <w:t xml:space="preserve"> mostly</w:t>
      </w:r>
      <w:r w:rsidR="002D20E8">
        <w:t xml:space="preserve"> intangible assets </w:t>
      </w:r>
      <w:r w:rsidR="00291DF6">
        <w:t>(</w:t>
      </w:r>
      <w:r w:rsidR="002D20E8">
        <w:t xml:space="preserve">such as </w:t>
      </w:r>
      <w:r w:rsidR="00BB4996">
        <w:t>intellectual property</w:t>
      </w:r>
      <w:r w:rsidR="00291DF6">
        <w:t>)</w:t>
      </w:r>
      <w:r w:rsidR="0087773A">
        <w:t xml:space="preserve">, </w:t>
      </w:r>
      <w:r w:rsidR="00EE0FB9">
        <w:t>even though many of their intangibles are not recognised as assets</w:t>
      </w:r>
      <w:r w:rsidR="00DD271A">
        <w:t xml:space="preserve"> under accounting conventions</w:t>
      </w:r>
      <w:r w:rsidR="002D20E8">
        <w:t>.</w:t>
      </w:r>
      <w:r w:rsidR="001656CC">
        <w:t xml:space="preserve"> Indeed</w:t>
      </w:r>
      <w:r w:rsidR="006D75BD">
        <w:t xml:space="preserve">, for Alphabet alone, </w:t>
      </w:r>
      <w:r w:rsidR="0087773A">
        <w:t xml:space="preserve">the ratio of its </w:t>
      </w:r>
      <w:r w:rsidR="00DD271A">
        <w:t>market value to its net assets</w:t>
      </w:r>
      <w:r w:rsidR="00EE0FB9">
        <w:t xml:space="preserve"> (assets minus liabilities)</w:t>
      </w:r>
      <w:r w:rsidR="00DD271A">
        <w:t xml:space="preserve"> is </w:t>
      </w:r>
      <w:r w:rsidR="00C134F4">
        <w:t>6.2</w:t>
      </w:r>
      <w:r w:rsidR="00326A5D">
        <w:t xml:space="preserve"> </w:t>
      </w:r>
      <w:r w:rsidR="00213A40" w:rsidRPr="00213A40">
        <w:rPr>
          <w:szCs w:val="24"/>
        </w:rPr>
        <w:t>(Yahoo 2021)</w:t>
      </w:r>
      <w:r w:rsidR="00DD271A">
        <w:t xml:space="preserve">, implying investors recognise the significant value of its intangibles </w:t>
      </w:r>
      <w:r w:rsidR="0091449E">
        <w:t>that are not accurately captured on balance sheets.</w:t>
      </w:r>
      <w:r w:rsidR="002D20E8">
        <w:t xml:space="preserve"> </w:t>
      </w:r>
      <w:r w:rsidR="00291DF6">
        <w:t>T</w:t>
      </w:r>
      <w:r w:rsidR="004E4B9E">
        <w:t xml:space="preserve">ogether </w:t>
      </w:r>
      <w:r w:rsidR="00291DF6">
        <w:t>the FAANG firms</w:t>
      </w:r>
      <w:r w:rsidR="00802263">
        <w:t xml:space="preserve"> account for </w:t>
      </w:r>
      <w:r w:rsidR="00291DF6">
        <w:t xml:space="preserve">about </w:t>
      </w:r>
      <w:r w:rsidR="00A6579D">
        <w:t>15.5</w:t>
      </w:r>
      <w:r w:rsidR="00802263">
        <w:t> per cent of the US stock market</w:t>
      </w:r>
      <w:r w:rsidR="00D22761">
        <w:t xml:space="preserve"> </w:t>
      </w:r>
      <w:r w:rsidR="00213A40" w:rsidRPr="00213A40">
        <w:rPr>
          <w:szCs w:val="24"/>
        </w:rPr>
        <w:t>(Hartford Funds 2020)</w:t>
      </w:r>
      <w:r w:rsidR="00BB4996">
        <w:t>.</w:t>
      </w:r>
    </w:p>
    <w:p w14:paraId="02AB9FD6" w14:textId="091E1BF2" w:rsidR="004D78FB" w:rsidRDefault="004D78FB" w:rsidP="004D78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D78FB" w14:paraId="327E6680" w14:textId="77777777" w:rsidTr="36E5E979">
        <w:trPr>
          <w:tblHeader/>
        </w:trPr>
        <w:tc>
          <w:tcPr>
            <w:tcW w:w="5000" w:type="pct"/>
            <w:tcBorders>
              <w:top w:val="single" w:sz="6" w:space="0" w:color="78A22F" w:themeColor="accent1"/>
              <w:left w:val="nil"/>
              <w:bottom w:val="nil"/>
              <w:right w:val="nil"/>
            </w:tcBorders>
            <w:shd w:val="clear" w:color="auto" w:fill="auto"/>
          </w:tcPr>
          <w:p w14:paraId="0D1F915D" w14:textId="48D7F8B2" w:rsidR="004D78FB" w:rsidRDefault="004D78FB" w:rsidP="009D6100">
            <w:pPr>
              <w:pStyle w:val="FigureTitle"/>
            </w:pPr>
            <w:r w:rsidRPr="00784A05">
              <w:rPr>
                <w:b w:val="0"/>
              </w:rPr>
              <w:t xml:space="preserve">Figure </w:t>
            </w:r>
            <w:r w:rsidR="000A2F9A">
              <w:rPr>
                <w:b w:val="0"/>
                <w:noProof/>
              </w:rPr>
              <w:t>16</w:t>
            </w:r>
            <w:r>
              <w:tab/>
              <w:t>Intangibles have become a larger share of gross fixed capital formation</w:t>
            </w:r>
          </w:p>
          <w:p w14:paraId="0F184E3E" w14:textId="77777777" w:rsidR="004D78FB" w:rsidRPr="00176D3F" w:rsidRDefault="004D78FB" w:rsidP="009D6100">
            <w:pPr>
              <w:pStyle w:val="Subtitle"/>
            </w:pPr>
            <w:r>
              <w:t>Share of total intangibles as a proportion of total investment, and the components of this intangible investment between 1959</w:t>
            </w:r>
            <w:r>
              <w:noBreakHyphen/>
              <w:t>60 and 2019</w:t>
            </w:r>
            <w:r>
              <w:noBreakHyphen/>
              <w:t>20</w:t>
            </w:r>
          </w:p>
        </w:tc>
      </w:tr>
      <w:tr w:rsidR="004D78FB" w14:paraId="02098DE2"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4D78FB" w:rsidRPr="00B1465D" w14:paraId="43303A9E" w14:textId="77777777" w:rsidTr="36E5E979">
              <w:trPr>
                <w:tblHeader/>
                <w:jc w:val="center"/>
              </w:trPr>
              <w:tc>
                <w:tcPr>
                  <w:tcW w:w="8504" w:type="dxa"/>
                  <w:tcBorders>
                    <w:top w:val="nil"/>
                    <w:bottom w:val="nil"/>
                  </w:tcBorders>
                </w:tcPr>
                <w:p w14:paraId="362EF9C1" w14:textId="497CEEF6" w:rsidR="004D78FB" w:rsidRPr="00B1465D" w:rsidRDefault="0066136C" w:rsidP="0066136C">
                  <w:pPr>
                    <w:pStyle w:val="Figure"/>
                    <w:spacing w:before="0" w:after="60"/>
                    <w:rPr>
                      <w:rFonts w:ascii="Tahoma" w:hAnsi="Tahoma" w:cs="Tahoma"/>
                      <w:sz w:val="18"/>
                      <w:szCs w:val="18"/>
                    </w:rPr>
                  </w:pPr>
                  <w:r w:rsidRPr="0066136C">
                    <w:rPr>
                      <w:rFonts w:ascii="Tahoma" w:hAnsi="Tahoma" w:cs="Tahoma"/>
                      <w:noProof/>
                      <w:sz w:val="18"/>
                      <w:szCs w:val="18"/>
                    </w:rPr>
                    <w:drawing>
                      <wp:inline distT="0" distB="0" distL="0" distR="0" wp14:anchorId="534BCAE0" wp14:editId="04A1AD2B">
                        <wp:extent cx="5403215" cy="3004185"/>
                        <wp:effectExtent l="0" t="0" r="6985" b="5715"/>
                        <wp:docPr id="17" name="Picture 17" descr="Since 1960 intangibles investment has increased from about 2.5 per cent of gross fixed capital formation to about 12 per cent of gross fixed capital formation. This increase has been most pronounced in computer software and researc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nce 1960 intangibles investment has increased from about 2.5 per cent of gross fixed capital formation to about 12 per cent of gross fixed capital formation. This increase has been most pronounced in computer software and research and develop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3215" cy="3004185"/>
                                </a:xfrm>
                                <a:prstGeom prst="rect">
                                  <a:avLst/>
                                </a:prstGeom>
                                <a:noFill/>
                                <a:ln>
                                  <a:noFill/>
                                </a:ln>
                              </pic:spPr>
                            </pic:pic>
                          </a:graphicData>
                        </a:graphic>
                      </wp:inline>
                    </w:drawing>
                  </w:r>
                  <w:r w:rsidRPr="0066136C">
                    <w:rPr>
                      <w:rFonts w:ascii="Tahoma" w:hAnsi="Tahoma" w:cs="Tahoma"/>
                      <w:sz w:val="18"/>
                      <w:szCs w:val="18"/>
                    </w:rPr>
                    <w:t xml:space="preserve"> </w:t>
                  </w:r>
                </w:p>
              </w:tc>
            </w:tr>
          </w:tbl>
          <w:p w14:paraId="2C4584EF" w14:textId="77777777" w:rsidR="004D78FB" w:rsidRDefault="004D78FB" w:rsidP="009D6100">
            <w:pPr>
              <w:pStyle w:val="Figure"/>
            </w:pPr>
          </w:p>
        </w:tc>
      </w:tr>
      <w:tr w:rsidR="004D78FB" w:rsidRPr="00176D3F" w14:paraId="3EBEFAD8" w14:textId="77777777" w:rsidTr="36E5E979">
        <w:tc>
          <w:tcPr>
            <w:tcW w:w="5000" w:type="pct"/>
            <w:tcBorders>
              <w:top w:val="nil"/>
              <w:left w:val="nil"/>
              <w:bottom w:val="nil"/>
              <w:right w:val="nil"/>
            </w:tcBorders>
            <w:shd w:val="clear" w:color="auto" w:fill="auto"/>
          </w:tcPr>
          <w:p w14:paraId="4394CE66" w14:textId="77777777" w:rsidR="004D78FB" w:rsidRPr="00295E63" w:rsidRDefault="004D78FB" w:rsidP="009D6100">
            <w:pPr>
              <w:pStyle w:val="Source"/>
              <w:rPr>
                <w:sz w:val="20"/>
                <w:szCs w:val="22"/>
              </w:rPr>
            </w:pPr>
            <w:r>
              <w:rPr>
                <w:i/>
              </w:rPr>
              <w:t>S</w:t>
            </w:r>
            <w:r w:rsidRPr="00784A05">
              <w:rPr>
                <w:i/>
              </w:rPr>
              <w:t>ource</w:t>
            </w:r>
            <w:r w:rsidRPr="00176D3F">
              <w:t xml:space="preserve">: </w:t>
            </w:r>
            <w:r>
              <w:t>ABS (</w:t>
            </w:r>
            <w:r w:rsidRPr="006902D5">
              <w:rPr>
                <w:i/>
                <w:iCs/>
              </w:rPr>
              <w:t>Australian System of National Accounts, 2019</w:t>
            </w:r>
            <w:r w:rsidRPr="006902D5">
              <w:rPr>
                <w:i/>
                <w:iCs/>
              </w:rPr>
              <w:noBreakHyphen/>
              <w:t>20</w:t>
            </w:r>
            <w:r>
              <w:t>, Cat</w:t>
            </w:r>
            <w:r>
              <w:rPr>
                <w:sz w:val="20"/>
                <w:szCs w:val="22"/>
              </w:rPr>
              <w:t> no. </w:t>
            </w:r>
            <w:r w:rsidRPr="00AA30B1">
              <w:rPr>
                <w:sz w:val="20"/>
                <w:szCs w:val="22"/>
              </w:rPr>
              <w:t>5204.0</w:t>
            </w:r>
            <w:r>
              <w:rPr>
                <w:sz w:val="20"/>
                <w:szCs w:val="22"/>
              </w:rPr>
              <w:t>, table 56).</w:t>
            </w:r>
          </w:p>
        </w:tc>
      </w:tr>
      <w:tr w:rsidR="004D78FB" w14:paraId="79FB4320" w14:textId="77777777" w:rsidTr="36E5E979">
        <w:tc>
          <w:tcPr>
            <w:tcW w:w="5000" w:type="pct"/>
            <w:tcBorders>
              <w:top w:val="nil"/>
              <w:left w:val="nil"/>
              <w:bottom w:val="single" w:sz="6" w:space="0" w:color="78A22F" w:themeColor="accent1"/>
              <w:right w:val="nil"/>
            </w:tcBorders>
            <w:shd w:val="clear" w:color="auto" w:fill="auto"/>
          </w:tcPr>
          <w:p w14:paraId="3FAA0E81" w14:textId="77777777" w:rsidR="004D78FB" w:rsidRDefault="004D78FB" w:rsidP="009D6100">
            <w:pPr>
              <w:pStyle w:val="Figurespace"/>
            </w:pPr>
          </w:p>
        </w:tc>
      </w:tr>
      <w:tr w:rsidR="004D78FB" w:rsidRPr="000863A5" w14:paraId="585BB292" w14:textId="77777777" w:rsidTr="36E5E979">
        <w:tc>
          <w:tcPr>
            <w:tcW w:w="5000" w:type="pct"/>
            <w:tcBorders>
              <w:top w:val="single" w:sz="6" w:space="0" w:color="78A22F" w:themeColor="accent1"/>
              <w:left w:val="nil"/>
              <w:bottom w:val="nil"/>
              <w:right w:val="nil"/>
            </w:tcBorders>
          </w:tcPr>
          <w:p w14:paraId="374B21C7" w14:textId="6322C20B" w:rsidR="004D78FB" w:rsidRPr="00626D32" w:rsidRDefault="004D78FB" w:rsidP="009D6100">
            <w:pPr>
              <w:pStyle w:val="BoxSpaceBelow"/>
            </w:pPr>
          </w:p>
        </w:tc>
      </w:tr>
    </w:tbl>
    <w:p w14:paraId="50DE7EBA" w14:textId="0BC8EAEC" w:rsidR="004D78FB" w:rsidRDefault="004D78FB" w:rsidP="004D78FB">
      <w:pPr>
        <w:pStyle w:val="BodyText"/>
      </w:pPr>
      <w:r>
        <w:t xml:space="preserve">However, the ABS data only recognises a small subset of the total activities that could be defined as intangible investment (and so these are not captured in figure </w:t>
      </w:r>
      <w:r w:rsidR="00C43117">
        <w:t>16</w:t>
      </w:r>
      <w:r>
        <w:t xml:space="preserve">). Many activities that require a fixed investment for future payoff — such as staff training, brand development and organisational practices — are considered current (rather than capital) expenses for the purposes of the national accounts. Australian </w:t>
      </w:r>
      <w:r w:rsidRPr="00357C24">
        <w:rPr>
          <w:szCs w:val="24"/>
        </w:rPr>
        <w:t>(Barnes 2010)</w:t>
      </w:r>
      <w:r>
        <w:t xml:space="preserve"> and overseas research </w:t>
      </w:r>
      <w:r w:rsidRPr="009F0916">
        <w:rPr>
          <w:szCs w:val="24"/>
        </w:rPr>
        <w:t>(</w:t>
      </w:r>
      <w:proofErr w:type="spellStart"/>
      <w:r w:rsidRPr="009F0916">
        <w:rPr>
          <w:szCs w:val="24"/>
        </w:rPr>
        <w:t>Haskel</w:t>
      </w:r>
      <w:proofErr w:type="spellEnd"/>
      <w:r w:rsidRPr="009F0916">
        <w:rPr>
          <w:szCs w:val="24"/>
        </w:rPr>
        <w:t xml:space="preserve"> and Westlake 2017)</w:t>
      </w:r>
      <w:r>
        <w:t xml:space="preserve"> has confirmed that broader definitions of intangible investment mean that the share of intangible assets is higher than is implied by the national accounts, and that its increase over time is more pronounced.</w:t>
      </w:r>
      <w:r>
        <w:rPr>
          <w:rStyle w:val="FootnoteReference"/>
        </w:rPr>
        <w:footnoteReference w:id="5"/>
      </w:r>
      <w:r>
        <w:t xml:space="preserve"> </w:t>
      </w:r>
    </w:p>
    <w:p w14:paraId="02B090CC" w14:textId="554227BB" w:rsidR="004D78FB" w:rsidRDefault="004D78FB" w:rsidP="004D78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D78FB" w14:paraId="33DD86B2" w14:textId="77777777" w:rsidTr="36E5E979">
        <w:trPr>
          <w:tblHeader/>
        </w:trPr>
        <w:tc>
          <w:tcPr>
            <w:tcW w:w="5000" w:type="pct"/>
            <w:tcBorders>
              <w:top w:val="single" w:sz="6" w:space="0" w:color="78A22F" w:themeColor="accent1"/>
              <w:left w:val="nil"/>
              <w:bottom w:val="nil"/>
              <w:right w:val="nil"/>
            </w:tcBorders>
            <w:shd w:val="clear" w:color="auto" w:fill="auto"/>
          </w:tcPr>
          <w:p w14:paraId="4AAF92D0" w14:textId="5FA465BF" w:rsidR="004D78FB" w:rsidRDefault="004D78FB" w:rsidP="009D6100">
            <w:pPr>
              <w:pStyle w:val="FigureTitle"/>
            </w:pPr>
            <w:r w:rsidRPr="00784A05">
              <w:rPr>
                <w:b w:val="0"/>
              </w:rPr>
              <w:t xml:space="preserve">Figure </w:t>
            </w:r>
            <w:r w:rsidR="000A2F9A">
              <w:rPr>
                <w:b w:val="0"/>
                <w:noProof/>
              </w:rPr>
              <w:t>17</w:t>
            </w:r>
            <w:r>
              <w:tab/>
              <w:t>Intangibles investment is highest in business services</w:t>
            </w:r>
          </w:p>
          <w:p w14:paraId="4CA011F3" w14:textId="1A93DBF4" w:rsidR="004D78FB" w:rsidRPr="00176D3F" w:rsidRDefault="004D78FB" w:rsidP="009D6100">
            <w:pPr>
              <w:pStyle w:val="Subtitle"/>
            </w:pPr>
            <w:r>
              <w:t>Intangibles</w:t>
            </w:r>
            <w:r w:rsidRPr="00FD7A03">
              <w:rPr>
                <w:rStyle w:val="NoteLabel"/>
              </w:rPr>
              <w:t>a</w:t>
            </w:r>
            <w:r>
              <w:t xml:space="preserve"> as a proportion of total fixed capital formation by subsector</w:t>
            </w:r>
            <w:r w:rsidR="00723DBC">
              <w:rPr>
                <w:rStyle w:val="NoteLabel"/>
              </w:rPr>
              <w:t xml:space="preserve"> </w:t>
            </w:r>
            <w:r w:rsidRPr="006716AC">
              <w:t>between</w:t>
            </w:r>
            <w:r>
              <w:t xml:space="preserve"> 1959</w:t>
            </w:r>
            <w:r>
              <w:noBreakHyphen/>
              <w:t>60 and 2019</w:t>
            </w:r>
            <w:r>
              <w:noBreakHyphen/>
              <w:t>20</w:t>
            </w:r>
            <w:r>
              <w:rPr>
                <w:rStyle w:val="NoteLabel"/>
              </w:rPr>
              <w:t xml:space="preserve"> </w:t>
            </w:r>
          </w:p>
        </w:tc>
      </w:tr>
      <w:tr w:rsidR="004D78FB" w14:paraId="08530477" w14:textId="77777777" w:rsidTr="36E5E979">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4D78FB" w:rsidRPr="00B1465D" w14:paraId="15CEA3F1" w14:textId="77777777" w:rsidTr="36E5E979">
              <w:trPr>
                <w:tblHeader/>
                <w:jc w:val="center"/>
              </w:trPr>
              <w:tc>
                <w:tcPr>
                  <w:tcW w:w="8505" w:type="dxa"/>
                  <w:tcBorders>
                    <w:top w:val="nil"/>
                    <w:bottom w:val="nil"/>
                  </w:tcBorders>
                </w:tcPr>
                <w:p w14:paraId="54853853" w14:textId="0C0EC62E" w:rsidR="004D78FB" w:rsidRPr="00B1465D" w:rsidRDefault="00ED78EA" w:rsidP="009D6100">
                  <w:pPr>
                    <w:pStyle w:val="Figure"/>
                    <w:spacing w:before="60" w:after="60"/>
                    <w:rPr>
                      <w:rFonts w:ascii="Tahoma" w:hAnsi="Tahoma" w:cs="Tahoma"/>
                      <w:sz w:val="18"/>
                      <w:szCs w:val="18"/>
                    </w:rPr>
                  </w:pPr>
                  <w:r w:rsidRPr="00ED78EA">
                    <w:rPr>
                      <w:rFonts w:ascii="Tahoma" w:hAnsi="Tahoma" w:cs="Tahoma"/>
                      <w:noProof/>
                      <w:sz w:val="18"/>
                      <w:szCs w:val="18"/>
                    </w:rPr>
                    <w:drawing>
                      <wp:inline distT="0" distB="0" distL="0" distR="0" wp14:anchorId="39CED3CC" wp14:editId="5FB05DE3">
                        <wp:extent cx="5402580" cy="2712720"/>
                        <wp:effectExtent l="0" t="0" r="7620" b="0"/>
                        <wp:docPr id="23" name="Picture 23" descr="Figure 17: This chart plots intangibles investment by industry sub sector between 1960 and 2020. Over this period business services had the highest increase in intangibles investment increasing from 15 per cent of total investment to 40 per cent of total inves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7: This chart plots intangibles investment by industry sub sector between 1960 and 2020. Over this period business services had the highest increase in intangibles investment increasing from 15 per cent of total investment to 40 per cent of total investment.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2580" cy="2712720"/>
                                </a:xfrm>
                                <a:prstGeom prst="rect">
                                  <a:avLst/>
                                </a:prstGeom>
                                <a:noFill/>
                                <a:ln>
                                  <a:noFill/>
                                </a:ln>
                              </pic:spPr>
                            </pic:pic>
                          </a:graphicData>
                        </a:graphic>
                      </wp:inline>
                    </w:drawing>
                  </w:r>
                  <w:r w:rsidRPr="00ED78EA">
                    <w:rPr>
                      <w:rFonts w:ascii="Tahoma" w:hAnsi="Tahoma" w:cs="Tahoma"/>
                      <w:sz w:val="18"/>
                      <w:szCs w:val="18"/>
                    </w:rPr>
                    <w:t xml:space="preserve"> </w:t>
                  </w:r>
                  <w:r w:rsidR="00625C7C" w:rsidRPr="00625C7C">
                    <w:rPr>
                      <w:rFonts w:ascii="Tahoma" w:hAnsi="Tahoma" w:cs="Tahoma"/>
                      <w:sz w:val="18"/>
                      <w:szCs w:val="18"/>
                    </w:rPr>
                    <w:t xml:space="preserve"> </w:t>
                  </w:r>
                </w:p>
              </w:tc>
            </w:tr>
          </w:tbl>
          <w:p w14:paraId="33741B95" w14:textId="77777777" w:rsidR="004D78FB" w:rsidRDefault="004D78FB" w:rsidP="009D6100">
            <w:pPr>
              <w:pStyle w:val="Figure"/>
            </w:pPr>
          </w:p>
        </w:tc>
      </w:tr>
      <w:tr w:rsidR="004D78FB" w:rsidRPr="00176D3F" w14:paraId="4C49A0A9" w14:textId="77777777" w:rsidTr="36E5E979">
        <w:tc>
          <w:tcPr>
            <w:tcW w:w="5000" w:type="pct"/>
            <w:tcBorders>
              <w:top w:val="nil"/>
              <w:left w:val="nil"/>
              <w:bottom w:val="nil"/>
              <w:right w:val="nil"/>
            </w:tcBorders>
            <w:shd w:val="clear" w:color="auto" w:fill="auto"/>
          </w:tcPr>
          <w:p w14:paraId="73DEFAD5" w14:textId="56BDCCC3" w:rsidR="004D78FB" w:rsidRPr="00176D3F" w:rsidRDefault="004D78FB" w:rsidP="009D6100">
            <w:pPr>
              <w:pStyle w:val="Note"/>
            </w:pPr>
            <w:proofErr w:type="spellStart"/>
            <w:proofErr w:type="gramStart"/>
            <w:r>
              <w:rPr>
                <w:rStyle w:val="NoteLabel"/>
              </w:rPr>
              <w:t>a</w:t>
            </w:r>
            <w:proofErr w:type="spellEnd"/>
            <w:proofErr w:type="gramEnd"/>
            <w:r>
              <w:t xml:space="preserve"> Intangibles are all intellectual products recorded by the ABS, including computer software, artistic originals, research &amp; development, and mineral &amp; petroleum exploration. </w:t>
            </w:r>
          </w:p>
        </w:tc>
      </w:tr>
      <w:tr w:rsidR="004D78FB" w:rsidRPr="00176D3F" w14:paraId="41B39DF0" w14:textId="77777777" w:rsidTr="36E5E979">
        <w:tc>
          <w:tcPr>
            <w:tcW w:w="5000" w:type="pct"/>
            <w:tcBorders>
              <w:top w:val="nil"/>
              <w:left w:val="nil"/>
              <w:bottom w:val="nil"/>
              <w:right w:val="nil"/>
            </w:tcBorders>
            <w:shd w:val="clear" w:color="auto" w:fill="auto"/>
          </w:tcPr>
          <w:p w14:paraId="3FA540CC" w14:textId="77777777" w:rsidR="004D78FB" w:rsidRPr="00176D3F" w:rsidRDefault="004D78FB" w:rsidP="009D6100">
            <w:pPr>
              <w:pStyle w:val="Source"/>
            </w:pPr>
            <w:r>
              <w:rPr>
                <w:i/>
              </w:rPr>
              <w:t>S</w:t>
            </w:r>
            <w:r w:rsidRPr="00784A05">
              <w:rPr>
                <w:i/>
              </w:rPr>
              <w:t>ource</w:t>
            </w:r>
            <w:r w:rsidRPr="00176D3F">
              <w:t xml:space="preserve">: </w:t>
            </w:r>
            <w:r>
              <w:t>ABS (</w:t>
            </w:r>
            <w:r w:rsidRPr="006902D5">
              <w:rPr>
                <w:i/>
                <w:iCs/>
              </w:rPr>
              <w:t>Australian System of National Accounts, 2019</w:t>
            </w:r>
            <w:r w:rsidRPr="006902D5">
              <w:rPr>
                <w:i/>
                <w:iCs/>
              </w:rPr>
              <w:noBreakHyphen/>
              <w:t>20</w:t>
            </w:r>
            <w:r>
              <w:t>, Cat</w:t>
            </w:r>
            <w:r>
              <w:rPr>
                <w:sz w:val="20"/>
                <w:szCs w:val="22"/>
              </w:rPr>
              <w:t> no. </w:t>
            </w:r>
            <w:r w:rsidRPr="00AA30B1">
              <w:rPr>
                <w:sz w:val="20"/>
                <w:szCs w:val="22"/>
              </w:rPr>
              <w:t>5204.0</w:t>
            </w:r>
            <w:r>
              <w:rPr>
                <w:sz w:val="20"/>
                <w:szCs w:val="22"/>
              </w:rPr>
              <w:t>, table 64).</w:t>
            </w:r>
          </w:p>
        </w:tc>
      </w:tr>
      <w:tr w:rsidR="004D78FB" w14:paraId="0DB69C1E" w14:textId="77777777" w:rsidTr="36E5E979">
        <w:tc>
          <w:tcPr>
            <w:tcW w:w="5000" w:type="pct"/>
            <w:tcBorders>
              <w:top w:val="nil"/>
              <w:left w:val="nil"/>
              <w:bottom w:val="single" w:sz="6" w:space="0" w:color="78A22F" w:themeColor="accent1"/>
              <w:right w:val="nil"/>
            </w:tcBorders>
            <w:shd w:val="clear" w:color="auto" w:fill="auto"/>
          </w:tcPr>
          <w:p w14:paraId="22BED323" w14:textId="77777777" w:rsidR="004D78FB" w:rsidRDefault="004D78FB" w:rsidP="009D6100">
            <w:pPr>
              <w:pStyle w:val="Figurespace"/>
            </w:pPr>
          </w:p>
        </w:tc>
      </w:tr>
      <w:tr w:rsidR="004D78FB" w:rsidRPr="000863A5" w14:paraId="76952314" w14:textId="77777777" w:rsidTr="36E5E979">
        <w:tc>
          <w:tcPr>
            <w:tcW w:w="5000" w:type="pct"/>
            <w:tcBorders>
              <w:top w:val="single" w:sz="6" w:space="0" w:color="78A22F" w:themeColor="accent1"/>
              <w:left w:val="nil"/>
              <w:bottom w:val="nil"/>
              <w:right w:val="nil"/>
            </w:tcBorders>
          </w:tcPr>
          <w:p w14:paraId="318FD96E" w14:textId="65FB0FCA" w:rsidR="004D78FB" w:rsidRPr="00626D32" w:rsidRDefault="004D78FB" w:rsidP="009D6100">
            <w:pPr>
              <w:pStyle w:val="BoxSpaceBelow"/>
            </w:pPr>
          </w:p>
        </w:tc>
      </w:tr>
    </w:tbl>
    <w:p w14:paraId="526FB977" w14:textId="3BE5B4E5" w:rsidR="004D78FB" w:rsidRDefault="004D78FB" w:rsidP="004D78FB">
      <w:pPr>
        <w:pStyle w:val="BodyText"/>
      </w:pPr>
      <w:r>
        <w:t xml:space="preserve">The economic significance of intangibles for economic growth and productivity measurement is contentious (box 6). </w:t>
      </w:r>
      <w:r w:rsidR="00CA6AC3">
        <w:t xml:space="preserve">Some of the possible effects of intangibles on productivity growth </w:t>
      </w:r>
      <w:proofErr w:type="gramStart"/>
      <w:r w:rsidR="00CA6AC3">
        <w:t>include:</w:t>
      </w:r>
      <w:proofErr w:type="gramEnd"/>
      <w:r w:rsidR="00CA6AC3">
        <w:t xml:space="preserve"> that</w:t>
      </w:r>
      <w:r w:rsidR="001A508F">
        <w:t xml:space="preserve"> </w:t>
      </w:r>
      <w:r>
        <w:t>they present challenges to the measurement of economic activity and</w:t>
      </w:r>
      <w:r w:rsidDel="004B0B7D">
        <w:t xml:space="preserve"> </w:t>
      </w:r>
      <w:r w:rsidR="00CA6AC3">
        <w:t xml:space="preserve">that </w:t>
      </w:r>
      <w:r>
        <w:t>they could be weakening competition and reducing productivity growth. Which</w:t>
      </w:r>
      <w:r w:rsidR="00CA6AC3">
        <w:t>, if any,</w:t>
      </w:r>
      <w:r>
        <w:t xml:space="preserve"> of these scenarios is the case for Australia, or anywhere, is not yet settled and requires further investigation. </w:t>
      </w:r>
    </w:p>
    <w:p w14:paraId="232AE62B" w14:textId="030BE703" w:rsidR="004D78FB" w:rsidRDefault="004D78FB" w:rsidP="004D78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D78FB" w14:paraId="30047DF2" w14:textId="77777777" w:rsidTr="009D6100">
        <w:trPr>
          <w:tblHeader/>
        </w:trPr>
        <w:tc>
          <w:tcPr>
            <w:tcW w:w="5000" w:type="pct"/>
            <w:tcBorders>
              <w:top w:val="single" w:sz="6" w:space="0" w:color="78A22F"/>
              <w:left w:val="nil"/>
              <w:bottom w:val="nil"/>
              <w:right w:val="nil"/>
            </w:tcBorders>
            <w:shd w:val="clear" w:color="auto" w:fill="F2F2F2"/>
          </w:tcPr>
          <w:p w14:paraId="3FCCD497" w14:textId="21258B31" w:rsidR="004D78FB" w:rsidRDefault="004D78FB" w:rsidP="009D6100">
            <w:pPr>
              <w:pStyle w:val="BoxTitle"/>
            </w:pPr>
            <w:r>
              <w:rPr>
                <w:b w:val="0"/>
              </w:rPr>
              <w:t xml:space="preserve">Box </w:t>
            </w:r>
            <w:r>
              <w:rPr>
                <w:b w:val="0"/>
                <w:noProof/>
              </w:rPr>
              <w:t>6</w:t>
            </w:r>
            <w:r>
              <w:tab/>
              <w:t>Intangibles may pose economic challenges</w:t>
            </w:r>
          </w:p>
        </w:tc>
      </w:tr>
      <w:tr w:rsidR="004D78FB" w14:paraId="1551F899" w14:textId="77777777" w:rsidTr="009D6100">
        <w:tc>
          <w:tcPr>
            <w:tcW w:w="5000" w:type="pct"/>
            <w:tcBorders>
              <w:top w:val="nil"/>
              <w:left w:val="nil"/>
              <w:bottom w:val="nil"/>
              <w:right w:val="nil"/>
            </w:tcBorders>
            <w:shd w:val="clear" w:color="auto" w:fill="F2F2F2"/>
          </w:tcPr>
          <w:p w14:paraId="376085A1" w14:textId="357099D0" w:rsidR="004D78FB" w:rsidRDefault="004D78FB" w:rsidP="009D6100">
            <w:pPr>
              <w:pStyle w:val="Box"/>
            </w:pPr>
            <w:r>
              <w:t xml:space="preserve">Four distinct economic trends have puzzled economists in recent years: the apparent fall in business dynamism (lowering job switching, falls in firm entry/exit) </w:t>
            </w:r>
            <w:r w:rsidRPr="00ED05B7">
              <w:rPr>
                <w:rFonts w:cs="Tahoma"/>
                <w:szCs w:val="24"/>
              </w:rPr>
              <w:t xml:space="preserve">(Decker et al. 2017; Pugsley and </w:t>
            </w:r>
            <w:proofErr w:type="spellStart"/>
            <w:r w:rsidRPr="00ED05B7">
              <w:rPr>
                <w:rFonts w:cs="Tahoma"/>
                <w:szCs w:val="24"/>
              </w:rPr>
              <w:t>Sahin</w:t>
            </w:r>
            <w:proofErr w:type="spellEnd"/>
            <w:r w:rsidRPr="00ED05B7">
              <w:rPr>
                <w:rFonts w:cs="Tahoma"/>
                <w:szCs w:val="24"/>
              </w:rPr>
              <w:t> 2019)</w:t>
            </w:r>
            <w:r>
              <w:t>, higher market concentration and mark</w:t>
            </w:r>
            <w:r>
              <w:noBreakHyphen/>
              <w:t xml:space="preserve">ups (interpreted by some as evidence of lessening competition) </w:t>
            </w:r>
            <w:r w:rsidRPr="00E05B56">
              <w:rPr>
                <w:rFonts w:cs="Tahoma"/>
                <w:szCs w:val="24"/>
              </w:rPr>
              <w:t xml:space="preserve">(De Locker, </w:t>
            </w:r>
            <w:proofErr w:type="spellStart"/>
            <w:r w:rsidRPr="00E05B56">
              <w:rPr>
                <w:rFonts w:cs="Tahoma"/>
                <w:szCs w:val="24"/>
              </w:rPr>
              <w:t>Eeckhout</w:t>
            </w:r>
            <w:proofErr w:type="spellEnd"/>
            <w:r w:rsidRPr="00E05B56">
              <w:rPr>
                <w:rFonts w:cs="Tahoma"/>
                <w:szCs w:val="24"/>
              </w:rPr>
              <w:t xml:space="preserve"> and Unger 2019; Diez and Fan 2018)</w:t>
            </w:r>
            <w:r>
              <w:t xml:space="preserve">, increased importance of superstar firms (that appear to financially outperform to a greater degree than in the past) </w:t>
            </w:r>
            <w:r w:rsidRPr="00E2143E">
              <w:rPr>
                <w:rFonts w:cs="Tahoma"/>
                <w:szCs w:val="24"/>
              </w:rPr>
              <w:t xml:space="preserve">(Andrews, </w:t>
            </w:r>
            <w:proofErr w:type="spellStart"/>
            <w:r w:rsidRPr="00E2143E">
              <w:rPr>
                <w:rFonts w:cs="Tahoma"/>
                <w:szCs w:val="24"/>
              </w:rPr>
              <w:t>Criscuolo</w:t>
            </w:r>
            <w:proofErr w:type="spellEnd"/>
            <w:r w:rsidRPr="00E2143E">
              <w:rPr>
                <w:rFonts w:cs="Tahoma"/>
                <w:szCs w:val="24"/>
              </w:rPr>
              <w:t xml:space="preserve"> and Gal 2015; Andrews, </w:t>
            </w:r>
            <w:proofErr w:type="spellStart"/>
            <w:r w:rsidRPr="00E2143E">
              <w:rPr>
                <w:rFonts w:cs="Tahoma"/>
                <w:szCs w:val="24"/>
              </w:rPr>
              <w:t>Criscuolo</w:t>
            </w:r>
            <w:proofErr w:type="spellEnd"/>
            <w:r w:rsidRPr="00E2143E">
              <w:rPr>
                <w:rFonts w:cs="Tahoma"/>
                <w:szCs w:val="24"/>
              </w:rPr>
              <w:t xml:space="preserve"> and Peter 2016)</w:t>
            </w:r>
            <w:r>
              <w:t xml:space="preserve"> and slower productivity growth </w:t>
            </w:r>
            <w:r w:rsidR="00823E4A" w:rsidRPr="00823E4A">
              <w:rPr>
                <w:rFonts w:cs="Arial"/>
                <w:szCs w:val="24"/>
              </w:rPr>
              <w:t>(PC 2017a)</w:t>
            </w:r>
            <w:r>
              <w:t xml:space="preserve">. How these </w:t>
            </w:r>
            <w:r w:rsidR="00C82D53">
              <w:t xml:space="preserve">trends </w:t>
            </w:r>
            <w:r>
              <w:t xml:space="preserve">relate to each other </w:t>
            </w:r>
            <w:r w:rsidRPr="004A44CD">
              <w:t>—</w:t>
            </w:r>
            <w:r>
              <w:t xml:space="preserve"> and the degree to which they are under or overestimated </w:t>
            </w:r>
            <w:r w:rsidRPr="004A44CD">
              <w:t>—</w:t>
            </w:r>
            <w:r>
              <w:t xml:space="preserve"> is contentious. </w:t>
            </w:r>
          </w:p>
          <w:p w14:paraId="0CF34DBA" w14:textId="77777777" w:rsidR="004D78FB" w:rsidRDefault="004D78FB" w:rsidP="009D6100">
            <w:pPr>
              <w:pStyle w:val="Box"/>
            </w:pPr>
            <w:r>
              <w:t>A strand of literature attempts to tie these economic trends together with the rising importance of intangible investment. These explanations can be summarised as follows:</w:t>
            </w:r>
          </w:p>
          <w:p w14:paraId="6CF9A30C" w14:textId="68BC4DCA" w:rsidR="004D78FB" w:rsidRDefault="004D78FB" w:rsidP="009D6100">
            <w:pPr>
              <w:pStyle w:val="BoxListBullet"/>
            </w:pPr>
            <w:r>
              <w:t>intangibles may lead to mismeasurement of productivity and mark</w:t>
            </w:r>
            <w:r>
              <w:noBreakHyphen/>
              <w:t xml:space="preserve">ups. For example, unmeasured growth in intangibles could mean that a larger portion of economic growth is attributable to input growth than was previously thought. Papers that have tested this hypothesis have not found mismeasured intangibles to be very important in explaining the productivity slowdown </w:t>
            </w:r>
            <w:r w:rsidRPr="00594DA1">
              <w:rPr>
                <w:rFonts w:cs="Tahoma"/>
                <w:szCs w:val="24"/>
              </w:rPr>
              <w:t>(</w:t>
            </w:r>
            <w:proofErr w:type="spellStart"/>
            <w:r w:rsidRPr="00594DA1">
              <w:rPr>
                <w:rFonts w:cs="Tahoma"/>
                <w:szCs w:val="24"/>
              </w:rPr>
              <w:t>Corrado</w:t>
            </w:r>
            <w:proofErr w:type="spellEnd"/>
            <w:r w:rsidRPr="00594DA1">
              <w:rPr>
                <w:rFonts w:cs="Tahoma"/>
                <w:szCs w:val="24"/>
              </w:rPr>
              <w:t xml:space="preserve"> et al. 2016; </w:t>
            </w:r>
            <w:proofErr w:type="spellStart"/>
            <w:r w:rsidRPr="00594DA1">
              <w:rPr>
                <w:rFonts w:cs="Tahoma"/>
                <w:szCs w:val="24"/>
              </w:rPr>
              <w:t>Corrado</w:t>
            </w:r>
            <w:proofErr w:type="spellEnd"/>
            <w:r w:rsidRPr="00594DA1">
              <w:rPr>
                <w:rFonts w:cs="Tahoma"/>
                <w:szCs w:val="24"/>
              </w:rPr>
              <w:t xml:space="preserve">, </w:t>
            </w:r>
            <w:proofErr w:type="spellStart"/>
            <w:r w:rsidRPr="00594DA1">
              <w:rPr>
                <w:rFonts w:cs="Tahoma"/>
                <w:szCs w:val="24"/>
              </w:rPr>
              <w:t>Hulten</w:t>
            </w:r>
            <w:proofErr w:type="spellEnd"/>
            <w:r w:rsidRPr="00594DA1">
              <w:rPr>
                <w:rFonts w:cs="Tahoma"/>
                <w:szCs w:val="24"/>
              </w:rPr>
              <w:t xml:space="preserve"> and </w:t>
            </w:r>
            <w:proofErr w:type="spellStart"/>
            <w:r w:rsidRPr="00594DA1">
              <w:rPr>
                <w:rFonts w:cs="Tahoma"/>
                <w:szCs w:val="24"/>
              </w:rPr>
              <w:t>Sichel</w:t>
            </w:r>
            <w:proofErr w:type="spellEnd"/>
            <w:r w:rsidRPr="00594DA1">
              <w:rPr>
                <w:rFonts w:cs="Tahoma"/>
                <w:szCs w:val="24"/>
              </w:rPr>
              <w:t> 2009)</w:t>
            </w:r>
            <w:r>
              <w:t xml:space="preserve"> but others have found evidence of mark</w:t>
            </w:r>
            <w:r>
              <w:noBreakHyphen/>
              <w:t xml:space="preserve">ups being overestimated due to the capital stock being underestimated </w:t>
            </w:r>
            <w:r w:rsidRPr="00F814F0">
              <w:rPr>
                <w:rFonts w:cs="Tahoma"/>
                <w:szCs w:val="24"/>
              </w:rPr>
              <w:t>(</w:t>
            </w:r>
            <w:proofErr w:type="spellStart"/>
            <w:r w:rsidRPr="00F814F0">
              <w:rPr>
                <w:rFonts w:cs="Tahoma"/>
                <w:szCs w:val="24"/>
              </w:rPr>
              <w:t>Ayyagari</w:t>
            </w:r>
            <w:proofErr w:type="spellEnd"/>
            <w:r w:rsidRPr="00F814F0">
              <w:rPr>
                <w:rFonts w:cs="Tahoma"/>
                <w:szCs w:val="24"/>
              </w:rPr>
              <w:t xml:space="preserve">, </w:t>
            </w:r>
            <w:proofErr w:type="spellStart"/>
            <w:r w:rsidRPr="00F814F0">
              <w:rPr>
                <w:rFonts w:cs="Tahoma"/>
                <w:szCs w:val="24"/>
              </w:rPr>
              <w:t>Demirguc-Kunt</w:t>
            </w:r>
            <w:proofErr w:type="spellEnd"/>
            <w:r w:rsidRPr="00F814F0">
              <w:rPr>
                <w:rFonts w:cs="Tahoma"/>
                <w:szCs w:val="24"/>
              </w:rPr>
              <w:t xml:space="preserve"> and </w:t>
            </w:r>
            <w:proofErr w:type="spellStart"/>
            <w:r w:rsidRPr="00F814F0">
              <w:rPr>
                <w:rFonts w:cs="Tahoma"/>
                <w:szCs w:val="24"/>
              </w:rPr>
              <w:t>Maksimovic</w:t>
            </w:r>
            <w:proofErr w:type="spellEnd"/>
            <w:r w:rsidRPr="00F814F0">
              <w:rPr>
                <w:rFonts w:cs="Tahoma"/>
                <w:szCs w:val="24"/>
              </w:rPr>
              <w:t> 2018)</w:t>
            </w:r>
          </w:p>
          <w:p w14:paraId="3FF0F254" w14:textId="5207D90F" w:rsidR="004D78FB" w:rsidRDefault="004D78FB" w:rsidP="009D6100">
            <w:pPr>
              <w:pStyle w:val="BoxListBullet"/>
            </w:pPr>
            <w:r>
              <w:t xml:space="preserve">intangibles may enhance the market power of some firms at the expense of competition, business dynamism and productivity growth. This is thought to occur through intangibles creating greater economies of scale </w:t>
            </w:r>
            <w:r w:rsidRPr="004A44CD">
              <w:t>—</w:t>
            </w:r>
            <w:r>
              <w:t xml:space="preserve"> many intangibles have low or no marginal cost of use and so early adopters can more easily squeeze out incumbents leading to slower long</w:t>
            </w:r>
            <w:r>
              <w:noBreakHyphen/>
              <w:t xml:space="preserve">run productivity growth </w:t>
            </w:r>
            <w:r w:rsidRPr="00483DB1">
              <w:rPr>
                <w:rFonts w:cs="Tahoma"/>
                <w:szCs w:val="24"/>
              </w:rPr>
              <w:t>(</w:t>
            </w:r>
            <w:proofErr w:type="spellStart"/>
            <w:r w:rsidRPr="00483DB1">
              <w:rPr>
                <w:rFonts w:cs="Tahoma"/>
                <w:szCs w:val="24"/>
              </w:rPr>
              <w:t>Haskel</w:t>
            </w:r>
            <w:proofErr w:type="spellEnd"/>
            <w:r w:rsidRPr="00483DB1">
              <w:rPr>
                <w:rFonts w:cs="Tahoma"/>
                <w:szCs w:val="24"/>
              </w:rPr>
              <w:t xml:space="preserve"> and Westlake 2017)</w:t>
            </w:r>
            <w:r>
              <w:t xml:space="preserve">. Some models of this kind feature </w:t>
            </w:r>
            <w:r>
              <w:rPr>
                <w:i/>
                <w:iCs/>
              </w:rPr>
              <w:t>faster</w:t>
            </w:r>
            <w:r>
              <w:t xml:space="preserve"> productivity growth, for example, as ICT adoption begins (similar to the Australian and US experience of the 90s), followed by slower productivity growth as fewer firms are left to compete </w:t>
            </w:r>
            <w:r w:rsidRPr="00297086">
              <w:rPr>
                <w:rFonts w:cs="Tahoma"/>
                <w:szCs w:val="24"/>
              </w:rPr>
              <w:t>(De Ridder 2019)</w:t>
            </w:r>
            <w:r>
              <w:t xml:space="preserve">. </w:t>
            </w:r>
          </w:p>
          <w:p w14:paraId="198D5ACF" w14:textId="2EC30178" w:rsidR="004D78FB" w:rsidRDefault="004D78FB" w:rsidP="009D6100">
            <w:pPr>
              <w:pStyle w:val="BoxListBullet"/>
            </w:pPr>
            <w:r>
              <w:t>intangibles may have greater ‘</w:t>
            </w:r>
            <w:proofErr w:type="spellStart"/>
            <w:r>
              <w:t>spillover</w:t>
            </w:r>
            <w:proofErr w:type="spellEnd"/>
            <w:r>
              <w:t xml:space="preserve"> effects’ than tangible capital so that a fall in intangible investment causes outsized fall in economic growth (relative to a model of constant returns to scale). </w:t>
            </w:r>
            <w:proofErr w:type="spellStart"/>
            <w:r>
              <w:t>Haskel</w:t>
            </w:r>
            <w:proofErr w:type="spellEnd"/>
            <w:r>
              <w:t xml:space="preserve"> and Westlake </w:t>
            </w:r>
            <w:r w:rsidRPr="00EA5938">
              <w:rPr>
                <w:rFonts w:cs="Tahoma"/>
              </w:rPr>
              <w:t>(2017)</w:t>
            </w:r>
            <w:r>
              <w:t xml:space="preserve"> show empirical evidence of this in advanced </w:t>
            </w:r>
            <w:proofErr w:type="gramStart"/>
            <w:r>
              <w:t>economies</w:t>
            </w:r>
            <w:proofErr w:type="gramEnd"/>
            <w:r>
              <w:t xml:space="preserve"> but the causality is difficult to pin down. For example, a slowdown in the pace of technological innovation could conceivably cause both a slowdown in economic growth and a slowdown in the uptake of intangibles without intangibles having any kind of </w:t>
            </w:r>
            <w:proofErr w:type="spellStart"/>
            <w:r>
              <w:t>spillover</w:t>
            </w:r>
            <w:proofErr w:type="spellEnd"/>
            <w:r>
              <w:t xml:space="preserve"> effects</w:t>
            </w:r>
          </w:p>
          <w:p w14:paraId="5EE165F4" w14:textId="597760C1" w:rsidR="004D78FB" w:rsidRDefault="004D78FB" w:rsidP="009D6100">
            <w:pPr>
              <w:pStyle w:val="BoxListBullet"/>
            </w:pPr>
            <w:r>
              <w:t xml:space="preserve">these theorised </w:t>
            </w:r>
            <w:proofErr w:type="spellStart"/>
            <w:r>
              <w:t>spillover</w:t>
            </w:r>
            <w:proofErr w:type="spellEnd"/>
            <w:r>
              <w:t xml:space="preserve"> effects of intangibles could be diminishing over time, leading to slower productivity growth. This might be due to an increased importance of zero</w:t>
            </w:r>
            <w:r>
              <w:noBreakHyphen/>
              <w:t xml:space="preserve">sum intangible investment, such as lobbying, that divert resources away from more productive uses. For example, </w:t>
            </w:r>
            <w:proofErr w:type="spellStart"/>
            <w:r>
              <w:t>Bessen</w:t>
            </w:r>
            <w:proofErr w:type="spellEnd"/>
            <w:r>
              <w:t xml:space="preserve"> </w:t>
            </w:r>
            <w:r w:rsidRPr="009E4551">
              <w:rPr>
                <w:rFonts w:cs="Tahoma"/>
              </w:rPr>
              <w:t>(2016)</w:t>
            </w:r>
            <w:r>
              <w:t xml:space="preserve"> notes that not only is R&amp;D and software investment associated with firm profitability but also lobbying and campaign spending. </w:t>
            </w:r>
          </w:p>
          <w:p w14:paraId="081128AC" w14:textId="77777777" w:rsidR="004D78FB" w:rsidRPr="00D570F6" w:rsidRDefault="004D78FB" w:rsidP="009D6100">
            <w:pPr>
              <w:pStyle w:val="Box"/>
              <w:rPr>
                <w:spacing w:val="-2"/>
              </w:rPr>
            </w:pPr>
            <w:r w:rsidRPr="00D570F6">
              <w:rPr>
                <w:spacing w:val="-2"/>
              </w:rPr>
              <w:t xml:space="preserve">Each of these explanations have very different implications for economic policy and wellbeing. The first would imply that some perceived economic problems are merely mismeasurement related, while the second and third would appear to imply real issues of reduced productivity. It could also be that some of these issues are transitional — as better measurement of intangibles or regulation of firms subject to higher economies of scale improves, then measured productivity could improve. </w:t>
            </w:r>
          </w:p>
        </w:tc>
      </w:tr>
      <w:tr w:rsidR="004D78FB" w14:paraId="0AD300B1" w14:textId="77777777" w:rsidTr="009D6100">
        <w:tc>
          <w:tcPr>
            <w:tcW w:w="5000" w:type="pct"/>
            <w:tcBorders>
              <w:top w:val="nil"/>
              <w:left w:val="nil"/>
              <w:bottom w:val="single" w:sz="6" w:space="0" w:color="78A22F"/>
              <w:right w:val="nil"/>
            </w:tcBorders>
            <w:shd w:val="clear" w:color="auto" w:fill="F2F2F2"/>
          </w:tcPr>
          <w:p w14:paraId="04BABC35" w14:textId="77777777" w:rsidR="004D78FB" w:rsidRDefault="004D78FB" w:rsidP="009D6100">
            <w:pPr>
              <w:pStyle w:val="Box"/>
              <w:spacing w:before="0" w:line="120" w:lineRule="exact"/>
            </w:pPr>
          </w:p>
        </w:tc>
      </w:tr>
      <w:tr w:rsidR="004D78FB" w:rsidRPr="000863A5" w:rsidDel="003E039C" w14:paraId="1448B96A" w14:textId="77777777" w:rsidTr="009D6100">
        <w:tc>
          <w:tcPr>
            <w:tcW w:w="5000" w:type="pct"/>
            <w:tcBorders>
              <w:top w:val="single" w:sz="6" w:space="0" w:color="78A22F"/>
              <w:left w:val="nil"/>
              <w:bottom w:val="nil"/>
              <w:right w:val="nil"/>
            </w:tcBorders>
          </w:tcPr>
          <w:p w14:paraId="5BCE4C0F" w14:textId="7AAA1F0D" w:rsidR="004D78FB" w:rsidRPr="00626D32" w:rsidDel="003E039C" w:rsidRDefault="004D78FB" w:rsidP="009D6100">
            <w:pPr>
              <w:pStyle w:val="BoxSpaceBelow"/>
            </w:pPr>
          </w:p>
        </w:tc>
      </w:tr>
    </w:tbl>
    <w:p w14:paraId="3DB0F472" w14:textId="0241178B" w:rsidR="00096CFC" w:rsidRDefault="00355DE1" w:rsidP="00403C9B">
      <w:pPr>
        <w:pStyle w:val="Heading2"/>
      </w:pPr>
      <w:bookmarkStart w:id="11" w:name="_Toc67912997"/>
      <w:r>
        <w:lastRenderedPageBreak/>
        <w:t>4</w:t>
      </w:r>
      <w:r>
        <w:tab/>
      </w:r>
      <w:r w:rsidR="00D16656">
        <w:t xml:space="preserve">Service sector productivity: evidence and </w:t>
      </w:r>
      <w:r w:rsidR="008F481A">
        <w:t>theory</w:t>
      </w:r>
      <w:bookmarkEnd w:id="11"/>
    </w:p>
    <w:p w14:paraId="00F580FA" w14:textId="10B0EC37" w:rsidR="000C7288" w:rsidRPr="00D570F6" w:rsidRDefault="006F41C5">
      <w:pPr>
        <w:pStyle w:val="BodyText"/>
        <w:rPr>
          <w:spacing w:val="-2"/>
        </w:rPr>
      </w:pPr>
      <w:r w:rsidRPr="00D570F6">
        <w:rPr>
          <w:spacing w:val="-2"/>
        </w:rPr>
        <w:t>In the aggregate,</w:t>
      </w:r>
      <w:r w:rsidR="00007C08" w:rsidRPr="00D570F6">
        <w:rPr>
          <w:spacing w:val="-2"/>
        </w:rPr>
        <w:t xml:space="preserve"> the service sector</w:t>
      </w:r>
      <w:r w:rsidRPr="00D570F6" w:rsidDel="009C366D">
        <w:rPr>
          <w:spacing w:val="-2"/>
        </w:rPr>
        <w:t xml:space="preserve"> </w:t>
      </w:r>
      <w:r w:rsidR="00585A3C" w:rsidRPr="00D570F6">
        <w:rPr>
          <w:spacing w:val="-2"/>
        </w:rPr>
        <w:t>had faster</w:t>
      </w:r>
      <w:r w:rsidR="00DD452A" w:rsidRPr="00D570F6">
        <w:rPr>
          <w:spacing w:val="-2"/>
        </w:rPr>
        <w:t xml:space="preserve"> MFP</w:t>
      </w:r>
      <w:r w:rsidR="00585A3C" w:rsidRPr="00D570F6">
        <w:rPr>
          <w:spacing w:val="-2"/>
        </w:rPr>
        <w:t xml:space="preserve"> growth than</w:t>
      </w:r>
      <w:r w:rsidR="00007C08" w:rsidRPr="00D570F6">
        <w:rPr>
          <w:spacing w:val="-2"/>
        </w:rPr>
        <w:t xml:space="preserve"> the goods sector since 19</w:t>
      </w:r>
      <w:r w:rsidR="00217FAE" w:rsidRPr="00D570F6">
        <w:rPr>
          <w:spacing w:val="-2"/>
        </w:rPr>
        <w:t>93</w:t>
      </w:r>
      <w:r w:rsidR="00217FAE" w:rsidRPr="00D570F6">
        <w:rPr>
          <w:spacing w:val="-2"/>
        </w:rPr>
        <w:noBreakHyphen/>
      </w:r>
      <w:r w:rsidR="00007C08" w:rsidRPr="00D570F6">
        <w:rPr>
          <w:spacing w:val="-2"/>
        </w:rPr>
        <w:t>94</w:t>
      </w:r>
      <w:r w:rsidR="00DD452A" w:rsidRPr="00D570F6">
        <w:rPr>
          <w:spacing w:val="-2"/>
        </w:rPr>
        <w:t>, though this is mainly due to the</w:t>
      </w:r>
      <w:r w:rsidR="00007C08" w:rsidRPr="00D570F6">
        <w:rPr>
          <w:spacing w:val="-2"/>
        </w:rPr>
        <w:t xml:space="preserve"> goods sector </w:t>
      </w:r>
      <w:r w:rsidR="00DD452A" w:rsidRPr="00D570F6">
        <w:rPr>
          <w:spacing w:val="-2"/>
        </w:rPr>
        <w:t>exhibiting</w:t>
      </w:r>
      <w:r w:rsidR="00007C08" w:rsidRPr="00D570F6">
        <w:rPr>
          <w:spacing w:val="-2"/>
        </w:rPr>
        <w:t xml:space="preserve"> close to zero MFP growth over the period (figure </w:t>
      </w:r>
      <w:r w:rsidR="00C43117" w:rsidRPr="00D570F6">
        <w:rPr>
          <w:spacing w:val="-2"/>
        </w:rPr>
        <w:t>18</w:t>
      </w:r>
      <w:r w:rsidR="00007C08" w:rsidRPr="00D570F6">
        <w:rPr>
          <w:spacing w:val="-2"/>
        </w:rPr>
        <w:t xml:space="preserve">). </w:t>
      </w:r>
      <w:r w:rsidR="00E20CC6" w:rsidRPr="00D570F6">
        <w:rPr>
          <w:spacing w:val="-2"/>
        </w:rPr>
        <w:t>A</w:t>
      </w:r>
      <w:r w:rsidR="00007C08" w:rsidRPr="00D570F6">
        <w:rPr>
          <w:spacing w:val="-2"/>
        </w:rPr>
        <w:t xml:space="preserve"> large portion of this poor performance can be attributed to the dynamics of the mining industry’s investment production cycle</w:t>
      </w:r>
      <w:r w:rsidR="003A75B6" w:rsidRPr="00D570F6">
        <w:rPr>
          <w:spacing w:val="-2"/>
        </w:rPr>
        <w:t>:</w:t>
      </w:r>
      <w:r w:rsidR="00007C08" w:rsidRPr="00D570F6">
        <w:rPr>
          <w:spacing w:val="-2"/>
        </w:rPr>
        <w:t xml:space="preserve"> </w:t>
      </w:r>
      <w:r w:rsidR="003A75B6" w:rsidRPr="00D570F6">
        <w:rPr>
          <w:spacing w:val="-2"/>
        </w:rPr>
        <w:t>d</w:t>
      </w:r>
      <w:r w:rsidR="00007C08" w:rsidRPr="00D570F6">
        <w:rPr>
          <w:spacing w:val="-2"/>
        </w:rPr>
        <w:t xml:space="preserve">ue to the long lags in attaining full capacity production after initial capital investment, the capital to output ratio in the mining industry increased significantly during the investment phase, lowering MFP estimates </w:t>
      </w:r>
      <w:r w:rsidR="00624E54" w:rsidRPr="00D570F6">
        <w:rPr>
          <w:spacing w:val="-2"/>
          <w:szCs w:val="24"/>
        </w:rPr>
        <w:t>(Jenner et al. 2018; Syed et al. 2015)</w:t>
      </w:r>
      <w:r w:rsidR="00007C08" w:rsidRPr="00D570F6">
        <w:rPr>
          <w:spacing w:val="-2"/>
        </w:rPr>
        <w:t xml:space="preserve">. Additionally, the high price of mined </w:t>
      </w:r>
      <w:r w:rsidR="002F6C4F" w:rsidRPr="00D570F6">
        <w:rPr>
          <w:spacing w:val="-2"/>
        </w:rPr>
        <w:t>minerals and petroleum</w:t>
      </w:r>
      <w:r w:rsidR="00007C08" w:rsidRPr="00D570F6">
        <w:rPr>
          <w:spacing w:val="-2"/>
        </w:rPr>
        <w:t xml:space="preserve"> meant that firms were incentivised to dig up high cost, </w:t>
      </w:r>
      <w:r w:rsidR="00B74F86" w:rsidRPr="00D570F6">
        <w:rPr>
          <w:spacing w:val="-2"/>
        </w:rPr>
        <w:t>difficult to obtain</w:t>
      </w:r>
      <w:r w:rsidR="00007C08" w:rsidRPr="00D570F6">
        <w:rPr>
          <w:spacing w:val="-2"/>
        </w:rPr>
        <w:t xml:space="preserve"> deposits. </w:t>
      </w:r>
      <w:r w:rsidR="00013169" w:rsidRPr="00D570F6">
        <w:rPr>
          <w:spacing w:val="-2"/>
        </w:rPr>
        <w:t xml:space="preserve">This example </w:t>
      </w:r>
      <w:r w:rsidR="00E20CC6" w:rsidRPr="00D570F6">
        <w:rPr>
          <w:spacing w:val="-2"/>
        </w:rPr>
        <w:t>illustrates</w:t>
      </w:r>
      <w:r w:rsidR="00007C08" w:rsidRPr="00D570F6">
        <w:rPr>
          <w:spacing w:val="-2"/>
        </w:rPr>
        <w:t xml:space="preserve"> the </w:t>
      </w:r>
      <w:r w:rsidR="001C5743" w:rsidRPr="00D570F6">
        <w:rPr>
          <w:spacing w:val="-2"/>
        </w:rPr>
        <w:t>risks</w:t>
      </w:r>
      <w:r w:rsidR="00007C08" w:rsidRPr="00D570F6">
        <w:rPr>
          <w:spacing w:val="-2"/>
        </w:rPr>
        <w:t xml:space="preserve"> </w:t>
      </w:r>
      <w:r w:rsidR="00E20CC6" w:rsidRPr="00D570F6">
        <w:rPr>
          <w:spacing w:val="-2"/>
        </w:rPr>
        <w:t xml:space="preserve">associated with </w:t>
      </w:r>
      <w:r w:rsidR="00007C08" w:rsidRPr="00D570F6">
        <w:rPr>
          <w:spacing w:val="-2"/>
        </w:rPr>
        <w:t xml:space="preserve">comparing MFP </w:t>
      </w:r>
      <w:r w:rsidR="006A0F72" w:rsidRPr="00D570F6">
        <w:rPr>
          <w:spacing w:val="-2"/>
        </w:rPr>
        <w:t xml:space="preserve">growth </w:t>
      </w:r>
      <w:r w:rsidR="00007C08" w:rsidRPr="00D570F6">
        <w:rPr>
          <w:spacing w:val="-2"/>
        </w:rPr>
        <w:t>across industries</w:t>
      </w:r>
      <w:r w:rsidR="00E20CC6" w:rsidRPr="00D570F6">
        <w:rPr>
          <w:spacing w:val="-2"/>
        </w:rPr>
        <w:t xml:space="preserve">: </w:t>
      </w:r>
      <w:r w:rsidR="00007C08" w:rsidRPr="00D570F6">
        <w:rPr>
          <w:spacing w:val="-2"/>
        </w:rPr>
        <w:t>there may be structural features of certain industries (such as the long investment production cycle in mining) that are unique to that industry</w:t>
      </w:r>
      <w:r w:rsidR="00B94938" w:rsidRPr="00D570F6">
        <w:rPr>
          <w:spacing w:val="-2"/>
        </w:rPr>
        <w:t>,</w:t>
      </w:r>
      <w:r w:rsidR="00007C08" w:rsidRPr="00D570F6">
        <w:rPr>
          <w:spacing w:val="-2"/>
        </w:rPr>
        <w:t xml:space="preserve"> making comparison</w:t>
      </w:r>
      <w:r w:rsidR="00132CE0" w:rsidRPr="00D570F6">
        <w:rPr>
          <w:spacing w:val="-2"/>
        </w:rPr>
        <w:t>s</w:t>
      </w:r>
      <w:r w:rsidR="00007C08" w:rsidRPr="00D570F6">
        <w:rPr>
          <w:spacing w:val="-2"/>
        </w:rPr>
        <w:t xml:space="preserve"> </w:t>
      </w:r>
      <w:r w:rsidR="002B4900" w:rsidRPr="00D570F6">
        <w:rPr>
          <w:spacing w:val="-2"/>
        </w:rPr>
        <w:t xml:space="preserve">potentially </w:t>
      </w:r>
      <w:r w:rsidR="001C5743" w:rsidRPr="00D570F6">
        <w:rPr>
          <w:spacing w:val="-2"/>
        </w:rPr>
        <w:t>misleading</w:t>
      </w:r>
      <w:r w:rsidR="00007C08" w:rsidRPr="00D570F6">
        <w:rPr>
          <w:spacing w:val="-2"/>
        </w:rPr>
        <w:t xml:space="preserve">. </w:t>
      </w:r>
    </w:p>
    <w:p w14:paraId="3EEE2ADB" w14:textId="7FE616DF" w:rsidR="002A776E" w:rsidRDefault="0002747D" w:rsidP="009C4A5E">
      <w:pPr>
        <w:pStyle w:val="BodyText"/>
      </w:pPr>
      <w:r>
        <w:t>Market sector service</w:t>
      </w:r>
      <w:r w:rsidR="009B2DA7">
        <w:t xml:space="preserve"> </w:t>
      </w:r>
      <w:r w:rsidR="00D922BD">
        <w:t>performance</w:t>
      </w:r>
      <w:r w:rsidR="009B2DA7">
        <w:t xml:space="preserve"> has differed significantly depending on the </w:t>
      </w:r>
      <w:r w:rsidR="00D922BD">
        <w:t xml:space="preserve">measure of productivity. </w:t>
      </w:r>
      <w:r w:rsidR="00D06EC9">
        <w:t>While t</w:t>
      </w:r>
      <w:r w:rsidR="001F0819">
        <w:t xml:space="preserve">he Australian service sector </w:t>
      </w:r>
      <w:r w:rsidR="002840B4">
        <w:t>MFP growth has been strong</w:t>
      </w:r>
      <w:r w:rsidR="001F0819">
        <w:t xml:space="preserve">, </w:t>
      </w:r>
      <w:r w:rsidR="00657020">
        <w:t xml:space="preserve">labour productivity has </w:t>
      </w:r>
      <w:r w:rsidR="000C62D1">
        <w:t>lagged</w:t>
      </w:r>
      <w:r w:rsidR="003B4F33">
        <w:t xml:space="preserve">, </w:t>
      </w:r>
      <w:r w:rsidR="003D4961">
        <w:t>plac</w:t>
      </w:r>
      <w:r w:rsidR="00C465C0">
        <w:t>ing</w:t>
      </w:r>
      <w:r w:rsidR="00183F8C">
        <w:t xml:space="preserve"> </w:t>
      </w:r>
      <w:r w:rsidR="00967125">
        <w:t xml:space="preserve">Australia among the </w:t>
      </w:r>
      <w:r w:rsidR="004F053F">
        <w:t xml:space="preserve">best and worst </w:t>
      </w:r>
      <w:r w:rsidR="00967125">
        <w:t>performing developed nations</w:t>
      </w:r>
      <w:r w:rsidR="003B4F33">
        <w:t xml:space="preserve"> in </w:t>
      </w:r>
      <w:r w:rsidR="00F13AF0">
        <w:t>MFP and labour productivity</w:t>
      </w:r>
      <w:r w:rsidR="00967125">
        <w:t xml:space="preserve"> </w:t>
      </w:r>
      <w:r w:rsidR="004F053F">
        <w:t xml:space="preserve">respectively </w:t>
      </w:r>
      <w:r w:rsidR="00967125">
        <w:t xml:space="preserve">since </w:t>
      </w:r>
      <w:r w:rsidR="007D475B">
        <w:t>2000 (figure 1</w:t>
      </w:r>
      <w:r w:rsidR="00C43117">
        <w:t>9</w:t>
      </w:r>
      <w:r w:rsidR="007D475B">
        <w:t xml:space="preserve">). </w:t>
      </w:r>
      <w:r w:rsidR="001162EB">
        <w:t>Strong MFP performance suggests that market sector services are utilising existing resources well</w:t>
      </w:r>
      <w:r w:rsidR="008C17AB">
        <w:t xml:space="preserve"> (box 5 above)</w:t>
      </w:r>
      <w:r w:rsidR="00F13AF0">
        <w:t>.</w:t>
      </w:r>
      <w:r w:rsidR="001162EB">
        <w:t xml:space="preserve"> </w:t>
      </w:r>
      <w:r w:rsidR="00F13AF0">
        <w:t>H</w:t>
      </w:r>
      <w:r w:rsidR="001162EB">
        <w:t xml:space="preserve">owever, </w:t>
      </w:r>
      <w:r w:rsidR="00C26DC4">
        <w:t xml:space="preserve">its </w:t>
      </w:r>
      <w:r w:rsidR="001162EB">
        <w:t>poor labour productivity performance</w:t>
      </w:r>
      <w:r w:rsidR="0050740C">
        <w:t xml:space="preserve"> alongside </w:t>
      </w:r>
      <w:r w:rsidR="00C26DC4">
        <w:t>strong relative MFP performance</w:t>
      </w:r>
      <w:r w:rsidR="001162EB">
        <w:t xml:space="preserve"> </w:t>
      </w:r>
      <w:r w:rsidR="002C1CDE">
        <w:t xml:space="preserve">suggests that </w:t>
      </w:r>
      <w:r w:rsidR="00F639BE">
        <w:t xml:space="preserve">Australian market sector services </w:t>
      </w:r>
      <w:r w:rsidR="009C4A5E">
        <w:t xml:space="preserve">have </w:t>
      </w:r>
      <w:r w:rsidR="009A3AE4">
        <w:t>experienced</w:t>
      </w:r>
      <w:r w:rsidR="00F13AF0">
        <w:t xml:space="preserve"> </w:t>
      </w:r>
      <w:r w:rsidR="004815CB">
        <w:t xml:space="preserve">limited </w:t>
      </w:r>
      <w:r w:rsidR="009C4A5E">
        <w:t>capital deepening</w:t>
      </w:r>
      <w:r w:rsidR="00F13AF0">
        <w:t xml:space="preserve"> since 2000</w:t>
      </w:r>
      <w:r w:rsidR="00B76221">
        <w:t xml:space="preserve">. </w:t>
      </w:r>
      <w:r w:rsidR="00DE1596">
        <w:t>This is likely because of Australia’s</w:t>
      </w:r>
      <w:r w:rsidR="00C26DC4">
        <w:t xml:space="preserve"> mining investment boom, where a </w:t>
      </w:r>
      <w:r w:rsidR="00092C16">
        <w:t xml:space="preserve">larger </w:t>
      </w:r>
      <w:r w:rsidR="00C26DC4">
        <w:t xml:space="preserve">share of investment was </w:t>
      </w:r>
      <w:r w:rsidR="001F5006">
        <w:t>in</w:t>
      </w:r>
      <w:r w:rsidR="00701C8E">
        <w:t xml:space="preserve"> the mining sector </w:t>
      </w:r>
      <w:r w:rsidR="00634F7A">
        <w:t>with the result that the cost of capital rose for</w:t>
      </w:r>
      <w:r w:rsidR="00DE1596">
        <w:t xml:space="preserve"> other industries </w:t>
      </w:r>
      <w:r w:rsidR="00213A40" w:rsidRPr="00213A40">
        <w:rPr>
          <w:szCs w:val="24"/>
        </w:rPr>
        <w:t>(PC 2020)</w:t>
      </w:r>
      <w:r w:rsidR="00DE1596">
        <w:t>.</w:t>
      </w:r>
    </w:p>
    <w:p w14:paraId="4D68284C" w14:textId="743BEB0E" w:rsidR="00007C08" w:rsidRPr="004B67D4" w:rsidRDefault="00007C08" w:rsidP="00007C08">
      <w:pPr>
        <w:pStyle w:val="BodyText"/>
        <w:rPr>
          <w:spacing w:val="-2"/>
        </w:rPr>
      </w:pPr>
      <w:r w:rsidRPr="004B67D4">
        <w:rPr>
          <w:spacing w:val="-2"/>
        </w:rPr>
        <w:t xml:space="preserve">It should be noted that high </w:t>
      </w:r>
      <w:r w:rsidRPr="004B67D4">
        <w:rPr>
          <w:i/>
          <w:iCs/>
          <w:spacing w:val="-2"/>
        </w:rPr>
        <w:t>growth</w:t>
      </w:r>
      <w:r w:rsidRPr="004B67D4">
        <w:rPr>
          <w:spacing w:val="-2"/>
        </w:rPr>
        <w:t xml:space="preserve"> in productivity need not imply high </w:t>
      </w:r>
      <w:r w:rsidRPr="004B67D4">
        <w:rPr>
          <w:i/>
          <w:iCs/>
          <w:spacing w:val="-2"/>
        </w:rPr>
        <w:t>levels</w:t>
      </w:r>
      <w:r w:rsidRPr="004B67D4">
        <w:rPr>
          <w:spacing w:val="-2"/>
        </w:rPr>
        <w:t xml:space="preserve"> of productivity </w:t>
      </w:r>
      <w:r w:rsidRPr="004B67D4">
        <w:rPr>
          <w:rFonts w:ascii="Tahoma" w:hAnsi="Tahoma" w:cs="Tahoma"/>
          <w:color w:val="202124"/>
          <w:spacing w:val="-2"/>
          <w:shd w:val="clear" w:color="auto" w:fill="FFFFFF"/>
        </w:rPr>
        <w:t>—</w:t>
      </w:r>
      <w:r w:rsidRPr="004B67D4">
        <w:rPr>
          <w:spacing w:val="-2"/>
        </w:rPr>
        <w:t xml:space="preserve"> it could be that Australia started with low service sector productivity and was catching up to leader countries. Older evidence on the levels of labour productivity in services tended show significant gaps between the US (considered the frontier) and Australia </w:t>
      </w:r>
      <w:r w:rsidR="006F2B1D" w:rsidRPr="004B67D4">
        <w:rPr>
          <w:spacing w:val="-2"/>
        </w:rPr>
        <w:t xml:space="preserve">(figure </w:t>
      </w:r>
      <w:r w:rsidR="00A1010C" w:rsidRPr="004B67D4">
        <w:rPr>
          <w:spacing w:val="-2"/>
        </w:rPr>
        <w:t>20</w:t>
      </w:r>
      <w:r w:rsidR="006F2B1D" w:rsidRPr="004B67D4">
        <w:rPr>
          <w:spacing w:val="-2"/>
        </w:rPr>
        <w:t>)</w:t>
      </w:r>
      <w:r w:rsidRPr="004B67D4">
        <w:rPr>
          <w:spacing w:val="-2"/>
        </w:rPr>
        <w:t xml:space="preserve"> </w:t>
      </w:r>
      <w:r w:rsidR="00213A40" w:rsidRPr="004B67D4">
        <w:rPr>
          <w:spacing w:val="-2"/>
          <w:szCs w:val="24"/>
        </w:rPr>
        <w:t>(PC 2020)</w:t>
      </w:r>
      <w:r w:rsidRPr="004B67D4">
        <w:rPr>
          <w:spacing w:val="-2"/>
        </w:rPr>
        <w:t xml:space="preserve">. </w:t>
      </w:r>
    </w:p>
    <w:p w14:paraId="2FDED20A" w14:textId="6B762212" w:rsidR="00007C08" w:rsidRDefault="00007C08" w:rsidP="00007C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C08" w14:paraId="1BA690EA" w14:textId="77777777" w:rsidTr="36E5E979">
        <w:trPr>
          <w:tblHeader/>
        </w:trPr>
        <w:tc>
          <w:tcPr>
            <w:tcW w:w="5000" w:type="pct"/>
            <w:tcBorders>
              <w:top w:val="single" w:sz="6" w:space="0" w:color="78A22F" w:themeColor="accent1"/>
              <w:left w:val="nil"/>
              <w:bottom w:val="nil"/>
              <w:right w:val="nil"/>
            </w:tcBorders>
            <w:shd w:val="clear" w:color="auto" w:fill="auto"/>
          </w:tcPr>
          <w:p w14:paraId="122C88BA" w14:textId="0C74E5E7" w:rsidR="00007C08" w:rsidRDefault="00007C08" w:rsidP="00C10A79">
            <w:pPr>
              <w:pStyle w:val="FigureTitle"/>
            </w:pPr>
            <w:r w:rsidRPr="00784A05">
              <w:rPr>
                <w:b w:val="0"/>
              </w:rPr>
              <w:t xml:space="preserve">Figure </w:t>
            </w:r>
            <w:r w:rsidR="000A2F9A">
              <w:rPr>
                <w:b w:val="0"/>
                <w:noProof/>
              </w:rPr>
              <w:t>18</w:t>
            </w:r>
            <w:r>
              <w:tab/>
            </w:r>
            <w:r w:rsidR="00E052A5">
              <w:t>In some areas t</w:t>
            </w:r>
            <w:r>
              <w:t xml:space="preserve">he service sector has </w:t>
            </w:r>
            <w:r w:rsidR="00E052A5">
              <w:t>out</w:t>
            </w:r>
            <w:r>
              <w:t>performed the goods sector</w:t>
            </w:r>
            <w:r w:rsidR="00A8041E">
              <w:t xml:space="preserve"> …</w:t>
            </w:r>
          </w:p>
          <w:p w14:paraId="5185F8CC" w14:textId="6709172E" w:rsidR="00007C08" w:rsidRPr="00176D3F" w:rsidRDefault="00007C08" w:rsidP="00C10A79">
            <w:pPr>
              <w:pStyle w:val="Subtitle"/>
            </w:pPr>
            <w:r>
              <w:t>Multifactor productivity (MFP)</w:t>
            </w:r>
            <w:r w:rsidRPr="008246B9">
              <w:rPr>
                <w:rStyle w:val="NoteLabel"/>
              </w:rPr>
              <w:t xml:space="preserve"> a</w:t>
            </w:r>
            <w:r>
              <w:t>, labour productivity, capital deepening</w:t>
            </w:r>
            <w:r w:rsidRPr="00947404">
              <w:rPr>
                <w:rStyle w:val="NoteLabel"/>
              </w:rPr>
              <w:t>b</w:t>
            </w:r>
            <w:r>
              <w:t xml:space="preserve"> and capital services</w:t>
            </w:r>
            <w:r w:rsidR="00976703">
              <w:rPr>
                <w:rStyle w:val="NoteLabel"/>
              </w:rPr>
              <w:t>c</w:t>
            </w:r>
            <w:r>
              <w:t xml:space="preserve"> indices in select components of the service sector and the goods sector</w:t>
            </w:r>
            <w:r>
              <w:rPr>
                <w:rStyle w:val="NoteLabel"/>
              </w:rPr>
              <w:t xml:space="preserve"> </w:t>
            </w:r>
            <w:r w:rsidRPr="00CE39D7">
              <w:t>between</w:t>
            </w:r>
            <w:r>
              <w:t xml:space="preserve"> 1995 and 2018</w:t>
            </w:r>
          </w:p>
        </w:tc>
      </w:tr>
      <w:tr w:rsidR="00007C08" w14:paraId="6CEE57EB" w14:textId="77777777" w:rsidTr="36E5E979">
        <w:trPr>
          <w:trHeight w:val="9848"/>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C08" w:rsidRPr="00B1465D" w14:paraId="31DF1CC1" w14:textId="77777777" w:rsidTr="36E5E979">
              <w:trPr>
                <w:tblHeader/>
                <w:jc w:val="center"/>
              </w:trPr>
              <w:tc>
                <w:tcPr>
                  <w:tcW w:w="5000" w:type="pct"/>
                  <w:tcBorders>
                    <w:top w:val="nil"/>
                    <w:bottom w:val="nil"/>
                  </w:tcBorders>
                </w:tcPr>
                <w:p w14:paraId="60121C93" w14:textId="51D10756" w:rsidR="00007C08" w:rsidRPr="00B1465D" w:rsidRDefault="00731F56" w:rsidP="00C10A79">
                  <w:pPr>
                    <w:pStyle w:val="Figure"/>
                    <w:spacing w:before="60" w:after="60"/>
                    <w:rPr>
                      <w:rFonts w:ascii="Tahoma" w:hAnsi="Tahoma" w:cs="Tahoma"/>
                      <w:sz w:val="18"/>
                      <w:szCs w:val="18"/>
                    </w:rPr>
                  </w:pPr>
                  <w:r>
                    <w:rPr>
                      <w:noProof/>
                    </w:rPr>
                    <w:drawing>
                      <wp:inline distT="0" distB="0" distL="0" distR="0" wp14:anchorId="66FDDFF0" wp14:editId="159D21C2">
                        <wp:extent cx="5394960" cy="6233158"/>
                        <wp:effectExtent l="0" t="0" r="0" b="0"/>
                        <wp:docPr id="27" name="Picture 27" descr="This figure shows four line charts plotting multifactor productivity, labour productivity, capital deepening and capital services between 1995 and 2019. Distribution services was the best performing subsector in both multifactor productivity and labour productivity whereas utilities and construction and personal services performed poorly in both measures. Good sector labour productivity was high over the period but the goods sector had the worst multifactor productivity performance over the period. This is due to their capital deepening where they outperformed all other subsectors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figure shows four line charts plotting multifactor productivity, labour productivity, capital deepening and capital services between 1995 and 2019. Distribution services was the best performing subsector in both multifactor productivity and labour productivity whereas utilities and construction and personal services performed poorly in both measures. Good sector labour productivity was high over the period but the goods sector had the worst multifactor productivity performance over the period. This is due to their capital deepening where they outperformed all other subsectors over the period.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94960" cy="6233158"/>
                                </a:xfrm>
                                <a:prstGeom prst="rect">
                                  <a:avLst/>
                                </a:prstGeom>
                              </pic:spPr>
                            </pic:pic>
                          </a:graphicData>
                        </a:graphic>
                      </wp:inline>
                    </w:drawing>
                  </w:r>
                </w:p>
              </w:tc>
            </w:tr>
          </w:tbl>
          <w:p w14:paraId="575EDA6C" w14:textId="77777777" w:rsidR="00007C08" w:rsidRDefault="00007C08" w:rsidP="00C10A79">
            <w:pPr>
              <w:pStyle w:val="Figure"/>
            </w:pPr>
          </w:p>
        </w:tc>
      </w:tr>
      <w:tr w:rsidR="00007C08" w:rsidRPr="00176D3F" w14:paraId="089035C7" w14:textId="77777777" w:rsidTr="36E5E979">
        <w:tc>
          <w:tcPr>
            <w:tcW w:w="5000" w:type="pct"/>
            <w:tcBorders>
              <w:top w:val="nil"/>
              <w:left w:val="nil"/>
              <w:bottom w:val="nil"/>
              <w:right w:val="nil"/>
            </w:tcBorders>
            <w:shd w:val="clear" w:color="auto" w:fill="auto"/>
          </w:tcPr>
          <w:p w14:paraId="0EAFC7C9" w14:textId="5DF455EB" w:rsidR="00007C08" w:rsidRPr="00176D3F" w:rsidRDefault="00007C08" w:rsidP="00C10A79">
            <w:pPr>
              <w:pStyle w:val="Note"/>
            </w:pPr>
            <w:proofErr w:type="spellStart"/>
            <w:r>
              <w:rPr>
                <w:rStyle w:val="NoteLabel"/>
              </w:rPr>
              <w:t>a</w:t>
            </w:r>
            <w:proofErr w:type="spellEnd"/>
            <w:r>
              <w:t xml:space="preserve">Individual industries are weighted into sectors using </w:t>
            </w:r>
            <w:r w:rsidR="00EC5BB6">
              <w:t>two-year</w:t>
            </w:r>
            <w:r>
              <w:t xml:space="preserve"> average nominal </w:t>
            </w:r>
            <w:r w:rsidR="00F80CD1">
              <w:t>value-added</w:t>
            </w:r>
            <w:r>
              <w:t xml:space="preserve"> shares. </w:t>
            </w:r>
            <w:r>
              <w:rPr>
                <w:rStyle w:val="NoteLabel"/>
              </w:rPr>
              <w:t>b</w:t>
            </w:r>
            <w:r>
              <w:t xml:space="preserve">Capital deepening growth defined as the growth in capital services minus the growth in hours worked. </w:t>
            </w:r>
            <w:r>
              <w:rPr>
                <w:rStyle w:val="NoteLabel"/>
              </w:rPr>
              <w:t>c</w:t>
            </w:r>
            <w:r>
              <w:t>Individual industries are weighted into sectors using two-year average shares of nominal productive stock</w:t>
            </w:r>
            <w:r w:rsidR="00EC5BB6">
              <w:t>.</w:t>
            </w:r>
          </w:p>
        </w:tc>
      </w:tr>
      <w:tr w:rsidR="00007C08" w:rsidRPr="00176D3F" w14:paraId="02A17D2B" w14:textId="77777777" w:rsidTr="36E5E979">
        <w:tc>
          <w:tcPr>
            <w:tcW w:w="5000" w:type="pct"/>
            <w:tcBorders>
              <w:top w:val="nil"/>
              <w:left w:val="nil"/>
              <w:bottom w:val="nil"/>
              <w:right w:val="nil"/>
            </w:tcBorders>
            <w:shd w:val="clear" w:color="auto" w:fill="auto"/>
          </w:tcPr>
          <w:p w14:paraId="1F6BB8E9" w14:textId="7C5835B5" w:rsidR="00007C08" w:rsidRPr="00176D3F" w:rsidRDefault="00007C08" w:rsidP="00C10A79">
            <w:pPr>
              <w:pStyle w:val="Source"/>
            </w:pPr>
            <w:r>
              <w:rPr>
                <w:i/>
              </w:rPr>
              <w:t>Sources</w:t>
            </w:r>
            <w:r w:rsidRPr="00176D3F">
              <w:t xml:space="preserve">: </w:t>
            </w:r>
            <w:r>
              <w:t>Commission estimates using ABS (</w:t>
            </w:r>
            <w:r w:rsidRPr="008246B9">
              <w:rPr>
                <w:i/>
              </w:rPr>
              <w:t>Estimates of Industry Multifactor Productivity, 2018-19</w:t>
            </w:r>
            <w:r>
              <w:t>, Cat. </w:t>
            </w:r>
            <w:r w:rsidRPr="004B67D4">
              <w:rPr>
                <w:rFonts w:cs="Arial"/>
              </w:rPr>
              <w:t xml:space="preserve">no. 5260.0.55.002, tables 1-19; </w:t>
            </w:r>
            <w:r w:rsidRPr="004B67D4">
              <w:rPr>
                <w:rFonts w:cs="Arial"/>
                <w:i/>
              </w:rPr>
              <w:t>Australian System of National Accounts, 2018-19</w:t>
            </w:r>
            <w:r w:rsidRPr="004B67D4">
              <w:rPr>
                <w:rFonts w:cs="Arial"/>
              </w:rPr>
              <w:t>, Cat. no. 5204.0, table 5</w:t>
            </w:r>
            <w:r w:rsidR="00060E2B" w:rsidRPr="004B67D4">
              <w:rPr>
                <w:rFonts w:cs="Arial"/>
              </w:rPr>
              <w:t xml:space="preserve">; </w:t>
            </w:r>
            <w:r w:rsidRPr="004B67D4">
              <w:rPr>
                <w:rFonts w:cs="Arial"/>
                <w:i/>
                <w:iCs/>
              </w:rPr>
              <w:t>Labour Account</w:t>
            </w:r>
            <w:r w:rsidRPr="004B67D4">
              <w:rPr>
                <w:rFonts w:cs="Arial"/>
                <w:i/>
              </w:rPr>
              <w:t>, 2018-19</w:t>
            </w:r>
            <w:r w:rsidRPr="004B67D4">
              <w:rPr>
                <w:rFonts w:cs="Arial"/>
              </w:rPr>
              <w:t>, Cat. no. </w:t>
            </w:r>
            <w:r w:rsidR="00D078CA" w:rsidRPr="004B67D4">
              <w:rPr>
                <w:rFonts w:cs="Arial"/>
                <w:color w:val="000000"/>
                <w:shd w:val="clear" w:color="auto" w:fill="FFFFFF"/>
              </w:rPr>
              <w:t>6150.0.55.003</w:t>
            </w:r>
            <w:r w:rsidRPr="004B67D4">
              <w:rPr>
                <w:rFonts w:cs="Arial"/>
              </w:rPr>
              <w:t>, tables 2-20</w:t>
            </w:r>
            <w:r w:rsidR="006E3D73" w:rsidRPr="004B67D4">
              <w:rPr>
                <w:rFonts w:cs="Arial"/>
              </w:rPr>
              <w:t>)</w:t>
            </w:r>
            <w:r w:rsidR="004B67D4">
              <w:rPr>
                <w:rFonts w:cs="Arial"/>
              </w:rPr>
              <w:t>.</w:t>
            </w:r>
          </w:p>
        </w:tc>
      </w:tr>
      <w:tr w:rsidR="00007C08" w14:paraId="54CB0FF0" w14:textId="77777777" w:rsidTr="36E5E979">
        <w:tc>
          <w:tcPr>
            <w:tcW w:w="5000" w:type="pct"/>
            <w:tcBorders>
              <w:top w:val="nil"/>
              <w:left w:val="nil"/>
              <w:bottom w:val="single" w:sz="6" w:space="0" w:color="78A22F" w:themeColor="accent1"/>
              <w:right w:val="nil"/>
            </w:tcBorders>
            <w:shd w:val="clear" w:color="auto" w:fill="auto"/>
          </w:tcPr>
          <w:p w14:paraId="084B88C8" w14:textId="77777777" w:rsidR="00007C08" w:rsidRDefault="00007C08" w:rsidP="00C10A79">
            <w:pPr>
              <w:pStyle w:val="Figurespace"/>
            </w:pPr>
          </w:p>
        </w:tc>
      </w:tr>
      <w:tr w:rsidR="00007C08" w:rsidRPr="000863A5" w14:paraId="6A8D67FA" w14:textId="77777777" w:rsidTr="36E5E979">
        <w:tc>
          <w:tcPr>
            <w:tcW w:w="5000" w:type="pct"/>
            <w:tcBorders>
              <w:top w:val="single" w:sz="6" w:space="0" w:color="78A22F" w:themeColor="accent1"/>
              <w:left w:val="nil"/>
              <w:bottom w:val="nil"/>
              <w:right w:val="nil"/>
            </w:tcBorders>
          </w:tcPr>
          <w:p w14:paraId="0D2F4C43" w14:textId="2E05F01F" w:rsidR="00007C08" w:rsidRPr="00626D32" w:rsidRDefault="00007C08" w:rsidP="00C10A79">
            <w:pPr>
              <w:pStyle w:val="BoxSpaceBelow"/>
            </w:pPr>
          </w:p>
        </w:tc>
      </w:tr>
    </w:tbl>
    <w:p w14:paraId="716F2CC7" w14:textId="34D9982C" w:rsidR="00007C08" w:rsidRDefault="00007C08" w:rsidP="00007C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C08" w14:paraId="4B09DD55" w14:textId="77777777" w:rsidTr="36E5E979">
        <w:trPr>
          <w:tblHeader/>
        </w:trPr>
        <w:tc>
          <w:tcPr>
            <w:tcW w:w="5000" w:type="pct"/>
            <w:tcBorders>
              <w:top w:val="single" w:sz="6" w:space="0" w:color="78A22F" w:themeColor="accent1"/>
              <w:left w:val="nil"/>
              <w:bottom w:val="nil"/>
              <w:right w:val="nil"/>
            </w:tcBorders>
            <w:shd w:val="clear" w:color="auto" w:fill="auto"/>
          </w:tcPr>
          <w:p w14:paraId="5115BFBC" w14:textId="1EE81D84" w:rsidR="00007C08" w:rsidRDefault="00007C08" w:rsidP="00C10A79">
            <w:pPr>
              <w:pStyle w:val="FigureTitle"/>
            </w:pPr>
            <w:r w:rsidRPr="00784A05">
              <w:rPr>
                <w:b w:val="0"/>
              </w:rPr>
              <w:t xml:space="preserve">Figure </w:t>
            </w:r>
            <w:r w:rsidR="000A2F9A">
              <w:rPr>
                <w:b w:val="0"/>
                <w:noProof/>
              </w:rPr>
              <w:t>19</w:t>
            </w:r>
            <w:r>
              <w:tab/>
              <w:t xml:space="preserve">… which </w:t>
            </w:r>
            <w:r w:rsidR="00B576C2">
              <w:t>has</w:t>
            </w:r>
            <w:r>
              <w:t xml:space="preserve"> </w:t>
            </w:r>
            <w:r w:rsidR="00E052A5">
              <w:t>led</w:t>
            </w:r>
            <w:r>
              <w:t xml:space="preserve"> to </w:t>
            </w:r>
            <w:r w:rsidR="007D193D">
              <w:t xml:space="preserve">mixed performance </w:t>
            </w:r>
            <w:r w:rsidR="00CC3C07">
              <w:t>in Australia’s</w:t>
            </w:r>
            <w:r>
              <w:t xml:space="preserve"> </w:t>
            </w:r>
            <w:r w:rsidR="00DA5C6B">
              <w:t xml:space="preserve">market sector </w:t>
            </w:r>
            <w:r>
              <w:t xml:space="preserve">service </w:t>
            </w:r>
            <w:r w:rsidR="00CC3C07">
              <w:t>productivity</w:t>
            </w:r>
          </w:p>
          <w:p w14:paraId="4A697712" w14:textId="1CAEBA44" w:rsidR="00007C08" w:rsidRPr="004B67D4" w:rsidRDefault="00976703" w:rsidP="00C10A79">
            <w:pPr>
              <w:pStyle w:val="Subtitle"/>
              <w:rPr>
                <w:spacing w:val="-6"/>
              </w:rPr>
            </w:pPr>
            <w:r w:rsidRPr="004B67D4">
              <w:rPr>
                <w:spacing w:val="-6"/>
              </w:rPr>
              <w:t>Market</w:t>
            </w:r>
            <w:r w:rsidRPr="004B67D4" w:rsidDel="00DA5C6B">
              <w:rPr>
                <w:spacing w:val="-6"/>
              </w:rPr>
              <w:t xml:space="preserve"> </w:t>
            </w:r>
            <w:r w:rsidRPr="004B67D4">
              <w:rPr>
                <w:spacing w:val="-6"/>
              </w:rPr>
              <w:t xml:space="preserve">sector </w:t>
            </w:r>
            <w:r w:rsidR="00DA5C6B" w:rsidRPr="004B67D4">
              <w:rPr>
                <w:spacing w:val="-6"/>
              </w:rPr>
              <w:t xml:space="preserve">service </w:t>
            </w:r>
            <w:r w:rsidRPr="004B67D4">
              <w:rPr>
                <w:spacing w:val="-6"/>
              </w:rPr>
              <w:t>m</w:t>
            </w:r>
            <w:r w:rsidR="00B9510D" w:rsidRPr="004B67D4">
              <w:rPr>
                <w:spacing w:val="-6"/>
              </w:rPr>
              <w:t>ultifactor productivity estimates</w:t>
            </w:r>
            <w:r w:rsidR="00007C08" w:rsidRPr="004B67D4">
              <w:rPr>
                <w:spacing w:val="-6"/>
              </w:rPr>
              <w:t xml:space="preserve"> </w:t>
            </w:r>
            <w:r w:rsidR="00D1363D" w:rsidRPr="004B67D4">
              <w:rPr>
                <w:spacing w:val="-6"/>
              </w:rPr>
              <w:t xml:space="preserve">of </w:t>
            </w:r>
            <w:r w:rsidR="00013983" w:rsidRPr="004B67D4">
              <w:rPr>
                <w:spacing w:val="-6"/>
              </w:rPr>
              <w:t>Australia</w:t>
            </w:r>
            <w:r w:rsidR="00AA62BD" w:rsidRPr="004B67D4">
              <w:rPr>
                <w:spacing w:val="-6"/>
              </w:rPr>
              <w:t>, UK, US and EU</w:t>
            </w:r>
            <w:r w:rsidR="00AA62BD" w:rsidRPr="004B67D4">
              <w:rPr>
                <w:rStyle w:val="NoteLabel"/>
                <w:spacing w:val="-6"/>
              </w:rPr>
              <w:t>a</w:t>
            </w:r>
          </w:p>
        </w:tc>
      </w:tr>
      <w:tr w:rsidR="00007C08" w14:paraId="05CD5965"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07C08" w:rsidRPr="00B1465D" w14:paraId="186CB3E8" w14:textId="77777777" w:rsidTr="36E5E979">
              <w:trPr>
                <w:tblHeader/>
                <w:jc w:val="center"/>
              </w:trPr>
              <w:tc>
                <w:tcPr>
                  <w:tcW w:w="5000" w:type="pct"/>
                  <w:tcBorders>
                    <w:top w:val="nil"/>
                    <w:bottom w:val="nil"/>
                  </w:tcBorders>
                </w:tcPr>
                <w:p w14:paraId="547CE004" w14:textId="762C93FF" w:rsidR="00007C08" w:rsidRDefault="00D3102A" w:rsidP="00C10A79">
                  <w:pPr>
                    <w:pStyle w:val="Figure"/>
                    <w:spacing w:before="60" w:after="60"/>
                    <w:rPr>
                      <w:noProof/>
                    </w:rPr>
                  </w:pPr>
                  <w:r>
                    <w:rPr>
                      <w:noProof/>
                    </w:rPr>
                    <w:drawing>
                      <wp:inline distT="0" distB="0" distL="0" distR="0" wp14:anchorId="061D0B46" wp14:editId="01DCCE9D">
                        <wp:extent cx="5400675" cy="3086100"/>
                        <wp:effectExtent l="0" t="0" r="9525" b="0"/>
                        <wp:docPr id="16" name="Picture 16" descr="Australia had the highest market sector service multifactor productivity growth between 2000 and 2016 relative to the UK, the US and the Rest of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47" cstate="print">
                                  <a:extLst>
                                    <a:ext uri="{28A0092B-C50C-407E-A947-70E740481C1C}">
                                      <a14:useLocalDpi xmlns:a14="http://schemas.microsoft.com/office/drawing/2010/main" val="0"/>
                                    </a:ext>
                                  </a:extLst>
                                </a:blip>
                                <a:srcRect t="4706"/>
                                <a:stretch/>
                              </pic:blipFill>
                              <pic:spPr bwMode="auto">
                                <a:xfrm>
                                  <a:off x="0" y="0"/>
                                  <a:ext cx="5400675" cy="3086100"/>
                                </a:xfrm>
                                <a:prstGeom prst="rect">
                                  <a:avLst/>
                                </a:prstGeom>
                                <a:ln>
                                  <a:noFill/>
                                </a:ln>
                                <a:extLst>
                                  <a:ext uri="{53640926-AAD7-44D8-BBD7-CCE9431645EC}">
                                    <a14:shadowObscured xmlns:a14="http://schemas.microsoft.com/office/drawing/2010/main"/>
                                  </a:ext>
                                </a:extLst>
                              </pic:spPr>
                            </pic:pic>
                          </a:graphicData>
                        </a:graphic>
                      </wp:inline>
                    </w:drawing>
                  </w:r>
                </w:p>
                <w:p w14:paraId="55AAE6FF" w14:textId="14C04556" w:rsidR="00007C08" w:rsidRPr="00B1465D" w:rsidRDefault="00E94282" w:rsidP="00C10A79">
                  <w:pPr>
                    <w:pStyle w:val="Figure"/>
                    <w:spacing w:before="60" w:after="60"/>
                    <w:rPr>
                      <w:rFonts w:ascii="Tahoma" w:hAnsi="Tahoma" w:cs="Tahoma"/>
                      <w:sz w:val="18"/>
                      <w:szCs w:val="18"/>
                    </w:rPr>
                  </w:pPr>
                  <w:r>
                    <w:rPr>
                      <w:noProof/>
                    </w:rPr>
                    <w:drawing>
                      <wp:inline distT="0" distB="0" distL="0" distR="0" wp14:anchorId="3489EEB1" wp14:editId="015F2F19">
                        <wp:extent cx="5394960" cy="3095625"/>
                        <wp:effectExtent l="0" t="0" r="0" b="9525"/>
                        <wp:docPr id="49" name="Picture 49" descr="However, Australia had the poorest labour productivity performance across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owever, Australia had the poorest labour productivity performance across the same period"/>
                                <pic:cNvPicPr/>
                              </pic:nvPicPr>
                              <pic:blipFill rotWithShape="1">
                                <a:blip r:embed="rId48" cstate="print">
                                  <a:extLst>
                                    <a:ext uri="{28A0092B-C50C-407E-A947-70E740481C1C}">
                                      <a14:useLocalDpi xmlns:a14="http://schemas.microsoft.com/office/drawing/2010/main" val="0"/>
                                    </a:ext>
                                  </a:extLst>
                                </a:blip>
                                <a:srcRect t="4412"/>
                                <a:stretch/>
                              </pic:blipFill>
                              <pic:spPr bwMode="auto">
                                <a:xfrm>
                                  <a:off x="0" y="0"/>
                                  <a:ext cx="5394960" cy="3095625"/>
                                </a:xfrm>
                                <a:prstGeom prst="rect">
                                  <a:avLst/>
                                </a:prstGeom>
                                <a:ln>
                                  <a:noFill/>
                                </a:ln>
                                <a:extLst>
                                  <a:ext uri="{53640926-AAD7-44D8-BBD7-CCE9431645EC}">
                                    <a14:shadowObscured xmlns:a14="http://schemas.microsoft.com/office/drawing/2010/main"/>
                                  </a:ext>
                                </a:extLst>
                              </pic:spPr>
                            </pic:pic>
                          </a:graphicData>
                        </a:graphic>
                      </wp:inline>
                    </w:drawing>
                  </w:r>
                  <w:r w:rsidR="00BA2451">
                    <w:t xml:space="preserve"> </w:t>
                  </w:r>
                </w:p>
              </w:tc>
            </w:tr>
          </w:tbl>
          <w:p w14:paraId="1D3E9B02" w14:textId="77777777" w:rsidR="00007C08" w:rsidRDefault="00007C08" w:rsidP="00C10A79">
            <w:pPr>
              <w:pStyle w:val="Figure"/>
            </w:pPr>
          </w:p>
        </w:tc>
      </w:tr>
      <w:tr w:rsidR="00013983" w:rsidRPr="00176D3F" w14:paraId="418A64AE" w14:textId="77777777" w:rsidTr="36E5E979">
        <w:tc>
          <w:tcPr>
            <w:tcW w:w="5000" w:type="pct"/>
            <w:tcBorders>
              <w:top w:val="nil"/>
              <w:left w:val="nil"/>
              <w:bottom w:val="nil"/>
              <w:right w:val="nil"/>
            </w:tcBorders>
            <w:shd w:val="clear" w:color="auto" w:fill="auto"/>
          </w:tcPr>
          <w:p w14:paraId="6BD41083" w14:textId="294CAD95" w:rsidR="00013983" w:rsidRDefault="00013983" w:rsidP="00C10A79">
            <w:pPr>
              <w:pStyle w:val="Source"/>
              <w:rPr>
                <w:i/>
              </w:rPr>
            </w:pPr>
            <w:proofErr w:type="spellStart"/>
            <w:r>
              <w:rPr>
                <w:rStyle w:val="NoteLabel"/>
              </w:rPr>
              <w:t>a</w:t>
            </w:r>
            <w:proofErr w:type="spellEnd"/>
            <w:r w:rsidR="004B67D4">
              <w:rPr>
                <w:rStyle w:val="NoteLabel"/>
              </w:rPr>
              <w:t xml:space="preserve"> </w:t>
            </w:r>
            <w:proofErr w:type="gramStart"/>
            <w:r w:rsidR="00AA62BD" w:rsidRPr="004B67D4">
              <w:rPr>
                <w:spacing w:val="-4"/>
              </w:rPr>
              <w:t>The</w:t>
            </w:r>
            <w:proofErr w:type="gramEnd"/>
            <w:r w:rsidR="00CF6246" w:rsidRPr="004B67D4">
              <w:rPr>
                <w:spacing w:val="-4"/>
              </w:rPr>
              <w:t xml:space="preserve"> rest of</w:t>
            </w:r>
            <w:r w:rsidRPr="004B67D4">
              <w:rPr>
                <w:spacing w:val="-4"/>
              </w:rPr>
              <w:t xml:space="preserve"> EU </w:t>
            </w:r>
            <w:r w:rsidR="00584A3B" w:rsidRPr="004B67D4">
              <w:rPr>
                <w:spacing w:val="-4"/>
              </w:rPr>
              <w:t>includes</w:t>
            </w:r>
            <w:r w:rsidRPr="004B67D4">
              <w:rPr>
                <w:spacing w:val="-4"/>
              </w:rPr>
              <w:t xml:space="preserve"> </w:t>
            </w:r>
            <w:r w:rsidR="00302A30" w:rsidRPr="004B67D4">
              <w:rPr>
                <w:spacing w:val="-4"/>
              </w:rPr>
              <w:t xml:space="preserve">Austria, </w:t>
            </w:r>
            <w:r w:rsidR="001D4F03" w:rsidRPr="004B67D4">
              <w:rPr>
                <w:spacing w:val="-4"/>
              </w:rPr>
              <w:t>Czechia</w:t>
            </w:r>
            <w:r w:rsidR="0091775A" w:rsidRPr="004B67D4">
              <w:rPr>
                <w:spacing w:val="-4"/>
              </w:rPr>
              <w:t>, Germany</w:t>
            </w:r>
            <w:r w:rsidR="0021773B" w:rsidRPr="004B67D4">
              <w:rPr>
                <w:spacing w:val="-4"/>
              </w:rPr>
              <w:t>, Denmark</w:t>
            </w:r>
            <w:r w:rsidR="0044586C" w:rsidRPr="004B67D4">
              <w:rPr>
                <w:spacing w:val="-4"/>
              </w:rPr>
              <w:t>, Spain</w:t>
            </w:r>
            <w:r w:rsidR="006B6032" w:rsidRPr="004B67D4">
              <w:rPr>
                <w:spacing w:val="-4"/>
              </w:rPr>
              <w:t>, Finland, France</w:t>
            </w:r>
            <w:r w:rsidR="00D358BE" w:rsidRPr="004B67D4">
              <w:rPr>
                <w:spacing w:val="-4"/>
              </w:rPr>
              <w:t>, Italy</w:t>
            </w:r>
            <w:r w:rsidR="003750CA" w:rsidRPr="004B67D4" w:rsidDel="005D1C84">
              <w:rPr>
                <w:spacing w:val="-4"/>
              </w:rPr>
              <w:t xml:space="preserve">, </w:t>
            </w:r>
            <w:r w:rsidR="00E4063D" w:rsidRPr="004B67D4">
              <w:rPr>
                <w:spacing w:val="-4"/>
              </w:rPr>
              <w:t>The Netherlands</w:t>
            </w:r>
            <w:r w:rsidR="00314168" w:rsidRPr="004B67D4">
              <w:rPr>
                <w:spacing w:val="-4"/>
              </w:rPr>
              <w:t>, Sweden</w:t>
            </w:r>
            <w:r w:rsidR="00424938" w:rsidRPr="004B67D4">
              <w:rPr>
                <w:spacing w:val="-4"/>
              </w:rPr>
              <w:t>, Belgium</w:t>
            </w:r>
            <w:r w:rsidR="00950399" w:rsidRPr="004B67D4">
              <w:rPr>
                <w:spacing w:val="-4"/>
              </w:rPr>
              <w:t>, Slovakia</w:t>
            </w:r>
            <w:r w:rsidR="009D116A" w:rsidRPr="004B67D4">
              <w:rPr>
                <w:spacing w:val="-4"/>
              </w:rPr>
              <w:t>, Estonia</w:t>
            </w:r>
            <w:r w:rsidR="001C09A7" w:rsidRPr="004B67D4">
              <w:rPr>
                <w:spacing w:val="-4"/>
              </w:rPr>
              <w:t>, Hungary</w:t>
            </w:r>
            <w:r w:rsidR="00E463DF" w:rsidRPr="004B67D4">
              <w:rPr>
                <w:spacing w:val="-4"/>
              </w:rPr>
              <w:t>, Lithuania</w:t>
            </w:r>
            <w:r w:rsidR="00DE7369" w:rsidRPr="004B67D4">
              <w:rPr>
                <w:spacing w:val="-4"/>
              </w:rPr>
              <w:t>, Luxembourg</w:t>
            </w:r>
            <w:r w:rsidR="004679AC" w:rsidRPr="004B67D4">
              <w:rPr>
                <w:spacing w:val="-4"/>
              </w:rPr>
              <w:t>, Latvia</w:t>
            </w:r>
            <w:r w:rsidR="008A75BF" w:rsidRPr="004B67D4">
              <w:rPr>
                <w:spacing w:val="-4"/>
              </w:rPr>
              <w:t xml:space="preserve">, </w:t>
            </w:r>
            <w:r w:rsidR="00365120" w:rsidRPr="004B67D4">
              <w:rPr>
                <w:spacing w:val="-4"/>
              </w:rPr>
              <w:t>Romania,</w:t>
            </w:r>
            <w:r w:rsidR="00737B88" w:rsidRPr="004B67D4">
              <w:rPr>
                <w:spacing w:val="-4"/>
              </w:rPr>
              <w:t xml:space="preserve"> and Slovenia</w:t>
            </w:r>
            <w:r w:rsidR="004B67D4">
              <w:rPr>
                <w:spacing w:val="-4"/>
              </w:rPr>
              <w:t>.</w:t>
            </w:r>
          </w:p>
        </w:tc>
      </w:tr>
      <w:tr w:rsidR="00007C08" w:rsidRPr="00176D3F" w14:paraId="5DC24E55" w14:textId="77777777" w:rsidTr="36E5E979">
        <w:tc>
          <w:tcPr>
            <w:tcW w:w="5000" w:type="pct"/>
            <w:tcBorders>
              <w:top w:val="nil"/>
              <w:left w:val="nil"/>
              <w:bottom w:val="nil"/>
              <w:right w:val="nil"/>
            </w:tcBorders>
            <w:shd w:val="clear" w:color="auto" w:fill="auto"/>
          </w:tcPr>
          <w:p w14:paraId="51770331" w14:textId="15C3A290" w:rsidR="00007C08" w:rsidRPr="004B67D4" w:rsidRDefault="00007C08" w:rsidP="00C10A79">
            <w:pPr>
              <w:pStyle w:val="Source"/>
              <w:rPr>
                <w:spacing w:val="-2"/>
              </w:rPr>
            </w:pPr>
            <w:r w:rsidRPr="004B67D4">
              <w:rPr>
                <w:i/>
                <w:spacing w:val="-2"/>
              </w:rPr>
              <w:t>Source</w:t>
            </w:r>
            <w:r w:rsidR="00027C21" w:rsidRPr="004B67D4">
              <w:rPr>
                <w:i/>
                <w:spacing w:val="-2"/>
              </w:rPr>
              <w:t>s</w:t>
            </w:r>
            <w:r w:rsidRPr="004B67D4">
              <w:rPr>
                <w:spacing w:val="-2"/>
              </w:rPr>
              <w:t xml:space="preserve">: </w:t>
            </w:r>
            <w:r w:rsidR="00027C21" w:rsidRPr="004B67D4">
              <w:rPr>
                <w:spacing w:val="-2"/>
              </w:rPr>
              <w:t xml:space="preserve">EU KLEMS database and </w:t>
            </w:r>
            <w:r w:rsidR="00060E2B" w:rsidRPr="004B67D4">
              <w:rPr>
                <w:spacing w:val="-2"/>
              </w:rPr>
              <w:t>ABS (</w:t>
            </w:r>
            <w:r w:rsidR="00FF7E79" w:rsidRPr="004B67D4">
              <w:rPr>
                <w:i/>
                <w:spacing w:val="-2"/>
              </w:rPr>
              <w:t>Estimates of Industry Multifactor Productivity</w:t>
            </w:r>
            <w:r w:rsidR="00060E2B" w:rsidRPr="004B67D4">
              <w:rPr>
                <w:i/>
                <w:spacing w:val="-2"/>
              </w:rPr>
              <w:t>, 2018-19</w:t>
            </w:r>
            <w:r w:rsidR="00060E2B" w:rsidRPr="004B67D4">
              <w:rPr>
                <w:spacing w:val="-2"/>
              </w:rPr>
              <w:t>, Cat. no. </w:t>
            </w:r>
            <w:r w:rsidR="00FE09F3" w:rsidRPr="004B67D4">
              <w:rPr>
                <w:spacing w:val="-2"/>
              </w:rPr>
              <w:t>5260.0.55.002</w:t>
            </w:r>
            <w:r w:rsidR="00060E2B" w:rsidRPr="004B67D4">
              <w:rPr>
                <w:spacing w:val="-2"/>
              </w:rPr>
              <w:t>, table </w:t>
            </w:r>
            <w:r w:rsidR="00FE09F3" w:rsidRPr="004B67D4">
              <w:rPr>
                <w:spacing w:val="-2"/>
              </w:rPr>
              <w:t>25</w:t>
            </w:r>
            <w:r w:rsidR="00060E2B" w:rsidRPr="004B67D4">
              <w:rPr>
                <w:spacing w:val="-2"/>
              </w:rPr>
              <w:t xml:space="preserve">; </w:t>
            </w:r>
            <w:r w:rsidR="00060E2B" w:rsidRPr="004B67D4">
              <w:rPr>
                <w:i/>
                <w:spacing w:val="-2"/>
              </w:rPr>
              <w:t>Australian System of National Accounts, 2018-19</w:t>
            </w:r>
            <w:r w:rsidR="00060E2B" w:rsidRPr="004B67D4">
              <w:rPr>
                <w:spacing w:val="-2"/>
              </w:rPr>
              <w:t>, Cat. no. 5204.0, table 5)</w:t>
            </w:r>
            <w:r w:rsidRPr="004B67D4">
              <w:rPr>
                <w:spacing w:val="-2"/>
              </w:rPr>
              <w:t>.</w:t>
            </w:r>
          </w:p>
        </w:tc>
      </w:tr>
      <w:tr w:rsidR="00007C08" w14:paraId="06441955" w14:textId="77777777" w:rsidTr="36E5E979">
        <w:tc>
          <w:tcPr>
            <w:tcW w:w="5000" w:type="pct"/>
            <w:tcBorders>
              <w:top w:val="nil"/>
              <w:left w:val="nil"/>
              <w:bottom w:val="single" w:sz="6" w:space="0" w:color="78A22F" w:themeColor="accent1"/>
              <w:right w:val="nil"/>
            </w:tcBorders>
            <w:shd w:val="clear" w:color="auto" w:fill="auto"/>
          </w:tcPr>
          <w:p w14:paraId="0244036D" w14:textId="77777777" w:rsidR="00007C08" w:rsidRDefault="00007C08" w:rsidP="00C10A79">
            <w:pPr>
              <w:pStyle w:val="Figurespace"/>
            </w:pPr>
          </w:p>
        </w:tc>
      </w:tr>
      <w:tr w:rsidR="00007C08" w:rsidRPr="000863A5" w14:paraId="156B9FA1" w14:textId="77777777" w:rsidTr="36E5E979">
        <w:tc>
          <w:tcPr>
            <w:tcW w:w="5000" w:type="pct"/>
            <w:tcBorders>
              <w:top w:val="single" w:sz="6" w:space="0" w:color="78A22F" w:themeColor="accent1"/>
              <w:left w:val="nil"/>
              <w:bottom w:val="nil"/>
              <w:right w:val="nil"/>
            </w:tcBorders>
          </w:tcPr>
          <w:p w14:paraId="7D8C9636" w14:textId="1AAFB1B2" w:rsidR="00007C08" w:rsidRPr="00626D32" w:rsidRDefault="00007C08" w:rsidP="00C10A79">
            <w:pPr>
              <w:pStyle w:val="BoxSpaceBelow"/>
            </w:pPr>
          </w:p>
        </w:tc>
      </w:tr>
    </w:tbl>
    <w:p w14:paraId="5EC5075F" w14:textId="08701911" w:rsidR="00F42A1B" w:rsidRDefault="00F42A1B" w:rsidP="00F42A1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42A1B" w14:paraId="229322DC" w14:textId="77777777" w:rsidTr="00791DBC">
        <w:trPr>
          <w:tblHeader/>
        </w:trPr>
        <w:tc>
          <w:tcPr>
            <w:tcW w:w="5000" w:type="pct"/>
            <w:tcBorders>
              <w:top w:val="single" w:sz="6" w:space="0" w:color="78A22F" w:themeColor="accent1"/>
              <w:left w:val="nil"/>
              <w:bottom w:val="nil"/>
              <w:right w:val="nil"/>
            </w:tcBorders>
            <w:shd w:val="clear" w:color="auto" w:fill="auto"/>
          </w:tcPr>
          <w:p w14:paraId="47B8AED6" w14:textId="756B1A74" w:rsidR="00F42A1B" w:rsidRDefault="00F42A1B" w:rsidP="00791DBC">
            <w:pPr>
              <w:pStyle w:val="FigureTitle"/>
            </w:pPr>
            <w:r w:rsidRPr="00784A05">
              <w:rPr>
                <w:b w:val="0"/>
              </w:rPr>
              <w:t xml:space="preserve">Figure </w:t>
            </w:r>
            <w:r w:rsidR="000A2F9A">
              <w:rPr>
                <w:b w:val="0"/>
                <w:noProof/>
              </w:rPr>
              <w:t>20</w:t>
            </w:r>
            <w:r>
              <w:tab/>
              <w:t xml:space="preserve">Labour productivity levels have been persistently lower in Australia compared to the US </w:t>
            </w:r>
          </w:p>
          <w:p w14:paraId="13183417" w14:textId="730DEE66" w:rsidR="00F42A1B" w:rsidRPr="003F4A9A" w:rsidRDefault="00F42A1B" w:rsidP="00791DBC">
            <w:pPr>
              <w:pStyle w:val="Subtitle"/>
              <w:rPr>
                <w:spacing w:val="-8"/>
              </w:rPr>
            </w:pPr>
            <w:r w:rsidRPr="003F4A9A">
              <w:rPr>
                <w:spacing w:val="-8"/>
              </w:rPr>
              <w:t xml:space="preserve">GDP per hour worked </w:t>
            </w:r>
            <w:r w:rsidR="00C363D5" w:rsidRPr="003F4A9A">
              <w:rPr>
                <w:spacing w:val="-8"/>
              </w:rPr>
              <w:t xml:space="preserve">in Australia relative to be US </w:t>
            </w:r>
            <w:r w:rsidR="002239BE" w:rsidRPr="003F4A9A">
              <w:rPr>
                <w:spacing w:val="-8"/>
              </w:rPr>
              <w:t xml:space="preserve">– </w:t>
            </w:r>
            <w:r w:rsidR="001A68F0" w:rsidRPr="003F4A9A">
              <w:rPr>
                <w:spacing w:val="-8"/>
              </w:rPr>
              <w:t xml:space="preserve">constant </w:t>
            </w:r>
            <w:r w:rsidR="002239BE" w:rsidRPr="003F4A9A">
              <w:rPr>
                <w:spacing w:val="-8"/>
              </w:rPr>
              <w:t>(2015)</w:t>
            </w:r>
            <w:r w:rsidR="001A68F0" w:rsidRPr="003F4A9A">
              <w:rPr>
                <w:spacing w:val="-8"/>
              </w:rPr>
              <w:t xml:space="preserve"> and </w:t>
            </w:r>
            <w:r w:rsidR="00C363D5" w:rsidRPr="003F4A9A">
              <w:rPr>
                <w:spacing w:val="-8"/>
              </w:rPr>
              <w:t>current PPP</w:t>
            </w:r>
          </w:p>
        </w:tc>
      </w:tr>
      <w:tr w:rsidR="00F42A1B" w14:paraId="464D1CD7" w14:textId="77777777" w:rsidTr="00791DB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42A1B" w:rsidRPr="00B1465D" w14:paraId="6852AD97" w14:textId="77777777" w:rsidTr="001A68F0">
              <w:trPr>
                <w:tblHeader/>
                <w:jc w:val="center"/>
              </w:trPr>
              <w:tc>
                <w:tcPr>
                  <w:tcW w:w="8505" w:type="dxa"/>
                  <w:tcBorders>
                    <w:top w:val="nil"/>
                    <w:bottom w:val="nil"/>
                  </w:tcBorders>
                </w:tcPr>
                <w:p w14:paraId="01AD16DC" w14:textId="221E6B06" w:rsidR="00F42A1B" w:rsidRPr="00DE56FB" w:rsidRDefault="00B4586D" w:rsidP="00791DBC">
                  <w:pPr>
                    <w:pStyle w:val="Figure"/>
                    <w:spacing w:before="60" w:after="60"/>
                  </w:pPr>
                  <w:r w:rsidRPr="00B4586D">
                    <w:rPr>
                      <w:noProof/>
                    </w:rPr>
                    <w:drawing>
                      <wp:inline distT="0" distB="0" distL="0" distR="0" wp14:anchorId="725CB722" wp14:editId="0CFEA6C0">
                        <wp:extent cx="5328000" cy="2984857"/>
                        <wp:effectExtent l="0" t="0" r="6350" b="6350"/>
                        <wp:docPr id="21" name="Picture 21" descr="Figure 20: Australian labour productivity has been between 75 and 88 per cent of US labour productivity between 1970 and 2019 in both current and constant (2015) PPP. Australia’s peak labour productivity relative to the US occurred in 1980 (about 87 per cent) and our lowest was in 2010 (about 74 per cent constant P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0: Australian labour productivity has been between 75 and 88 per cent of US labour productivity between 1970 and 2019 in both current and constant (2015) PPP. Australia’s peak labour productivity relative to the US occurred in 1980 (about 87 per cent) and our lowest was in 2010 (about 74 per cent constant PPP)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79" r="3076"/>
                                <a:stretch/>
                              </pic:blipFill>
                              <pic:spPr bwMode="auto">
                                <a:xfrm>
                                  <a:off x="0" y="0"/>
                                  <a:ext cx="5328000" cy="2984857"/>
                                </a:xfrm>
                                <a:prstGeom prst="rect">
                                  <a:avLst/>
                                </a:prstGeom>
                                <a:noFill/>
                                <a:ln>
                                  <a:noFill/>
                                </a:ln>
                                <a:extLst>
                                  <a:ext uri="{53640926-AAD7-44D8-BBD7-CCE9431645EC}">
                                    <a14:shadowObscured xmlns:a14="http://schemas.microsoft.com/office/drawing/2010/main"/>
                                  </a:ext>
                                </a:extLst>
                              </pic:spPr>
                            </pic:pic>
                          </a:graphicData>
                        </a:graphic>
                      </wp:inline>
                    </w:drawing>
                  </w:r>
                  <w:r w:rsidRPr="00B4586D">
                    <w:t xml:space="preserve"> </w:t>
                  </w:r>
                </w:p>
              </w:tc>
            </w:tr>
          </w:tbl>
          <w:p w14:paraId="46DA787D" w14:textId="77777777" w:rsidR="00F42A1B" w:rsidRDefault="00F42A1B" w:rsidP="00791DBC">
            <w:pPr>
              <w:pStyle w:val="Figure"/>
            </w:pPr>
          </w:p>
        </w:tc>
      </w:tr>
      <w:tr w:rsidR="00F42A1B" w:rsidRPr="00176D3F" w14:paraId="2F58BE12" w14:textId="77777777" w:rsidTr="00791DBC">
        <w:tc>
          <w:tcPr>
            <w:tcW w:w="5000" w:type="pct"/>
            <w:tcBorders>
              <w:top w:val="nil"/>
              <w:left w:val="nil"/>
              <w:bottom w:val="nil"/>
              <w:right w:val="nil"/>
            </w:tcBorders>
            <w:shd w:val="clear" w:color="auto" w:fill="auto"/>
          </w:tcPr>
          <w:p w14:paraId="17583E3F" w14:textId="7DAC0311" w:rsidR="00F42A1B" w:rsidRPr="00176D3F" w:rsidRDefault="00F42A1B" w:rsidP="00791DBC">
            <w:pPr>
              <w:pStyle w:val="Source"/>
            </w:pPr>
            <w:r>
              <w:rPr>
                <w:i/>
              </w:rPr>
              <w:t>Source</w:t>
            </w:r>
            <w:r w:rsidRPr="00176D3F">
              <w:t xml:space="preserve">: </w:t>
            </w:r>
            <w:r>
              <w:t>OECD stat database</w:t>
            </w:r>
            <w:r w:rsidR="004B67D4">
              <w:t>.</w:t>
            </w:r>
          </w:p>
        </w:tc>
      </w:tr>
      <w:tr w:rsidR="00F42A1B" w14:paraId="2EF2C224" w14:textId="77777777" w:rsidTr="00791DBC">
        <w:tc>
          <w:tcPr>
            <w:tcW w:w="5000" w:type="pct"/>
            <w:tcBorders>
              <w:top w:val="nil"/>
              <w:left w:val="nil"/>
              <w:bottom w:val="single" w:sz="6" w:space="0" w:color="78A22F" w:themeColor="accent1"/>
              <w:right w:val="nil"/>
            </w:tcBorders>
            <w:shd w:val="clear" w:color="auto" w:fill="auto"/>
          </w:tcPr>
          <w:p w14:paraId="7A808171" w14:textId="77777777" w:rsidR="00F42A1B" w:rsidRDefault="00F42A1B" w:rsidP="00791DBC">
            <w:pPr>
              <w:pStyle w:val="Figurespace"/>
            </w:pPr>
          </w:p>
        </w:tc>
      </w:tr>
      <w:tr w:rsidR="00F42A1B" w:rsidRPr="000863A5" w14:paraId="75A011AB" w14:textId="77777777" w:rsidTr="00791DBC">
        <w:tc>
          <w:tcPr>
            <w:tcW w:w="5000" w:type="pct"/>
            <w:tcBorders>
              <w:top w:val="single" w:sz="6" w:space="0" w:color="78A22F" w:themeColor="accent1"/>
              <w:left w:val="nil"/>
              <w:bottom w:val="nil"/>
              <w:right w:val="nil"/>
            </w:tcBorders>
          </w:tcPr>
          <w:p w14:paraId="320E9CBF" w14:textId="4F7E4A03" w:rsidR="00F42A1B" w:rsidRPr="00626D32" w:rsidRDefault="00F42A1B" w:rsidP="00791DBC">
            <w:pPr>
              <w:pStyle w:val="BoxSpaceBelow"/>
            </w:pPr>
          </w:p>
        </w:tc>
      </w:tr>
    </w:tbl>
    <w:p w14:paraId="1135ABAA" w14:textId="4E60CFA4" w:rsidR="00007C08" w:rsidRDefault="00DC0A23" w:rsidP="002C1538">
      <w:pPr>
        <w:pStyle w:val="Heading3"/>
      </w:pPr>
      <w:r>
        <w:t xml:space="preserve">Do </w:t>
      </w:r>
      <w:r w:rsidR="006D4661">
        <w:t xml:space="preserve">characteristics of </w:t>
      </w:r>
      <w:r w:rsidR="008E1832">
        <w:t xml:space="preserve">some </w:t>
      </w:r>
      <w:r w:rsidR="006D4661">
        <w:t xml:space="preserve">services </w:t>
      </w:r>
      <w:r w:rsidR="000D5C4F">
        <w:t xml:space="preserve">limit </w:t>
      </w:r>
      <w:r w:rsidR="006D4661">
        <w:t>their productivity growth?</w:t>
      </w:r>
    </w:p>
    <w:p w14:paraId="38D1C827" w14:textId="01369CCB" w:rsidR="0022065D" w:rsidRDefault="00072074" w:rsidP="00007C08">
      <w:pPr>
        <w:pStyle w:val="BodyText"/>
      </w:pPr>
      <w:r>
        <w:t xml:space="preserve">While service sector MFP has outperformed goods sector MFP in recent years, figure </w:t>
      </w:r>
      <w:r w:rsidR="00BB2522">
        <w:t>1</w:t>
      </w:r>
      <w:r w:rsidR="00A1010C">
        <w:t>8</w:t>
      </w:r>
      <w:r w:rsidR="000711C0">
        <w:t xml:space="preserve"> demonstrates that</w:t>
      </w:r>
      <w:r w:rsidR="000E4F11">
        <w:t xml:space="preserve"> some</w:t>
      </w:r>
      <w:r w:rsidR="000711C0">
        <w:t xml:space="preserve"> service sub sectors such as utilities, personal services and business services have had </w:t>
      </w:r>
      <w:r w:rsidR="00602BD2">
        <w:t>low labour productivity growth</w:t>
      </w:r>
      <w:r w:rsidR="000711C0">
        <w:t xml:space="preserve"> since </w:t>
      </w:r>
      <w:r w:rsidR="00CB47D7">
        <w:t>at least</w:t>
      </w:r>
      <w:r w:rsidR="000711C0">
        <w:t xml:space="preserve"> 19</w:t>
      </w:r>
      <w:r w:rsidR="00CB47D7">
        <w:t>94</w:t>
      </w:r>
      <w:r w:rsidR="00CB47D7">
        <w:noBreakHyphen/>
      </w:r>
      <w:r w:rsidR="000711C0">
        <w:t>95.</w:t>
      </w:r>
      <w:r>
        <w:t xml:space="preserve"> </w:t>
      </w:r>
      <w:r w:rsidR="005D515B">
        <w:t xml:space="preserve">Given the persistence of this underperformance, it seems likely that some of this </w:t>
      </w:r>
      <w:r w:rsidR="000B4720">
        <w:t>slow growth</w:t>
      </w:r>
      <w:r w:rsidR="005D515B">
        <w:t xml:space="preserve"> is due to the characteristics of these services. </w:t>
      </w:r>
    </w:p>
    <w:p w14:paraId="53075227" w14:textId="6DFBC2A2" w:rsidR="00007C08" w:rsidRDefault="00C2027C" w:rsidP="00007C08">
      <w:pPr>
        <w:pStyle w:val="BodyText"/>
      </w:pPr>
      <w:r>
        <w:t>Two aspects of</w:t>
      </w:r>
      <w:r w:rsidR="007130F0">
        <w:t xml:space="preserve"> some</w:t>
      </w:r>
      <w:r>
        <w:t xml:space="preserve"> services produced for final consumption</w:t>
      </w:r>
      <w:r w:rsidR="007378BD">
        <w:t xml:space="preserve"> that may limit their </w:t>
      </w:r>
      <w:r w:rsidR="00C05D2B">
        <w:t>productivity performance are that they</w:t>
      </w:r>
      <w:r w:rsidR="003113C1">
        <w:t xml:space="preserve"> require</w:t>
      </w:r>
      <w:r w:rsidR="00007C08">
        <w:t xml:space="preserve"> face</w:t>
      </w:r>
      <w:r w:rsidR="00007C08">
        <w:noBreakHyphen/>
        <w:t>to</w:t>
      </w:r>
      <w:r w:rsidR="00007C08">
        <w:noBreakHyphen/>
        <w:t>face service delivery</w:t>
      </w:r>
      <w:r w:rsidR="00C05D2B">
        <w:t xml:space="preserve"> (for example, personal services and food and accommodation)</w:t>
      </w:r>
      <w:r w:rsidR="00007C08">
        <w:t>, and</w:t>
      </w:r>
      <w:r w:rsidR="003113C1">
        <w:t xml:space="preserve"> have </w:t>
      </w:r>
      <w:r w:rsidR="00007C08">
        <w:t>less standardised output</w:t>
      </w:r>
      <w:r w:rsidR="001767E4">
        <w:t xml:space="preserve"> (for example, professional services)</w:t>
      </w:r>
      <w:r w:rsidR="00DD4B08">
        <w:t xml:space="preserve"> </w:t>
      </w:r>
      <w:r w:rsidR="00BD099E" w:rsidRPr="00BD099E">
        <w:rPr>
          <w:szCs w:val="24"/>
        </w:rPr>
        <w:t>(</w:t>
      </w:r>
      <w:proofErr w:type="spellStart"/>
      <w:r w:rsidR="00BD099E" w:rsidRPr="00BD099E">
        <w:rPr>
          <w:szCs w:val="24"/>
        </w:rPr>
        <w:t>Sorbe</w:t>
      </w:r>
      <w:proofErr w:type="spellEnd"/>
      <w:r w:rsidR="00BD099E" w:rsidRPr="00BD099E">
        <w:rPr>
          <w:szCs w:val="24"/>
        </w:rPr>
        <w:t xml:space="preserve">, Gal and </w:t>
      </w:r>
      <w:proofErr w:type="spellStart"/>
      <w:r w:rsidR="00BD099E" w:rsidRPr="00BD099E">
        <w:rPr>
          <w:szCs w:val="24"/>
        </w:rPr>
        <w:t>Millot</w:t>
      </w:r>
      <w:proofErr w:type="spellEnd"/>
      <w:r w:rsidR="00BD099E" w:rsidRPr="00BD099E">
        <w:rPr>
          <w:szCs w:val="24"/>
        </w:rPr>
        <w:t> 2018)</w:t>
      </w:r>
      <w:r w:rsidR="00007C08">
        <w:t xml:space="preserve">. These features </w:t>
      </w:r>
      <w:r w:rsidR="00FF4860">
        <w:t xml:space="preserve">may weaken productivity </w:t>
      </w:r>
      <w:r w:rsidR="006D4661">
        <w:t xml:space="preserve">growth </w:t>
      </w:r>
      <w:r w:rsidR="00FF4860">
        <w:t>through</w:t>
      </w:r>
      <w:r w:rsidR="00007C08">
        <w:t>:</w:t>
      </w:r>
    </w:p>
    <w:p w14:paraId="5AE78140" w14:textId="2906B5B4" w:rsidR="00007C08" w:rsidRPr="004B67D4" w:rsidRDefault="00007C08" w:rsidP="00007C08">
      <w:pPr>
        <w:pStyle w:val="ListBullet"/>
        <w:rPr>
          <w:spacing w:val="-2"/>
        </w:rPr>
      </w:pPr>
      <w:r w:rsidRPr="004B67D4">
        <w:rPr>
          <w:spacing w:val="-2"/>
        </w:rPr>
        <w:t xml:space="preserve">high labour intensity and </w:t>
      </w:r>
      <w:r w:rsidR="005B2AD0" w:rsidRPr="004B67D4">
        <w:rPr>
          <w:spacing w:val="-2"/>
        </w:rPr>
        <w:t xml:space="preserve">a lack of economies </w:t>
      </w:r>
      <w:r w:rsidRPr="004B67D4">
        <w:rPr>
          <w:spacing w:val="-2"/>
        </w:rPr>
        <w:t>of scale</w:t>
      </w:r>
      <w:r w:rsidR="0012162B" w:rsidRPr="004B67D4">
        <w:rPr>
          <w:spacing w:val="-2"/>
        </w:rPr>
        <w:t xml:space="preserve"> </w:t>
      </w:r>
      <w:r w:rsidR="005C7CC1" w:rsidRPr="004B67D4">
        <w:rPr>
          <w:rFonts w:ascii="Tahoma" w:hAnsi="Tahoma" w:cs="Tahoma"/>
          <w:color w:val="202124"/>
          <w:spacing w:val="-2"/>
          <w:sz w:val="21"/>
          <w:szCs w:val="21"/>
          <w:shd w:val="clear" w:color="auto" w:fill="FFFFFF"/>
        </w:rPr>
        <w:t>—</w:t>
      </w:r>
      <w:r w:rsidR="0012162B" w:rsidRPr="004B67D4" w:rsidDel="00B427E9">
        <w:rPr>
          <w:spacing w:val="-2"/>
        </w:rPr>
        <w:t xml:space="preserve"> </w:t>
      </w:r>
      <w:r w:rsidR="005C7CC1" w:rsidRPr="004B67D4">
        <w:rPr>
          <w:spacing w:val="-2"/>
        </w:rPr>
        <w:t>f</w:t>
      </w:r>
      <w:r w:rsidR="0012162B" w:rsidRPr="004B67D4">
        <w:rPr>
          <w:spacing w:val="-2"/>
        </w:rPr>
        <w:t xml:space="preserve">or example, scaling up the overall </w:t>
      </w:r>
      <w:r w:rsidR="00966A0F" w:rsidRPr="004B67D4">
        <w:rPr>
          <w:spacing w:val="-2"/>
        </w:rPr>
        <w:t>number of haircuts in a salon does not drive down average costs of delivering each haircut</w:t>
      </w:r>
      <w:r w:rsidR="009867A0" w:rsidRPr="004B67D4">
        <w:rPr>
          <w:spacing w:val="-2"/>
        </w:rPr>
        <w:t xml:space="preserve">. Moreover, there are limited opportunities to </w:t>
      </w:r>
      <w:r w:rsidR="00AF2EDB" w:rsidRPr="004B67D4">
        <w:rPr>
          <w:spacing w:val="-2"/>
        </w:rPr>
        <w:t>substitute</w:t>
      </w:r>
      <w:r w:rsidR="009867A0" w:rsidRPr="004B67D4">
        <w:rPr>
          <w:spacing w:val="-2"/>
        </w:rPr>
        <w:t xml:space="preserve"> </w:t>
      </w:r>
      <w:r w:rsidR="00AF2EDB" w:rsidRPr="004B67D4">
        <w:rPr>
          <w:spacing w:val="-2"/>
        </w:rPr>
        <w:t>machines for hairdress</w:t>
      </w:r>
      <w:r w:rsidR="000427C8" w:rsidRPr="004B67D4">
        <w:rPr>
          <w:spacing w:val="-2"/>
        </w:rPr>
        <w:t>e</w:t>
      </w:r>
      <w:r w:rsidR="00AF2EDB" w:rsidRPr="004B67D4">
        <w:rPr>
          <w:spacing w:val="-2"/>
        </w:rPr>
        <w:t>rs</w:t>
      </w:r>
    </w:p>
    <w:p w14:paraId="4C91A5B2" w14:textId="5A761CEE" w:rsidR="00EB2A4E" w:rsidRPr="00EB2A4E" w:rsidRDefault="00007C08">
      <w:pPr>
        <w:pStyle w:val="ListBullet"/>
      </w:pPr>
      <w:r>
        <w:t>reduced competitive pressures</w:t>
      </w:r>
      <w:r w:rsidR="005C7CC1" w:rsidRPr="006A08B9">
        <w:t xml:space="preserve"> </w:t>
      </w:r>
      <w:r w:rsidR="005C7CC1" w:rsidRPr="002C1538">
        <w:t xml:space="preserve">— </w:t>
      </w:r>
      <w:r w:rsidR="004C22BD" w:rsidRPr="002C1538">
        <w:t>although</w:t>
      </w:r>
      <w:r w:rsidR="004C22BD" w:rsidRPr="006A08B9">
        <w:t xml:space="preserve"> </w:t>
      </w:r>
      <w:r w:rsidR="00424EF0" w:rsidRPr="006A08B9">
        <w:t xml:space="preserve">competition in a particular locality might be intense, the absence of non-local competitors may mean </w:t>
      </w:r>
      <w:r w:rsidR="002142B5" w:rsidRPr="006A08B9">
        <w:t xml:space="preserve">local producers are </w:t>
      </w:r>
      <w:r w:rsidR="007C64A5">
        <w:t>less</w:t>
      </w:r>
      <w:r w:rsidR="007C64A5" w:rsidRPr="006A08B9">
        <w:t xml:space="preserve"> </w:t>
      </w:r>
      <w:r w:rsidR="002142B5" w:rsidRPr="006A08B9">
        <w:t xml:space="preserve">exposed to competition from </w:t>
      </w:r>
      <w:r w:rsidR="007C64A5">
        <w:t xml:space="preserve">potentially </w:t>
      </w:r>
      <w:r w:rsidR="006A08B9">
        <w:t>more efficient</w:t>
      </w:r>
      <w:r w:rsidR="009F625B" w:rsidRPr="006A08B9">
        <w:t xml:space="preserve"> models of production developed </w:t>
      </w:r>
      <w:r w:rsidR="009F625B" w:rsidRPr="006A08B9">
        <w:lastRenderedPageBreak/>
        <w:t>overseas</w:t>
      </w:r>
      <w:r w:rsidR="00391048">
        <w:t>.</w:t>
      </w:r>
      <w:r w:rsidR="00B57B28">
        <w:rPr>
          <w:rStyle w:val="FootnoteReference"/>
        </w:rPr>
        <w:footnoteReference w:id="6"/>
      </w:r>
      <w:r w:rsidR="00391048">
        <w:t xml:space="preserve"> </w:t>
      </w:r>
      <w:r w:rsidR="007C64A5">
        <w:t xml:space="preserve">However, </w:t>
      </w:r>
      <w:r w:rsidR="003A0A9F">
        <w:t xml:space="preserve">this does not mean that face-to-face service industries are completely free from overseas competition. </w:t>
      </w:r>
      <w:r w:rsidR="00221D8E">
        <w:t>For example</w:t>
      </w:r>
      <w:r w:rsidR="00F70711">
        <w:t>,</w:t>
      </w:r>
      <w:r w:rsidR="00221D8E">
        <w:t xml:space="preserve"> local cafes are exposed to </w:t>
      </w:r>
      <w:r w:rsidR="00B42D93">
        <w:t xml:space="preserve">overseas competition indirectly through their </w:t>
      </w:r>
      <w:r w:rsidR="007C4E31">
        <w:t>competition with franchisees such as McDonalds</w:t>
      </w:r>
      <w:r w:rsidR="003A4329">
        <w:t>.</w:t>
      </w:r>
      <w:r w:rsidR="007C4E31">
        <w:t xml:space="preserve"> </w:t>
      </w:r>
      <w:r w:rsidR="00F252DD">
        <w:t xml:space="preserve">Additionally, movement of labour between countries can bring cutting edge innovations to local markets. </w:t>
      </w:r>
    </w:p>
    <w:p w14:paraId="4057EA82" w14:textId="22112A4B" w:rsidR="00CF75E8" w:rsidRDefault="00535FB2">
      <w:pPr>
        <w:pStyle w:val="BodyText"/>
      </w:pPr>
      <w:r>
        <w:t xml:space="preserve">The lack of these features may explain some of the </w:t>
      </w:r>
      <w:r w:rsidR="008A6F9E">
        <w:t xml:space="preserve">faster productivity growth experienced by </w:t>
      </w:r>
      <w:r w:rsidR="00CA4912">
        <w:t>some</w:t>
      </w:r>
      <w:r w:rsidR="00821435">
        <w:t xml:space="preserve"> service industries</w:t>
      </w:r>
      <w:r w:rsidR="00A1010C">
        <w:t xml:space="preserve"> (figure 18)</w:t>
      </w:r>
      <w:r w:rsidR="00821435">
        <w:t xml:space="preserve">. For example, </w:t>
      </w:r>
      <w:r w:rsidR="00801AA0">
        <w:t>financial services can be delivered remotely</w:t>
      </w:r>
      <w:r w:rsidR="00F3738E">
        <w:t xml:space="preserve"> and</w:t>
      </w:r>
      <w:r w:rsidR="00C90E0C">
        <w:t xml:space="preserve"> </w:t>
      </w:r>
      <w:r w:rsidR="00431E13">
        <w:t xml:space="preserve">have </w:t>
      </w:r>
      <w:r w:rsidR="00685360">
        <w:t>seen significant capitalisation</w:t>
      </w:r>
      <w:r w:rsidR="00431E13">
        <w:t xml:space="preserve"> (</w:t>
      </w:r>
      <w:r w:rsidR="00685360">
        <w:t xml:space="preserve">ATMs replacing </w:t>
      </w:r>
      <w:r w:rsidR="00E2174C">
        <w:t>tellers</w:t>
      </w:r>
      <w:r w:rsidR="00685360">
        <w:t>)</w:t>
      </w:r>
      <w:r w:rsidR="00F3738E">
        <w:t>. At the same time</w:t>
      </w:r>
      <w:r w:rsidR="00685360">
        <w:t xml:space="preserve">, </w:t>
      </w:r>
      <w:r w:rsidR="0091170B">
        <w:t xml:space="preserve">many financial products are highly standardised </w:t>
      </w:r>
      <w:r w:rsidR="00963314">
        <w:t>and</w:t>
      </w:r>
      <w:r w:rsidR="000B0FDE">
        <w:t xml:space="preserve"> financial institutions often</w:t>
      </w:r>
      <w:r w:rsidR="00963314">
        <w:t xml:space="preserve"> compete directly with </w:t>
      </w:r>
      <w:r w:rsidR="00E2174C">
        <w:t xml:space="preserve">firms from across the world. </w:t>
      </w:r>
    </w:p>
    <w:p w14:paraId="0A53F034" w14:textId="272D4140" w:rsidR="00007C08" w:rsidRDefault="00007C08" w:rsidP="00007C08">
      <w:pPr>
        <w:pStyle w:val="BodyText"/>
      </w:pPr>
      <w:r>
        <w:t xml:space="preserve">There are also other mechanisms </w:t>
      </w:r>
      <w:r w:rsidR="009A7C98">
        <w:t>that</w:t>
      </w:r>
      <w:r>
        <w:t xml:space="preserve"> limit opportunities for productivity improvement</w:t>
      </w:r>
      <w:r w:rsidR="009A7C98">
        <w:t xml:space="preserve"> in services</w:t>
      </w:r>
      <w:r>
        <w:t xml:space="preserve">. </w:t>
      </w:r>
      <w:r w:rsidR="009A7C98">
        <w:t>I</w:t>
      </w:r>
      <w:r>
        <w:t xml:space="preserve">nnovations in services, which </w:t>
      </w:r>
      <w:r w:rsidR="009A7C98">
        <w:t xml:space="preserve">can </w:t>
      </w:r>
      <w:r>
        <w:t>come in the form of human resource management, organisational change and other intangible investments</w:t>
      </w:r>
      <w:r w:rsidR="00195EA5">
        <w:t>,</w:t>
      </w:r>
      <w:r>
        <w:t xml:space="preserve"> </w:t>
      </w:r>
      <w:r w:rsidR="009A7C98">
        <w:t xml:space="preserve">can be </w:t>
      </w:r>
      <w:r>
        <w:t>more difficult to diffuse</w:t>
      </w:r>
      <w:r w:rsidR="00A1282A">
        <w:t xml:space="preserve"> or </w:t>
      </w:r>
      <w:r>
        <w:t xml:space="preserve">imitate than in the case of technology used by the goods sectors </w:t>
      </w:r>
      <w:r w:rsidRPr="00594DA1">
        <w:rPr>
          <w:szCs w:val="24"/>
        </w:rPr>
        <w:t xml:space="preserve">(van Ark, </w:t>
      </w:r>
      <w:proofErr w:type="spellStart"/>
      <w:r w:rsidRPr="00594DA1">
        <w:rPr>
          <w:szCs w:val="24"/>
        </w:rPr>
        <w:t>O’Mahony</w:t>
      </w:r>
      <w:proofErr w:type="spellEnd"/>
      <w:r w:rsidRPr="00594DA1">
        <w:rPr>
          <w:szCs w:val="24"/>
        </w:rPr>
        <w:t xml:space="preserve"> and Timmer 2008)</w:t>
      </w:r>
      <w:r>
        <w:t xml:space="preserve">. </w:t>
      </w:r>
      <w:r w:rsidR="009A7C98">
        <w:t>W</w:t>
      </w:r>
      <w:r>
        <w:t xml:space="preserve">orkers, unlike machines, can resist change, be exhausted by change and may find it difficult to adapt. Furthermore, hiring new staff and retraining </w:t>
      </w:r>
      <w:r w:rsidR="009A7C98">
        <w:t xml:space="preserve">existing staff </w:t>
      </w:r>
      <w:r>
        <w:t xml:space="preserve">can </w:t>
      </w:r>
      <w:r w:rsidR="009A7C98">
        <w:t>come with significant</w:t>
      </w:r>
      <w:r>
        <w:t xml:space="preserve"> costs</w:t>
      </w:r>
      <w:r w:rsidR="009405D7">
        <w:t xml:space="preserve">. </w:t>
      </w:r>
    </w:p>
    <w:p w14:paraId="414264C5" w14:textId="0520E4F1" w:rsidR="00325B41" w:rsidRDefault="00007C08" w:rsidP="00007C08">
      <w:pPr>
        <w:pStyle w:val="BodyText"/>
      </w:pPr>
      <w:r>
        <w:t xml:space="preserve">Another limiting feature </w:t>
      </w:r>
      <w:r w:rsidR="009A7C98">
        <w:t xml:space="preserve">for measured productivity </w:t>
      </w:r>
      <w:r>
        <w:t xml:space="preserve">of some service subsectors is that production and consumption (often) occur simultaneously, especially in personal services </w:t>
      </w:r>
      <w:r w:rsidR="00624E54" w:rsidRPr="00624E54">
        <w:rPr>
          <w:szCs w:val="24"/>
        </w:rPr>
        <w:t>(Morikawa 2011)</w:t>
      </w:r>
      <w:r>
        <w:t xml:space="preserve">. </w:t>
      </w:r>
      <w:r w:rsidR="009A7C98">
        <w:t>F</w:t>
      </w:r>
      <w:r>
        <w:t xml:space="preserve">irms </w:t>
      </w:r>
      <w:r w:rsidR="009A7C98">
        <w:t xml:space="preserve">operating in this way </w:t>
      </w:r>
      <w:r>
        <w:t>cannot build up inventories to smooth production</w:t>
      </w:r>
      <w:r w:rsidR="00094B92">
        <w:t>,</w:t>
      </w:r>
      <w:r>
        <w:t xml:space="preserve"> </w:t>
      </w:r>
      <w:r w:rsidR="00094B92">
        <w:t xml:space="preserve">causing </w:t>
      </w:r>
      <w:r>
        <w:t xml:space="preserve">fluctuations </w:t>
      </w:r>
      <w:r w:rsidR="00094B92">
        <w:t xml:space="preserve">in the level and location of demand to have a greater impact on </w:t>
      </w:r>
      <w:r>
        <w:t>productivity</w:t>
      </w:r>
      <w:r w:rsidR="00850A78">
        <w:t xml:space="preserve"> </w:t>
      </w:r>
      <w:r w:rsidR="00624E54" w:rsidRPr="007C54EA">
        <w:rPr>
          <w:szCs w:val="24"/>
        </w:rPr>
        <w:t>(Morikawa 2011, p. 1)</w:t>
      </w:r>
      <w:r>
        <w:t>. That said, this issue does not affect some service sector industries, such as online streaming</w:t>
      </w:r>
      <w:r w:rsidR="00094B92">
        <w:t xml:space="preserve"> and</w:t>
      </w:r>
      <w:r>
        <w:t xml:space="preserve"> </w:t>
      </w:r>
      <w:r w:rsidR="001A5740">
        <w:t>utilities</w:t>
      </w:r>
      <w:r w:rsidR="00094B92">
        <w:t>.</w:t>
      </w:r>
    </w:p>
    <w:p w14:paraId="16D80B4B" w14:textId="58F415FF" w:rsidR="00007C08" w:rsidRPr="00007C08" w:rsidRDefault="00986632" w:rsidP="002C1538">
      <w:pPr>
        <w:pStyle w:val="Heading3"/>
      </w:pPr>
      <w:r>
        <w:t>What does the evidence say?</w:t>
      </w:r>
      <w:r w:rsidDel="00986632">
        <w:t xml:space="preserve"> </w:t>
      </w:r>
    </w:p>
    <w:p w14:paraId="2420AA8E" w14:textId="01758540" w:rsidR="00007C08" w:rsidRPr="00C02B6E" w:rsidRDefault="00007C08" w:rsidP="00007C08">
      <w:pPr>
        <w:pStyle w:val="BodyText"/>
      </w:pPr>
      <w:r>
        <w:t xml:space="preserve">The </w:t>
      </w:r>
      <w:r w:rsidR="00D81FCD">
        <w:t xml:space="preserve">relative merits </w:t>
      </w:r>
      <w:r>
        <w:t xml:space="preserve">of the above theories in explaining slow productivity in certain services is difficult to determine. </w:t>
      </w:r>
      <w:r w:rsidR="00CD59A4">
        <w:t xml:space="preserve">Indeed, there </w:t>
      </w:r>
      <w:r w:rsidR="00845E92">
        <w:t>is little agreement</w:t>
      </w:r>
      <w:r w:rsidR="00CD59A4">
        <w:t xml:space="preserve"> among economists</w:t>
      </w:r>
      <w:r w:rsidR="00845E92">
        <w:t xml:space="preserve"> on the importance of</w:t>
      </w:r>
      <w:r>
        <w:t xml:space="preserve"> </w:t>
      </w:r>
      <w:r w:rsidR="003D736A">
        <w:t xml:space="preserve">factors </w:t>
      </w:r>
      <w:r w:rsidR="0028766D">
        <w:t>contribut</w:t>
      </w:r>
      <w:r w:rsidR="003D736A">
        <w:t>ing</w:t>
      </w:r>
      <w:r w:rsidR="0028766D">
        <w:t xml:space="preserve"> </w:t>
      </w:r>
      <w:r w:rsidR="00AC5D6B">
        <w:t>to</w:t>
      </w:r>
      <w:r w:rsidR="00C60A34">
        <w:t xml:space="preserve"> industry level productivity growth</w:t>
      </w:r>
      <w:r w:rsidR="00AC5D6B">
        <w:t>. As</w:t>
      </w:r>
      <w:r w:rsidR="00245489">
        <w:t xml:space="preserve"> a first step to understanding </w:t>
      </w:r>
      <w:r w:rsidR="00AC5D6B">
        <w:t xml:space="preserve">the </w:t>
      </w:r>
      <w:r w:rsidR="00F53257">
        <w:t>factors</w:t>
      </w:r>
      <w:r w:rsidR="00245489">
        <w:t xml:space="preserve"> </w:t>
      </w:r>
      <w:r w:rsidR="00245489" w:rsidRPr="00947404">
        <w:rPr>
          <w:i/>
          <w:iCs/>
        </w:rPr>
        <w:t>associated</w:t>
      </w:r>
      <w:r w:rsidR="00245489">
        <w:t xml:space="preserve"> </w:t>
      </w:r>
      <w:r w:rsidR="00F53257">
        <w:t>with productivity growth</w:t>
      </w:r>
      <w:r>
        <w:t xml:space="preserve">, the Commission examined </w:t>
      </w:r>
      <w:r w:rsidR="00F356B0">
        <w:t>the correlations between a set of variables that might be relevant to innovation</w:t>
      </w:r>
      <w:r w:rsidR="00FC62A5">
        <w:t xml:space="preserve"> </w:t>
      </w:r>
      <w:r>
        <w:t xml:space="preserve">with </w:t>
      </w:r>
      <w:r w:rsidR="00D81FCD">
        <w:t>MFP</w:t>
      </w:r>
      <w:r>
        <w:t xml:space="preserve"> growth (table </w:t>
      </w:r>
      <w:r w:rsidR="008A6951">
        <w:t>2</w:t>
      </w:r>
      <w:r>
        <w:t xml:space="preserve">). </w:t>
      </w:r>
      <w:r w:rsidR="000A6231">
        <w:t xml:space="preserve">Although these associations can be important, </w:t>
      </w:r>
      <w:r>
        <w:t xml:space="preserve">the Commission is not able to provide a definitive account of the ultimate </w:t>
      </w:r>
      <w:r>
        <w:rPr>
          <w:i/>
          <w:iCs/>
        </w:rPr>
        <w:t>causes</w:t>
      </w:r>
      <w:r>
        <w:t xml:space="preserve"> of productivity</w:t>
      </w:r>
      <w:r w:rsidR="00094B92">
        <w:t xml:space="preserve"> changes in Australia</w:t>
      </w:r>
      <w:r>
        <w:t xml:space="preserve">. </w:t>
      </w:r>
      <w:r w:rsidR="00F53257">
        <w:t>However, this</w:t>
      </w:r>
      <w:r>
        <w:t xml:space="preserve"> analysis </w:t>
      </w:r>
      <w:r w:rsidR="00094B92">
        <w:t xml:space="preserve">can </w:t>
      </w:r>
      <w:r>
        <w:t xml:space="preserve">assist in clarifying some high-level common themes for industries that have exhibited </w:t>
      </w:r>
      <w:r w:rsidR="00094B92">
        <w:t xml:space="preserve">higher </w:t>
      </w:r>
      <w:r>
        <w:t xml:space="preserve">or </w:t>
      </w:r>
      <w:r w:rsidR="00094B92">
        <w:t xml:space="preserve">lower rates of productivity </w:t>
      </w:r>
      <w:r>
        <w:t>growth.</w:t>
      </w:r>
    </w:p>
    <w:p w14:paraId="35D6EA9A" w14:textId="20E70A2E" w:rsidR="002906D5" w:rsidRPr="00C02B6E" w:rsidRDefault="00F356B0" w:rsidP="00007C08">
      <w:pPr>
        <w:pStyle w:val="BodyText"/>
      </w:pPr>
      <w:r>
        <w:lastRenderedPageBreak/>
        <w:t>The variables the Commission chose to investigate are ones that</w:t>
      </w:r>
      <w:r w:rsidR="00007C08">
        <w:t xml:space="preserve"> the economics literature has indicated could be important </w:t>
      </w:r>
      <w:r w:rsidR="00094B92">
        <w:t>to</w:t>
      </w:r>
      <w:r w:rsidR="00007C08">
        <w:t xml:space="preserve"> productivity performance: human capital, </w:t>
      </w:r>
      <w:r w:rsidR="00B53644">
        <w:t>research and development</w:t>
      </w:r>
      <w:r w:rsidR="00007C08">
        <w:t xml:space="preserve">, </w:t>
      </w:r>
      <w:r w:rsidR="002724D3">
        <w:t xml:space="preserve">remote delivery </w:t>
      </w:r>
      <w:r w:rsidR="00007C08">
        <w:t xml:space="preserve">and </w:t>
      </w:r>
      <w:proofErr w:type="spellStart"/>
      <w:r w:rsidR="00007C08">
        <w:t>offshorability</w:t>
      </w:r>
      <w:proofErr w:type="spellEnd"/>
      <w:r w:rsidR="00EA5A81">
        <w:t>.</w:t>
      </w:r>
      <w:r w:rsidR="00007C08">
        <w:t xml:space="preserve"> </w:t>
      </w:r>
      <w:r w:rsidR="00EC3426">
        <w:t xml:space="preserve">Human capital represents the </w:t>
      </w:r>
      <w:r w:rsidR="00005830">
        <w:t>skill level of an industr</w:t>
      </w:r>
      <w:r w:rsidR="00B61A75">
        <w:t>y’s</w:t>
      </w:r>
      <w:r w:rsidR="00005830">
        <w:t xml:space="preserve"> labour force, </w:t>
      </w:r>
      <w:r w:rsidR="00B53644">
        <w:t xml:space="preserve">research and development </w:t>
      </w:r>
      <w:r w:rsidR="001B171D">
        <w:t>(R&amp;D)</w:t>
      </w:r>
      <w:r w:rsidR="00B53644">
        <w:t xml:space="preserve"> represents</w:t>
      </w:r>
      <w:r w:rsidR="00005830">
        <w:t xml:space="preserve"> the </w:t>
      </w:r>
      <w:r w:rsidR="00BC0AD8">
        <w:t xml:space="preserve">ability for an industry to produce </w:t>
      </w:r>
      <w:r w:rsidR="00B4093D">
        <w:t>and use</w:t>
      </w:r>
      <w:r w:rsidR="00BC0AD8">
        <w:t xml:space="preserve"> </w:t>
      </w:r>
      <w:r w:rsidR="00736DB1">
        <w:t>labour</w:t>
      </w:r>
      <w:r w:rsidR="00BC0AD8">
        <w:t xml:space="preserve"> augmenting technology</w:t>
      </w:r>
      <w:r w:rsidR="00C07A4C">
        <w:t xml:space="preserve">. </w:t>
      </w:r>
      <w:proofErr w:type="spellStart"/>
      <w:r w:rsidR="009F1DF3">
        <w:t>O</w:t>
      </w:r>
      <w:r w:rsidR="008E53E3">
        <w:t>ffshorability</w:t>
      </w:r>
      <w:proofErr w:type="spellEnd"/>
      <w:r w:rsidR="008E53E3">
        <w:t xml:space="preserve"> proxies an industry’s ability to </w:t>
      </w:r>
      <w:r w:rsidR="008E53E3">
        <w:rPr>
          <w:i/>
        </w:rPr>
        <w:t xml:space="preserve">produce </w:t>
      </w:r>
      <w:r w:rsidR="008E53E3">
        <w:rPr>
          <w:iCs/>
        </w:rPr>
        <w:t>some components of the</w:t>
      </w:r>
      <w:r w:rsidR="008E53E3">
        <w:t xml:space="preserve"> service remotely (</w:t>
      </w:r>
      <w:r w:rsidR="00C72056">
        <w:t>i</w:t>
      </w:r>
      <w:r w:rsidR="00237718">
        <w:t xml:space="preserve">.e. </w:t>
      </w:r>
      <w:r w:rsidR="008E53E3">
        <w:t xml:space="preserve">can an industry outsource its internal production) and remote delivery represents an industry’s ability to </w:t>
      </w:r>
      <w:r w:rsidR="008E53E3">
        <w:rPr>
          <w:i/>
          <w:iCs/>
        </w:rPr>
        <w:t>deliver</w:t>
      </w:r>
      <w:r w:rsidR="008E53E3">
        <w:t xml:space="preserve"> the end-product remotely. Proxies for </w:t>
      </w:r>
      <w:r w:rsidR="009F1DF3">
        <w:t xml:space="preserve">lack of </w:t>
      </w:r>
      <w:r w:rsidR="008E53E3">
        <w:t>standardisation of output</w:t>
      </w:r>
      <w:r w:rsidR="009F1DF3">
        <w:t xml:space="preserve"> (a potential hinderance to growth, discussed above)</w:t>
      </w:r>
      <w:r w:rsidR="008E53E3">
        <w:t xml:space="preserve"> were not developed, mainly reflecting the difficulties in measuring standardisation (especially across industries). </w:t>
      </w:r>
      <w:r w:rsidR="00116420">
        <w:t xml:space="preserve">Table </w:t>
      </w:r>
      <w:r w:rsidR="00407168">
        <w:t>2</w:t>
      </w:r>
      <w:r w:rsidR="00116420">
        <w:t xml:space="preserve"> </w:t>
      </w:r>
      <w:r w:rsidR="00B253D3">
        <w:t>provides a</w:t>
      </w:r>
      <w:r w:rsidR="00116420">
        <w:t xml:space="preserve"> more technical</w:t>
      </w:r>
      <w:r w:rsidR="00B253D3">
        <w:t xml:space="preserve"> definition of each measure</w:t>
      </w:r>
      <w:r w:rsidR="002906D5">
        <w:t>.</w:t>
      </w:r>
    </w:p>
    <w:p w14:paraId="0B55CFF3" w14:textId="7546CB38" w:rsidR="006E278F" w:rsidRDefault="002E51A2" w:rsidP="002816EA">
      <w:pPr>
        <w:pStyle w:val="BodyText"/>
      </w:pPr>
      <w:r>
        <w:t xml:space="preserve">Figure </w:t>
      </w:r>
      <w:r w:rsidR="00C27ECA">
        <w:t>21</w:t>
      </w:r>
      <w:r>
        <w:t xml:space="preserve"> plots the indices of </w:t>
      </w:r>
      <w:r w:rsidR="001B171D">
        <w:t>these four variables</w:t>
      </w:r>
      <w:r>
        <w:t xml:space="preserve"> against </w:t>
      </w:r>
      <w:r w:rsidR="001B171D">
        <w:t xml:space="preserve">MFP </w:t>
      </w:r>
      <w:r>
        <w:t>growth</w:t>
      </w:r>
      <w:r w:rsidR="001B171D">
        <w:t xml:space="preserve"> for each industry</w:t>
      </w:r>
      <w:r>
        <w:t xml:space="preserve">. </w:t>
      </w:r>
      <w:r w:rsidR="000B7FF6">
        <w:t>T</w:t>
      </w:r>
      <w:r>
        <w:t xml:space="preserve">here appears to be a positive </w:t>
      </w:r>
      <w:r w:rsidR="001B171D">
        <w:t xml:space="preserve">correlation </w:t>
      </w:r>
      <w:r>
        <w:t xml:space="preserve">between </w:t>
      </w:r>
      <w:proofErr w:type="spellStart"/>
      <w:r>
        <w:t>offshorability</w:t>
      </w:r>
      <w:proofErr w:type="spellEnd"/>
      <w:r>
        <w:t xml:space="preserve"> and productivity growth, </w:t>
      </w:r>
      <w:r w:rsidR="003160AB">
        <w:t>and</w:t>
      </w:r>
      <w:r>
        <w:t xml:space="preserve"> remote delivery and productivity growth</w:t>
      </w:r>
      <w:r w:rsidR="000B7FF6">
        <w:t xml:space="preserve">, suggesting that </w:t>
      </w:r>
      <w:r w:rsidR="00EB5DBA">
        <w:t>in</w:t>
      </w:r>
      <w:r w:rsidR="003160AB">
        <w:noBreakHyphen/>
      </w:r>
      <w:r w:rsidR="00EB5DBA">
        <w:t xml:space="preserve">person delivery may be limiting service sector productivity growth. </w:t>
      </w:r>
      <w:r w:rsidR="00907FC1">
        <w:t>However, h</w:t>
      </w:r>
      <w:r w:rsidR="00EB5DBA">
        <w:t xml:space="preserve">uman capital and </w:t>
      </w:r>
      <w:r w:rsidR="001B171D">
        <w:t>R&amp;D</w:t>
      </w:r>
      <w:r w:rsidR="00EB5DBA">
        <w:t xml:space="preserve"> </w:t>
      </w:r>
      <w:r w:rsidR="004A3729">
        <w:t>do not</w:t>
      </w:r>
      <w:r w:rsidR="00EB5DBA">
        <w:t xml:space="preserve"> appear to </w:t>
      </w:r>
      <w:r w:rsidR="001B171D">
        <w:t>be correlated</w:t>
      </w:r>
      <w:r w:rsidR="004A3729">
        <w:t xml:space="preserve"> with productivity growth</w:t>
      </w:r>
      <w:r w:rsidR="001B171D">
        <w:t xml:space="preserve"> at an industry level</w:t>
      </w:r>
      <w:r w:rsidR="004A3729">
        <w:t xml:space="preserve">. </w:t>
      </w:r>
      <w:r w:rsidR="00780C2C">
        <w:t>It</w:t>
      </w:r>
      <w:r w:rsidR="009471DA">
        <w:t xml:space="preserve"> i</w:t>
      </w:r>
      <w:r w:rsidR="00780C2C">
        <w:t xml:space="preserve">s unclear if this is because these factors do not affect productivity or because </w:t>
      </w:r>
      <w:r w:rsidR="00F23BB1">
        <w:t xml:space="preserve">they </w:t>
      </w:r>
      <w:r w:rsidR="00380394">
        <w:t xml:space="preserve">are </w:t>
      </w:r>
      <w:r w:rsidR="00F23BB1">
        <w:t>correlate</w:t>
      </w:r>
      <w:r w:rsidR="00380394">
        <w:t>d</w:t>
      </w:r>
      <w:r w:rsidR="00F23BB1">
        <w:t xml:space="preserve"> with other unobservable characteristics (such as occupational regulation in the case of human capital) that </w:t>
      </w:r>
      <w:r w:rsidR="00216BB5">
        <w:t>might be</w:t>
      </w:r>
      <w:r w:rsidR="00F23BB1">
        <w:t xml:space="preserve"> associated with slower productivity growth.</w:t>
      </w:r>
    </w:p>
    <w:p w14:paraId="78AF7C86" w14:textId="3B8A805E" w:rsidR="00007C08" w:rsidRDefault="00007C08" w:rsidP="00D570F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C08" w14:paraId="69319C2F" w14:textId="77777777" w:rsidTr="00C10A79">
        <w:trPr>
          <w:tblHeader/>
        </w:trPr>
        <w:tc>
          <w:tcPr>
            <w:tcW w:w="5000" w:type="pct"/>
            <w:tcBorders>
              <w:top w:val="single" w:sz="6" w:space="0" w:color="78A22F"/>
              <w:left w:val="nil"/>
              <w:bottom w:val="nil"/>
              <w:right w:val="nil"/>
            </w:tcBorders>
            <w:shd w:val="clear" w:color="auto" w:fill="auto"/>
          </w:tcPr>
          <w:p w14:paraId="3484E428" w14:textId="357D74A4" w:rsidR="00007C08" w:rsidRPr="00784A05" w:rsidRDefault="00007C08" w:rsidP="00AA7D4A">
            <w:pPr>
              <w:pStyle w:val="TableTitle"/>
            </w:pPr>
            <w:r>
              <w:rPr>
                <w:b w:val="0"/>
              </w:rPr>
              <w:t xml:space="preserve">Table </w:t>
            </w:r>
            <w:r w:rsidR="005367D2">
              <w:rPr>
                <w:b w:val="0"/>
                <w:noProof/>
              </w:rPr>
              <w:t>2</w:t>
            </w:r>
            <w:r>
              <w:tab/>
              <w:t xml:space="preserve">Observable characteristics of service industries </w:t>
            </w:r>
          </w:p>
        </w:tc>
      </w:tr>
      <w:tr w:rsidR="00007C08" w14:paraId="2474E207" w14:textId="77777777" w:rsidTr="00C10A79">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1700"/>
              <w:gridCol w:w="5102"/>
              <w:gridCol w:w="1701"/>
            </w:tblGrid>
            <w:tr w:rsidR="00007C08" w14:paraId="09E6898F" w14:textId="77777777" w:rsidTr="00403C9B">
              <w:trPr>
                <w:tblHeader/>
              </w:trPr>
              <w:tc>
                <w:tcPr>
                  <w:tcW w:w="1000" w:type="pct"/>
                  <w:tcBorders>
                    <w:top w:val="single" w:sz="6" w:space="0" w:color="BFBFBF"/>
                    <w:bottom w:val="single" w:sz="6" w:space="0" w:color="BFBFBF"/>
                  </w:tcBorders>
                  <w:shd w:val="clear" w:color="auto" w:fill="auto"/>
                  <w:tcMar>
                    <w:top w:w="28" w:type="dxa"/>
                  </w:tcMar>
                </w:tcPr>
                <w:p w14:paraId="2F41A61F" w14:textId="77777777" w:rsidR="00007C08" w:rsidRDefault="00007C08" w:rsidP="00C10A79">
                  <w:pPr>
                    <w:pStyle w:val="TableColumnHeading"/>
                    <w:jc w:val="left"/>
                  </w:pPr>
                  <w:r>
                    <w:t>Category</w:t>
                  </w:r>
                </w:p>
              </w:tc>
              <w:tc>
                <w:tcPr>
                  <w:tcW w:w="3000" w:type="pct"/>
                  <w:tcBorders>
                    <w:top w:val="single" w:sz="6" w:space="0" w:color="BFBFBF"/>
                    <w:bottom w:val="single" w:sz="6" w:space="0" w:color="BFBFBF"/>
                  </w:tcBorders>
                  <w:shd w:val="clear" w:color="auto" w:fill="auto"/>
                  <w:tcMar>
                    <w:top w:w="28" w:type="dxa"/>
                  </w:tcMar>
                </w:tcPr>
                <w:p w14:paraId="048EAE16" w14:textId="77777777" w:rsidR="00007C08" w:rsidRDefault="00007C08" w:rsidP="004B67D4">
                  <w:pPr>
                    <w:pStyle w:val="TableColumnHeading"/>
                    <w:jc w:val="left"/>
                  </w:pPr>
                  <w:r>
                    <w:t>Method</w:t>
                  </w:r>
                </w:p>
              </w:tc>
              <w:tc>
                <w:tcPr>
                  <w:tcW w:w="1000" w:type="pct"/>
                  <w:tcBorders>
                    <w:top w:val="single" w:sz="6" w:space="0" w:color="BFBFBF"/>
                    <w:bottom w:val="single" w:sz="6" w:space="0" w:color="BFBFBF"/>
                  </w:tcBorders>
                  <w:shd w:val="clear" w:color="auto" w:fill="auto"/>
                  <w:tcMar>
                    <w:top w:w="28" w:type="dxa"/>
                  </w:tcMar>
                </w:tcPr>
                <w:p w14:paraId="70B925A8" w14:textId="77777777" w:rsidR="00007C08" w:rsidRDefault="00007C08" w:rsidP="004B67D4">
                  <w:pPr>
                    <w:pStyle w:val="TableColumnHeading"/>
                    <w:ind w:right="28"/>
                    <w:jc w:val="left"/>
                  </w:pPr>
                  <w:r>
                    <w:t>Literature</w:t>
                  </w:r>
                </w:p>
              </w:tc>
            </w:tr>
            <w:tr w:rsidR="00007C08" w14:paraId="62AF7FC8" w14:textId="77777777" w:rsidTr="00403C9B">
              <w:tc>
                <w:tcPr>
                  <w:tcW w:w="1000" w:type="pct"/>
                  <w:tcBorders>
                    <w:top w:val="single" w:sz="6" w:space="0" w:color="BFBFBF"/>
                  </w:tcBorders>
                </w:tcPr>
                <w:p w14:paraId="6C37D93C" w14:textId="77777777" w:rsidR="00007C08" w:rsidRDefault="00007C08" w:rsidP="00C10A79">
                  <w:pPr>
                    <w:pStyle w:val="TableUnitsRow"/>
                    <w:jc w:val="left"/>
                  </w:pPr>
                  <w:r>
                    <w:t xml:space="preserve">Human Capital </w:t>
                  </w:r>
                </w:p>
              </w:tc>
              <w:tc>
                <w:tcPr>
                  <w:tcW w:w="3000" w:type="pct"/>
                  <w:tcBorders>
                    <w:top w:val="single" w:sz="6" w:space="0" w:color="BFBFBF"/>
                  </w:tcBorders>
                </w:tcPr>
                <w:p w14:paraId="3595CC08" w14:textId="77777777" w:rsidR="00007C08" w:rsidRDefault="00007C08" w:rsidP="004B67D4">
                  <w:pPr>
                    <w:pStyle w:val="TableUnitsRow"/>
                    <w:jc w:val="left"/>
                  </w:pPr>
                  <w:r w:rsidRPr="001E42B8">
                    <w:rPr>
                      <w:szCs w:val="18"/>
                    </w:rPr>
                    <w:t>Share of tertiary educated</w:t>
                  </w:r>
                  <w:r>
                    <w:rPr>
                      <w:szCs w:val="18"/>
                    </w:rPr>
                    <w:t>/post-high school educated</w:t>
                  </w:r>
                  <w:r w:rsidRPr="001E42B8">
                    <w:rPr>
                      <w:szCs w:val="18"/>
                    </w:rPr>
                    <w:t xml:space="preserve"> workers in total employment.</w:t>
                  </w:r>
                </w:p>
              </w:tc>
              <w:tc>
                <w:tcPr>
                  <w:tcW w:w="1000" w:type="pct"/>
                  <w:tcBorders>
                    <w:top w:val="single" w:sz="6" w:space="0" w:color="BFBFBF"/>
                  </w:tcBorders>
                </w:tcPr>
                <w:p w14:paraId="4EC124D9" w14:textId="111F91DF" w:rsidR="00007C08" w:rsidRDefault="00BD099E" w:rsidP="004B67D4">
                  <w:pPr>
                    <w:pStyle w:val="TableUnitsRow"/>
                    <w:ind w:right="28"/>
                    <w:jc w:val="left"/>
                  </w:pPr>
                  <w:r w:rsidRPr="00BD099E">
                    <w:rPr>
                      <w:rFonts w:cs="Arial"/>
                      <w:szCs w:val="24"/>
                    </w:rPr>
                    <w:t>(</w:t>
                  </w:r>
                  <w:proofErr w:type="spellStart"/>
                  <w:r w:rsidRPr="00BD099E">
                    <w:rPr>
                      <w:rFonts w:cs="Arial"/>
                      <w:szCs w:val="24"/>
                    </w:rPr>
                    <w:t>Sorbe</w:t>
                  </w:r>
                  <w:proofErr w:type="spellEnd"/>
                  <w:r w:rsidRPr="00BD099E">
                    <w:rPr>
                      <w:rFonts w:cs="Arial"/>
                      <w:szCs w:val="24"/>
                    </w:rPr>
                    <w:t xml:space="preserve">, Gal and </w:t>
                  </w:r>
                  <w:proofErr w:type="spellStart"/>
                  <w:r w:rsidRPr="00BD099E">
                    <w:rPr>
                      <w:rFonts w:cs="Arial"/>
                      <w:szCs w:val="24"/>
                    </w:rPr>
                    <w:t>Millot</w:t>
                  </w:r>
                  <w:proofErr w:type="spellEnd"/>
                  <w:r w:rsidRPr="00BD099E">
                    <w:rPr>
                      <w:rFonts w:cs="Arial"/>
                      <w:szCs w:val="24"/>
                    </w:rPr>
                    <w:t> 2018)</w:t>
                  </w:r>
                </w:p>
              </w:tc>
            </w:tr>
            <w:tr w:rsidR="00007C08" w14:paraId="1C2771B3" w14:textId="77777777" w:rsidTr="00403C9B">
              <w:tc>
                <w:tcPr>
                  <w:tcW w:w="1000" w:type="pct"/>
                </w:tcPr>
                <w:p w14:paraId="01C60B87" w14:textId="1F77C9DB" w:rsidR="00007C08" w:rsidRDefault="009326FE" w:rsidP="00C10A79">
                  <w:pPr>
                    <w:pStyle w:val="TableBodyText"/>
                    <w:jc w:val="left"/>
                  </w:pPr>
                  <w:r>
                    <w:t>Research and development</w:t>
                  </w:r>
                </w:p>
              </w:tc>
              <w:tc>
                <w:tcPr>
                  <w:tcW w:w="3000" w:type="pct"/>
                </w:tcPr>
                <w:p w14:paraId="25B4F4CA" w14:textId="0B7ADE1C" w:rsidR="00007C08" w:rsidRDefault="00007C08" w:rsidP="004B67D4">
                  <w:pPr>
                    <w:pStyle w:val="TableBodyText"/>
                    <w:jc w:val="left"/>
                  </w:pPr>
                  <w:r w:rsidRPr="001E42B8">
                    <w:rPr>
                      <w:szCs w:val="18"/>
                    </w:rPr>
                    <w:t>Ratio of R&amp;D spend to total sales</w:t>
                  </w:r>
                </w:p>
              </w:tc>
              <w:tc>
                <w:tcPr>
                  <w:tcW w:w="1000" w:type="pct"/>
                </w:tcPr>
                <w:p w14:paraId="2A1FAC73" w14:textId="37E2F919" w:rsidR="00007C08" w:rsidRDefault="00007C08" w:rsidP="004B67D4">
                  <w:pPr>
                    <w:pStyle w:val="TableBodyText"/>
                    <w:ind w:right="28"/>
                    <w:jc w:val="left"/>
                  </w:pPr>
                  <w:r w:rsidRPr="00594DA1">
                    <w:rPr>
                      <w:rFonts w:cs="Tahoma"/>
                      <w:szCs w:val="24"/>
                    </w:rPr>
                    <w:t xml:space="preserve">(Keller and </w:t>
                  </w:r>
                  <w:proofErr w:type="spellStart"/>
                  <w:r w:rsidRPr="00594DA1">
                    <w:rPr>
                      <w:rFonts w:cs="Tahoma"/>
                      <w:szCs w:val="24"/>
                    </w:rPr>
                    <w:t>Yeaple</w:t>
                  </w:r>
                  <w:proofErr w:type="spellEnd"/>
                  <w:r w:rsidRPr="00594DA1">
                    <w:rPr>
                      <w:rFonts w:cs="Tahoma"/>
                      <w:szCs w:val="24"/>
                    </w:rPr>
                    <w:t> 2013)</w:t>
                  </w:r>
                </w:p>
              </w:tc>
            </w:tr>
            <w:tr w:rsidR="00007C08" w14:paraId="53525F7F" w14:textId="77777777" w:rsidTr="00403C9B">
              <w:tc>
                <w:tcPr>
                  <w:tcW w:w="1000" w:type="pct"/>
                  <w:shd w:val="clear" w:color="auto" w:fill="auto"/>
                </w:tcPr>
                <w:p w14:paraId="3041A32A" w14:textId="69B67B2D" w:rsidR="00007C08" w:rsidRDefault="000F3E68" w:rsidP="004B67D4">
                  <w:pPr>
                    <w:pStyle w:val="TableBodyText"/>
                    <w:spacing w:after="0"/>
                    <w:jc w:val="left"/>
                  </w:pPr>
                  <w:r>
                    <w:t>Remote delivery</w:t>
                  </w:r>
                </w:p>
              </w:tc>
              <w:tc>
                <w:tcPr>
                  <w:tcW w:w="3000" w:type="pct"/>
                  <w:shd w:val="clear" w:color="auto" w:fill="auto"/>
                </w:tcPr>
                <w:p w14:paraId="611D5281" w14:textId="0F74DBC3" w:rsidR="00007C08" w:rsidRDefault="00007C08" w:rsidP="004B67D4">
                  <w:pPr>
                    <w:pStyle w:val="TableBodyText"/>
                    <w:spacing w:after="0"/>
                    <w:jc w:val="left"/>
                  </w:pPr>
                  <w:r w:rsidRPr="005A21E4">
                    <w:rPr>
                      <w:szCs w:val="18"/>
                    </w:rPr>
                    <w:t xml:space="preserve">If any of the following </w:t>
                  </w:r>
                  <w:r>
                    <w:rPr>
                      <w:szCs w:val="18"/>
                    </w:rPr>
                    <w:t>questions</w:t>
                  </w:r>
                  <w:r w:rsidRPr="008E77FE">
                    <w:rPr>
                      <w:rStyle w:val="NoteLabel"/>
                    </w:rPr>
                    <w:t>a</w:t>
                  </w:r>
                  <w:r w:rsidRPr="005A21E4">
                    <w:rPr>
                      <w:szCs w:val="18"/>
                    </w:rPr>
                    <w:t xml:space="preserve"> in the Work Context survey responses </w:t>
                  </w:r>
                  <w:r>
                    <w:rPr>
                      <w:szCs w:val="18"/>
                    </w:rPr>
                    <w:t xml:space="preserve">(O*NET) </w:t>
                  </w:r>
                  <w:r w:rsidRPr="005A21E4">
                    <w:rPr>
                      <w:szCs w:val="18"/>
                    </w:rPr>
                    <w:t>are true for an occupation, we code that occupation as one tha</w:t>
                  </w:r>
                  <w:r>
                    <w:rPr>
                      <w:szCs w:val="18"/>
                    </w:rPr>
                    <w:t>t cannot be performed at home</w:t>
                  </w:r>
                  <w:r w:rsidR="00D20AA4">
                    <w:rPr>
                      <w:szCs w:val="18"/>
                    </w:rPr>
                    <w:t xml:space="preserve">. </w:t>
                  </w:r>
                  <w:r w:rsidR="002F21DA">
                    <w:rPr>
                      <w:szCs w:val="18"/>
                    </w:rPr>
                    <w:t xml:space="preserve">Then </w:t>
                  </w:r>
                  <w:r w:rsidR="000F3E68">
                    <w:rPr>
                      <w:szCs w:val="18"/>
                    </w:rPr>
                    <w:t>we take</w:t>
                  </w:r>
                  <w:r w:rsidR="002F21DA">
                    <w:rPr>
                      <w:szCs w:val="18"/>
                    </w:rPr>
                    <w:t xml:space="preserve"> prop</w:t>
                  </w:r>
                  <w:r w:rsidR="0040698D">
                    <w:rPr>
                      <w:szCs w:val="18"/>
                    </w:rPr>
                    <w:t>ortion of workers in</w:t>
                  </w:r>
                  <w:r w:rsidR="000F3E68">
                    <w:rPr>
                      <w:szCs w:val="18"/>
                    </w:rPr>
                    <w:t xml:space="preserve"> each industry that </w:t>
                  </w:r>
                  <w:r w:rsidR="00FF3C8A">
                    <w:rPr>
                      <w:szCs w:val="18"/>
                    </w:rPr>
                    <w:t xml:space="preserve">are in occupations </w:t>
                  </w:r>
                  <w:r w:rsidR="001E6068">
                    <w:rPr>
                      <w:szCs w:val="18"/>
                    </w:rPr>
                    <w:t xml:space="preserve">that </w:t>
                  </w:r>
                  <w:r w:rsidR="00FF3C8A">
                    <w:rPr>
                      <w:szCs w:val="18"/>
                    </w:rPr>
                    <w:t>can be performed from home</w:t>
                  </w:r>
                  <w:r w:rsidR="000F3E68" w:rsidDel="00FF3C8A">
                    <w:rPr>
                      <w:szCs w:val="18"/>
                    </w:rPr>
                    <w:t xml:space="preserve"> </w:t>
                  </w:r>
                  <w:r w:rsidR="000A5DD1">
                    <w:rPr>
                      <w:szCs w:val="18"/>
                    </w:rPr>
                    <w:t xml:space="preserve">as the </w:t>
                  </w:r>
                  <w:r w:rsidR="00FB316E">
                    <w:rPr>
                      <w:szCs w:val="18"/>
                    </w:rPr>
                    <w:t>degree an industry can deliver its services remotely.</w:t>
                  </w:r>
                </w:p>
              </w:tc>
              <w:tc>
                <w:tcPr>
                  <w:tcW w:w="1000" w:type="pct"/>
                  <w:shd w:val="clear" w:color="auto" w:fill="auto"/>
                </w:tcPr>
                <w:p w14:paraId="3CF30D4F" w14:textId="4D8A16E5" w:rsidR="00007C08" w:rsidRDefault="00007C08" w:rsidP="004B67D4">
                  <w:pPr>
                    <w:pStyle w:val="TableBodyText"/>
                    <w:spacing w:after="0"/>
                    <w:ind w:right="28"/>
                    <w:jc w:val="left"/>
                  </w:pPr>
                  <w:r w:rsidRPr="00594DA1">
                    <w:rPr>
                      <w:rFonts w:cs="Tahoma"/>
                      <w:szCs w:val="24"/>
                    </w:rPr>
                    <w:t>(</w:t>
                  </w:r>
                  <w:proofErr w:type="spellStart"/>
                  <w:r w:rsidRPr="00594DA1">
                    <w:rPr>
                      <w:rFonts w:cs="Tahoma"/>
                      <w:szCs w:val="24"/>
                    </w:rPr>
                    <w:t>Dingel</w:t>
                  </w:r>
                  <w:proofErr w:type="spellEnd"/>
                  <w:r w:rsidRPr="00594DA1">
                    <w:rPr>
                      <w:rFonts w:cs="Tahoma"/>
                      <w:szCs w:val="24"/>
                    </w:rPr>
                    <w:t xml:space="preserve"> and Neiman 2020)</w:t>
                  </w:r>
                </w:p>
              </w:tc>
            </w:tr>
            <w:tr w:rsidR="00007C08" w14:paraId="3D2242EB" w14:textId="77777777" w:rsidTr="00403C9B">
              <w:tc>
                <w:tcPr>
                  <w:tcW w:w="1000" w:type="pct"/>
                  <w:tcBorders>
                    <w:bottom w:val="single" w:sz="6" w:space="0" w:color="BFBFBF"/>
                  </w:tcBorders>
                  <w:shd w:val="clear" w:color="auto" w:fill="auto"/>
                </w:tcPr>
                <w:p w14:paraId="1A267623" w14:textId="77777777" w:rsidR="00007C08" w:rsidRDefault="00007C08" w:rsidP="004B67D4">
                  <w:pPr>
                    <w:pStyle w:val="TableBodyText"/>
                    <w:spacing w:before="40"/>
                    <w:jc w:val="left"/>
                  </w:pPr>
                  <w:proofErr w:type="spellStart"/>
                  <w:r>
                    <w:t>Offshorability</w:t>
                  </w:r>
                  <w:proofErr w:type="spellEnd"/>
                </w:p>
              </w:tc>
              <w:tc>
                <w:tcPr>
                  <w:tcW w:w="3000" w:type="pct"/>
                  <w:tcBorders>
                    <w:bottom w:val="single" w:sz="6" w:space="0" w:color="BFBFBF"/>
                  </w:tcBorders>
                  <w:shd w:val="clear" w:color="auto" w:fill="auto"/>
                </w:tcPr>
                <w:p w14:paraId="508EDEE0" w14:textId="7C90BA2F" w:rsidR="00007C08" w:rsidRDefault="005B408A" w:rsidP="004B67D4">
                  <w:pPr>
                    <w:pStyle w:val="TableBodyText"/>
                    <w:jc w:val="left"/>
                  </w:pPr>
                  <w:r w:rsidRPr="00DF5356">
                    <w:rPr>
                      <w:szCs w:val="18"/>
                    </w:rPr>
                    <w:t>O</w:t>
                  </w:r>
                  <w:r w:rsidRPr="004B67D4">
                    <w:rPr>
                      <w:spacing w:val="-2"/>
                      <w:szCs w:val="18"/>
                    </w:rPr>
                    <w:t>*NET scales</w:t>
                  </w:r>
                  <w:r w:rsidR="00A25474" w:rsidRPr="004B67D4">
                    <w:rPr>
                      <w:rStyle w:val="NoteLabel"/>
                      <w:spacing w:val="-2"/>
                    </w:rPr>
                    <w:t>b</w:t>
                  </w:r>
                  <w:r w:rsidRPr="004B67D4">
                    <w:rPr>
                      <w:spacing w:val="-2"/>
                      <w:szCs w:val="18"/>
                    </w:rPr>
                    <w:t xml:space="preserve"> are created using the following variables: </w:t>
                  </w:r>
                  <w:r w:rsidRPr="004B67D4">
                    <w:rPr>
                      <w:spacing w:val="-2"/>
                    </w:rPr>
                    <w:t>Face to face discussions, assisting and caring for others, performing for or working directly with the public, inspecting equipment, structures, or material, handling and moving objects, 0.5</w:t>
                  </w:r>
                  <w:r w:rsidR="00676A95" w:rsidRPr="004B67D4">
                    <w:rPr>
                      <w:spacing w:val="-2"/>
                    </w:rPr>
                    <w:t xml:space="preserve"> </w:t>
                  </w:r>
                  <w:r w:rsidRPr="004B67D4">
                    <w:rPr>
                      <w:spacing w:val="-2"/>
                    </w:rPr>
                    <w:t>* repairing and maintaining mechanical equipment, 0.5 * repairing and maintaining electronic equipment.</w:t>
                  </w:r>
                </w:p>
              </w:tc>
              <w:tc>
                <w:tcPr>
                  <w:tcW w:w="1000" w:type="pct"/>
                  <w:tcBorders>
                    <w:bottom w:val="single" w:sz="6" w:space="0" w:color="BFBFBF"/>
                  </w:tcBorders>
                  <w:shd w:val="clear" w:color="auto" w:fill="auto"/>
                </w:tcPr>
                <w:p w14:paraId="14092021" w14:textId="14C5A212" w:rsidR="00007C08" w:rsidRDefault="00007C08" w:rsidP="004B67D4">
                  <w:pPr>
                    <w:pStyle w:val="TableBodyText"/>
                    <w:spacing w:before="40"/>
                    <w:ind w:right="28"/>
                    <w:jc w:val="left"/>
                  </w:pPr>
                  <w:r w:rsidRPr="00594DA1">
                    <w:rPr>
                      <w:rFonts w:cs="Tahoma"/>
                      <w:szCs w:val="24"/>
                    </w:rPr>
                    <w:t>(Acemoglu and Autor 2010)</w:t>
                  </w:r>
                </w:p>
              </w:tc>
            </w:tr>
          </w:tbl>
          <w:p w14:paraId="666DFC4C" w14:textId="77777777" w:rsidR="00007C08" w:rsidRDefault="00007C08" w:rsidP="00C10A79">
            <w:pPr>
              <w:pStyle w:val="Box"/>
            </w:pPr>
          </w:p>
        </w:tc>
      </w:tr>
      <w:tr w:rsidR="00007C08" w14:paraId="04454B4F" w14:textId="77777777" w:rsidTr="007D4FB8">
        <w:tc>
          <w:tcPr>
            <w:tcW w:w="5000" w:type="pct"/>
            <w:tcBorders>
              <w:top w:val="nil"/>
              <w:left w:val="nil"/>
              <w:bottom w:val="nil"/>
              <w:right w:val="nil"/>
            </w:tcBorders>
            <w:shd w:val="clear" w:color="auto" w:fill="auto"/>
          </w:tcPr>
          <w:p w14:paraId="330FE808" w14:textId="7F6A803F" w:rsidR="00007C08" w:rsidRPr="004B67D4" w:rsidRDefault="00007C08" w:rsidP="00C10A79">
            <w:pPr>
              <w:pStyle w:val="Note"/>
              <w:rPr>
                <w:i/>
                <w:spacing w:val="-4"/>
              </w:rPr>
            </w:pPr>
            <w:r w:rsidRPr="004B67D4">
              <w:rPr>
                <w:rStyle w:val="NoteLabel"/>
                <w:spacing w:val="-4"/>
              </w:rPr>
              <w:t>a</w:t>
            </w:r>
            <w:r w:rsidRPr="004B67D4">
              <w:rPr>
                <w:spacing w:val="-4"/>
              </w:rPr>
              <w:t xml:space="preserve"> (Q4, 4A, 14, 16</w:t>
            </w:r>
            <w:r w:rsidR="00A25474" w:rsidRPr="004B67D4">
              <w:rPr>
                <w:spacing w:val="-4"/>
              </w:rPr>
              <w:t>A</w:t>
            </w:r>
            <w:r w:rsidRPr="004B67D4">
              <w:rPr>
                <w:spacing w:val="-4"/>
              </w:rPr>
              <w:t>, 17</w:t>
            </w:r>
            <w:r w:rsidR="00A25474" w:rsidRPr="004B67D4">
              <w:rPr>
                <w:spacing w:val="-4"/>
              </w:rPr>
              <w:t>A</w:t>
            </w:r>
            <w:r w:rsidRPr="004B67D4">
              <w:rPr>
                <w:spacing w:val="-4"/>
              </w:rPr>
              <w:t>, 18</w:t>
            </w:r>
            <w:r w:rsidR="00A25474" w:rsidRPr="004B67D4">
              <w:rPr>
                <w:spacing w:val="-4"/>
              </w:rPr>
              <w:t>A</w:t>
            </w:r>
            <w:r w:rsidRPr="004B67D4">
              <w:rPr>
                <w:spacing w:val="-4"/>
              </w:rPr>
              <w:t xml:space="preserve">, 29, </w:t>
            </w:r>
            <w:r w:rsidR="008D4254" w:rsidRPr="004B67D4">
              <w:rPr>
                <w:spacing w:val="-4"/>
              </w:rPr>
              <w:t>32A</w:t>
            </w:r>
            <w:r w:rsidRPr="004B67D4">
              <w:rPr>
                <w:spacing w:val="-4"/>
              </w:rPr>
              <w:t xml:space="preserve">, 33, 37, 43, 44, 18A, 20A, 22A, 23A). </w:t>
            </w:r>
            <w:r w:rsidRPr="004B67D4">
              <w:rPr>
                <w:rStyle w:val="NoteLabel"/>
                <w:spacing w:val="-4"/>
              </w:rPr>
              <w:t>b</w:t>
            </w:r>
            <w:r w:rsidR="00030DE0" w:rsidRPr="004B67D4" w:rsidDel="00560A12">
              <w:rPr>
                <w:spacing w:val="-4"/>
                <w:szCs w:val="18"/>
              </w:rPr>
              <w:t xml:space="preserve"> </w:t>
            </w:r>
            <w:r w:rsidR="00560A12" w:rsidRPr="004B67D4">
              <w:rPr>
                <w:spacing w:val="-4"/>
                <w:szCs w:val="18"/>
              </w:rPr>
              <w:t>Using</w:t>
            </w:r>
            <w:r w:rsidR="00030DE0" w:rsidRPr="004B67D4">
              <w:rPr>
                <w:spacing w:val="-4"/>
                <w:szCs w:val="18"/>
              </w:rPr>
              <w:t xml:space="preserve"> the O*NET-SOC we concord into ANZSIC occupations. Each</w:t>
            </w:r>
            <w:r w:rsidR="00030DE0" w:rsidRPr="004B67D4" w:rsidDel="00E9604E">
              <w:rPr>
                <w:spacing w:val="-4"/>
                <w:szCs w:val="18"/>
              </w:rPr>
              <w:t xml:space="preserve"> </w:t>
            </w:r>
            <w:r w:rsidR="00030DE0" w:rsidRPr="004B67D4">
              <w:rPr>
                <w:spacing w:val="-4"/>
                <w:szCs w:val="18"/>
              </w:rPr>
              <w:t xml:space="preserve">scale is standardized to have mean zero and standard deviation one, using labour supply weights from </w:t>
            </w:r>
            <w:r w:rsidR="00624509" w:rsidRPr="004B67D4">
              <w:rPr>
                <w:spacing w:val="-4"/>
                <w:szCs w:val="18"/>
              </w:rPr>
              <w:t>the 2016</w:t>
            </w:r>
            <w:r w:rsidR="00030DE0" w:rsidRPr="004B67D4">
              <w:rPr>
                <w:spacing w:val="-4"/>
                <w:szCs w:val="18"/>
              </w:rPr>
              <w:t xml:space="preserve"> census. The composite task measures are equal to the summation of their respective constituent scales, then standardized to mean zero and standard deviation one. The task measures are then collapsed to the industry level using ANZSIC concordance to give an industry index of </w:t>
            </w:r>
            <w:proofErr w:type="spellStart"/>
            <w:r w:rsidR="00030DE0" w:rsidRPr="004B67D4">
              <w:rPr>
                <w:spacing w:val="-4"/>
                <w:szCs w:val="18"/>
              </w:rPr>
              <w:t>offshorability</w:t>
            </w:r>
            <w:proofErr w:type="spellEnd"/>
            <w:r w:rsidR="00030DE0" w:rsidRPr="004B67D4">
              <w:rPr>
                <w:spacing w:val="-4"/>
                <w:szCs w:val="18"/>
              </w:rPr>
              <w:t>.</w:t>
            </w:r>
          </w:p>
        </w:tc>
      </w:tr>
      <w:tr w:rsidR="00007C08" w14:paraId="0EADFB9E" w14:textId="77777777" w:rsidTr="007D4FB8">
        <w:tc>
          <w:tcPr>
            <w:tcW w:w="5000" w:type="pct"/>
            <w:tcBorders>
              <w:top w:val="nil"/>
              <w:left w:val="nil"/>
              <w:bottom w:val="single" w:sz="6" w:space="0" w:color="78A22F" w:themeColor="accent1"/>
              <w:right w:val="nil"/>
            </w:tcBorders>
            <w:shd w:val="clear" w:color="auto" w:fill="auto"/>
          </w:tcPr>
          <w:p w14:paraId="7166C55A" w14:textId="77777777" w:rsidR="00007C08" w:rsidRPr="0069087A" w:rsidRDefault="00007C08" w:rsidP="007D4FB8">
            <w:pPr>
              <w:pStyle w:val="Source"/>
              <w:spacing w:after="80"/>
              <w:rPr>
                <w:szCs w:val="18"/>
              </w:rPr>
            </w:pPr>
            <w:r w:rsidRPr="0069087A">
              <w:rPr>
                <w:i/>
                <w:szCs w:val="18"/>
              </w:rPr>
              <w:t>Sources</w:t>
            </w:r>
            <w:r w:rsidRPr="0069087A">
              <w:rPr>
                <w:szCs w:val="18"/>
              </w:rPr>
              <w:t xml:space="preserve">: </w:t>
            </w:r>
            <w:r w:rsidRPr="0069087A">
              <w:rPr>
                <w:rFonts w:cs="Tahoma"/>
                <w:szCs w:val="18"/>
                <w:shd w:val="clear" w:color="auto" w:fill="FAF9F8"/>
              </w:rPr>
              <w:t xml:space="preserve">ABS Census 2016 for </w:t>
            </w:r>
            <w:r w:rsidRPr="007D4FB8">
              <w:rPr>
                <w:rFonts w:cs="Arial"/>
                <w:szCs w:val="18"/>
                <w:shd w:val="clear" w:color="auto" w:fill="FAF9F8"/>
              </w:rPr>
              <w:t>human capital; ABS (</w:t>
            </w:r>
            <w:r w:rsidRPr="007D4FB8">
              <w:rPr>
                <w:rFonts w:cs="Arial"/>
                <w:i/>
                <w:szCs w:val="18"/>
                <w:shd w:val="clear" w:color="auto" w:fill="FAF9F8"/>
              </w:rPr>
              <w:t>Research and Experimental Development, Businesses</w:t>
            </w:r>
            <w:r w:rsidRPr="007D4FB8">
              <w:rPr>
                <w:rFonts w:cs="Arial"/>
                <w:szCs w:val="18"/>
                <w:shd w:val="clear" w:color="auto" w:fill="FAF9F8"/>
              </w:rPr>
              <w:t>, 2017-18, Cat. No. 8104.0, table 2) for R&amp;D; ABS (</w:t>
            </w:r>
            <w:r w:rsidRPr="007D4FB8">
              <w:rPr>
                <w:rFonts w:cs="Arial"/>
                <w:i/>
                <w:szCs w:val="18"/>
                <w:shd w:val="clear" w:color="auto" w:fill="FAF9F8"/>
              </w:rPr>
              <w:t>Australian Industry</w:t>
            </w:r>
            <w:r w:rsidRPr="007D4FB8">
              <w:rPr>
                <w:rFonts w:cs="Arial"/>
                <w:szCs w:val="18"/>
                <w:shd w:val="clear" w:color="auto" w:fill="FAF9F8"/>
              </w:rPr>
              <w:t xml:space="preserve">, 2018-19, Cat. No. 8155.0, table 1) for total sales; Productivity Commission estimates for </w:t>
            </w:r>
            <w:proofErr w:type="spellStart"/>
            <w:r w:rsidRPr="007D4FB8">
              <w:rPr>
                <w:rFonts w:cs="Arial"/>
                <w:szCs w:val="18"/>
                <w:shd w:val="clear" w:color="auto" w:fill="FAF9F8"/>
              </w:rPr>
              <w:t>offshorability</w:t>
            </w:r>
            <w:proofErr w:type="spellEnd"/>
            <w:r w:rsidRPr="007D4FB8">
              <w:rPr>
                <w:rFonts w:cs="Arial"/>
                <w:szCs w:val="18"/>
                <w:shd w:val="clear" w:color="auto" w:fill="FAF9F8"/>
              </w:rPr>
              <w:t xml:space="preserve"> and localisation derived from the US Bureau of Labour (converted into Australian equivalents using Department of Education, Skills and Employment, joboutlook.gov.au, ANZSCO to O*NET concordance).</w:t>
            </w:r>
          </w:p>
        </w:tc>
      </w:tr>
    </w:tbl>
    <w:p w14:paraId="2B9865EC" w14:textId="450E9285" w:rsidR="00007C08" w:rsidRDefault="00007C08" w:rsidP="00007C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C08" w14:paraId="188F48F8" w14:textId="77777777" w:rsidTr="36E5E979">
        <w:trPr>
          <w:tblHeader/>
        </w:trPr>
        <w:tc>
          <w:tcPr>
            <w:tcW w:w="5000" w:type="pct"/>
            <w:tcBorders>
              <w:top w:val="single" w:sz="6" w:space="0" w:color="78A22F" w:themeColor="accent1"/>
              <w:left w:val="nil"/>
              <w:bottom w:val="nil"/>
              <w:right w:val="nil"/>
            </w:tcBorders>
            <w:shd w:val="clear" w:color="auto" w:fill="auto"/>
          </w:tcPr>
          <w:p w14:paraId="108AD180" w14:textId="56598DB8" w:rsidR="00007C08" w:rsidRDefault="00007C08" w:rsidP="00C10A79">
            <w:pPr>
              <w:pStyle w:val="FigureTitle"/>
            </w:pPr>
            <w:r w:rsidRPr="00784A05">
              <w:rPr>
                <w:b w:val="0"/>
              </w:rPr>
              <w:t xml:space="preserve">Figure </w:t>
            </w:r>
            <w:r w:rsidR="000A2F9A">
              <w:rPr>
                <w:b w:val="0"/>
                <w:noProof/>
              </w:rPr>
              <w:t>21</w:t>
            </w:r>
            <w:r>
              <w:tab/>
            </w:r>
            <w:r w:rsidR="00931594">
              <w:t>Remote delivery</w:t>
            </w:r>
            <w:r>
              <w:t xml:space="preserve"> and higher </w:t>
            </w:r>
            <w:proofErr w:type="spellStart"/>
            <w:r>
              <w:t>offshorability</w:t>
            </w:r>
            <w:proofErr w:type="spellEnd"/>
            <w:r>
              <w:t xml:space="preserve"> are correlated with higher MFP growth</w:t>
            </w:r>
          </w:p>
          <w:p w14:paraId="3893C8E8" w14:textId="0262C225" w:rsidR="00007C08" w:rsidRPr="00176D3F" w:rsidRDefault="00007C08" w:rsidP="00C10A79">
            <w:pPr>
              <w:pStyle w:val="Subtitle"/>
            </w:pPr>
            <w:r>
              <w:t>Indices of human capital</w:t>
            </w:r>
            <w:r w:rsidRPr="0069087A">
              <w:rPr>
                <w:rStyle w:val="NoteLabel"/>
              </w:rPr>
              <w:t>a</w:t>
            </w:r>
            <w:r>
              <w:t xml:space="preserve">, </w:t>
            </w:r>
            <w:r w:rsidR="00071700">
              <w:t>research and development</w:t>
            </w:r>
            <w:r>
              <w:rPr>
                <w:rStyle w:val="NoteLabel"/>
              </w:rPr>
              <w:t>b</w:t>
            </w:r>
            <w:r>
              <w:t xml:space="preserve">, </w:t>
            </w:r>
            <w:proofErr w:type="spellStart"/>
            <w:r>
              <w:t>offshorability</w:t>
            </w:r>
            <w:proofErr w:type="spellEnd"/>
            <w:r>
              <w:rPr>
                <w:rStyle w:val="NoteLabel"/>
              </w:rPr>
              <w:t>c</w:t>
            </w:r>
            <w:r>
              <w:t xml:space="preserve"> and </w:t>
            </w:r>
            <w:r w:rsidR="007521C5">
              <w:t>remote delivery</w:t>
            </w:r>
            <w:r>
              <w:rPr>
                <w:rStyle w:val="NoteLabel"/>
              </w:rPr>
              <w:t>d</w:t>
            </w:r>
            <w:r>
              <w:t xml:space="preserve"> (described in table </w:t>
            </w:r>
            <w:r w:rsidR="00806814">
              <w:t>2</w:t>
            </w:r>
            <w:r>
              <w:t xml:space="preserve">) </w:t>
            </w:r>
          </w:p>
        </w:tc>
      </w:tr>
      <w:tr w:rsidR="00007C08" w14:paraId="2FAC360F" w14:textId="77777777" w:rsidTr="36E5E979">
        <w:tc>
          <w:tcPr>
            <w:tcW w:w="5000" w:type="pct"/>
            <w:tcBorders>
              <w:top w:val="nil"/>
              <w:left w:val="nil"/>
              <w:bottom w:val="nil"/>
              <w:right w:val="nil"/>
            </w:tcBorders>
            <w:shd w:val="clear" w:color="auto" w:fill="auto"/>
            <w:tcMar>
              <w:top w:w="28" w:type="dxa"/>
              <w:bottom w:w="28" w:type="dxa"/>
            </w:tcMar>
          </w:tcPr>
          <w:p w14:paraId="4BEF2005" w14:textId="30E13419" w:rsidR="00007C08" w:rsidRDefault="00DA8F42" w:rsidP="00C10A79">
            <w:pPr>
              <w:pStyle w:val="Figure"/>
            </w:pPr>
            <w:r>
              <w:rPr>
                <w:noProof/>
              </w:rPr>
              <w:drawing>
                <wp:inline distT="0" distB="0" distL="0" distR="0" wp14:anchorId="6B27A3CE" wp14:editId="726675DC">
                  <wp:extent cx="5399998" cy="5399998"/>
                  <wp:effectExtent l="0" t="0" r="0" b="0"/>
                  <wp:docPr id="1" name="Graphic 1" descr="This figure shows four scatterplots of average MFP growth between 2008 and 2018 against measures of human capital, innovation, offshorability and remote delivery where each point represents an industry. Of the graphs, offshorablity and remote delivery show some positive correlation with MFP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50">
                            <a:extLst>
                              <a:ext uri="{96DAC541-7B7A-43D3-8B79-37D633B846F1}">
                                <asvg:svgBlip xmlns:asvg="http://schemas.microsoft.com/office/drawing/2016/SVG/main" r:embed="rId51"/>
                              </a:ext>
                            </a:extLst>
                          </a:blip>
                          <a:stretch>
                            <a:fillRect/>
                          </a:stretch>
                        </pic:blipFill>
                        <pic:spPr>
                          <a:xfrm>
                            <a:off x="0" y="0"/>
                            <a:ext cx="5399998" cy="5399998"/>
                          </a:xfrm>
                          <a:prstGeom prst="rect">
                            <a:avLst/>
                          </a:prstGeom>
                        </pic:spPr>
                      </pic:pic>
                    </a:graphicData>
                  </a:graphic>
                </wp:inline>
              </w:drawing>
            </w:r>
          </w:p>
        </w:tc>
      </w:tr>
      <w:tr w:rsidR="00007C08" w:rsidRPr="00176D3F" w14:paraId="09C2FF08" w14:textId="77777777" w:rsidTr="36E5E979">
        <w:tc>
          <w:tcPr>
            <w:tcW w:w="5000" w:type="pct"/>
            <w:tcBorders>
              <w:top w:val="nil"/>
              <w:left w:val="nil"/>
              <w:bottom w:val="nil"/>
              <w:right w:val="nil"/>
            </w:tcBorders>
            <w:shd w:val="clear" w:color="auto" w:fill="auto"/>
          </w:tcPr>
          <w:p w14:paraId="7CA2B9E8" w14:textId="05AD9E1E" w:rsidR="00007C08" w:rsidRPr="00176D3F" w:rsidRDefault="00007C08" w:rsidP="00C10A79">
            <w:pPr>
              <w:pStyle w:val="Note"/>
            </w:pPr>
            <w:r w:rsidRPr="0069087A">
              <w:rPr>
                <w:rStyle w:val="NoteLabel"/>
              </w:rPr>
              <w:t>a</w:t>
            </w:r>
            <w:r w:rsidR="00777FF0">
              <w:rPr>
                <w:rStyle w:val="NoteLabel"/>
              </w:rPr>
              <w:t xml:space="preserve"> </w:t>
            </w:r>
            <w:r w:rsidR="00777FF0">
              <w:t>S</w:t>
            </w:r>
            <w:r>
              <w:t>hare of higher educated workers</w:t>
            </w:r>
            <w:r w:rsidR="00777FF0">
              <w:t>.</w:t>
            </w:r>
            <w:r>
              <w:t xml:space="preserve"> </w:t>
            </w:r>
            <w:r w:rsidRPr="0069087A">
              <w:rPr>
                <w:rStyle w:val="NoteLabel"/>
              </w:rPr>
              <w:t>b</w:t>
            </w:r>
            <w:r w:rsidR="00777FF0">
              <w:rPr>
                <w:rStyle w:val="NoteLabel"/>
              </w:rPr>
              <w:t xml:space="preserve"> </w:t>
            </w:r>
            <w:r w:rsidR="00777FF0">
              <w:t>R</w:t>
            </w:r>
            <w:r>
              <w:t>esearch and development to sales ratio</w:t>
            </w:r>
            <w:r w:rsidR="00777FF0">
              <w:t>.</w:t>
            </w:r>
            <w:r>
              <w:t xml:space="preserve"> </w:t>
            </w:r>
            <w:r>
              <w:rPr>
                <w:rStyle w:val="NoteLabel"/>
              </w:rPr>
              <w:t>c</w:t>
            </w:r>
            <w:r w:rsidR="00777FF0">
              <w:rPr>
                <w:rStyle w:val="NoteLabel"/>
              </w:rPr>
              <w:t xml:space="preserve"> </w:t>
            </w:r>
            <w:r>
              <w:t>Commission estimates using O*NET</w:t>
            </w:r>
            <w:r w:rsidR="00777FF0">
              <w:t>.</w:t>
            </w:r>
            <w:r>
              <w:t xml:space="preserve"> </w:t>
            </w:r>
            <w:r w:rsidR="009F7E5D">
              <w:rPr>
                <w:rStyle w:val="NoteLabel"/>
              </w:rPr>
              <w:t>d</w:t>
            </w:r>
            <w:r w:rsidR="00777FF0">
              <w:rPr>
                <w:rStyle w:val="NoteLabel"/>
              </w:rPr>
              <w:t xml:space="preserve"> </w:t>
            </w:r>
            <w:r w:rsidR="009F7E5D">
              <w:t>Commission</w:t>
            </w:r>
            <w:r>
              <w:t xml:space="preserve"> estimates using O*NET</w:t>
            </w:r>
            <w:r w:rsidR="00777FF0">
              <w:t>.</w:t>
            </w:r>
          </w:p>
        </w:tc>
      </w:tr>
      <w:tr w:rsidR="00007C08" w:rsidRPr="00176D3F" w14:paraId="61FC7703" w14:textId="77777777" w:rsidTr="36E5E979">
        <w:tc>
          <w:tcPr>
            <w:tcW w:w="5000" w:type="pct"/>
            <w:tcBorders>
              <w:top w:val="nil"/>
              <w:left w:val="nil"/>
              <w:bottom w:val="nil"/>
              <w:right w:val="nil"/>
            </w:tcBorders>
            <w:shd w:val="clear" w:color="auto" w:fill="auto"/>
          </w:tcPr>
          <w:p w14:paraId="18BE923A" w14:textId="3A4E354C" w:rsidR="00007C08" w:rsidRPr="00176D3F" w:rsidRDefault="00007C08" w:rsidP="00C10A79">
            <w:pPr>
              <w:pStyle w:val="Source"/>
            </w:pPr>
            <w:r>
              <w:rPr>
                <w:i/>
              </w:rPr>
              <w:t>S</w:t>
            </w:r>
            <w:r w:rsidRPr="00784A05">
              <w:rPr>
                <w:i/>
              </w:rPr>
              <w:t>ource</w:t>
            </w:r>
            <w:r>
              <w:rPr>
                <w:i/>
              </w:rPr>
              <w:t>s</w:t>
            </w:r>
            <w:r w:rsidRPr="00176D3F">
              <w:t xml:space="preserve">: </w:t>
            </w:r>
            <w:r w:rsidRPr="0069087A">
              <w:rPr>
                <w:rFonts w:cs="Tahoma"/>
                <w:szCs w:val="18"/>
                <w:shd w:val="clear" w:color="auto" w:fill="FAF9F8"/>
              </w:rPr>
              <w:t>ABS Census 2016 for human capital; ABS (</w:t>
            </w:r>
            <w:r w:rsidRPr="0069087A">
              <w:rPr>
                <w:rFonts w:cs="Tahoma"/>
                <w:i/>
                <w:szCs w:val="18"/>
                <w:shd w:val="clear" w:color="auto" w:fill="FAF9F8"/>
              </w:rPr>
              <w:t>Research and Experimental Development, Businesses</w:t>
            </w:r>
            <w:r w:rsidRPr="0069087A">
              <w:rPr>
                <w:rFonts w:cs="Tahoma"/>
                <w:szCs w:val="18"/>
                <w:shd w:val="clear" w:color="auto" w:fill="FAF9F8"/>
              </w:rPr>
              <w:t>, 2017-18, Cat. No. 8104.0, table 2) for R&amp;D; ABS (</w:t>
            </w:r>
            <w:r w:rsidRPr="0069087A">
              <w:rPr>
                <w:rFonts w:cs="Tahoma"/>
                <w:i/>
                <w:szCs w:val="18"/>
                <w:shd w:val="clear" w:color="auto" w:fill="FAF9F8"/>
              </w:rPr>
              <w:t>Australian Industry</w:t>
            </w:r>
            <w:r w:rsidRPr="0069087A">
              <w:rPr>
                <w:rFonts w:cs="Tahoma"/>
                <w:szCs w:val="18"/>
                <w:shd w:val="clear" w:color="auto" w:fill="FAF9F8"/>
              </w:rPr>
              <w:t xml:space="preserve">, 2018-19, Cat. No. 8155.0, table 1) for total sales; Productivity Commission estimates for </w:t>
            </w:r>
            <w:proofErr w:type="spellStart"/>
            <w:r w:rsidRPr="0069087A">
              <w:rPr>
                <w:rFonts w:cs="Tahoma"/>
                <w:szCs w:val="18"/>
                <w:shd w:val="clear" w:color="auto" w:fill="FAF9F8"/>
              </w:rPr>
              <w:t>offshorability</w:t>
            </w:r>
            <w:proofErr w:type="spellEnd"/>
            <w:r w:rsidRPr="0069087A">
              <w:rPr>
                <w:rFonts w:cs="Tahoma"/>
                <w:szCs w:val="18"/>
                <w:shd w:val="clear" w:color="auto" w:fill="FAF9F8"/>
              </w:rPr>
              <w:t xml:space="preserve"> and </w:t>
            </w:r>
            <w:r>
              <w:rPr>
                <w:rFonts w:cs="Tahoma"/>
                <w:szCs w:val="18"/>
                <w:shd w:val="clear" w:color="auto" w:fill="FAF9F8"/>
              </w:rPr>
              <w:t>localisation</w:t>
            </w:r>
            <w:r w:rsidRPr="0069087A">
              <w:rPr>
                <w:rFonts w:cs="Tahoma"/>
                <w:szCs w:val="18"/>
                <w:shd w:val="clear" w:color="auto" w:fill="FAF9F8"/>
              </w:rPr>
              <w:t xml:space="preserve"> derived from </w:t>
            </w:r>
            <w:r w:rsidRPr="0069087A" w:rsidDel="00A93218">
              <w:rPr>
                <w:rFonts w:cs="Tahoma"/>
                <w:szCs w:val="18"/>
                <w:shd w:val="clear" w:color="auto" w:fill="FAF9F8"/>
              </w:rPr>
              <w:t xml:space="preserve">the </w:t>
            </w:r>
            <w:r w:rsidR="00010B40" w:rsidRPr="0069087A">
              <w:rPr>
                <w:rFonts w:cs="Tahoma"/>
                <w:szCs w:val="18"/>
                <w:shd w:val="clear" w:color="auto" w:fill="FAF9F8"/>
              </w:rPr>
              <w:t>US Bureau</w:t>
            </w:r>
            <w:r w:rsidRPr="0069087A">
              <w:rPr>
                <w:rFonts w:cs="Tahoma"/>
                <w:szCs w:val="18"/>
                <w:shd w:val="clear" w:color="auto" w:fill="FAF9F8"/>
              </w:rPr>
              <w:t xml:space="preserve">  of  Labour  (converted  into Australian equivalents using Department of Education, Skills and Employment, joboutlook.gov.au, ANZSCO to O*NET concordance).</w:t>
            </w:r>
          </w:p>
        </w:tc>
      </w:tr>
      <w:tr w:rsidR="00007C08" w14:paraId="062D7272" w14:textId="77777777" w:rsidTr="36E5E979">
        <w:tc>
          <w:tcPr>
            <w:tcW w:w="5000" w:type="pct"/>
            <w:tcBorders>
              <w:top w:val="nil"/>
              <w:left w:val="nil"/>
              <w:bottom w:val="single" w:sz="6" w:space="0" w:color="78A22F" w:themeColor="accent1"/>
              <w:right w:val="nil"/>
            </w:tcBorders>
            <w:shd w:val="clear" w:color="auto" w:fill="auto"/>
          </w:tcPr>
          <w:p w14:paraId="2D6E93EB" w14:textId="77777777" w:rsidR="00007C08" w:rsidRDefault="00007C08" w:rsidP="00C10A79">
            <w:pPr>
              <w:pStyle w:val="Figurespace"/>
            </w:pPr>
          </w:p>
        </w:tc>
      </w:tr>
      <w:tr w:rsidR="00007C08" w:rsidRPr="000863A5" w14:paraId="5463F3B1" w14:textId="77777777" w:rsidTr="36E5E979">
        <w:tc>
          <w:tcPr>
            <w:tcW w:w="5000" w:type="pct"/>
            <w:tcBorders>
              <w:top w:val="single" w:sz="6" w:space="0" w:color="78A22F" w:themeColor="accent1"/>
              <w:left w:val="nil"/>
              <w:bottom w:val="nil"/>
              <w:right w:val="nil"/>
            </w:tcBorders>
          </w:tcPr>
          <w:p w14:paraId="188C2B40" w14:textId="5B17DE11" w:rsidR="00007C08" w:rsidRPr="00626D32" w:rsidRDefault="00007C08" w:rsidP="00C10A79">
            <w:pPr>
              <w:pStyle w:val="BoxSpaceBelow"/>
            </w:pPr>
          </w:p>
        </w:tc>
      </w:tr>
    </w:tbl>
    <w:p w14:paraId="3D8BEC0C" w14:textId="766F91F0" w:rsidR="00007C08" w:rsidRDefault="00355DE1" w:rsidP="00007C08">
      <w:pPr>
        <w:pStyle w:val="Heading2"/>
      </w:pPr>
      <w:bookmarkStart w:id="12" w:name="_Toc67912998"/>
      <w:r>
        <w:lastRenderedPageBreak/>
        <w:t>5</w:t>
      </w:r>
      <w:r w:rsidR="00300097">
        <w:tab/>
      </w:r>
      <w:r w:rsidR="007E36EB">
        <w:t>Improving service sector productivity</w:t>
      </w:r>
      <w:r w:rsidR="00D8320F">
        <w:t xml:space="preserve"> through digitisation</w:t>
      </w:r>
      <w:bookmarkEnd w:id="12"/>
    </w:p>
    <w:p w14:paraId="2235418F" w14:textId="167967B2" w:rsidR="00007C08" w:rsidRPr="008416B7" w:rsidRDefault="00561E9B" w:rsidP="003F4A9A">
      <w:pPr>
        <w:pStyle w:val="Heading3"/>
        <w:spacing w:before="280"/>
      </w:pPr>
      <w:r>
        <w:t>Technology can mitigate some of the characteristics that limit service sector growth</w:t>
      </w:r>
    </w:p>
    <w:p w14:paraId="7020D1C1" w14:textId="3548224A" w:rsidR="00007C08" w:rsidRDefault="00056BD3" w:rsidP="00007C08">
      <w:pPr>
        <w:pStyle w:val="BodyText"/>
      </w:pPr>
      <w:r>
        <w:t xml:space="preserve">As discussed above, the characteristics of </w:t>
      </w:r>
      <w:r w:rsidR="00294642">
        <w:t xml:space="preserve">some </w:t>
      </w:r>
      <w:r>
        <w:t xml:space="preserve">services may explain why </w:t>
      </w:r>
      <w:r w:rsidR="007228F0">
        <w:t>certain</w:t>
      </w:r>
      <w:r>
        <w:t xml:space="preserve"> </w:t>
      </w:r>
      <w:r w:rsidR="00A95DA0">
        <w:t>subsectors</w:t>
      </w:r>
      <w:r>
        <w:t xml:space="preserve"> (such as personal services, and food and accommodation) have had persistently slow productivity growth. In particular, it was noted that these services tend to be less standardised and many of them require in</w:t>
      </w:r>
      <w:r>
        <w:noBreakHyphen/>
        <w:t xml:space="preserve">person delivery. But </w:t>
      </w:r>
      <w:r w:rsidR="0054345B">
        <w:t>recent</w:t>
      </w:r>
      <w:r>
        <w:t xml:space="preserve"> technological advancements </w:t>
      </w:r>
      <w:r w:rsidR="0054345B">
        <w:t xml:space="preserve">have the potential </w:t>
      </w:r>
      <w:r>
        <w:t xml:space="preserve">to change these characteristics, allowing these service sector industries to realise the productivity benefits of remote delivery and more standardised output. </w:t>
      </w:r>
      <w:r w:rsidR="00007C08">
        <w:t>Some examples of promising recent technological advances include:</w:t>
      </w:r>
    </w:p>
    <w:p w14:paraId="361BCBE8" w14:textId="700179FD" w:rsidR="00007C08" w:rsidRDefault="00322C20" w:rsidP="00007C08">
      <w:pPr>
        <w:pStyle w:val="ListBullet"/>
      </w:pPr>
      <w:r>
        <w:t xml:space="preserve">digital </w:t>
      </w:r>
      <w:r w:rsidR="00B1024A">
        <w:t>delivery</w:t>
      </w:r>
      <w:r>
        <w:t xml:space="preserve"> </w:t>
      </w:r>
      <w:r w:rsidR="00D72F9D">
        <w:t xml:space="preserve">allowing </w:t>
      </w:r>
      <w:r w:rsidR="00007C08">
        <w:t>services</w:t>
      </w:r>
      <w:r w:rsidR="0015583D">
        <w:t xml:space="preserve"> </w:t>
      </w:r>
      <w:r w:rsidR="00D72F9D">
        <w:t xml:space="preserve">to be </w:t>
      </w:r>
      <w:r w:rsidR="00B545E3">
        <w:t xml:space="preserve">more easily </w:t>
      </w:r>
      <w:r w:rsidR="00B1024A">
        <w:t>provided</w:t>
      </w:r>
      <w:r w:rsidR="00D72F9D">
        <w:t xml:space="preserve"> remotely</w:t>
      </w:r>
    </w:p>
    <w:p w14:paraId="636A413F" w14:textId="170FEDB8" w:rsidR="00007C08" w:rsidRDefault="00B1024A" w:rsidP="00007C08">
      <w:pPr>
        <w:pStyle w:val="ListBullet"/>
      </w:pPr>
      <w:r>
        <w:t>digital platforms</w:t>
      </w:r>
      <w:r w:rsidR="00007C08">
        <w:t xml:space="preserve"> </w:t>
      </w:r>
      <w:r w:rsidR="003B41DC">
        <w:t>that</w:t>
      </w:r>
      <w:r w:rsidR="00007C08">
        <w:t xml:space="preserve"> </w:t>
      </w:r>
      <w:r w:rsidR="003B41DC">
        <w:t xml:space="preserve">reduce </w:t>
      </w:r>
      <w:r w:rsidR="00AE3B9A">
        <w:t xml:space="preserve">the </w:t>
      </w:r>
      <w:r>
        <w:t>search costs and information asymmetries</w:t>
      </w:r>
      <w:r w:rsidR="00AE3B9A">
        <w:t xml:space="preserve"> that </w:t>
      </w:r>
      <w:r w:rsidR="00AD1CCE">
        <w:t xml:space="preserve">often </w:t>
      </w:r>
      <w:r w:rsidR="00AE3B9A">
        <w:t>are associated with less standardised output</w:t>
      </w:r>
      <w:r w:rsidR="00150391">
        <w:t>, allowing more efficient firms to grow</w:t>
      </w:r>
      <w:r>
        <w:t xml:space="preserve">. </w:t>
      </w:r>
    </w:p>
    <w:p w14:paraId="79172432" w14:textId="44A32626" w:rsidR="007E692D" w:rsidRDefault="00182EEF" w:rsidP="00EC6ACB">
      <w:pPr>
        <w:pStyle w:val="ListBullet"/>
        <w:numPr>
          <w:ilvl w:val="0"/>
          <w:numId w:val="0"/>
        </w:numPr>
      </w:pPr>
      <w:r>
        <w:t>T</w:t>
      </w:r>
      <w:r w:rsidR="00A65FC3">
        <w:t>he analysis in Figure 21</w:t>
      </w:r>
      <w:r>
        <w:t xml:space="preserve"> suggests that</w:t>
      </w:r>
      <w:r w:rsidR="00A65FC3">
        <w:t xml:space="preserve"> </w:t>
      </w:r>
      <w:r w:rsidR="00037B24">
        <w:t xml:space="preserve">allowing for remote delivery and allowing for greater competition </w:t>
      </w:r>
      <w:r w:rsidR="00917483">
        <w:t>and</w:t>
      </w:r>
      <w:r w:rsidR="00037B24">
        <w:t xml:space="preserve"> </w:t>
      </w:r>
      <w:r w:rsidR="00917483">
        <w:t>larger</w:t>
      </w:r>
      <w:r w:rsidR="00037B24">
        <w:t xml:space="preserve"> scale </w:t>
      </w:r>
      <w:r w:rsidR="00150391">
        <w:t>(</w:t>
      </w:r>
      <w:r w:rsidR="00593FE6">
        <w:t>as proxied by</w:t>
      </w:r>
      <w:r w:rsidR="00150391">
        <w:t xml:space="preserve"> </w:t>
      </w:r>
      <w:proofErr w:type="spellStart"/>
      <w:r w:rsidR="00150391">
        <w:t>offshorability</w:t>
      </w:r>
      <w:proofErr w:type="spellEnd"/>
      <w:r w:rsidR="00150391">
        <w:t>)</w:t>
      </w:r>
      <w:r w:rsidR="00A65FC3">
        <w:t xml:space="preserve"> ha</w:t>
      </w:r>
      <w:r>
        <w:t>s</w:t>
      </w:r>
      <w:r w:rsidR="00A65FC3">
        <w:t xml:space="preserve"> the potential </w:t>
      </w:r>
      <w:r w:rsidR="00150391">
        <w:t xml:space="preserve">to </w:t>
      </w:r>
      <w:r w:rsidR="00593FE6">
        <w:t>significantly improve productivity.</w:t>
      </w:r>
    </w:p>
    <w:p w14:paraId="1FBE4165" w14:textId="6BCA00CA" w:rsidR="005416C4" w:rsidRDefault="00593BBE" w:rsidP="002816EA">
      <w:pPr>
        <w:pStyle w:val="Heading3"/>
      </w:pPr>
      <w:r>
        <w:t>Technology is allowing services to be delivered remotely</w:t>
      </w:r>
    </w:p>
    <w:p w14:paraId="66F61F66" w14:textId="545B4EE6" w:rsidR="00007C08" w:rsidRDefault="003B41DC" w:rsidP="00007C08">
      <w:pPr>
        <w:pStyle w:val="BodyText"/>
      </w:pPr>
      <w:r>
        <w:t>D</w:t>
      </w:r>
      <w:r w:rsidR="00007C08">
        <w:t xml:space="preserve">igital delivery of services increases the size of a firm’s market, reduces both </w:t>
      </w:r>
      <w:r w:rsidR="00045130">
        <w:t xml:space="preserve">delivery costs </w:t>
      </w:r>
      <w:r w:rsidR="00B74F5C">
        <w:t>(in some cases to zero</w:t>
      </w:r>
      <w:r w:rsidR="00A3602B">
        <w:t>)</w:t>
      </w:r>
      <w:r w:rsidR="00007C08">
        <w:t xml:space="preserve"> and the cost of obtaining information (‘search</w:t>
      </w:r>
      <w:r w:rsidR="00B74F5C">
        <w:t> </w:t>
      </w:r>
      <w:r w:rsidR="00007C08">
        <w:t xml:space="preserve">costs’). </w:t>
      </w:r>
      <w:r w:rsidR="007300C5">
        <w:t>This</w:t>
      </w:r>
      <w:r w:rsidR="00007C08">
        <w:t xml:space="preserve"> opens a firm’s market to more than its immediate geography. </w:t>
      </w:r>
      <w:r w:rsidR="00007C08" w:rsidRPr="2F7C06B8">
        <w:rPr>
          <w:rStyle w:val="BodyTextChar"/>
        </w:rPr>
        <w:t xml:space="preserve">For example, </w:t>
      </w:r>
      <w:r w:rsidR="00D44A89" w:rsidRPr="2F7C06B8">
        <w:rPr>
          <w:rStyle w:val="BodyTextChar"/>
        </w:rPr>
        <w:t>high quality video calls negate the need to</w:t>
      </w:r>
      <w:r w:rsidR="00007C08" w:rsidRPr="2F7C06B8">
        <w:rPr>
          <w:rStyle w:val="BodyTextChar"/>
        </w:rPr>
        <w:t xml:space="preserve"> fly to another city to visit an architect. A</w:t>
      </w:r>
      <w:r w:rsidR="0017141F">
        <w:rPr>
          <w:rStyle w:val="BodyTextChar"/>
        </w:rPr>
        <w:t>nother</w:t>
      </w:r>
      <w:r w:rsidR="00007C08" w:rsidRPr="2F7C06B8">
        <w:rPr>
          <w:rStyle w:val="BodyTextChar"/>
        </w:rPr>
        <w:t xml:space="preserve"> example of this is that the digital delivery of business services has facilitated the widespread uptake of firms outsourcing such activities overseas </w:t>
      </w:r>
      <w:r w:rsidR="00B74F5C">
        <w:rPr>
          <w:rStyle w:val="BodyTextChar"/>
        </w:rPr>
        <w:t>(</w:t>
      </w:r>
      <w:r w:rsidR="00B74F5C" w:rsidRPr="2F7C06B8">
        <w:rPr>
          <w:rStyle w:val="BodyTextChar"/>
        </w:rPr>
        <w:t>for example payroll or travel and expense management</w:t>
      </w:r>
      <w:r w:rsidR="00B74F5C">
        <w:rPr>
          <w:rStyle w:val="BodyTextChar"/>
        </w:rPr>
        <w:t>)</w:t>
      </w:r>
      <w:r w:rsidR="00007C08" w:rsidRPr="2F7C06B8">
        <w:rPr>
          <w:rStyle w:val="BodyTextChar"/>
        </w:rPr>
        <w:t xml:space="preserve"> </w:t>
      </w:r>
      <w:r w:rsidR="00007C08">
        <w:t>(</w:t>
      </w:r>
      <w:proofErr w:type="spellStart"/>
      <w:r w:rsidR="00007C08">
        <w:t>Abramovsky</w:t>
      </w:r>
      <w:proofErr w:type="spellEnd"/>
      <w:r w:rsidR="00007C08">
        <w:t xml:space="preserve"> and Griffith 2006; </w:t>
      </w:r>
      <w:proofErr w:type="spellStart"/>
      <w:r w:rsidR="00007C08">
        <w:t>Abramovsky</w:t>
      </w:r>
      <w:proofErr w:type="spellEnd"/>
      <w:r w:rsidR="00007C08">
        <w:t xml:space="preserve">, Griffith and </w:t>
      </w:r>
      <w:proofErr w:type="spellStart"/>
      <w:r w:rsidR="00007C08">
        <w:t>Sako</w:t>
      </w:r>
      <w:proofErr w:type="spellEnd"/>
      <w:r w:rsidR="00007C08">
        <w:t> 2004)</w:t>
      </w:r>
      <w:r w:rsidR="00007C08" w:rsidRPr="2F7C06B8">
        <w:rPr>
          <w:rStyle w:val="BodyTextChar"/>
        </w:rPr>
        <w:t xml:space="preserve">. </w:t>
      </w:r>
      <w:r w:rsidR="00007C08">
        <w:t xml:space="preserve">Increased access and a larger market </w:t>
      </w:r>
      <w:r w:rsidR="00DD2ABC">
        <w:t>have</w:t>
      </w:r>
      <w:r w:rsidR="00007C08">
        <w:t xml:space="preserve"> the potential to increase competitive pressures on firms. However, online presence may give rise to ‘superstar’ effects (a few large firms supplying a large proportion of the market) if consumers have similar preferences</w:t>
      </w:r>
      <w:r w:rsidR="00AD7987">
        <w:t>.</w:t>
      </w:r>
      <w:r w:rsidR="00BE3F9E">
        <w:t xml:space="preserve"> T</w:t>
      </w:r>
      <w:r w:rsidR="00F909D5">
        <w:t xml:space="preserve">his </w:t>
      </w:r>
      <w:r w:rsidR="000D2624">
        <w:t>could</w:t>
      </w:r>
      <w:r w:rsidR="0082043E">
        <w:t xml:space="preserve"> be a persistent issue in </w:t>
      </w:r>
      <w:r w:rsidR="007769D3">
        <w:t>markets</w:t>
      </w:r>
      <w:r w:rsidR="0082043E">
        <w:t xml:space="preserve"> with large network effects</w:t>
      </w:r>
      <w:r w:rsidR="00BE3F9E">
        <w:t>,</w:t>
      </w:r>
      <w:r w:rsidR="0082043E">
        <w:t xml:space="preserve"> as</w:t>
      </w:r>
      <w:r w:rsidR="00BE3F9E">
        <w:t xml:space="preserve"> network effects</w:t>
      </w:r>
      <w:r w:rsidR="0082043E">
        <w:t xml:space="preserve"> create significant barriers to entry</w:t>
      </w:r>
      <w:r w:rsidR="00007C08">
        <w:t xml:space="preserve"> (</w:t>
      </w:r>
      <w:proofErr w:type="spellStart"/>
      <w:r w:rsidR="00007C08">
        <w:t>Goldmanis</w:t>
      </w:r>
      <w:proofErr w:type="spellEnd"/>
      <w:r w:rsidR="00007C08">
        <w:t xml:space="preserve"> et al. 2010). </w:t>
      </w:r>
      <w:r w:rsidR="00A927C7">
        <w:t xml:space="preserve"> </w:t>
      </w:r>
    </w:p>
    <w:p w14:paraId="4EBFF1EC" w14:textId="3F37869D" w:rsidR="00007C08" w:rsidRDefault="00007C08" w:rsidP="00007C08">
      <w:pPr>
        <w:pStyle w:val="BodyText"/>
      </w:pPr>
      <w:r>
        <w:t xml:space="preserve">Even though services </w:t>
      </w:r>
      <w:r w:rsidR="008162EA">
        <w:t xml:space="preserve">can </w:t>
      </w:r>
      <w:r>
        <w:t xml:space="preserve">be </w:t>
      </w:r>
      <w:r w:rsidR="00AE63DF">
        <w:t xml:space="preserve">(or </w:t>
      </w:r>
      <w:r w:rsidR="003F62D1">
        <w:t>are</w:t>
      </w:r>
      <w:r w:rsidR="00AE63DF">
        <w:t>)</w:t>
      </w:r>
      <w:r>
        <w:t xml:space="preserve"> delivered </w:t>
      </w:r>
      <w:r w:rsidR="00920BDF">
        <w:t>online</w:t>
      </w:r>
      <w:r>
        <w:t xml:space="preserve">, this does not mean </w:t>
      </w:r>
      <w:r w:rsidR="0010583B">
        <w:t xml:space="preserve">it is the manner of </w:t>
      </w:r>
      <w:r w:rsidR="00AE63DF">
        <w:t>delivery most highly valued by consumers</w:t>
      </w:r>
      <w:r>
        <w:t>. In many cases, digital delivery of a service is not a perfect substitute for in-person delivery</w:t>
      </w:r>
      <w:r w:rsidR="00920BDF">
        <w:t xml:space="preserve"> as</w:t>
      </w:r>
      <w:r>
        <w:t xml:space="preserve"> </w:t>
      </w:r>
      <w:r w:rsidR="0004010B">
        <w:t>consumers</w:t>
      </w:r>
      <w:r>
        <w:t xml:space="preserve"> may </w:t>
      </w:r>
      <w:r w:rsidR="000D7859">
        <w:t>prefer</w:t>
      </w:r>
      <w:r>
        <w:t xml:space="preserve"> face-to-face delivery of many services. </w:t>
      </w:r>
      <w:r w:rsidR="006C2D12">
        <w:t>Digital service delivery can</w:t>
      </w:r>
      <w:r w:rsidR="001A358E">
        <w:t>, in some cases, fundamentally change the nature of the consumer experience</w:t>
      </w:r>
      <w:r w:rsidR="00B75B15">
        <w:t xml:space="preserve">, for example a concert </w:t>
      </w:r>
      <w:r w:rsidR="0028550D">
        <w:t>viewed online</w:t>
      </w:r>
      <w:r w:rsidR="001A358E">
        <w:t>.</w:t>
      </w:r>
      <w:r>
        <w:t xml:space="preserve"> Moreover, some services are subject to asymmetries of information that are worsened by online delivery or require some degree of gatekeeping by suppliers that is more difficult online (such as doctors only </w:t>
      </w:r>
      <w:r>
        <w:lastRenderedPageBreak/>
        <w:t xml:space="preserve">handing out prescriptions when they can ascertain that the patient genuinely needs the medicine). There may also be productivity hindering effects of digital delivery of services in workplaces due to the </w:t>
      </w:r>
      <w:r w:rsidR="00CB7BA0">
        <w:t>loss</w:t>
      </w:r>
      <w:r>
        <w:t xml:space="preserve"> of </w:t>
      </w:r>
      <w:r w:rsidR="001B77F6">
        <w:t>‘</w:t>
      </w:r>
      <w:r>
        <w:t>informal contact, trust</w:t>
      </w:r>
      <w:r>
        <w:noBreakHyphen/>
        <w:t>building and sharing tacit knowledge that is difficult to codify’</w:t>
      </w:r>
      <w:r w:rsidR="009632AF">
        <w:t xml:space="preserve"> </w:t>
      </w:r>
      <w:r w:rsidR="00BD099E" w:rsidRPr="00BD099E">
        <w:rPr>
          <w:szCs w:val="24"/>
        </w:rPr>
        <w:t>(</w:t>
      </w:r>
      <w:proofErr w:type="spellStart"/>
      <w:r w:rsidR="00BD099E" w:rsidRPr="00BD099E">
        <w:rPr>
          <w:szCs w:val="24"/>
        </w:rPr>
        <w:t>Sorbe</w:t>
      </w:r>
      <w:proofErr w:type="spellEnd"/>
      <w:r w:rsidR="00BD099E" w:rsidRPr="00BD099E">
        <w:rPr>
          <w:szCs w:val="24"/>
        </w:rPr>
        <w:t xml:space="preserve">, Gal and </w:t>
      </w:r>
      <w:proofErr w:type="spellStart"/>
      <w:r w:rsidR="00BD099E" w:rsidRPr="00BD099E">
        <w:rPr>
          <w:szCs w:val="24"/>
        </w:rPr>
        <w:t>Millot</w:t>
      </w:r>
      <w:proofErr w:type="spellEnd"/>
      <w:r w:rsidR="00BD099E" w:rsidRPr="00BD099E">
        <w:rPr>
          <w:szCs w:val="24"/>
        </w:rPr>
        <w:t> 2018, p. 35)</w:t>
      </w:r>
      <w:r>
        <w:t xml:space="preserve">. </w:t>
      </w:r>
    </w:p>
    <w:p w14:paraId="7E9CD41C" w14:textId="022DB304" w:rsidR="00007C08" w:rsidRDefault="00007C08" w:rsidP="0035178E">
      <w:pPr>
        <w:pStyle w:val="BodyText"/>
      </w:pPr>
      <w:r>
        <w:t xml:space="preserve">The key point is that having the </w:t>
      </w:r>
      <w:r w:rsidRPr="2F7C06B8">
        <w:rPr>
          <w:i/>
          <w:iCs/>
        </w:rPr>
        <w:t>capacity</w:t>
      </w:r>
      <w:r>
        <w:t xml:space="preserve"> to deliver service in a </w:t>
      </w:r>
      <w:r w:rsidR="00931594">
        <w:t>remote</w:t>
      </w:r>
      <w:r>
        <w:t xml:space="preserve"> fashion (e.</w:t>
      </w:r>
      <w:r w:rsidR="00D738E7">
        <w:t>g</w:t>
      </w:r>
      <w:r w:rsidR="00135E52">
        <w:t>.</w:t>
      </w:r>
      <w:r w:rsidR="00D738E7">
        <w:t>,</w:t>
      </w:r>
      <w:r>
        <w:t xml:space="preserve"> by adopting new digital technologies for the delivery of services) allows firms to experiment with new business models, which may be more profitable, and that would tend to have aggregate benefits for productivity performance if widely adopted. </w:t>
      </w:r>
      <w:r w:rsidR="00613BDE">
        <w:t>The COVID</w:t>
      </w:r>
      <w:r w:rsidR="00E740F4">
        <w:t>-19</w:t>
      </w:r>
      <w:r w:rsidR="00613BDE">
        <w:t xml:space="preserve"> pandemic has forced many industries to experiment with remote delivery (</w:t>
      </w:r>
      <w:r w:rsidR="00777FF0">
        <w:t>b</w:t>
      </w:r>
      <w:r w:rsidR="00613BDE">
        <w:t>ox 7), some of which will prove to have benefits.</w:t>
      </w:r>
    </w:p>
    <w:p w14:paraId="79C4182F" w14:textId="1E1799EF" w:rsidR="007F637E" w:rsidRPr="007D4FB8" w:rsidRDefault="007F637E" w:rsidP="007F637E">
      <w:pPr>
        <w:pStyle w:val="Heading3"/>
        <w:rPr>
          <w:rFonts w:ascii="Arial Bold" w:hAnsi="Arial Bold"/>
          <w:spacing w:val="-8"/>
        </w:rPr>
      </w:pPr>
      <w:r w:rsidRPr="007D4FB8">
        <w:rPr>
          <w:rFonts w:ascii="Arial Bold" w:hAnsi="Arial Bold"/>
          <w:spacing w:val="-8"/>
        </w:rPr>
        <w:t xml:space="preserve">Digital platforms </w:t>
      </w:r>
      <w:r w:rsidR="00ED69EB" w:rsidRPr="007D4FB8">
        <w:rPr>
          <w:rFonts w:ascii="Arial Bold" w:hAnsi="Arial Bold"/>
          <w:spacing w:val="-8"/>
        </w:rPr>
        <w:t>are reducing the inefficiencies of less standardised output</w:t>
      </w:r>
    </w:p>
    <w:p w14:paraId="7F857861" w14:textId="474CDE9E" w:rsidR="002B2763" w:rsidRPr="007D4FB8" w:rsidRDefault="00417762" w:rsidP="00007C08">
      <w:pPr>
        <w:pStyle w:val="BodyText"/>
        <w:rPr>
          <w:spacing w:val="-4"/>
        </w:rPr>
      </w:pPr>
      <w:r w:rsidRPr="007D4FB8">
        <w:rPr>
          <w:spacing w:val="-4"/>
        </w:rPr>
        <w:t>Recently, there</w:t>
      </w:r>
      <w:r w:rsidR="00007C08" w:rsidRPr="007D4FB8">
        <w:rPr>
          <w:spacing w:val="-4"/>
        </w:rPr>
        <w:t xml:space="preserve"> has been a significant rise in digital platforms </w:t>
      </w:r>
      <w:r w:rsidR="00494E9A" w:rsidRPr="007D4FB8">
        <w:rPr>
          <w:spacing w:val="-4"/>
        </w:rPr>
        <w:t xml:space="preserve">that </w:t>
      </w:r>
      <w:r w:rsidR="00007C08" w:rsidRPr="007D4FB8">
        <w:rPr>
          <w:spacing w:val="-4"/>
        </w:rPr>
        <w:t xml:space="preserve">connect service providers with customers (figure </w:t>
      </w:r>
      <w:r w:rsidR="005617A0" w:rsidRPr="007D4FB8">
        <w:rPr>
          <w:spacing w:val="-4"/>
        </w:rPr>
        <w:t>2</w:t>
      </w:r>
      <w:r w:rsidR="00B27EF1" w:rsidRPr="007D4FB8">
        <w:rPr>
          <w:spacing w:val="-4"/>
        </w:rPr>
        <w:t>2</w:t>
      </w:r>
      <w:r w:rsidR="00007C08" w:rsidRPr="007D4FB8">
        <w:rPr>
          <w:spacing w:val="-4"/>
        </w:rPr>
        <w:t xml:space="preserve">). Platforms that specialise in rating and reviewing existing service providers increase the information available to consumers, allowing them to make more informed decisions. For example, Zomato provides a platform for users to review restaurants </w:t>
      </w:r>
      <w:r w:rsidR="00900A6D" w:rsidRPr="007D4FB8">
        <w:rPr>
          <w:spacing w:val="-4"/>
        </w:rPr>
        <w:t>giving</w:t>
      </w:r>
      <w:r w:rsidR="00007C08" w:rsidRPr="007D4FB8">
        <w:rPr>
          <w:spacing w:val="-4"/>
        </w:rPr>
        <w:t xml:space="preserve"> customers access to information on the quality of </w:t>
      </w:r>
      <w:r w:rsidR="00132C12" w:rsidRPr="007D4FB8">
        <w:rPr>
          <w:spacing w:val="-4"/>
        </w:rPr>
        <w:t xml:space="preserve">restaurants that might have </w:t>
      </w:r>
      <w:r w:rsidR="00FC244D" w:rsidRPr="007D4FB8">
        <w:rPr>
          <w:spacing w:val="-4"/>
        </w:rPr>
        <w:t xml:space="preserve">difficult to compare before </w:t>
      </w:r>
      <w:r w:rsidR="00454779" w:rsidRPr="007D4FB8">
        <w:rPr>
          <w:spacing w:val="-4"/>
        </w:rPr>
        <w:t xml:space="preserve">(due to different </w:t>
      </w:r>
      <w:r w:rsidR="00702AA8" w:rsidRPr="007D4FB8">
        <w:rPr>
          <w:spacing w:val="-4"/>
        </w:rPr>
        <w:t>service offerings and quality</w:t>
      </w:r>
      <w:r w:rsidR="00454779" w:rsidRPr="007D4FB8">
        <w:rPr>
          <w:spacing w:val="-4"/>
        </w:rPr>
        <w:t>)</w:t>
      </w:r>
      <w:r w:rsidR="00007C08" w:rsidRPr="007D4FB8">
        <w:rPr>
          <w:spacing w:val="-4"/>
        </w:rPr>
        <w:t xml:space="preserve">. This </w:t>
      </w:r>
      <w:r w:rsidR="00CC4803" w:rsidRPr="007D4FB8">
        <w:rPr>
          <w:spacing w:val="-4"/>
        </w:rPr>
        <w:t xml:space="preserve">reduces </w:t>
      </w:r>
      <w:r w:rsidR="00507379" w:rsidRPr="007D4FB8">
        <w:rPr>
          <w:spacing w:val="-4"/>
        </w:rPr>
        <w:t>asymmetries</w:t>
      </w:r>
      <w:r w:rsidR="00CC4803" w:rsidRPr="007D4FB8">
        <w:rPr>
          <w:spacing w:val="-4"/>
        </w:rPr>
        <w:t xml:space="preserve"> of information and </w:t>
      </w:r>
      <w:r w:rsidR="00872D69" w:rsidRPr="007D4FB8">
        <w:rPr>
          <w:spacing w:val="-4"/>
        </w:rPr>
        <w:t>facilitates both the creation of new markets and the deepening of existing ones</w:t>
      </w:r>
      <w:r w:rsidR="00007C08" w:rsidRPr="007D4FB8">
        <w:rPr>
          <w:spacing w:val="-4"/>
        </w:rPr>
        <w:t xml:space="preserve">. </w:t>
      </w:r>
    </w:p>
    <w:p w14:paraId="1DB173F8" w14:textId="752720E5" w:rsidR="00930141" w:rsidRDefault="0014338A" w:rsidP="00007C08">
      <w:pPr>
        <w:pStyle w:val="BodyText"/>
      </w:pPr>
      <w:r>
        <w:t>Digital platforms also reduce search costs,</w:t>
      </w:r>
      <w:r w:rsidR="00930141">
        <w:t xml:space="preserve"> which makes comparing prices easier and </w:t>
      </w:r>
      <w:r w:rsidR="00B81B92">
        <w:t>equalises</w:t>
      </w:r>
      <w:r w:rsidR="00930141">
        <w:t xml:space="preserve"> prices for similar services </w:t>
      </w:r>
      <w:r w:rsidR="00930141" w:rsidRPr="00594DA1">
        <w:rPr>
          <w:szCs w:val="24"/>
        </w:rPr>
        <w:t>(Goldfarb and Tucker 2019)</w:t>
      </w:r>
      <w:r w:rsidR="00930141">
        <w:t>. This has been born</w:t>
      </w:r>
      <w:r w:rsidR="00023321">
        <w:t>e</w:t>
      </w:r>
      <w:r w:rsidR="00930141">
        <w:t xml:space="preserve"> out in goods markets with the advent of the internet </w:t>
      </w:r>
      <w:r w:rsidR="00930141" w:rsidRPr="00594DA1">
        <w:rPr>
          <w:szCs w:val="24"/>
        </w:rPr>
        <w:t>(Brynjolfsson and Smith 2000)</w:t>
      </w:r>
      <w:r w:rsidR="00930141">
        <w:t xml:space="preserve">). Lower search costs may also increase </w:t>
      </w:r>
      <w:r>
        <w:t>demand for quality and</w:t>
      </w:r>
      <w:r w:rsidR="00930141">
        <w:t xml:space="preserve"> ‘niche’ products </w:t>
      </w:r>
      <w:r w:rsidR="00930141" w:rsidRPr="00594DA1">
        <w:rPr>
          <w:szCs w:val="24"/>
        </w:rPr>
        <w:t>(Yang 2013)</w:t>
      </w:r>
      <w:r w:rsidR="00930141">
        <w:t>. That is, it may create more of a premium for quality improvement</w:t>
      </w:r>
      <w:r w:rsidR="00E61463">
        <w:t>s</w:t>
      </w:r>
      <w:r w:rsidR="006B7A8F">
        <w:t>,</w:t>
      </w:r>
      <w:r w:rsidR="00930141">
        <w:t xml:space="preserve"> leading to innovations that may not show up in productivity statistics, but could deliver large consumer surplus gains </w:t>
      </w:r>
      <w:r w:rsidR="00930141" w:rsidRPr="00594DA1">
        <w:rPr>
          <w:szCs w:val="24"/>
        </w:rPr>
        <w:t>(Brynjolfsson, Hu and Smith 2003)</w:t>
      </w:r>
      <w:r w:rsidR="00930141">
        <w:t xml:space="preserve">. And even in the absence of improved quality, greater variety of goods </w:t>
      </w:r>
      <w:r w:rsidR="00CA4E77">
        <w:t xml:space="preserve">and services </w:t>
      </w:r>
      <w:r w:rsidR="00930141">
        <w:t>can be welfare improvin</w:t>
      </w:r>
      <w:r w:rsidR="009829A8">
        <w:t xml:space="preserve">g, for example </w:t>
      </w:r>
      <w:r w:rsidR="00F7342B">
        <w:t xml:space="preserve">assistive technology expanding the </w:t>
      </w:r>
      <w:r w:rsidR="00416E68">
        <w:t>options for Australians with disabilities</w:t>
      </w:r>
      <w:r w:rsidR="00930141">
        <w:t>. Lower search cost</w:t>
      </w:r>
      <w:r w:rsidR="006978BC">
        <w:t>s</w:t>
      </w:r>
      <w:r w:rsidR="00930141">
        <w:t xml:space="preserve"> also increase the</w:t>
      </w:r>
      <w:r w:rsidR="0093194C">
        <w:t xml:space="preserve"> quality of</w:t>
      </w:r>
      <w:r w:rsidR="00930141">
        <w:t xml:space="preserve"> </w:t>
      </w:r>
      <w:r w:rsidR="0093194C">
        <w:t>matches between</w:t>
      </w:r>
      <w:r w:rsidR="00930141">
        <w:t xml:space="preserve"> consumers and producers who are operating in the online environment, as well as </w:t>
      </w:r>
      <w:r w:rsidR="0093194C">
        <w:t>between</w:t>
      </w:r>
      <w:r w:rsidR="00930141">
        <w:t xml:space="preserve"> firms and workers (and other inputs) </w:t>
      </w:r>
      <w:r w:rsidR="00930141" w:rsidRPr="00594DA1">
        <w:rPr>
          <w:szCs w:val="24"/>
        </w:rPr>
        <w:t>(Goldfarb and Tucker 2019)</w:t>
      </w:r>
      <w:r w:rsidR="00930141">
        <w:t>.</w:t>
      </w:r>
      <w:r w:rsidR="00F969CE">
        <w:t xml:space="preserve"> For </w:t>
      </w:r>
      <w:r w:rsidR="00616FDF">
        <w:t>example,</w:t>
      </w:r>
      <w:r w:rsidR="00F969CE">
        <w:t xml:space="preserve"> </w:t>
      </w:r>
      <w:r w:rsidR="00616FDF">
        <w:t>LinkedIn</w:t>
      </w:r>
      <w:r w:rsidR="00F969CE">
        <w:t xml:space="preserve"> </w:t>
      </w:r>
      <w:r w:rsidR="00616FDF">
        <w:t xml:space="preserve">and Seek </w:t>
      </w:r>
      <w:r w:rsidR="0019691D">
        <w:t>reducing</w:t>
      </w:r>
      <w:r w:rsidR="00616FDF" w:rsidDel="0019691D">
        <w:t xml:space="preserve"> search costs </w:t>
      </w:r>
      <w:r w:rsidR="00701759">
        <w:t xml:space="preserve">by </w:t>
      </w:r>
      <w:r w:rsidR="005A6C25">
        <w:t xml:space="preserve">providing a platform for employers and employees to publicly display </w:t>
      </w:r>
      <w:r w:rsidR="00122261">
        <w:t>information that</w:t>
      </w:r>
      <w:r w:rsidR="00A8675B">
        <w:t xml:space="preserve"> assists in making informed hiring choices</w:t>
      </w:r>
      <w:r w:rsidR="00616FDF">
        <w:t xml:space="preserve">. </w:t>
      </w:r>
    </w:p>
    <w:p w14:paraId="66E40DAA" w14:textId="3DAF25A4" w:rsidR="00007C08" w:rsidRDefault="00007C08" w:rsidP="00007C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C08" w14:paraId="31ACB75D" w14:textId="77777777" w:rsidTr="36E5E979">
        <w:trPr>
          <w:tblHeader/>
        </w:trPr>
        <w:tc>
          <w:tcPr>
            <w:tcW w:w="5000" w:type="pct"/>
            <w:tcBorders>
              <w:top w:val="single" w:sz="6" w:space="0" w:color="78A22F" w:themeColor="accent1"/>
              <w:left w:val="nil"/>
              <w:bottom w:val="nil"/>
              <w:right w:val="nil"/>
            </w:tcBorders>
            <w:shd w:val="clear" w:color="auto" w:fill="auto"/>
          </w:tcPr>
          <w:p w14:paraId="55ED29D1" w14:textId="2CA0D4F4" w:rsidR="00007C08" w:rsidRDefault="00007C08" w:rsidP="00C10A79">
            <w:pPr>
              <w:pStyle w:val="FigureTitle"/>
            </w:pPr>
            <w:r w:rsidRPr="00784A05">
              <w:rPr>
                <w:b w:val="0"/>
              </w:rPr>
              <w:t xml:space="preserve">Figure </w:t>
            </w:r>
            <w:r w:rsidR="00061963">
              <w:rPr>
                <w:b w:val="0"/>
                <w:noProof/>
              </w:rPr>
              <w:t>22</w:t>
            </w:r>
            <w:r>
              <w:tab/>
              <w:t>The popularity of digital platforms was on the rise before COVID</w:t>
            </w:r>
            <w:r w:rsidR="002B56AD">
              <w:noBreakHyphen/>
            </w:r>
            <w:r w:rsidR="0083456C">
              <w:t>19</w:t>
            </w:r>
          </w:p>
          <w:p w14:paraId="066A28D2" w14:textId="77777777" w:rsidR="00007C08" w:rsidRPr="00176D3F" w:rsidRDefault="00007C08" w:rsidP="00C10A79">
            <w:pPr>
              <w:pStyle w:val="Subtitle"/>
            </w:pPr>
            <w:r>
              <w:t xml:space="preserve">Popularity of digital platforms based on the number of google searches </w:t>
            </w:r>
          </w:p>
        </w:tc>
      </w:tr>
      <w:tr w:rsidR="00007C08" w14:paraId="234F4F6D" w14:textId="77777777" w:rsidTr="36E5E97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C08" w:rsidRPr="00B1465D" w14:paraId="77954083" w14:textId="77777777" w:rsidTr="36E5E979">
              <w:trPr>
                <w:tblHeader/>
                <w:jc w:val="center"/>
              </w:trPr>
              <w:tc>
                <w:tcPr>
                  <w:tcW w:w="5000" w:type="pct"/>
                  <w:tcBorders>
                    <w:top w:val="nil"/>
                    <w:bottom w:val="nil"/>
                  </w:tcBorders>
                </w:tcPr>
                <w:p w14:paraId="4A0331AB" w14:textId="725E15A3" w:rsidR="00007C08" w:rsidRPr="00B1465D" w:rsidRDefault="007B68F3" w:rsidP="00C10A79">
                  <w:pPr>
                    <w:pStyle w:val="Figure"/>
                    <w:spacing w:before="60" w:after="60"/>
                    <w:rPr>
                      <w:rFonts w:ascii="Tahoma" w:hAnsi="Tahoma" w:cs="Tahoma"/>
                      <w:sz w:val="18"/>
                      <w:szCs w:val="18"/>
                    </w:rPr>
                  </w:pPr>
                  <w:r w:rsidRPr="007B68F3">
                    <w:rPr>
                      <w:rFonts w:ascii="Tahoma" w:hAnsi="Tahoma" w:cs="Tahoma"/>
                      <w:noProof/>
                      <w:sz w:val="18"/>
                      <w:szCs w:val="18"/>
                    </w:rPr>
                    <w:drawing>
                      <wp:inline distT="0" distB="0" distL="0" distR="0" wp14:anchorId="54EF6AE1" wp14:editId="375DCC39">
                        <wp:extent cx="5130165" cy="2790825"/>
                        <wp:effectExtent l="0" t="0" r="0" b="0"/>
                        <wp:docPr id="19" name="Picture 19" descr="Figure 22: Indexes of search trends for Airbnb, Uber, Uber Eats and Zomato showed steady increased from 2012 to the start of the pandemic with mixed trends af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22: Indexes of search trends for Airbnb, Uber, Uber Eats and Zomato showed steady increased from 2012 to the start of the pandemic with mixed trends after.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30165" cy="2790825"/>
                                </a:xfrm>
                                <a:prstGeom prst="rect">
                                  <a:avLst/>
                                </a:prstGeom>
                                <a:noFill/>
                                <a:ln>
                                  <a:noFill/>
                                </a:ln>
                              </pic:spPr>
                            </pic:pic>
                          </a:graphicData>
                        </a:graphic>
                      </wp:inline>
                    </w:drawing>
                  </w:r>
                </w:p>
              </w:tc>
            </w:tr>
          </w:tbl>
          <w:p w14:paraId="33D8E82A" w14:textId="77777777" w:rsidR="00007C08" w:rsidRDefault="00007C08" w:rsidP="00C10A79">
            <w:pPr>
              <w:pStyle w:val="Figure"/>
            </w:pPr>
          </w:p>
        </w:tc>
      </w:tr>
      <w:tr w:rsidR="00007C08" w:rsidRPr="00176D3F" w14:paraId="0077DDCE" w14:textId="77777777" w:rsidTr="36E5E979">
        <w:tc>
          <w:tcPr>
            <w:tcW w:w="5000" w:type="pct"/>
            <w:tcBorders>
              <w:top w:val="nil"/>
              <w:left w:val="nil"/>
              <w:bottom w:val="nil"/>
              <w:right w:val="nil"/>
            </w:tcBorders>
            <w:shd w:val="clear" w:color="auto" w:fill="auto"/>
          </w:tcPr>
          <w:p w14:paraId="34A6DCF8" w14:textId="5A260379" w:rsidR="00007C08" w:rsidRPr="00176D3F" w:rsidRDefault="00007C08" w:rsidP="00C10A79">
            <w:pPr>
              <w:pStyle w:val="Source"/>
            </w:pPr>
            <w:r>
              <w:rPr>
                <w:i/>
              </w:rPr>
              <w:t>S</w:t>
            </w:r>
            <w:r w:rsidRPr="00784A05">
              <w:rPr>
                <w:i/>
              </w:rPr>
              <w:t>ource</w:t>
            </w:r>
            <w:r w:rsidRPr="00176D3F">
              <w:t xml:space="preserve">: </w:t>
            </w:r>
            <w:r>
              <w:t>Google trends database</w:t>
            </w:r>
            <w:r w:rsidR="007D4FB8">
              <w:t>.</w:t>
            </w:r>
            <w:r>
              <w:t xml:space="preserve"> </w:t>
            </w:r>
          </w:p>
        </w:tc>
      </w:tr>
      <w:tr w:rsidR="00007C08" w14:paraId="2FE448FD" w14:textId="77777777" w:rsidTr="36E5E979">
        <w:tc>
          <w:tcPr>
            <w:tcW w:w="5000" w:type="pct"/>
            <w:tcBorders>
              <w:top w:val="nil"/>
              <w:left w:val="nil"/>
              <w:bottom w:val="single" w:sz="6" w:space="0" w:color="78A22F" w:themeColor="accent1"/>
              <w:right w:val="nil"/>
            </w:tcBorders>
            <w:shd w:val="clear" w:color="auto" w:fill="auto"/>
          </w:tcPr>
          <w:p w14:paraId="1184D4CC" w14:textId="77777777" w:rsidR="00007C08" w:rsidRDefault="00007C08" w:rsidP="00C10A79">
            <w:pPr>
              <w:pStyle w:val="Figurespace"/>
            </w:pPr>
          </w:p>
        </w:tc>
      </w:tr>
      <w:tr w:rsidR="00007C08" w:rsidRPr="000863A5" w14:paraId="5ED5FEAB" w14:textId="77777777" w:rsidTr="36E5E979">
        <w:tc>
          <w:tcPr>
            <w:tcW w:w="5000" w:type="pct"/>
            <w:tcBorders>
              <w:top w:val="single" w:sz="6" w:space="0" w:color="78A22F" w:themeColor="accent1"/>
              <w:left w:val="nil"/>
              <w:bottom w:val="nil"/>
              <w:right w:val="nil"/>
            </w:tcBorders>
          </w:tcPr>
          <w:p w14:paraId="63D0DDB3" w14:textId="0343DAE6" w:rsidR="00007C08" w:rsidRPr="00626D32" w:rsidRDefault="00007C08" w:rsidP="00C10A79">
            <w:pPr>
              <w:pStyle w:val="BoxSpaceBelow"/>
            </w:pPr>
          </w:p>
        </w:tc>
      </w:tr>
    </w:tbl>
    <w:p w14:paraId="76A82ADC" w14:textId="73549A99" w:rsidR="00F70A72" w:rsidRDefault="00982496" w:rsidP="00007C08">
      <w:pPr>
        <w:pStyle w:val="BodyText"/>
      </w:pPr>
      <w:r>
        <w:t>How</w:t>
      </w:r>
      <w:r w:rsidR="007B1237">
        <w:t xml:space="preserve"> COVID-19 and associated social distanc</w:t>
      </w:r>
      <w:r>
        <w:t xml:space="preserve">ing </w:t>
      </w:r>
      <w:r w:rsidR="007B1237">
        <w:t xml:space="preserve">is affecting </w:t>
      </w:r>
      <w:r>
        <w:t xml:space="preserve">innovation </w:t>
      </w:r>
      <w:r w:rsidR="007B1237">
        <w:t xml:space="preserve">continues to be a subject of keen interest (box </w:t>
      </w:r>
      <w:r w:rsidR="009F5D71">
        <w:t>7)</w:t>
      </w:r>
      <w:r w:rsidR="007B1237">
        <w:t xml:space="preserve">. </w:t>
      </w:r>
      <w:r w:rsidR="00C229D7">
        <w:t>On the o</w:t>
      </w:r>
      <w:r>
        <w:t>ne hand there</w:t>
      </w:r>
      <w:r w:rsidR="003D6F86">
        <w:t xml:space="preserve"> </w:t>
      </w:r>
      <w:r w:rsidR="00EF0A1E">
        <w:t>has</w:t>
      </w:r>
      <w:r w:rsidR="003D6F86">
        <w:t xml:space="preserve"> been significant innovation </w:t>
      </w:r>
      <w:r w:rsidR="002B0E32">
        <w:t xml:space="preserve">as businesses adapt to </w:t>
      </w:r>
      <w:r w:rsidR="00FE245A">
        <w:t>a social</w:t>
      </w:r>
      <w:r w:rsidR="001F1C4D">
        <w:t>ly</w:t>
      </w:r>
      <w:r w:rsidR="00FE245A">
        <w:t xml:space="preserve"> distanced environment</w:t>
      </w:r>
      <w:r w:rsidR="00EF0A1E">
        <w:t xml:space="preserve">. </w:t>
      </w:r>
      <w:r w:rsidR="00C229D7">
        <w:t>O</w:t>
      </w:r>
      <w:r>
        <w:t xml:space="preserve">n the other hand, </w:t>
      </w:r>
      <w:r w:rsidR="00EF0A1E">
        <w:t xml:space="preserve">the reduction in </w:t>
      </w:r>
      <w:r w:rsidR="009922AB">
        <w:t>person-to-person</w:t>
      </w:r>
      <w:r w:rsidR="00EF0A1E">
        <w:t xml:space="preserve"> </w:t>
      </w:r>
      <w:r w:rsidR="004B5EAF">
        <w:t xml:space="preserve">interactions </w:t>
      </w:r>
      <w:r w:rsidR="00EF0A1E">
        <w:t xml:space="preserve">may </w:t>
      </w:r>
      <w:r w:rsidR="009922AB">
        <w:t xml:space="preserve">have reduced the creation of new ideas over this period. </w:t>
      </w:r>
      <w:r w:rsidR="000924A2">
        <w:t xml:space="preserve">Much uncertainty remains </w:t>
      </w:r>
      <w:r w:rsidR="00C214AE">
        <w:t>about whether</w:t>
      </w:r>
      <w:r w:rsidR="000924A2">
        <w:t xml:space="preserve"> trends that arose in response to COVID-19 (for example, increased rates of work from home, reduced rates of restaurant dining and increased home delivery </w:t>
      </w:r>
      <w:r w:rsidR="00923480">
        <w:t>and</w:t>
      </w:r>
      <w:r w:rsidR="000924A2">
        <w:t xml:space="preserve"> moves away from in-store retail towards online purchasing) will persist into the future. </w:t>
      </w:r>
      <w:r w:rsidR="00396A1A">
        <w:t>T</w:t>
      </w:r>
      <w:r w:rsidR="009922AB">
        <w:t xml:space="preserve">he net </w:t>
      </w:r>
      <w:r w:rsidR="00396A1A">
        <w:t>and enduring</w:t>
      </w:r>
      <w:r w:rsidR="009922AB">
        <w:t xml:space="preserve"> effect of COVID-19 on innovation</w:t>
      </w:r>
      <w:r w:rsidR="00AF4989">
        <w:t xml:space="preserve"> </w:t>
      </w:r>
      <w:r w:rsidR="000924A2">
        <w:t xml:space="preserve">and business activity </w:t>
      </w:r>
      <w:r w:rsidR="00852B17">
        <w:t>will only become clear in time</w:t>
      </w:r>
      <w:r w:rsidR="00BA3CF3">
        <w:t xml:space="preserve">. </w:t>
      </w:r>
    </w:p>
    <w:p w14:paraId="442B13BE" w14:textId="4B3ABD07" w:rsidR="004A18B7" w:rsidRDefault="004A18B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A18B7" w14:paraId="1DC2279A" w14:textId="77777777" w:rsidTr="004A18B7">
        <w:trPr>
          <w:tblHeader/>
        </w:trPr>
        <w:tc>
          <w:tcPr>
            <w:tcW w:w="5000" w:type="pct"/>
            <w:tcBorders>
              <w:top w:val="single" w:sz="6" w:space="0" w:color="78A22F"/>
              <w:left w:val="nil"/>
              <w:bottom w:val="nil"/>
              <w:right w:val="nil"/>
            </w:tcBorders>
            <w:shd w:val="clear" w:color="auto" w:fill="F2F2F2"/>
          </w:tcPr>
          <w:p w14:paraId="43A14ADF" w14:textId="5A33B2B4" w:rsidR="004A18B7" w:rsidRDefault="004A18B7" w:rsidP="004A18B7">
            <w:pPr>
              <w:pStyle w:val="BoxTitle"/>
            </w:pPr>
            <w:r>
              <w:rPr>
                <w:b w:val="0"/>
              </w:rPr>
              <w:t xml:space="preserve">Box </w:t>
            </w:r>
            <w:r w:rsidR="000A2F9A">
              <w:rPr>
                <w:b w:val="0"/>
                <w:noProof/>
              </w:rPr>
              <w:t>7</w:t>
            </w:r>
            <w:r>
              <w:tab/>
              <w:t>Did the COVID</w:t>
            </w:r>
            <w:r w:rsidR="002B7834">
              <w:noBreakHyphen/>
              <w:t>19</w:t>
            </w:r>
            <w:r>
              <w:t xml:space="preserve"> crisis accelerate </w:t>
            </w:r>
            <w:r w:rsidR="00F60A0A">
              <w:t>service sector</w:t>
            </w:r>
            <w:r>
              <w:t xml:space="preserve"> </w:t>
            </w:r>
            <w:r w:rsidR="00B803A8">
              <w:t>innovation</w:t>
            </w:r>
            <w:r w:rsidR="00727FF4">
              <w:t>?</w:t>
            </w:r>
          </w:p>
        </w:tc>
      </w:tr>
      <w:tr w:rsidR="004A18B7" w14:paraId="175A22F3" w14:textId="77777777" w:rsidTr="004A18B7">
        <w:tc>
          <w:tcPr>
            <w:tcW w:w="5000" w:type="pct"/>
            <w:tcBorders>
              <w:top w:val="nil"/>
              <w:left w:val="nil"/>
              <w:bottom w:val="nil"/>
              <w:right w:val="nil"/>
            </w:tcBorders>
            <w:shd w:val="clear" w:color="auto" w:fill="F2F2F2"/>
          </w:tcPr>
          <w:p w14:paraId="69205CB7" w14:textId="6A668B56" w:rsidR="004A3494" w:rsidRDefault="004A3494" w:rsidP="00947404">
            <w:pPr>
              <w:pStyle w:val="Box"/>
            </w:pPr>
            <w:r>
              <w:t>In the long term, th</w:t>
            </w:r>
            <w:r w:rsidR="00C44572">
              <w:t>e</w:t>
            </w:r>
            <w:r>
              <w:t xml:space="preserve"> </w:t>
            </w:r>
            <w:r w:rsidR="00C70479">
              <w:t>COVID-19</w:t>
            </w:r>
            <w:r>
              <w:t xml:space="preserve"> pandemic is likely to affect </w:t>
            </w:r>
            <w:r w:rsidR="00C44572">
              <w:t>innovation</w:t>
            </w:r>
            <w:r>
              <w:t>, but the magnitude and direction of these effects is uncertain.</w:t>
            </w:r>
            <w:r w:rsidR="0084355D">
              <w:t xml:space="preserve"> How individuals, businesses and governments respond to prolonged periods of social distancing</w:t>
            </w:r>
            <w:r w:rsidR="000B238E">
              <w:t xml:space="preserve"> (both voluntary and mandatory)</w:t>
            </w:r>
            <w:r w:rsidR="0084355D">
              <w:t xml:space="preserve"> will </w:t>
            </w:r>
            <w:r w:rsidR="000F168D">
              <w:t>determine</w:t>
            </w:r>
            <w:r w:rsidR="001269DB">
              <w:t xml:space="preserve"> </w:t>
            </w:r>
            <w:r w:rsidR="0084355D">
              <w:t xml:space="preserve">the </w:t>
            </w:r>
            <w:r w:rsidR="000F168D">
              <w:t>net effect on</w:t>
            </w:r>
            <w:r w:rsidR="0084355D">
              <w:t xml:space="preserve"> </w:t>
            </w:r>
            <w:r w:rsidR="00320B2E">
              <w:t xml:space="preserve">innovation. </w:t>
            </w:r>
            <w:r w:rsidR="002401B3">
              <w:t xml:space="preserve">On a positive note, the quick adaptability of the economy has been impressive. About </w:t>
            </w:r>
            <w:r w:rsidR="009E0503">
              <w:t>31</w:t>
            </w:r>
            <w:r w:rsidR="002401B3">
              <w:t> per cent of the workforce had moved to working from home</w:t>
            </w:r>
            <w:r w:rsidR="009E0503">
              <w:t xml:space="preserve"> most days</w:t>
            </w:r>
            <w:r w:rsidR="002401B3">
              <w:t xml:space="preserve"> by September</w:t>
            </w:r>
            <w:r w:rsidR="00777FF0">
              <w:t> </w:t>
            </w:r>
            <w:r w:rsidR="002401B3">
              <w:t>2020, with indications of a smooth transition</w:t>
            </w:r>
            <w:r w:rsidR="00846EDC">
              <w:t xml:space="preserve"> </w:t>
            </w:r>
            <w:r w:rsidR="00213A40" w:rsidRPr="00213A40">
              <w:rPr>
                <w:rFonts w:cs="Arial"/>
                <w:szCs w:val="24"/>
              </w:rPr>
              <w:t>(ABS 2020c)</w:t>
            </w:r>
            <w:r w:rsidR="002401B3">
              <w:t>.</w:t>
            </w:r>
            <w:r w:rsidR="001146D1">
              <w:t xml:space="preserve"> </w:t>
            </w:r>
            <w:r w:rsidR="00846EDC">
              <w:t>Additionally</w:t>
            </w:r>
            <w:r w:rsidR="001146D1">
              <w:t xml:space="preserve">, many firms have </w:t>
            </w:r>
            <w:r w:rsidR="00846EDC">
              <w:t>made</w:t>
            </w:r>
            <w:r w:rsidR="001146D1">
              <w:t xml:space="preserve"> their services remotely </w:t>
            </w:r>
            <w:r w:rsidR="00846EDC">
              <w:t>accessible</w:t>
            </w:r>
            <w:r w:rsidR="0038628D">
              <w:t>, for example high</w:t>
            </w:r>
            <w:r w:rsidR="00171EFB">
              <w:noBreakHyphen/>
            </w:r>
            <w:r w:rsidR="0038628D">
              <w:t xml:space="preserve">end restaurants </w:t>
            </w:r>
            <w:r w:rsidR="004B6D04">
              <w:t xml:space="preserve">providing </w:t>
            </w:r>
            <w:r w:rsidR="005F6C74">
              <w:t>‘</w:t>
            </w:r>
            <w:r w:rsidR="004B6D04">
              <w:t>dining at home</w:t>
            </w:r>
            <w:r w:rsidR="005F6C74">
              <w:t xml:space="preserve">’ </w:t>
            </w:r>
            <w:r w:rsidR="004B6D04">
              <w:t>experiences. And f</w:t>
            </w:r>
            <w:r w:rsidR="001146D1">
              <w:t>or large portions of the year both health and education services shifted to online or remote delivery to some extent.</w:t>
            </w:r>
          </w:p>
          <w:p w14:paraId="6E1A4547" w14:textId="4F175AAC" w:rsidR="00C229D7" w:rsidRDefault="004A3494" w:rsidP="002866AD">
            <w:pPr>
              <w:pStyle w:val="Box"/>
            </w:pPr>
            <w:r>
              <w:t xml:space="preserve">However, a sustained </w:t>
            </w:r>
            <w:r w:rsidR="00D3623A">
              <w:t>period of social distancing could be</w:t>
            </w:r>
            <w:r>
              <w:t xml:space="preserve"> a double</w:t>
            </w:r>
            <w:r w:rsidR="000D7859">
              <w:t>-</w:t>
            </w:r>
            <w:r>
              <w:t xml:space="preserve">edged sword. </w:t>
            </w:r>
          </w:p>
          <w:p w14:paraId="166E1534" w14:textId="362CEC50" w:rsidR="000D39BD" w:rsidRDefault="004A3494" w:rsidP="002866AD">
            <w:pPr>
              <w:pStyle w:val="Box"/>
            </w:pPr>
            <w:r>
              <w:t xml:space="preserve">On the one hand, </w:t>
            </w:r>
            <w:r w:rsidR="00BF702E">
              <w:t xml:space="preserve">for many firms, </w:t>
            </w:r>
            <w:r w:rsidR="0035231A">
              <w:t xml:space="preserve">working from home </w:t>
            </w:r>
            <w:r w:rsidR="005452EA">
              <w:t xml:space="preserve">itself </w:t>
            </w:r>
            <w:r w:rsidR="00D067E1">
              <w:t>is</w:t>
            </w:r>
            <w:r w:rsidR="00D13F5D" w:rsidDel="005E5A5C">
              <w:t xml:space="preserve"> </w:t>
            </w:r>
            <w:r w:rsidR="005E5A5C">
              <w:t xml:space="preserve">an innovation </w:t>
            </w:r>
            <w:r w:rsidR="00D13F5D">
              <w:t xml:space="preserve">and provides a suite of benefits to </w:t>
            </w:r>
            <w:r w:rsidR="004A0543">
              <w:t xml:space="preserve">both employers and employees (for </w:t>
            </w:r>
            <w:r w:rsidR="008C5A12">
              <w:t>example</w:t>
            </w:r>
            <w:r w:rsidR="00083AC1">
              <w:t xml:space="preserve"> </w:t>
            </w:r>
            <w:r w:rsidR="004A0543">
              <w:t xml:space="preserve">increased leisure time for employees and reduced </w:t>
            </w:r>
            <w:r w:rsidR="00083AC1">
              <w:t>costs for employers)</w:t>
            </w:r>
            <w:r w:rsidR="004A0543">
              <w:t xml:space="preserve">. </w:t>
            </w:r>
            <w:r w:rsidR="003D05B5">
              <w:t>Additionally, past recessions have sometimes been followed by a rise in productivity due to lower productivity firms exiting.</w:t>
            </w:r>
            <w:r w:rsidR="00977234">
              <w:t xml:space="preserve"> </w:t>
            </w:r>
            <w:r w:rsidR="00100E06">
              <w:t xml:space="preserve">Finally, social distancing has accelerated the </w:t>
            </w:r>
            <w:r w:rsidR="00E2705A">
              <w:t>remote delivery of services such as telehealth</w:t>
            </w:r>
            <w:r w:rsidR="00C229D7">
              <w:t xml:space="preserve"> and education</w:t>
            </w:r>
            <w:r w:rsidR="00D13B34">
              <w:t>. Once thought of as a strictly in</w:t>
            </w:r>
            <w:r w:rsidR="00E13FDE">
              <w:noBreakHyphen/>
            </w:r>
            <w:r w:rsidR="00D13B34">
              <w:t>person affair, seeing a doctor can now be done online and from the ease of your own home.</w:t>
            </w:r>
            <w:r w:rsidR="00300574">
              <w:t xml:space="preserve"> </w:t>
            </w:r>
            <w:r w:rsidR="006933F4">
              <w:t xml:space="preserve">However, </w:t>
            </w:r>
            <w:r w:rsidR="00010499">
              <w:t xml:space="preserve">some services </w:t>
            </w:r>
            <w:r w:rsidR="00ED3161">
              <w:t xml:space="preserve">that </w:t>
            </w:r>
            <w:r w:rsidR="00010499">
              <w:t xml:space="preserve">are being delivered remotely in a socially distanced world </w:t>
            </w:r>
            <w:r w:rsidR="00A146FB">
              <w:t>will return to in</w:t>
            </w:r>
            <w:r w:rsidR="00E13FDE">
              <w:noBreakHyphen/>
            </w:r>
            <w:r w:rsidR="00A146FB">
              <w:t>person delivery after the pandemic</w:t>
            </w:r>
            <w:r w:rsidR="007937C0">
              <w:t xml:space="preserve"> (for example</w:t>
            </w:r>
            <w:r w:rsidR="007106C6">
              <w:t>,</w:t>
            </w:r>
            <w:r w:rsidR="007937C0">
              <w:t xml:space="preserve"> online concerts)</w:t>
            </w:r>
            <w:r w:rsidR="00B353C2">
              <w:t xml:space="preserve"> due to consumer preferences</w:t>
            </w:r>
            <w:r w:rsidR="00A146FB">
              <w:t xml:space="preserve">. </w:t>
            </w:r>
            <w:r w:rsidR="00FF2ADA">
              <w:t>A</w:t>
            </w:r>
            <w:r w:rsidR="00DB197A">
              <w:t xml:space="preserve">s a </w:t>
            </w:r>
            <w:r w:rsidR="000D39BD">
              <w:t>result</w:t>
            </w:r>
            <w:r w:rsidR="000D7859">
              <w:t>,</w:t>
            </w:r>
            <w:r w:rsidR="000D39BD">
              <w:t xml:space="preserve"> only</w:t>
            </w:r>
            <w:r w:rsidR="00DB197A">
              <w:t xml:space="preserve"> </w:t>
            </w:r>
            <w:r w:rsidR="000D39BD">
              <w:t>innovations to remote delivery</w:t>
            </w:r>
            <w:r w:rsidR="00121F3C">
              <w:t xml:space="preserve"> </w:t>
            </w:r>
            <w:r w:rsidR="00B353C2">
              <w:t xml:space="preserve">that </w:t>
            </w:r>
            <w:r w:rsidR="00121F3C">
              <w:t xml:space="preserve">survive after the pandemic can be </w:t>
            </w:r>
            <w:r w:rsidR="00FF2ADA">
              <w:t xml:space="preserve">considered productivity enhancing in the long run. </w:t>
            </w:r>
          </w:p>
          <w:p w14:paraId="3C760993" w14:textId="543C7DB7" w:rsidR="00BC74DB" w:rsidRDefault="000D39BD" w:rsidP="00947404">
            <w:pPr>
              <w:pStyle w:val="Box"/>
            </w:pPr>
            <w:r>
              <w:t xml:space="preserve">On the </w:t>
            </w:r>
            <w:r w:rsidR="00773069">
              <w:t xml:space="preserve">other hand, </w:t>
            </w:r>
            <w:r w:rsidR="00972065">
              <w:t>in a world of social distancing there is less incentive to innovat</w:t>
            </w:r>
            <w:r w:rsidR="00F012EB">
              <w:t xml:space="preserve">e in-person services as they are currently unable to be delivered. For example, while </w:t>
            </w:r>
            <w:r w:rsidR="0027570A">
              <w:t>elective surger</w:t>
            </w:r>
            <w:r w:rsidR="007B51EB">
              <w:t>ies were suspended</w:t>
            </w:r>
            <w:r w:rsidR="0027570A">
              <w:t xml:space="preserve"> there was a temporary disincentive to innovate in that area. </w:t>
            </w:r>
            <w:r w:rsidR="00F90A49">
              <w:t xml:space="preserve">Additionally, </w:t>
            </w:r>
            <w:r w:rsidR="00D06ED0">
              <w:t>i</w:t>
            </w:r>
            <w:r w:rsidR="00D15DFD">
              <w:t>nnovation is elusive and often occurs through serendipitous person</w:t>
            </w:r>
            <w:r w:rsidR="00D15DFD">
              <w:noBreakHyphen/>
              <w:t>to</w:t>
            </w:r>
            <w:r w:rsidR="00D15DFD">
              <w:noBreakHyphen/>
              <w:t xml:space="preserve">person exchange. While new ideas can </w:t>
            </w:r>
            <w:r w:rsidR="00C229D7">
              <w:t xml:space="preserve">be </w:t>
            </w:r>
            <w:r w:rsidR="00D15DFD">
              <w:t>foster</w:t>
            </w:r>
            <w:r w:rsidR="00C229D7">
              <w:t>ed</w:t>
            </w:r>
            <w:r w:rsidR="00D15DFD">
              <w:t xml:space="preserve"> through virtual exchange, it is perhaps less likely. A prolonged period of remote work may reduce the organic development of ideas, dampening potential productivity gains.</w:t>
            </w:r>
          </w:p>
        </w:tc>
      </w:tr>
      <w:tr w:rsidR="004A18B7" w14:paraId="096E54F4" w14:textId="77777777" w:rsidTr="004A18B7">
        <w:tc>
          <w:tcPr>
            <w:tcW w:w="5000" w:type="pct"/>
            <w:tcBorders>
              <w:top w:val="nil"/>
              <w:left w:val="nil"/>
              <w:bottom w:val="single" w:sz="6" w:space="0" w:color="78A22F"/>
              <w:right w:val="nil"/>
            </w:tcBorders>
            <w:shd w:val="clear" w:color="auto" w:fill="F2F2F2"/>
          </w:tcPr>
          <w:p w14:paraId="14CCA1F8" w14:textId="77777777" w:rsidR="004A18B7" w:rsidRDefault="004A18B7">
            <w:pPr>
              <w:pStyle w:val="Box"/>
              <w:spacing w:before="0" w:line="120" w:lineRule="exact"/>
            </w:pPr>
          </w:p>
        </w:tc>
      </w:tr>
      <w:tr w:rsidR="004A18B7" w:rsidRPr="000863A5" w14:paraId="54A46DB5" w14:textId="77777777" w:rsidTr="004A18B7">
        <w:tc>
          <w:tcPr>
            <w:tcW w:w="5000" w:type="pct"/>
            <w:tcBorders>
              <w:top w:val="single" w:sz="6" w:space="0" w:color="78A22F"/>
              <w:left w:val="nil"/>
              <w:bottom w:val="nil"/>
              <w:right w:val="nil"/>
            </w:tcBorders>
          </w:tcPr>
          <w:p w14:paraId="68BDCE68" w14:textId="2772892A" w:rsidR="004A18B7" w:rsidRPr="00626D32" w:rsidRDefault="004A18B7" w:rsidP="004A18B7">
            <w:pPr>
              <w:pStyle w:val="BoxSpaceBelow"/>
            </w:pPr>
          </w:p>
        </w:tc>
      </w:tr>
    </w:tbl>
    <w:p w14:paraId="629CE909" w14:textId="70F4B2E2" w:rsidR="00DC3513" w:rsidRPr="0098018E" w:rsidRDefault="007D51E5" w:rsidP="00DC3513">
      <w:pPr>
        <w:pStyle w:val="Heading3"/>
      </w:pPr>
      <w:r>
        <w:t xml:space="preserve">Regulatory frameworks </w:t>
      </w:r>
      <w:r w:rsidR="004708B1">
        <w:t>and</w:t>
      </w:r>
      <w:r w:rsidR="00A67491">
        <w:t xml:space="preserve"> technological </w:t>
      </w:r>
      <w:r w:rsidR="004708B1">
        <w:t>innovation</w:t>
      </w:r>
    </w:p>
    <w:p w14:paraId="16A5AB5E" w14:textId="281AEACC" w:rsidR="00064075" w:rsidRDefault="007D51E5" w:rsidP="002C1538">
      <w:pPr>
        <w:pStyle w:val="BodyText"/>
        <w:rPr>
          <w:rStyle w:val="DraftingNote"/>
          <w:b w:val="0"/>
          <w:color w:val="auto"/>
          <w:u w:val="none"/>
        </w:rPr>
      </w:pPr>
      <w:r w:rsidRPr="3D72B32B">
        <w:rPr>
          <w:rStyle w:val="DraftingNote"/>
          <w:b w:val="0"/>
          <w:color w:val="auto"/>
          <w:u w:val="none"/>
        </w:rPr>
        <w:t>Technological innovation</w:t>
      </w:r>
      <w:r w:rsidR="002D0B8B" w:rsidRPr="3D72B32B">
        <w:rPr>
          <w:rStyle w:val="DraftingNote"/>
          <w:b w:val="0"/>
          <w:color w:val="auto"/>
          <w:u w:val="none"/>
        </w:rPr>
        <w:t xml:space="preserve"> in the service sector</w:t>
      </w:r>
      <w:r w:rsidRPr="3D72B32B">
        <w:rPr>
          <w:rStyle w:val="DraftingNote"/>
          <w:b w:val="0"/>
          <w:color w:val="auto"/>
          <w:u w:val="none"/>
        </w:rPr>
        <w:t xml:space="preserve"> </w:t>
      </w:r>
      <w:r w:rsidR="00DA6EB8" w:rsidRPr="3D72B32B">
        <w:rPr>
          <w:rStyle w:val="DraftingNote"/>
          <w:b w:val="0"/>
          <w:color w:val="auto"/>
          <w:u w:val="none"/>
        </w:rPr>
        <w:t xml:space="preserve">poses </w:t>
      </w:r>
      <w:r w:rsidR="002D0B8B" w:rsidRPr="3D72B32B">
        <w:rPr>
          <w:rStyle w:val="DraftingNote"/>
          <w:b w:val="0"/>
          <w:color w:val="auto"/>
          <w:u w:val="none"/>
        </w:rPr>
        <w:t>numerous policy challenges</w:t>
      </w:r>
      <w:r w:rsidR="005D0B70" w:rsidRPr="3D72B32B">
        <w:rPr>
          <w:rStyle w:val="DraftingNote"/>
          <w:b w:val="0"/>
          <w:color w:val="auto"/>
          <w:u w:val="none"/>
        </w:rPr>
        <w:t>.</w:t>
      </w:r>
      <w:r w:rsidR="00DA6EB8" w:rsidRPr="3D72B32B">
        <w:rPr>
          <w:rStyle w:val="DraftingNote"/>
          <w:b w:val="0"/>
          <w:color w:val="auto"/>
          <w:u w:val="none"/>
        </w:rPr>
        <w:t xml:space="preserve"> </w:t>
      </w:r>
      <w:r w:rsidR="002D0B8B" w:rsidRPr="3D72B32B">
        <w:rPr>
          <w:rStyle w:val="DraftingNote"/>
          <w:b w:val="0"/>
          <w:color w:val="auto"/>
          <w:u w:val="none"/>
        </w:rPr>
        <w:t xml:space="preserve">First, </w:t>
      </w:r>
      <w:r w:rsidR="00EB53DA" w:rsidRPr="3D72B32B">
        <w:rPr>
          <w:rStyle w:val="DraftingNote"/>
          <w:b w:val="0"/>
          <w:color w:val="auto"/>
          <w:u w:val="none"/>
        </w:rPr>
        <w:t>n</w:t>
      </w:r>
      <w:r w:rsidR="00D23FBC">
        <w:rPr>
          <w:rStyle w:val="DraftingNote"/>
          <w:b w:val="0"/>
          <w:color w:val="auto"/>
          <w:u w:val="none"/>
        </w:rPr>
        <w:t>ovel</w:t>
      </w:r>
      <w:r w:rsidR="00EB53DA" w:rsidRPr="3D72B32B">
        <w:rPr>
          <w:rStyle w:val="DraftingNote"/>
          <w:b w:val="0"/>
          <w:color w:val="auto"/>
          <w:u w:val="none"/>
        </w:rPr>
        <w:t xml:space="preserve"> technology can create</w:t>
      </w:r>
      <w:r w:rsidR="005B7901" w:rsidRPr="3D72B32B">
        <w:rPr>
          <w:rStyle w:val="DraftingNote"/>
          <w:b w:val="0"/>
          <w:color w:val="auto"/>
          <w:u w:val="none"/>
        </w:rPr>
        <w:t xml:space="preserve"> </w:t>
      </w:r>
      <w:r w:rsidR="00994459">
        <w:rPr>
          <w:rStyle w:val="DraftingNote"/>
          <w:b w:val="0"/>
          <w:color w:val="auto"/>
          <w:u w:val="none"/>
        </w:rPr>
        <w:t>n</w:t>
      </w:r>
      <w:r w:rsidR="00D23FBC">
        <w:rPr>
          <w:rStyle w:val="DraftingNote"/>
          <w:b w:val="0"/>
          <w:color w:val="auto"/>
          <w:u w:val="none"/>
        </w:rPr>
        <w:t xml:space="preserve">ew </w:t>
      </w:r>
      <w:r w:rsidR="0059509A" w:rsidRPr="3D72B32B">
        <w:rPr>
          <w:rStyle w:val="DraftingNote"/>
          <w:b w:val="0"/>
          <w:color w:val="auto"/>
          <w:u w:val="none"/>
        </w:rPr>
        <w:t>challenges</w:t>
      </w:r>
      <w:r w:rsidR="00DA2428" w:rsidRPr="3D72B32B">
        <w:rPr>
          <w:rStyle w:val="DraftingNote"/>
          <w:b w:val="0"/>
          <w:color w:val="auto"/>
          <w:u w:val="none"/>
        </w:rPr>
        <w:t xml:space="preserve">. </w:t>
      </w:r>
      <w:r w:rsidR="00660020" w:rsidRPr="3D72B32B">
        <w:rPr>
          <w:rStyle w:val="DraftingNote"/>
          <w:b w:val="0"/>
          <w:color w:val="auto"/>
          <w:u w:val="none"/>
        </w:rPr>
        <w:t>E</w:t>
      </w:r>
      <w:r w:rsidR="00DA2428" w:rsidRPr="3D72B32B">
        <w:rPr>
          <w:rStyle w:val="DraftingNote"/>
          <w:b w:val="0"/>
          <w:color w:val="auto"/>
          <w:u w:val="none"/>
        </w:rPr>
        <w:t>xample</w:t>
      </w:r>
      <w:r w:rsidR="00A4457F" w:rsidRPr="3D72B32B">
        <w:rPr>
          <w:rStyle w:val="DraftingNote"/>
          <w:b w:val="0"/>
          <w:color w:val="auto"/>
          <w:u w:val="none"/>
        </w:rPr>
        <w:t>s</w:t>
      </w:r>
      <w:r w:rsidR="00DA2428" w:rsidRPr="3D72B32B">
        <w:rPr>
          <w:rStyle w:val="DraftingNote"/>
          <w:b w:val="0"/>
          <w:color w:val="auto"/>
          <w:u w:val="none"/>
        </w:rPr>
        <w:t xml:space="preserve"> </w:t>
      </w:r>
      <w:r w:rsidR="00660020" w:rsidRPr="3D72B32B">
        <w:rPr>
          <w:rStyle w:val="DraftingNote"/>
          <w:b w:val="0"/>
          <w:color w:val="auto"/>
          <w:u w:val="none"/>
        </w:rPr>
        <w:t>include</w:t>
      </w:r>
      <w:r w:rsidR="00DA2428" w:rsidRPr="3D72B32B">
        <w:rPr>
          <w:rStyle w:val="DraftingNote"/>
          <w:b w:val="0"/>
          <w:color w:val="auto"/>
          <w:u w:val="none"/>
        </w:rPr>
        <w:t xml:space="preserve"> the privacy issues created by </w:t>
      </w:r>
      <w:r w:rsidR="00660020" w:rsidRPr="3D72B32B">
        <w:rPr>
          <w:rStyle w:val="DraftingNote"/>
          <w:b w:val="0"/>
          <w:color w:val="auto"/>
          <w:u w:val="none"/>
        </w:rPr>
        <w:t xml:space="preserve">social media or the security implications of </w:t>
      </w:r>
      <w:r w:rsidR="000F0ED4" w:rsidRPr="3D72B32B">
        <w:rPr>
          <w:rStyle w:val="DraftingNote"/>
          <w:b w:val="0"/>
          <w:color w:val="auto"/>
          <w:u w:val="none"/>
        </w:rPr>
        <w:t xml:space="preserve">crypto currencies. Second, </w:t>
      </w:r>
      <w:r w:rsidR="00995647" w:rsidRPr="3D72B32B">
        <w:rPr>
          <w:rStyle w:val="DraftingNote"/>
          <w:b w:val="0"/>
          <w:color w:val="auto"/>
          <w:u w:val="none"/>
        </w:rPr>
        <w:t xml:space="preserve">when policy tries to </w:t>
      </w:r>
      <w:r w:rsidR="00657BCD" w:rsidRPr="3D72B32B">
        <w:rPr>
          <w:rStyle w:val="DraftingNote"/>
          <w:b w:val="0"/>
          <w:color w:val="auto"/>
          <w:u w:val="none"/>
        </w:rPr>
        <w:t xml:space="preserve">respond to these challenges in a manner that hinders innovation, this </w:t>
      </w:r>
      <w:r w:rsidR="001530C7" w:rsidRPr="3D72B32B">
        <w:rPr>
          <w:rStyle w:val="DraftingNote"/>
          <w:b w:val="0"/>
          <w:color w:val="auto"/>
          <w:u w:val="none"/>
        </w:rPr>
        <w:t xml:space="preserve">can </w:t>
      </w:r>
      <w:r w:rsidR="00E76088" w:rsidRPr="3D72B32B">
        <w:rPr>
          <w:rStyle w:val="DraftingNote"/>
          <w:b w:val="0"/>
          <w:color w:val="auto"/>
          <w:u w:val="none"/>
        </w:rPr>
        <w:t>do more harm than good.</w:t>
      </w:r>
      <w:r w:rsidR="00C63534" w:rsidRPr="3D72B32B">
        <w:rPr>
          <w:rStyle w:val="DraftingNote"/>
          <w:b w:val="0"/>
          <w:color w:val="auto"/>
          <w:u w:val="none"/>
        </w:rPr>
        <w:t xml:space="preserve"> This </w:t>
      </w:r>
      <w:r w:rsidR="00CA73C3" w:rsidRPr="3D72B32B">
        <w:rPr>
          <w:rStyle w:val="DraftingNote"/>
          <w:b w:val="0"/>
          <w:color w:val="auto"/>
          <w:u w:val="none"/>
        </w:rPr>
        <w:t xml:space="preserve">would likely be the case if, for example, governments attempted to ban </w:t>
      </w:r>
      <w:r w:rsidR="00BE0AD3" w:rsidRPr="3D72B32B">
        <w:rPr>
          <w:rStyle w:val="DraftingNote"/>
          <w:b w:val="0"/>
          <w:color w:val="auto"/>
          <w:u w:val="none"/>
        </w:rPr>
        <w:t>social media and crypto currencies altogether.</w:t>
      </w:r>
      <w:r w:rsidR="001B59BA" w:rsidRPr="3D72B32B">
        <w:rPr>
          <w:rStyle w:val="DraftingNote"/>
          <w:b w:val="0"/>
          <w:color w:val="auto"/>
          <w:u w:val="none"/>
        </w:rPr>
        <w:t xml:space="preserve"> </w:t>
      </w:r>
      <w:r w:rsidR="00E76088" w:rsidRPr="3D72B32B">
        <w:rPr>
          <w:rStyle w:val="DraftingNote"/>
          <w:b w:val="0"/>
          <w:color w:val="auto"/>
          <w:u w:val="none"/>
        </w:rPr>
        <w:t xml:space="preserve">How policymakers balance the need to address </w:t>
      </w:r>
      <w:r w:rsidR="007077F3" w:rsidRPr="3D72B32B">
        <w:rPr>
          <w:rStyle w:val="DraftingNote"/>
          <w:b w:val="0"/>
          <w:color w:val="auto"/>
          <w:u w:val="none"/>
        </w:rPr>
        <w:t xml:space="preserve">the </w:t>
      </w:r>
      <w:r w:rsidR="005B7901" w:rsidRPr="3D72B32B">
        <w:rPr>
          <w:rStyle w:val="DraftingNote"/>
          <w:b w:val="0"/>
          <w:color w:val="auto"/>
          <w:u w:val="none"/>
        </w:rPr>
        <w:t>legitimate</w:t>
      </w:r>
      <w:r w:rsidR="007077F3" w:rsidRPr="3D72B32B">
        <w:rPr>
          <w:rStyle w:val="DraftingNote"/>
          <w:b w:val="0"/>
          <w:color w:val="auto"/>
          <w:u w:val="none"/>
        </w:rPr>
        <w:t xml:space="preserve"> challenges posed by technological </w:t>
      </w:r>
      <w:r w:rsidR="00BE0AD3" w:rsidRPr="3D72B32B">
        <w:rPr>
          <w:rStyle w:val="DraftingNote"/>
          <w:b w:val="0"/>
          <w:color w:val="auto"/>
          <w:u w:val="none"/>
        </w:rPr>
        <w:t>change</w:t>
      </w:r>
      <w:r w:rsidR="007077F3" w:rsidRPr="3D72B32B">
        <w:rPr>
          <w:rStyle w:val="DraftingNote"/>
          <w:b w:val="0"/>
          <w:color w:val="auto"/>
          <w:u w:val="none"/>
        </w:rPr>
        <w:t xml:space="preserve"> with the</w:t>
      </w:r>
      <w:r w:rsidR="009778CA" w:rsidRPr="3D72B32B">
        <w:rPr>
          <w:rStyle w:val="DraftingNote"/>
          <w:b w:val="0"/>
          <w:color w:val="auto"/>
          <w:u w:val="none"/>
        </w:rPr>
        <w:t xml:space="preserve"> </w:t>
      </w:r>
      <w:r w:rsidR="00064075" w:rsidRPr="3D72B32B">
        <w:rPr>
          <w:rStyle w:val="DraftingNote"/>
          <w:b w:val="0"/>
          <w:color w:val="auto"/>
          <w:u w:val="none"/>
        </w:rPr>
        <w:t>desire</w:t>
      </w:r>
      <w:r w:rsidR="009778CA" w:rsidRPr="3D72B32B">
        <w:rPr>
          <w:rStyle w:val="DraftingNote"/>
          <w:b w:val="0"/>
          <w:color w:val="auto"/>
          <w:u w:val="none"/>
        </w:rPr>
        <w:t xml:space="preserve"> </w:t>
      </w:r>
      <w:r w:rsidR="00BE0AD3" w:rsidRPr="3D72B32B">
        <w:rPr>
          <w:rStyle w:val="DraftingNote"/>
          <w:b w:val="0"/>
          <w:color w:val="auto"/>
          <w:u w:val="none"/>
        </w:rPr>
        <w:t xml:space="preserve">to </w:t>
      </w:r>
      <w:r w:rsidR="009778CA" w:rsidRPr="3D72B32B">
        <w:rPr>
          <w:rStyle w:val="DraftingNote"/>
          <w:b w:val="0"/>
          <w:color w:val="auto"/>
          <w:u w:val="none"/>
        </w:rPr>
        <w:t xml:space="preserve">not hinder </w:t>
      </w:r>
      <w:r w:rsidR="005B7901" w:rsidRPr="3D72B32B">
        <w:rPr>
          <w:rStyle w:val="DraftingNote"/>
          <w:b w:val="0"/>
          <w:color w:val="auto"/>
          <w:u w:val="none"/>
        </w:rPr>
        <w:t>the innovation process will be a key theme in the service sector for the decades to come.</w:t>
      </w:r>
      <w:r w:rsidR="00064075" w:rsidRPr="3D72B32B">
        <w:rPr>
          <w:rStyle w:val="DraftingNote"/>
          <w:b w:val="0"/>
          <w:color w:val="auto"/>
          <w:u w:val="none"/>
        </w:rPr>
        <w:t xml:space="preserve"> </w:t>
      </w:r>
    </w:p>
    <w:p w14:paraId="3AAF4FDF" w14:textId="6A8F8870" w:rsidR="00116699" w:rsidRPr="00064075" w:rsidRDefault="00E861A4" w:rsidP="002C1538">
      <w:pPr>
        <w:pStyle w:val="BodyText"/>
        <w:rPr>
          <w:rStyle w:val="DraftingNote"/>
          <w:b w:val="0"/>
          <w:color w:val="auto"/>
          <w:u w:val="none"/>
        </w:rPr>
      </w:pPr>
      <w:r>
        <w:rPr>
          <w:rStyle w:val="DraftingNote"/>
          <w:b w:val="0"/>
          <w:color w:val="auto"/>
          <w:u w:val="none"/>
        </w:rPr>
        <w:t>As t</w:t>
      </w:r>
      <w:r w:rsidR="004513CF">
        <w:rPr>
          <w:rStyle w:val="DraftingNote"/>
          <w:b w:val="0"/>
          <w:color w:val="auto"/>
          <w:u w:val="none"/>
        </w:rPr>
        <w:t xml:space="preserve">he </w:t>
      </w:r>
      <w:r w:rsidR="004513CF" w:rsidRPr="0098018E">
        <w:rPr>
          <w:rStyle w:val="DraftingNote"/>
          <w:b w:val="0"/>
          <w:i/>
          <w:color w:val="auto"/>
          <w:u w:val="none"/>
        </w:rPr>
        <w:t>productivity in the service sector</w:t>
      </w:r>
      <w:r w:rsidR="004513CF">
        <w:rPr>
          <w:rStyle w:val="DraftingNote"/>
          <w:b w:val="0"/>
          <w:color w:val="auto"/>
          <w:u w:val="none"/>
        </w:rPr>
        <w:t xml:space="preserve"> series </w:t>
      </w:r>
      <w:r w:rsidR="00D40589">
        <w:rPr>
          <w:rStyle w:val="DraftingNote"/>
          <w:b w:val="0"/>
          <w:color w:val="auto"/>
          <w:u w:val="none"/>
        </w:rPr>
        <w:t>explore</w:t>
      </w:r>
      <w:r>
        <w:rPr>
          <w:rStyle w:val="DraftingNote"/>
          <w:b w:val="0"/>
          <w:color w:val="auto"/>
          <w:u w:val="none"/>
        </w:rPr>
        <w:t>s</w:t>
      </w:r>
      <w:r w:rsidR="003936A1">
        <w:rPr>
          <w:rStyle w:val="DraftingNote"/>
          <w:b w:val="0"/>
          <w:color w:val="auto"/>
          <w:u w:val="none"/>
        </w:rPr>
        <w:t xml:space="preserve"> individual </w:t>
      </w:r>
      <w:r w:rsidR="00740FF5">
        <w:rPr>
          <w:rStyle w:val="DraftingNote"/>
          <w:b w:val="0"/>
          <w:color w:val="auto"/>
          <w:u w:val="none"/>
        </w:rPr>
        <w:t xml:space="preserve">industries, </w:t>
      </w:r>
      <w:r w:rsidR="00A54B96">
        <w:rPr>
          <w:rStyle w:val="DraftingNote"/>
          <w:b w:val="0"/>
          <w:color w:val="auto"/>
          <w:u w:val="none"/>
        </w:rPr>
        <w:t>particular</w:t>
      </w:r>
      <w:r w:rsidR="00740FF5">
        <w:rPr>
          <w:rStyle w:val="DraftingNote"/>
          <w:b w:val="0"/>
          <w:color w:val="auto"/>
          <w:u w:val="none"/>
        </w:rPr>
        <w:t xml:space="preserve"> </w:t>
      </w:r>
      <w:r w:rsidR="002426C5">
        <w:rPr>
          <w:rStyle w:val="DraftingNote"/>
          <w:b w:val="0"/>
          <w:color w:val="auto"/>
          <w:u w:val="none"/>
        </w:rPr>
        <w:t>government</w:t>
      </w:r>
      <w:r w:rsidR="00740FF5">
        <w:rPr>
          <w:rStyle w:val="DraftingNote"/>
          <w:b w:val="0"/>
          <w:color w:val="auto"/>
          <w:u w:val="none"/>
        </w:rPr>
        <w:t xml:space="preserve"> actions</w:t>
      </w:r>
      <w:r w:rsidR="00B652FA">
        <w:rPr>
          <w:rStyle w:val="DraftingNote"/>
          <w:b w:val="0"/>
          <w:color w:val="auto"/>
          <w:u w:val="none"/>
        </w:rPr>
        <w:t xml:space="preserve"> and regulatory responses</w:t>
      </w:r>
      <w:r w:rsidR="00740FF5">
        <w:rPr>
          <w:rStyle w:val="DraftingNote"/>
          <w:b w:val="0"/>
          <w:color w:val="auto"/>
          <w:u w:val="none"/>
        </w:rPr>
        <w:t xml:space="preserve"> </w:t>
      </w:r>
      <w:r w:rsidR="00C53897">
        <w:rPr>
          <w:rStyle w:val="DraftingNote"/>
          <w:b w:val="0"/>
          <w:color w:val="auto"/>
          <w:u w:val="none"/>
        </w:rPr>
        <w:t xml:space="preserve">will be </w:t>
      </w:r>
      <w:r w:rsidR="00F43DC1">
        <w:rPr>
          <w:rStyle w:val="DraftingNote"/>
          <w:b w:val="0"/>
          <w:color w:val="auto"/>
          <w:u w:val="none"/>
        </w:rPr>
        <w:t>discussed</w:t>
      </w:r>
      <w:r w:rsidR="00DE0869">
        <w:rPr>
          <w:rStyle w:val="DraftingNote"/>
          <w:b w:val="0"/>
          <w:color w:val="auto"/>
          <w:u w:val="none"/>
        </w:rPr>
        <w:t xml:space="preserve">. </w:t>
      </w:r>
      <w:r w:rsidR="009E2193">
        <w:rPr>
          <w:rStyle w:val="DraftingNote"/>
          <w:b w:val="0"/>
          <w:color w:val="auto"/>
          <w:u w:val="none"/>
        </w:rPr>
        <w:t xml:space="preserve">While the remainder of this series will focus on </w:t>
      </w:r>
      <w:r w:rsidR="0099763D">
        <w:rPr>
          <w:rStyle w:val="DraftingNote"/>
          <w:b w:val="0"/>
          <w:color w:val="auto"/>
          <w:u w:val="none"/>
        </w:rPr>
        <w:t>industry-</w:t>
      </w:r>
      <w:r w:rsidR="00DD1D7B">
        <w:rPr>
          <w:rStyle w:val="DraftingNote"/>
          <w:b w:val="0"/>
          <w:color w:val="auto"/>
          <w:u w:val="none"/>
        </w:rPr>
        <w:t xml:space="preserve">specific </w:t>
      </w:r>
      <w:r w:rsidR="00EC51E0">
        <w:rPr>
          <w:rStyle w:val="DraftingNote"/>
          <w:b w:val="0"/>
          <w:color w:val="auto"/>
          <w:u w:val="none"/>
        </w:rPr>
        <w:t>policy</w:t>
      </w:r>
      <w:r w:rsidR="00FA1295">
        <w:rPr>
          <w:rStyle w:val="DraftingNote"/>
          <w:b w:val="0"/>
          <w:color w:val="auto"/>
          <w:u w:val="none"/>
        </w:rPr>
        <w:t>,</w:t>
      </w:r>
      <w:r w:rsidR="00E868F8">
        <w:rPr>
          <w:rStyle w:val="DraftingNote"/>
          <w:b w:val="0"/>
          <w:color w:val="auto"/>
          <w:u w:val="none"/>
        </w:rPr>
        <w:t xml:space="preserve"> </w:t>
      </w:r>
      <w:r w:rsidR="00CF000A">
        <w:rPr>
          <w:rStyle w:val="DraftingNote"/>
          <w:b w:val="0"/>
          <w:color w:val="auto"/>
          <w:u w:val="none"/>
        </w:rPr>
        <w:t>this paper touc</w:t>
      </w:r>
      <w:r w:rsidR="00A8337D">
        <w:rPr>
          <w:rStyle w:val="DraftingNote"/>
          <w:b w:val="0"/>
          <w:color w:val="auto"/>
          <w:u w:val="none"/>
        </w:rPr>
        <w:t>hes</w:t>
      </w:r>
      <w:r w:rsidR="00CF000A">
        <w:rPr>
          <w:rStyle w:val="DraftingNote"/>
          <w:b w:val="0"/>
          <w:color w:val="auto"/>
          <w:u w:val="none"/>
        </w:rPr>
        <w:t xml:space="preserve"> only on some of the broad themes of</w:t>
      </w:r>
      <w:r w:rsidR="0081504E">
        <w:rPr>
          <w:rStyle w:val="DraftingNote"/>
          <w:b w:val="0"/>
          <w:color w:val="auto"/>
          <w:u w:val="none"/>
        </w:rPr>
        <w:t xml:space="preserve"> regulat</w:t>
      </w:r>
      <w:r w:rsidR="00CF000A">
        <w:rPr>
          <w:rStyle w:val="DraftingNote"/>
          <w:b w:val="0"/>
          <w:color w:val="auto"/>
          <w:u w:val="none"/>
        </w:rPr>
        <w:t>ory response to technological innovation.</w:t>
      </w:r>
    </w:p>
    <w:p w14:paraId="2871E632" w14:textId="1F723251" w:rsidR="0023657B" w:rsidRDefault="00680E67" w:rsidP="0074525E">
      <w:pPr>
        <w:pStyle w:val="BodyText"/>
        <w:rPr>
          <w:rStyle w:val="DraftingNote"/>
          <w:b w:val="0"/>
          <w:color w:val="auto"/>
          <w:u w:val="none"/>
        </w:rPr>
      </w:pPr>
      <w:r>
        <w:rPr>
          <w:rStyle w:val="DraftingNote"/>
          <w:b w:val="0"/>
          <w:color w:val="auto"/>
          <w:u w:val="none"/>
        </w:rPr>
        <w:lastRenderedPageBreak/>
        <w:t>T</w:t>
      </w:r>
      <w:r w:rsidR="00E0092B">
        <w:rPr>
          <w:rStyle w:val="DraftingNote"/>
          <w:b w:val="0"/>
          <w:color w:val="auto"/>
          <w:u w:val="none"/>
        </w:rPr>
        <w:t>here</w:t>
      </w:r>
      <w:r w:rsidR="003730B5">
        <w:rPr>
          <w:rStyle w:val="DraftingNote"/>
          <w:b w:val="0"/>
          <w:color w:val="auto"/>
          <w:u w:val="none"/>
        </w:rPr>
        <w:t xml:space="preserve"> are numerous</w:t>
      </w:r>
      <w:r w:rsidR="00696910">
        <w:rPr>
          <w:rStyle w:val="DraftingNote"/>
          <w:b w:val="0"/>
          <w:color w:val="auto"/>
          <w:u w:val="none"/>
        </w:rPr>
        <w:t xml:space="preserve"> examples </w:t>
      </w:r>
      <w:r w:rsidR="00466EDE">
        <w:rPr>
          <w:rStyle w:val="DraftingNote"/>
          <w:b w:val="0"/>
          <w:color w:val="auto"/>
          <w:u w:val="none"/>
        </w:rPr>
        <w:t xml:space="preserve">of </w:t>
      </w:r>
      <w:r w:rsidR="00696910">
        <w:rPr>
          <w:rStyle w:val="DraftingNote"/>
          <w:b w:val="0"/>
          <w:color w:val="auto"/>
          <w:u w:val="none"/>
        </w:rPr>
        <w:t xml:space="preserve">how a </w:t>
      </w:r>
      <w:r w:rsidR="003730B5">
        <w:rPr>
          <w:rStyle w:val="DraftingNote"/>
          <w:b w:val="0"/>
          <w:color w:val="auto"/>
          <w:u w:val="none"/>
        </w:rPr>
        <w:t xml:space="preserve">regulatory framework developed decades ago for a different business environment can </w:t>
      </w:r>
      <w:r w:rsidR="00466EDE">
        <w:rPr>
          <w:rStyle w:val="DraftingNote"/>
          <w:b w:val="0"/>
          <w:color w:val="auto"/>
          <w:u w:val="none"/>
        </w:rPr>
        <w:t>fail</w:t>
      </w:r>
      <w:r w:rsidR="003730B5">
        <w:rPr>
          <w:rStyle w:val="DraftingNote"/>
          <w:b w:val="0"/>
          <w:color w:val="auto"/>
          <w:u w:val="none"/>
        </w:rPr>
        <w:t xml:space="preserve"> to keep pace with new developments</w:t>
      </w:r>
      <w:r w:rsidR="00842482">
        <w:rPr>
          <w:rStyle w:val="DraftingNote"/>
          <w:b w:val="0"/>
          <w:color w:val="auto"/>
          <w:u w:val="none"/>
        </w:rPr>
        <w:t xml:space="preserve"> (box </w:t>
      </w:r>
      <w:r w:rsidR="00313566">
        <w:rPr>
          <w:rStyle w:val="DraftingNote"/>
          <w:b w:val="0"/>
          <w:color w:val="auto"/>
          <w:u w:val="none"/>
        </w:rPr>
        <w:t>8</w:t>
      </w:r>
      <w:r w:rsidR="00842482">
        <w:rPr>
          <w:rStyle w:val="DraftingNote"/>
          <w:b w:val="0"/>
          <w:color w:val="auto"/>
          <w:u w:val="none"/>
        </w:rPr>
        <w:t>)</w:t>
      </w:r>
      <w:r w:rsidR="003730B5">
        <w:rPr>
          <w:rStyle w:val="DraftingNote"/>
          <w:b w:val="0"/>
          <w:color w:val="auto"/>
          <w:u w:val="none"/>
        </w:rPr>
        <w:t xml:space="preserve">. </w:t>
      </w:r>
      <w:r w:rsidR="00F62A6A">
        <w:rPr>
          <w:rStyle w:val="DraftingNote"/>
          <w:b w:val="0"/>
          <w:color w:val="auto"/>
          <w:u w:val="none"/>
        </w:rPr>
        <w:t xml:space="preserve">In </w:t>
      </w:r>
      <w:r w:rsidR="000E0C9D">
        <w:rPr>
          <w:rStyle w:val="DraftingNote"/>
          <w:b w:val="0"/>
          <w:color w:val="auto"/>
          <w:u w:val="none"/>
        </w:rPr>
        <w:t>many</w:t>
      </w:r>
      <w:r w:rsidR="00F62A6A">
        <w:rPr>
          <w:rStyle w:val="DraftingNote"/>
          <w:b w:val="0"/>
          <w:color w:val="auto"/>
          <w:u w:val="none"/>
        </w:rPr>
        <w:t xml:space="preserve"> cases, regulators fail to </w:t>
      </w:r>
      <w:r w:rsidR="0051172F">
        <w:rPr>
          <w:rStyle w:val="DraftingNote"/>
          <w:b w:val="0"/>
          <w:color w:val="auto"/>
          <w:u w:val="none"/>
        </w:rPr>
        <w:t xml:space="preserve">adapt existing or </w:t>
      </w:r>
      <w:r w:rsidR="00F62A6A">
        <w:rPr>
          <w:rStyle w:val="DraftingNote"/>
          <w:b w:val="0"/>
          <w:color w:val="auto"/>
          <w:u w:val="none"/>
        </w:rPr>
        <w:t>develop new regulator</w:t>
      </w:r>
      <w:r w:rsidR="00EA2D14">
        <w:rPr>
          <w:rStyle w:val="DraftingNote"/>
          <w:b w:val="0"/>
          <w:color w:val="auto"/>
          <w:u w:val="none"/>
        </w:rPr>
        <w:t>y</w:t>
      </w:r>
      <w:r w:rsidR="00F62A6A">
        <w:rPr>
          <w:rStyle w:val="DraftingNote"/>
          <w:b w:val="0"/>
          <w:color w:val="auto"/>
          <w:u w:val="none"/>
        </w:rPr>
        <w:t xml:space="preserve"> approaches </w:t>
      </w:r>
      <w:r w:rsidR="00A8337D">
        <w:rPr>
          <w:rStyle w:val="DraftingNote"/>
          <w:b w:val="0"/>
          <w:color w:val="auto"/>
          <w:u w:val="none"/>
        </w:rPr>
        <w:t>for</w:t>
      </w:r>
      <w:r w:rsidR="00F62A6A">
        <w:rPr>
          <w:rStyle w:val="DraftingNote"/>
          <w:b w:val="0"/>
          <w:color w:val="auto"/>
          <w:u w:val="none"/>
        </w:rPr>
        <w:t xml:space="preserve"> new business</w:t>
      </w:r>
      <w:r w:rsidR="007811E2">
        <w:rPr>
          <w:rStyle w:val="DraftingNote"/>
          <w:b w:val="0"/>
          <w:color w:val="auto"/>
          <w:u w:val="none"/>
        </w:rPr>
        <w:t xml:space="preserve"> models</w:t>
      </w:r>
      <w:r w:rsidR="00F62A6A">
        <w:rPr>
          <w:rStyle w:val="DraftingNote"/>
          <w:b w:val="0"/>
          <w:color w:val="auto"/>
          <w:u w:val="none"/>
        </w:rPr>
        <w:t xml:space="preserve"> in a timely manner. </w:t>
      </w:r>
    </w:p>
    <w:p w14:paraId="2D30189D" w14:textId="77777777" w:rsidR="003F4A9A" w:rsidRDefault="003F4A9A" w:rsidP="003F4A9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F4A9A" w14:paraId="3E6B85BA" w14:textId="77777777" w:rsidTr="00AC38FD">
        <w:trPr>
          <w:tblHeader/>
        </w:trPr>
        <w:tc>
          <w:tcPr>
            <w:tcW w:w="5000" w:type="pct"/>
            <w:tcBorders>
              <w:top w:val="single" w:sz="6" w:space="0" w:color="78A22F"/>
              <w:left w:val="nil"/>
              <w:bottom w:val="nil"/>
              <w:right w:val="nil"/>
            </w:tcBorders>
            <w:shd w:val="clear" w:color="auto" w:fill="F2F2F2"/>
          </w:tcPr>
          <w:p w14:paraId="292D0026" w14:textId="77777777" w:rsidR="003F4A9A" w:rsidRDefault="003F4A9A" w:rsidP="00AC38FD">
            <w:pPr>
              <w:pStyle w:val="BoxTitle"/>
            </w:pPr>
            <w:r>
              <w:rPr>
                <w:b w:val="0"/>
              </w:rPr>
              <w:t xml:space="preserve">Box </w:t>
            </w:r>
            <w:r>
              <w:rPr>
                <w:b w:val="0"/>
                <w:noProof/>
              </w:rPr>
              <w:t>8</w:t>
            </w:r>
            <w:r>
              <w:tab/>
              <w:t>Ridesharing and Uber</w:t>
            </w:r>
            <w:r>
              <w:noBreakHyphen/>
              <w:t>adaptable regulation</w:t>
            </w:r>
          </w:p>
        </w:tc>
      </w:tr>
      <w:tr w:rsidR="003F4A9A" w14:paraId="331B6F28" w14:textId="77777777" w:rsidTr="00AC38FD">
        <w:tc>
          <w:tcPr>
            <w:tcW w:w="5000" w:type="pct"/>
            <w:tcBorders>
              <w:top w:val="nil"/>
              <w:left w:val="nil"/>
              <w:bottom w:val="nil"/>
              <w:right w:val="nil"/>
            </w:tcBorders>
            <w:shd w:val="clear" w:color="auto" w:fill="F2F2F2"/>
          </w:tcPr>
          <w:p w14:paraId="3DF5F4D5" w14:textId="77777777" w:rsidR="003F4A9A" w:rsidRPr="007D4FB8" w:rsidRDefault="003F4A9A" w:rsidP="00AC38FD">
            <w:pPr>
              <w:pStyle w:val="Box"/>
              <w:rPr>
                <w:rStyle w:val="DraftingNote"/>
                <w:b w:val="0"/>
                <w:color w:val="auto"/>
                <w:spacing w:val="-2"/>
                <w:sz w:val="20"/>
                <w:u w:val="none"/>
              </w:rPr>
            </w:pPr>
            <w:r w:rsidRPr="007D4FB8">
              <w:rPr>
                <w:rStyle w:val="DraftingNote"/>
                <w:b w:val="0"/>
                <w:color w:val="auto"/>
                <w:spacing w:val="-2"/>
                <w:sz w:val="20"/>
                <w:u w:val="none"/>
              </w:rPr>
              <w:t>After launching in Australia in October 2012, Uber, was the first of the ‘ridesharing’ services to begin operations in this country. The Silicon Valley start</w:t>
            </w:r>
            <w:r w:rsidRPr="007D4FB8">
              <w:rPr>
                <w:rStyle w:val="DraftingNote"/>
                <w:b w:val="0"/>
                <w:color w:val="auto"/>
                <w:spacing w:val="-2"/>
                <w:sz w:val="20"/>
                <w:u w:val="none"/>
              </w:rPr>
              <w:noBreakHyphen/>
              <w:t xml:space="preserve">up was initially met with hostility from regulators who sought to apply existing taxi and car hire regulations, citing concerns for passenger safety (taxi cars have video cameras inside them while Ubers do not), worker rights (drivers are classified as independent contractors and not subject to award conditions) and equity issues for the existing taxi operators (who, unlike Uber drivers, had purchased government licenses to operate). </w:t>
            </w:r>
          </w:p>
          <w:p w14:paraId="1FBE5511" w14:textId="77777777" w:rsidR="003F4A9A" w:rsidRDefault="003F4A9A" w:rsidP="00AC38FD">
            <w:pPr>
              <w:pStyle w:val="Box"/>
              <w:rPr>
                <w:rStyle w:val="DraftingNote"/>
                <w:b w:val="0"/>
                <w:color w:val="auto"/>
                <w:sz w:val="20"/>
                <w:u w:val="none"/>
              </w:rPr>
            </w:pPr>
            <w:r>
              <w:rPr>
                <w:rStyle w:val="DraftingNote"/>
                <w:b w:val="0"/>
                <w:color w:val="auto"/>
                <w:sz w:val="20"/>
                <w:u w:val="none"/>
              </w:rPr>
              <w:t xml:space="preserve">Most of the legal issues fell under the jurisdiction of state governments, which, in many cases, tried fining (usually $1700 to $2500) individual drivers for breaches of hire car regulation. This quickly evolved into a futile cat and mouse game from the state governments’ perspective as drivers who were caught and fined were often reimbursed by Uber, removing any incentive to cease operations. </w:t>
            </w:r>
            <w:r w:rsidRPr="00947404">
              <w:t>In addition</w:t>
            </w:r>
            <w:r>
              <w:t>,</w:t>
            </w:r>
            <w:r w:rsidRPr="00947404">
              <w:t xml:space="preserve"> </w:t>
            </w:r>
            <w:r>
              <w:t>s</w:t>
            </w:r>
            <w:r w:rsidRPr="00947404">
              <w:t>tate</w:t>
            </w:r>
            <w:r>
              <w:rPr>
                <w:rStyle w:val="DraftingNote"/>
                <w:b w:val="0"/>
                <w:color w:val="auto"/>
                <w:sz w:val="20"/>
                <w:u w:val="none"/>
              </w:rPr>
              <w:t xml:space="preserve"> governments adopted tactics such as getting transport regulatory officials to order Ubers and then fine the driver on arrival, but this was countered by Uber using spyware software called </w:t>
            </w:r>
            <w:proofErr w:type="spellStart"/>
            <w:r>
              <w:rPr>
                <w:rStyle w:val="DraftingNote"/>
                <w:b w:val="0"/>
                <w:color w:val="auto"/>
                <w:sz w:val="20"/>
                <w:u w:val="none"/>
              </w:rPr>
              <w:t>Greyball</w:t>
            </w:r>
            <w:proofErr w:type="spellEnd"/>
            <w:r>
              <w:rPr>
                <w:rStyle w:val="DraftingNote"/>
                <w:b w:val="0"/>
                <w:color w:val="auto"/>
                <w:sz w:val="20"/>
                <w:u w:val="none"/>
              </w:rPr>
              <w:t>. This software would use geolocation data, credit card information, social media accounts and other data to identify regulatory officials and then ‘</w:t>
            </w:r>
            <w:proofErr w:type="spellStart"/>
            <w:r>
              <w:rPr>
                <w:rStyle w:val="DraftingNote"/>
                <w:b w:val="0"/>
                <w:color w:val="auto"/>
                <w:sz w:val="20"/>
                <w:u w:val="none"/>
              </w:rPr>
              <w:t>greyball</w:t>
            </w:r>
            <w:proofErr w:type="spellEnd"/>
            <w:r>
              <w:rPr>
                <w:rStyle w:val="DraftingNote"/>
                <w:b w:val="0"/>
                <w:color w:val="auto"/>
                <w:sz w:val="20"/>
                <w:u w:val="none"/>
              </w:rPr>
              <w:t xml:space="preserve">’ them by showing drivers in their Uber app but never having any drivers pick them up. </w:t>
            </w:r>
          </w:p>
          <w:p w14:paraId="63D21DCD" w14:textId="77777777" w:rsidR="003F4A9A" w:rsidRDefault="003F4A9A" w:rsidP="00AC38FD">
            <w:pPr>
              <w:pStyle w:val="Box"/>
              <w:rPr>
                <w:rStyle w:val="DraftingNote"/>
                <w:b w:val="0"/>
                <w:color w:val="auto"/>
                <w:sz w:val="20"/>
                <w:u w:val="none"/>
              </w:rPr>
            </w:pPr>
            <w:r>
              <w:rPr>
                <w:rStyle w:val="DraftingNote"/>
                <w:b w:val="0"/>
                <w:color w:val="auto"/>
                <w:sz w:val="20"/>
                <w:u w:val="none"/>
              </w:rPr>
              <w:t>In October 2015, in advance of Uber’s arrival in that region, the ACT became the first jurisdiction to regulate the ridesharing industry. NSW followed suit shortly after and most other states had legalised it within the two years, with the end result that Uber and other ridesharing operators only operate on a booked</w:t>
            </w:r>
            <w:r>
              <w:rPr>
                <w:rStyle w:val="DraftingNote"/>
                <w:b w:val="0"/>
                <w:color w:val="auto"/>
                <w:sz w:val="20"/>
                <w:u w:val="none"/>
              </w:rPr>
              <w:noBreakHyphen/>
              <w:t xml:space="preserve">ride basis (giving taxis exclusive rights to be hailed or use a taxi rank) and in some cases a small levy was charted on rideshare and taxi trips to compensate incumbent taxi license holders. </w:t>
            </w:r>
          </w:p>
          <w:p w14:paraId="0ECE3D42" w14:textId="77777777" w:rsidR="003F4A9A" w:rsidRDefault="003F4A9A" w:rsidP="00AC38FD">
            <w:pPr>
              <w:pStyle w:val="Box"/>
              <w:rPr>
                <w:rStyle w:val="DraftingNote"/>
                <w:b w:val="0"/>
                <w:color w:val="auto"/>
                <w:sz w:val="20"/>
                <w:u w:val="none"/>
              </w:rPr>
            </w:pPr>
            <w:r>
              <w:rPr>
                <w:rStyle w:val="DraftingNote"/>
                <w:b w:val="0"/>
                <w:color w:val="auto"/>
                <w:sz w:val="20"/>
                <w:u w:val="none"/>
              </w:rPr>
              <w:t>Ri</w:t>
            </w:r>
            <w:r w:rsidRPr="006B2866">
              <w:rPr>
                <w:rStyle w:val="DraftingNote"/>
                <w:b w:val="0"/>
                <w:color w:val="auto"/>
                <w:sz w:val="20"/>
                <w:u w:val="none"/>
              </w:rPr>
              <w:t>desharing unquestionably posed a difficult challenge to regulators</w:t>
            </w:r>
            <w:r>
              <w:rPr>
                <w:rStyle w:val="DraftingNote"/>
                <w:b w:val="0"/>
                <w:color w:val="auto"/>
                <w:sz w:val="20"/>
                <w:u w:val="none"/>
              </w:rPr>
              <w:t>.</w:t>
            </w:r>
            <w:r w:rsidRPr="006B2866">
              <w:rPr>
                <w:rStyle w:val="DraftingNote"/>
                <w:b w:val="0"/>
                <w:color w:val="auto"/>
                <w:sz w:val="20"/>
                <w:u w:val="none"/>
              </w:rPr>
              <w:t xml:space="preserve"> </w:t>
            </w:r>
            <w:r>
              <w:rPr>
                <w:rStyle w:val="DraftingNote"/>
                <w:b w:val="0"/>
                <w:color w:val="auto"/>
                <w:sz w:val="20"/>
                <w:u w:val="none"/>
              </w:rPr>
              <w:t>Authorities had little information about how well the new ridesharing business model overcame the intrinsic safety issues of taxi and hire car services</w:t>
            </w:r>
            <w:r w:rsidRPr="006B2866">
              <w:rPr>
                <w:rStyle w:val="DraftingNote"/>
                <w:b w:val="0"/>
                <w:color w:val="auto"/>
                <w:sz w:val="20"/>
                <w:u w:val="none"/>
              </w:rPr>
              <w:t>.</w:t>
            </w:r>
            <w:r>
              <w:rPr>
                <w:rStyle w:val="DraftingNote"/>
                <w:b w:val="0"/>
                <w:color w:val="auto"/>
                <w:sz w:val="20"/>
                <w:u w:val="none"/>
              </w:rPr>
              <w:t xml:space="preserve"> And Uber’s business model of using contractors to deliver the primary product of the business was very unusual in the Australian context. Finally, regulators were hindered by the inefficiency of the previous taxi regulation, which created monopolies through expensive licensing and made extension of existing regulation to new entrants hard to justify on a public benefit basis. </w:t>
            </w:r>
          </w:p>
          <w:p w14:paraId="1910C327" w14:textId="77777777" w:rsidR="003F4A9A" w:rsidRPr="00B5484B" w:rsidRDefault="003F4A9A" w:rsidP="00AC38FD">
            <w:pPr>
              <w:pStyle w:val="Box"/>
            </w:pPr>
            <w:r>
              <w:rPr>
                <w:rStyle w:val="DraftingNote"/>
                <w:b w:val="0"/>
                <w:color w:val="auto"/>
                <w:sz w:val="20"/>
                <w:u w:val="none"/>
              </w:rPr>
              <w:t xml:space="preserve">Ideally, authorities would have used the emergence of new entrants like Uber to both reduce the market power of taxi monopolies </w:t>
            </w:r>
            <w:r>
              <w:rPr>
                <w:rStyle w:val="DraftingNote"/>
                <w:b w:val="0"/>
                <w:i/>
                <w:iCs/>
                <w:color w:val="auto"/>
                <w:sz w:val="20"/>
                <w:u w:val="none"/>
              </w:rPr>
              <w:t>and</w:t>
            </w:r>
            <w:r>
              <w:rPr>
                <w:rStyle w:val="DraftingNote"/>
                <w:b w:val="0"/>
                <w:color w:val="auto"/>
                <w:sz w:val="20"/>
                <w:u w:val="none"/>
              </w:rPr>
              <w:t xml:space="preserve"> impose some regulations on the ridesharing companies where it was in the public interest to do so. </w:t>
            </w:r>
            <w:r>
              <w:t>A more proactive and time consistent approach would have created more certainty and lower costs for all relevant parties.</w:t>
            </w:r>
          </w:p>
        </w:tc>
      </w:tr>
      <w:tr w:rsidR="003F4A9A" w14:paraId="7032E52A" w14:textId="77777777" w:rsidTr="00AC38FD">
        <w:tc>
          <w:tcPr>
            <w:tcW w:w="5000" w:type="pct"/>
            <w:tcBorders>
              <w:top w:val="nil"/>
              <w:left w:val="nil"/>
              <w:bottom w:val="nil"/>
              <w:right w:val="nil"/>
            </w:tcBorders>
            <w:shd w:val="clear" w:color="auto" w:fill="F2F2F2"/>
          </w:tcPr>
          <w:p w14:paraId="3E843004" w14:textId="77777777" w:rsidR="003F4A9A" w:rsidRDefault="003F4A9A" w:rsidP="00AC38FD">
            <w:pPr>
              <w:pStyle w:val="BoxSource"/>
            </w:pPr>
            <w:r>
              <w:rPr>
                <w:i/>
              </w:rPr>
              <w:t>Sources</w:t>
            </w:r>
            <w:r w:rsidRPr="00167F06">
              <w:t>:</w:t>
            </w:r>
            <w:r>
              <w:t xml:space="preserve"> Carrie </w:t>
            </w:r>
            <w:r w:rsidRPr="00CD05C6">
              <w:rPr>
                <w:rFonts w:cs="Yu Mincho"/>
              </w:rPr>
              <w:t>(2017)</w:t>
            </w:r>
            <w:r>
              <w:t xml:space="preserve">; Grubb </w:t>
            </w:r>
            <w:r w:rsidRPr="00CD05C6">
              <w:rPr>
                <w:rFonts w:cs="Yu Mincho"/>
              </w:rPr>
              <w:t>(2014)</w:t>
            </w:r>
            <w:r>
              <w:t xml:space="preserve">; </w:t>
            </w:r>
            <w:proofErr w:type="spellStart"/>
            <w:r>
              <w:t>Remeikis</w:t>
            </w:r>
            <w:proofErr w:type="spellEnd"/>
            <w:r>
              <w:t xml:space="preserve"> </w:t>
            </w:r>
            <w:r w:rsidRPr="00855BFC">
              <w:rPr>
                <w:rFonts w:cs="Yu Mincho"/>
              </w:rPr>
              <w:t>(2016)</w:t>
            </w:r>
            <w:r>
              <w:t xml:space="preserve">; </w:t>
            </w:r>
            <w:proofErr w:type="spellStart"/>
            <w:r>
              <w:t>Sier</w:t>
            </w:r>
            <w:proofErr w:type="spellEnd"/>
            <w:r>
              <w:t xml:space="preserve"> </w:t>
            </w:r>
            <w:r w:rsidRPr="00C918F8">
              <w:rPr>
                <w:rFonts w:cs="Yu Mincho"/>
              </w:rPr>
              <w:t>(2015)</w:t>
            </w:r>
            <w:r>
              <w:t xml:space="preserve">; </w:t>
            </w:r>
            <w:proofErr w:type="spellStart"/>
            <w:r>
              <w:t>Szekely</w:t>
            </w:r>
            <w:proofErr w:type="spellEnd"/>
            <w:r>
              <w:t xml:space="preserve"> </w:t>
            </w:r>
            <w:r w:rsidRPr="00C918F8">
              <w:rPr>
                <w:rFonts w:cs="Yu Mincho"/>
              </w:rPr>
              <w:t>(2018)</w:t>
            </w:r>
            <w:r>
              <w:t xml:space="preserve">. </w:t>
            </w:r>
          </w:p>
        </w:tc>
      </w:tr>
      <w:tr w:rsidR="003F4A9A" w14:paraId="506CB91A" w14:textId="77777777" w:rsidTr="00AC38FD">
        <w:tc>
          <w:tcPr>
            <w:tcW w:w="5000" w:type="pct"/>
            <w:tcBorders>
              <w:top w:val="nil"/>
              <w:left w:val="nil"/>
              <w:bottom w:val="single" w:sz="6" w:space="0" w:color="78A22F"/>
              <w:right w:val="nil"/>
            </w:tcBorders>
            <w:shd w:val="clear" w:color="auto" w:fill="F2F2F2"/>
          </w:tcPr>
          <w:p w14:paraId="6B8E62AF" w14:textId="77777777" w:rsidR="003F4A9A" w:rsidRDefault="003F4A9A" w:rsidP="00AC38FD">
            <w:pPr>
              <w:pStyle w:val="Box"/>
              <w:spacing w:before="0" w:line="120" w:lineRule="exact"/>
            </w:pPr>
          </w:p>
        </w:tc>
      </w:tr>
      <w:tr w:rsidR="003F4A9A" w:rsidRPr="000863A5" w14:paraId="5E315DEA" w14:textId="77777777" w:rsidTr="00AC38FD">
        <w:tc>
          <w:tcPr>
            <w:tcW w:w="5000" w:type="pct"/>
            <w:tcBorders>
              <w:top w:val="single" w:sz="6" w:space="0" w:color="78A22F"/>
              <w:left w:val="nil"/>
              <w:bottom w:val="nil"/>
              <w:right w:val="nil"/>
            </w:tcBorders>
          </w:tcPr>
          <w:p w14:paraId="7605F914" w14:textId="77777777" w:rsidR="003F4A9A" w:rsidRPr="00626D32" w:rsidRDefault="003F4A9A" w:rsidP="00AC38FD">
            <w:pPr>
              <w:pStyle w:val="BoxSpaceBelow"/>
            </w:pPr>
          </w:p>
        </w:tc>
      </w:tr>
    </w:tbl>
    <w:p w14:paraId="6F89BC4E" w14:textId="06D06EEC" w:rsidR="003C57EE" w:rsidRDefault="00C46891" w:rsidP="0074525E">
      <w:pPr>
        <w:pStyle w:val="BodyText"/>
        <w:rPr>
          <w:rStyle w:val="DraftingNote"/>
          <w:b w:val="0"/>
          <w:color w:val="auto"/>
          <w:u w:val="none"/>
        </w:rPr>
      </w:pPr>
      <w:r>
        <w:rPr>
          <w:rStyle w:val="DraftingNote"/>
          <w:b w:val="0"/>
          <w:color w:val="auto"/>
          <w:u w:val="none"/>
        </w:rPr>
        <w:t xml:space="preserve">To address this </w:t>
      </w:r>
      <w:r w:rsidR="004178C3">
        <w:rPr>
          <w:rStyle w:val="DraftingNote"/>
          <w:b w:val="0"/>
          <w:color w:val="auto"/>
          <w:u w:val="none"/>
        </w:rPr>
        <w:t xml:space="preserve">issue, the Commission </w:t>
      </w:r>
      <w:r w:rsidR="004178C3" w:rsidRPr="00AD2321">
        <w:rPr>
          <w:szCs w:val="24"/>
        </w:rPr>
        <w:t>(PC 2015b, p. 228)</w:t>
      </w:r>
      <w:r w:rsidR="004178C3">
        <w:rPr>
          <w:rStyle w:val="DraftingNote"/>
          <w:b w:val="0"/>
          <w:color w:val="auto"/>
          <w:u w:val="none"/>
        </w:rPr>
        <w:t xml:space="preserve"> has previously recommended </w:t>
      </w:r>
      <w:r w:rsidR="00A721A3">
        <w:rPr>
          <w:rStyle w:val="DraftingNote"/>
          <w:b w:val="0"/>
          <w:color w:val="auto"/>
          <w:u w:val="none"/>
        </w:rPr>
        <w:t>M</w:t>
      </w:r>
      <w:r w:rsidR="004178C3">
        <w:rPr>
          <w:rStyle w:val="DraftingNote"/>
          <w:b w:val="0"/>
          <w:color w:val="auto"/>
          <w:u w:val="none"/>
        </w:rPr>
        <w:t xml:space="preserve">inisters be allowed to suspend a regulation where an entrant’s novel business model is not compatible. </w:t>
      </w:r>
      <w:r w:rsidR="004178C3" w:rsidDel="000F1B1B">
        <w:rPr>
          <w:rStyle w:val="DraftingNote"/>
          <w:b w:val="0"/>
          <w:color w:val="auto"/>
          <w:u w:val="none"/>
        </w:rPr>
        <w:t>Alternatively</w:t>
      </w:r>
      <w:r w:rsidR="004178C3">
        <w:rPr>
          <w:rStyle w:val="DraftingNote"/>
          <w:b w:val="0"/>
          <w:color w:val="auto"/>
          <w:u w:val="none"/>
        </w:rPr>
        <w:t xml:space="preserve">, regulators may take a more proactive approach with programs such as regulatory sandboxes </w:t>
      </w:r>
      <w:r w:rsidR="00E97E35">
        <w:rPr>
          <w:rStyle w:val="DraftingNote"/>
          <w:b w:val="0"/>
          <w:color w:val="auto"/>
          <w:u w:val="none"/>
        </w:rPr>
        <w:t>that</w:t>
      </w:r>
      <w:r w:rsidR="00287FDF">
        <w:rPr>
          <w:rStyle w:val="DraftingNote"/>
          <w:b w:val="0"/>
          <w:color w:val="auto"/>
          <w:u w:val="none"/>
        </w:rPr>
        <w:t xml:space="preserve"> </w:t>
      </w:r>
      <w:r w:rsidR="004178C3">
        <w:rPr>
          <w:rStyle w:val="DraftingNote"/>
          <w:b w:val="0"/>
          <w:color w:val="auto"/>
          <w:u w:val="none"/>
        </w:rPr>
        <w:t xml:space="preserve">place lower regulatory burden on firms </w:t>
      </w:r>
      <w:r w:rsidR="0017660A">
        <w:rPr>
          <w:rStyle w:val="DraftingNote"/>
          <w:b w:val="0"/>
          <w:color w:val="auto"/>
          <w:u w:val="none"/>
        </w:rPr>
        <w:t xml:space="preserve">experimenting </w:t>
      </w:r>
      <w:r w:rsidR="004178C3">
        <w:rPr>
          <w:rStyle w:val="DraftingNote"/>
          <w:b w:val="0"/>
          <w:color w:val="auto"/>
          <w:u w:val="none"/>
        </w:rPr>
        <w:t xml:space="preserve">with new models. For example, the Australian Securities and Investment Commission allows </w:t>
      </w:r>
      <w:r w:rsidR="004178C3">
        <w:rPr>
          <w:rStyle w:val="DraftingNote"/>
          <w:b w:val="0"/>
          <w:color w:val="auto"/>
          <w:u w:val="none"/>
        </w:rPr>
        <w:lastRenderedPageBreak/>
        <w:t xml:space="preserve">financial technology providers to start </w:t>
      </w:r>
      <w:r w:rsidR="00E12F7C">
        <w:rPr>
          <w:rStyle w:val="DraftingNote"/>
          <w:b w:val="0"/>
          <w:color w:val="auto"/>
          <w:u w:val="none"/>
        </w:rPr>
        <w:t xml:space="preserve">certain </w:t>
      </w:r>
      <w:r w:rsidR="004178C3">
        <w:rPr>
          <w:rStyle w:val="DraftingNote"/>
          <w:b w:val="0"/>
          <w:color w:val="auto"/>
          <w:u w:val="none"/>
        </w:rPr>
        <w:t>innovative service offerings and only require</w:t>
      </w:r>
      <w:r w:rsidR="00E767C8">
        <w:rPr>
          <w:rStyle w:val="DraftingNote"/>
          <w:b w:val="0"/>
          <w:color w:val="auto"/>
          <w:u w:val="none"/>
        </w:rPr>
        <w:t>s</w:t>
      </w:r>
      <w:r w:rsidR="004178C3">
        <w:rPr>
          <w:rStyle w:val="DraftingNote"/>
          <w:b w:val="0"/>
          <w:color w:val="auto"/>
          <w:u w:val="none"/>
        </w:rPr>
        <w:t xml:space="preserve"> them to acquire the relevant licen</w:t>
      </w:r>
      <w:r w:rsidR="00E767C8">
        <w:rPr>
          <w:rStyle w:val="DraftingNote"/>
          <w:b w:val="0"/>
          <w:color w:val="auto"/>
          <w:u w:val="none"/>
        </w:rPr>
        <w:t>s</w:t>
      </w:r>
      <w:r w:rsidR="004178C3">
        <w:rPr>
          <w:rStyle w:val="DraftingNote"/>
          <w:b w:val="0"/>
          <w:color w:val="auto"/>
          <w:u w:val="none"/>
        </w:rPr>
        <w:t xml:space="preserve">ing </w:t>
      </w:r>
      <w:r w:rsidR="00E767C8">
        <w:rPr>
          <w:rStyle w:val="DraftingNote"/>
          <w:b w:val="0"/>
          <w:color w:val="auto"/>
          <w:u w:val="none"/>
        </w:rPr>
        <w:t>once</w:t>
      </w:r>
      <w:r w:rsidR="004178C3">
        <w:rPr>
          <w:rStyle w:val="DraftingNote"/>
          <w:b w:val="0"/>
          <w:color w:val="auto"/>
          <w:u w:val="none"/>
        </w:rPr>
        <w:t xml:space="preserve"> they are viable </w:t>
      </w:r>
      <w:r w:rsidR="007C54EA" w:rsidRPr="007C54EA">
        <w:rPr>
          <w:szCs w:val="24"/>
        </w:rPr>
        <w:t>(ASIC 2020)</w:t>
      </w:r>
      <w:r w:rsidR="004178C3">
        <w:rPr>
          <w:rStyle w:val="DraftingNote"/>
          <w:b w:val="0"/>
          <w:color w:val="auto"/>
          <w:u w:val="none"/>
        </w:rPr>
        <w:t>.</w:t>
      </w:r>
    </w:p>
    <w:p w14:paraId="7D5E263B" w14:textId="20E0C449" w:rsidR="00F4126E" w:rsidRPr="00B908FA" w:rsidRDefault="00F4126E" w:rsidP="00B908FA">
      <w:pPr>
        <w:pStyle w:val="BodyText"/>
        <w:rPr>
          <w:rStyle w:val="DraftingNote"/>
          <w:b w:val="0"/>
          <w:color w:val="auto"/>
          <w:spacing w:val="-4"/>
          <w:u w:val="none"/>
        </w:rPr>
      </w:pPr>
      <w:r w:rsidRPr="00B908FA" w:rsidDel="007F1E65">
        <w:rPr>
          <w:rStyle w:val="DraftingNote"/>
          <w:b w:val="0"/>
          <w:color w:val="auto"/>
          <w:spacing w:val="-4"/>
          <w:u w:val="none"/>
        </w:rPr>
        <w:t>Aside from the regulatory response to new business models and innovations, there are parts of the regulatory framework that may hinder the diffusion of innovation and weaken competitive forces that often drive innovation</w:t>
      </w:r>
      <w:r w:rsidRPr="00B908FA">
        <w:rPr>
          <w:rStyle w:val="DraftingNote"/>
          <w:b w:val="0"/>
          <w:color w:val="auto"/>
          <w:spacing w:val="-4"/>
          <w:u w:val="none"/>
        </w:rPr>
        <w:t xml:space="preserve">. The numerous barriers to service sector imports and exports are one example of these types of regulation </w:t>
      </w:r>
      <w:r w:rsidRPr="00B908FA">
        <w:rPr>
          <w:spacing w:val="-4"/>
        </w:rPr>
        <w:t>(PC 2015a)</w:t>
      </w:r>
      <w:r w:rsidRPr="00B908FA">
        <w:rPr>
          <w:rStyle w:val="DraftingNote"/>
          <w:b w:val="0"/>
          <w:color w:val="auto"/>
          <w:spacing w:val="-4"/>
          <w:u w:val="none"/>
        </w:rPr>
        <w:t xml:space="preserve">. Reducing foreign competition in the service sector limits its productivity growth through at least three channels: it distorts the allocation of resources between different industries, limits the diffusion of innovation across borders and limits the incentive to develop new innovations by </w:t>
      </w:r>
      <w:r w:rsidR="00891E79" w:rsidRPr="00B908FA">
        <w:rPr>
          <w:rStyle w:val="DraftingNote"/>
          <w:b w:val="0"/>
          <w:color w:val="auto"/>
          <w:spacing w:val="-4"/>
          <w:u w:val="none"/>
        </w:rPr>
        <w:t xml:space="preserve">limiting the size of markets and </w:t>
      </w:r>
      <w:r w:rsidRPr="00B908FA">
        <w:rPr>
          <w:rStyle w:val="DraftingNote"/>
          <w:b w:val="0"/>
          <w:color w:val="auto"/>
          <w:spacing w:val="-4"/>
          <w:u w:val="none"/>
        </w:rPr>
        <w:t>reducing the competitive pressures</w:t>
      </w:r>
      <w:r w:rsidR="00891E79" w:rsidRPr="00B908FA">
        <w:rPr>
          <w:rStyle w:val="DraftingNote"/>
          <w:b w:val="0"/>
          <w:color w:val="auto"/>
          <w:spacing w:val="-4"/>
          <w:u w:val="none"/>
        </w:rPr>
        <w:t xml:space="preserve"> that</w:t>
      </w:r>
      <w:r w:rsidRPr="00B908FA">
        <w:rPr>
          <w:rStyle w:val="DraftingNote"/>
          <w:b w:val="0"/>
          <w:color w:val="auto"/>
          <w:spacing w:val="-4"/>
          <w:u w:val="none"/>
        </w:rPr>
        <w:t xml:space="preserve"> firms face</w:t>
      </w:r>
      <w:r w:rsidR="00132C96" w:rsidRPr="00B908FA">
        <w:rPr>
          <w:rStyle w:val="DraftingNote"/>
          <w:b w:val="0"/>
          <w:color w:val="auto"/>
          <w:spacing w:val="-4"/>
          <w:u w:val="none"/>
        </w:rPr>
        <w:t xml:space="preserve"> </w:t>
      </w:r>
      <w:r w:rsidR="00213A40" w:rsidRPr="00B908FA">
        <w:rPr>
          <w:spacing w:val="-4"/>
        </w:rPr>
        <w:t xml:space="preserve">(Acemoglu and Linn 2004; </w:t>
      </w:r>
      <w:proofErr w:type="spellStart"/>
      <w:r w:rsidR="00213A40" w:rsidRPr="00B908FA">
        <w:rPr>
          <w:spacing w:val="-4"/>
        </w:rPr>
        <w:t>Crespi</w:t>
      </w:r>
      <w:proofErr w:type="spellEnd"/>
      <w:r w:rsidR="00213A40" w:rsidRPr="00B908FA">
        <w:rPr>
          <w:spacing w:val="-4"/>
        </w:rPr>
        <w:t xml:space="preserve">, </w:t>
      </w:r>
      <w:proofErr w:type="spellStart"/>
      <w:r w:rsidR="00213A40" w:rsidRPr="00B908FA">
        <w:rPr>
          <w:spacing w:val="-4"/>
        </w:rPr>
        <w:t>Criscuolo</w:t>
      </w:r>
      <w:proofErr w:type="spellEnd"/>
      <w:r w:rsidR="00213A40" w:rsidRPr="00B908FA">
        <w:rPr>
          <w:spacing w:val="-4"/>
        </w:rPr>
        <w:t xml:space="preserve"> and </w:t>
      </w:r>
      <w:proofErr w:type="spellStart"/>
      <w:r w:rsidR="00213A40" w:rsidRPr="00B908FA">
        <w:rPr>
          <w:spacing w:val="-4"/>
        </w:rPr>
        <w:t>Haskel</w:t>
      </w:r>
      <w:proofErr w:type="spellEnd"/>
      <w:r w:rsidR="00213A40" w:rsidRPr="00B908FA">
        <w:rPr>
          <w:spacing w:val="-4"/>
        </w:rPr>
        <w:t> 2008; Melitz and Redding 2012)</w:t>
      </w:r>
      <w:r w:rsidRPr="00B908FA">
        <w:rPr>
          <w:rStyle w:val="DraftingNote"/>
          <w:b w:val="0"/>
          <w:color w:val="auto"/>
          <w:spacing w:val="-4"/>
          <w:u w:val="none"/>
        </w:rPr>
        <w:t>. Many of the recommendations that the Commission</w:t>
      </w:r>
      <w:r w:rsidR="00AB4ACE" w:rsidRPr="00B908FA">
        <w:rPr>
          <w:rStyle w:val="DraftingNote"/>
          <w:b w:val="0"/>
          <w:color w:val="auto"/>
          <w:spacing w:val="-4"/>
          <w:u w:val="none"/>
        </w:rPr>
        <w:t xml:space="preserve"> </w:t>
      </w:r>
      <w:r w:rsidR="00213A40" w:rsidRPr="00B908FA">
        <w:rPr>
          <w:spacing w:val="-4"/>
        </w:rPr>
        <w:t>(2015a)</w:t>
      </w:r>
      <w:r w:rsidRPr="00B908FA">
        <w:rPr>
          <w:rStyle w:val="DraftingNote"/>
          <w:b w:val="0"/>
          <w:color w:val="auto"/>
          <w:spacing w:val="-4"/>
          <w:u w:val="none"/>
        </w:rPr>
        <w:t xml:space="preserve"> </w:t>
      </w:r>
      <w:r w:rsidR="001F7148" w:rsidRPr="00B908FA">
        <w:rPr>
          <w:rStyle w:val="DraftingNote"/>
          <w:b w:val="0"/>
          <w:color w:val="auto"/>
          <w:spacing w:val="-4"/>
          <w:u w:val="none"/>
        </w:rPr>
        <w:t>has</w:t>
      </w:r>
      <w:r w:rsidRPr="00B908FA">
        <w:rPr>
          <w:rStyle w:val="DraftingNote"/>
          <w:b w:val="0"/>
          <w:color w:val="auto"/>
          <w:spacing w:val="-4"/>
          <w:u w:val="none"/>
        </w:rPr>
        <w:t xml:space="preserve"> previously made, such as removing barriers to foreign airlines operating in domestic airports and consistency in the screening thresholds for foreign investment between different countries of origin, appear to be still relevant.</w:t>
      </w:r>
    </w:p>
    <w:p w14:paraId="40732136" w14:textId="4C3AF661" w:rsidR="00CB6047" w:rsidRDefault="00355DE1" w:rsidP="00AC38FD">
      <w:pPr>
        <w:pStyle w:val="Heading2"/>
      </w:pPr>
      <w:bookmarkStart w:id="13" w:name="_Toc67912999"/>
      <w:r>
        <w:t>6</w:t>
      </w:r>
      <w:r w:rsidR="007D3843">
        <w:tab/>
        <w:t>Conclusion</w:t>
      </w:r>
      <w:bookmarkEnd w:id="13"/>
    </w:p>
    <w:p w14:paraId="5EB49963" w14:textId="36387711" w:rsidR="007D3843" w:rsidRPr="007D4FB8" w:rsidRDefault="007D3843" w:rsidP="007D3843">
      <w:pPr>
        <w:pStyle w:val="BodyText"/>
        <w:rPr>
          <w:spacing w:val="-2"/>
        </w:rPr>
      </w:pPr>
      <w:r w:rsidRPr="007D4FB8">
        <w:rPr>
          <w:spacing w:val="-2"/>
        </w:rPr>
        <w:t xml:space="preserve">The service sector has come to </w:t>
      </w:r>
      <w:r w:rsidR="009B2FDD" w:rsidRPr="007D4FB8">
        <w:rPr>
          <w:spacing w:val="-2"/>
        </w:rPr>
        <w:t xml:space="preserve">account for </w:t>
      </w:r>
      <w:r w:rsidR="008823E0" w:rsidRPr="007D4FB8">
        <w:rPr>
          <w:spacing w:val="-2"/>
        </w:rPr>
        <w:t>a large share</w:t>
      </w:r>
      <w:r w:rsidR="009B2FDD" w:rsidRPr="007D4FB8">
        <w:rPr>
          <w:spacing w:val="-2"/>
        </w:rPr>
        <w:t xml:space="preserve"> of economic activity in Australia and other developed nations</w:t>
      </w:r>
      <w:r w:rsidR="002D31F6" w:rsidRPr="007D4FB8">
        <w:rPr>
          <w:spacing w:val="-2"/>
        </w:rPr>
        <w:t xml:space="preserve"> and will likely continue to grow into the future</w:t>
      </w:r>
      <w:r w:rsidR="009B2FDD" w:rsidRPr="007D4FB8">
        <w:rPr>
          <w:spacing w:val="-2"/>
        </w:rPr>
        <w:t xml:space="preserve">. </w:t>
      </w:r>
      <w:r w:rsidR="004E5D32" w:rsidRPr="007D4FB8">
        <w:rPr>
          <w:spacing w:val="-2"/>
        </w:rPr>
        <w:t>This presents a set of challenges and opportunities.</w:t>
      </w:r>
      <w:r w:rsidR="00F3121B" w:rsidRPr="007D4FB8">
        <w:rPr>
          <w:spacing w:val="-2"/>
        </w:rPr>
        <w:t xml:space="preserve"> </w:t>
      </w:r>
      <w:r w:rsidR="008823E0" w:rsidRPr="007D4FB8">
        <w:rPr>
          <w:spacing w:val="-2"/>
        </w:rPr>
        <w:t>M</w:t>
      </w:r>
      <w:r w:rsidR="00386226" w:rsidRPr="007D4FB8">
        <w:rPr>
          <w:spacing w:val="-2"/>
        </w:rPr>
        <w:t xml:space="preserve">easuring </w:t>
      </w:r>
      <w:r w:rsidR="008823E0" w:rsidRPr="007D4FB8">
        <w:rPr>
          <w:spacing w:val="-2"/>
        </w:rPr>
        <w:t>changes in service</w:t>
      </w:r>
      <w:r w:rsidR="001C5E57" w:rsidRPr="007D4FB8">
        <w:rPr>
          <w:spacing w:val="-2"/>
        </w:rPr>
        <w:t xml:space="preserve"> </w:t>
      </w:r>
      <w:r w:rsidR="008823E0" w:rsidRPr="007D4FB8">
        <w:rPr>
          <w:spacing w:val="-2"/>
        </w:rPr>
        <w:t>sector</w:t>
      </w:r>
      <w:r w:rsidR="00386226" w:rsidRPr="007D4FB8">
        <w:rPr>
          <w:spacing w:val="-2"/>
        </w:rPr>
        <w:t xml:space="preserve"> productivity is one of those </w:t>
      </w:r>
      <w:proofErr w:type="gramStart"/>
      <w:r w:rsidR="00386226" w:rsidRPr="007D4FB8">
        <w:rPr>
          <w:spacing w:val="-2"/>
        </w:rPr>
        <w:t>challenges</w:t>
      </w:r>
      <w:r w:rsidR="00DF2E50" w:rsidRPr="007D4FB8">
        <w:rPr>
          <w:spacing w:val="-2"/>
        </w:rPr>
        <w:t>, a</w:t>
      </w:r>
      <w:r w:rsidR="00386226" w:rsidRPr="007D4FB8">
        <w:rPr>
          <w:spacing w:val="-2"/>
        </w:rPr>
        <w:t>nd</w:t>
      </w:r>
      <w:proofErr w:type="gramEnd"/>
      <w:r w:rsidR="00386226" w:rsidRPr="007D4FB8">
        <w:rPr>
          <w:spacing w:val="-2"/>
        </w:rPr>
        <w:t xml:space="preserve"> </w:t>
      </w:r>
      <w:r w:rsidR="00DF2E50" w:rsidRPr="007D4FB8">
        <w:rPr>
          <w:spacing w:val="-2"/>
        </w:rPr>
        <w:t>designing appropriate</w:t>
      </w:r>
      <w:r w:rsidR="00386226" w:rsidRPr="007D4FB8">
        <w:rPr>
          <w:spacing w:val="-2"/>
        </w:rPr>
        <w:t xml:space="preserve"> </w:t>
      </w:r>
      <w:r w:rsidR="00DF2E50" w:rsidRPr="007D4FB8">
        <w:rPr>
          <w:spacing w:val="-2"/>
        </w:rPr>
        <w:t xml:space="preserve">regulatory frameworks in response </w:t>
      </w:r>
      <w:r w:rsidR="002D31F6" w:rsidRPr="007D4FB8">
        <w:rPr>
          <w:spacing w:val="-2"/>
        </w:rPr>
        <w:t xml:space="preserve">to </w:t>
      </w:r>
      <w:r w:rsidR="00DB22FD" w:rsidRPr="007D4FB8">
        <w:rPr>
          <w:spacing w:val="-2"/>
        </w:rPr>
        <w:t>novel business structures as they emerge is another. These issues are best addressed with respect to the particular industry in question and for that reason</w:t>
      </w:r>
      <w:r w:rsidR="00CF2F0D" w:rsidRPr="007D4FB8">
        <w:rPr>
          <w:spacing w:val="-2"/>
        </w:rPr>
        <w:t>,</w:t>
      </w:r>
      <w:r w:rsidR="00DB22FD" w:rsidRPr="007D4FB8">
        <w:rPr>
          <w:spacing w:val="-2"/>
        </w:rPr>
        <w:t xml:space="preserve"> the Commission </w:t>
      </w:r>
      <w:r w:rsidR="00316EA3" w:rsidRPr="007D4FB8">
        <w:rPr>
          <w:spacing w:val="-2"/>
        </w:rPr>
        <w:t xml:space="preserve">has decided to </w:t>
      </w:r>
      <w:r w:rsidR="00C22E9D" w:rsidRPr="007D4FB8">
        <w:rPr>
          <w:spacing w:val="-2"/>
        </w:rPr>
        <w:t>undertake further work</w:t>
      </w:r>
      <w:r w:rsidR="00316EA3" w:rsidRPr="007D4FB8">
        <w:rPr>
          <w:spacing w:val="-2"/>
        </w:rPr>
        <w:t xml:space="preserve"> on </w:t>
      </w:r>
      <w:r w:rsidR="00E20E46" w:rsidRPr="007D4FB8">
        <w:rPr>
          <w:spacing w:val="-2"/>
        </w:rPr>
        <w:t>certain</w:t>
      </w:r>
      <w:r w:rsidR="00316EA3" w:rsidRPr="007D4FB8">
        <w:rPr>
          <w:spacing w:val="-2"/>
        </w:rPr>
        <w:t xml:space="preserve"> service industries with the aim of </w:t>
      </w:r>
      <w:r w:rsidR="00445888" w:rsidRPr="007D4FB8">
        <w:rPr>
          <w:spacing w:val="-2"/>
        </w:rPr>
        <w:t>shedding</w:t>
      </w:r>
      <w:r w:rsidR="00316EA3" w:rsidRPr="007D4FB8">
        <w:rPr>
          <w:spacing w:val="-2"/>
        </w:rPr>
        <w:t xml:space="preserve"> light on the</w:t>
      </w:r>
      <w:r w:rsidR="00477B8E" w:rsidRPr="007D4FB8">
        <w:rPr>
          <w:spacing w:val="-2"/>
        </w:rPr>
        <w:t>ir</w:t>
      </w:r>
      <w:r w:rsidR="00316EA3" w:rsidRPr="007D4FB8">
        <w:rPr>
          <w:spacing w:val="-2"/>
        </w:rPr>
        <w:t xml:space="preserve"> particular characteristics and how the</w:t>
      </w:r>
      <w:r w:rsidR="008823E0" w:rsidRPr="007D4FB8">
        <w:rPr>
          <w:spacing w:val="-2"/>
        </w:rPr>
        <w:t>y</w:t>
      </w:r>
      <w:r w:rsidR="00316EA3" w:rsidRPr="007D4FB8">
        <w:rPr>
          <w:spacing w:val="-2"/>
        </w:rPr>
        <w:t xml:space="preserve"> differ</w:t>
      </w:r>
      <w:r w:rsidR="00445888" w:rsidRPr="007D4FB8">
        <w:rPr>
          <w:spacing w:val="-2"/>
        </w:rPr>
        <w:t xml:space="preserve">. </w:t>
      </w:r>
      <w:r w:rsidR="00C22E9D" w:rsidRPr="007D4FB8">
        <w:rPr>
          <w:spacing w:val="-2"/>
        </w:rPr>
        <w:t>This paper provided an overview of key aspects of services in the Australian economy to set the scene for the individual analyses to follow.</w:t>
      </w:r>
    </w:p>
    <w:p w14:paraId="6C0EC1F7" w14:textId="637EBB76" w:rsidR="00CB6047" w:rsidRDefault="000A1812" w:rsidP="007D3843">
      <w:pPr>
        <w:pStyle w:val="BodyText"/>
      </w:pPr>
      <w:r>
        <w:t>COVID</w:t>
      </w:r>
      <w:r>
        <w:noBreakHyphen/>
        <w:t>19 has forced businesses, consumers and workers to experiment with remote delivery technology</w:t>
      </w:r>
      <w:r w:rsidR="00F80EA0">
        <w:t xml:space="preserve">, and </w:t>
      </w:r>
      <w:r w:rsidR="008823E0">
        <w:t xml:space="preserve">in doing </w:t>
      </w:r>
      <w:r w:rsidR="00F80EA0">
        <w:t>so</w:t>
      </w:r>
      <w:r w:rsidR="00205B66">
        <w:t>,</w:t>
      </w:r>
      <w:r w:rsidR="00F80EA0">
        <w:t xml:space="preserve"> demonstrated the potential </w:t>
      </w:r>
      <w:r w:rsidR="000800EF">
        <w:t>for technology to alter the characteristics of many services</w:t>
      </w:r>
      <w:r w:rsidR="006D0B6E" w:rsidRPr="006D0B6E">
        <w:t xml:space="preserve"> </w:t>
      </w:r>
      <w:r w:rsidR="006D0B6E">
        <w:t>and thus their potential for productivity growth</w:t>
      </w:r>
      <w:r w:rsidR="00A559AA">
        <w:t xml:space="preserve">. </w:t>
      </w:r>
    </w:p>
    <w:p w14:paraId="70AA01EE" w14:textId="4D17B858" w:rsidR="004A1CB6" w:rsidRDefault="004A1CB6">
      <w:r>
        <w:br w:type="page"/>
      </w:r>
    </w:p>
    <w:p w14:paraId="553640AA" w14:textId="41965157" w:rsidR="00FC6D1C" w:rsidRDefault="004A1CB6" w:rsidP="00AC38FD">
      <w:pPr>
        <w:pStyle w:val="Heading2"/>
      </w:pPr>
      <w:bookmarkStart w:id="14" w:name="_Toc67913000"/>
      <w:r>
        <w:lastRenderedPageBreak/>
        <w:t>References</w:t>
      </w:r>
      <w:bookmarkEnd w:id="14"/>
    </w:p>
    <w:p w14:paraId="2AA9C87F" w14:textId="12531522" w:rsidR="00213A40" w:rsidRPr="007D4FB8" w:rsidRDefault="00213A40" w:rsidP="00F114F4">
      <w:pPr>
        <w:pStyle w:val="Reference"/>
        <w:spacing w:before="100"/>
        <w:rPr>
          <w:spacing w:val="-4"/>
        </w:rPr>
      </w:pPr>
      <w:proofErr w:type="spellStart"/>
      <w:r w:rsidRPr="007D4FB8">
        <w:rPr>
          <w:spacing w:val="-4"/>
        </w:rPr>
        <w:t>Abramovsky</w:t>
      </w:r>
      <w:proofErr w:type="spellEnd"/>
      <w:r w:rsidRPr="007D4FB8">
        <w:rPr>
          <w:spacing w:val="-4"/>
        </w:rPr>
        <w:t xml:space="preserve">, L. and Griffith, R. 2006, ‘Outsourcing and offshoring of business services: How important is ICT?’, Oxford University Press, </w:t>
      </w:r>
      <w:r w:rsidRPr="007D4FB8">
        <w:rPr>
          <w:i/>
          <w:iCs/>
          <w:spacing w:val="-4"/>
        </w:rPr>
        <w:t>Journal of the European Economic Association</w:t>
      </w:r>
      <w:r w:rsidRPr="007D4FB8">
        <w:rPr>
          <w:spacing w:val="-4"/>
        </w:rPr>
        <w:t>, vol. 4, no. 2–3, pp. 594–601.</w:t>
      </w:r>
    </w:p>
    <w:p w14:paraId="4E7D7AFD" w14:textId="77777777" w:rsidR="00213A40" w:rsidRPr="007D4FB8" w:rsidRDefault="00213A40" w:rsidP="00F114F4">
      <w:pPr>
        <w:pStyle w:val="Reference"/>
        <w:spacing w:before="100"/>
        <w:rPr>
          <w:spacing w:val="-4"/>
        </w:rPr>
      </w:pPr>
      <w:r w:rsidRPr="007D4FB8">
        <w:rPr>
          <w:spacing w:val="-4"/>
        </w:rPr>
        <w:t xml:space="preserve">——, —— and </w:t>
      </w:r>
      <w:proofErr w:type="spellStart"/>
      <w:r w:rsidRPr="007D4FB8">
        <w:rPr>
          <w:spacing w:val="-4"/>
        </w:rPr>
        <w:t>Sako</w:t>
      </w:r>
      <w:proofErr w:type="spellEnd"/>
      <w:r w:rsidRPr="007D4FB8">
        <w:rPr>
          <w:spacing w:val="-4"/>
        </w:rPr>
        <w:t xml:space="preserve">, M. 2004, ‘Offshoring of business services and its impact on the UK economy’, </w:t>
      </w:r>
      <w:r w:rsidRPr="007D4FB8">
        <w:rPr>
          <w:i/>
          <w:iCs/>
          <w:spacing w:val="-4"/>
        </w:rPr>
        <w:t>Advanced Institute Management (AIM) Research, November</w:t>
      </w:r>
      <w:r w:rsidRPr="007D4FB8">
        <w:rPr>
          <w:spacing w:val="-4"/>
        </w:rPr>
        <w:t>.</w:t>
      </w:r>
    </w:p>
    <w:p w14:paraId="3EE4275C" w14:textId="77777777" w:rsidR="00213A40" w:rsidRPr="007D4FB8" w:rsidRDefault="00213A40" w:rsidP="00F114F4">
      <w:pPr>
        <w:pStyle w:val="Reference"/>
        <w:spacing w:before="100"/>
        <w:rPr>
          <w:spacing w:val="-4"/>
        </w:rPr>
      </w:pPr>
      <w:r w:rsidRPr="007D4FB8">
        <w:rPr>
          <w:spacing w:val="-4"/>
        </w:rPr>
        <w:t xml:space="preserve">ABS (Australian Bureau of Statistics) 2015, </w:t>
      </w:r>
      <w:r w:rsidRPr="007D4FB8">
        <w:rPr>
          <w:i/>
          <w:iCs/>
          <w:spacing w:val="-4"/>
        </w:rPr>
        <w:t>Australian System of National Accounts Concepts, Sources and Methods</w:t>
      </w:r>
      <w:r w:rsidRPr="007D4FB8">
        <w:rPr>
          <w:spacing w:val="-4"/>
        </w:rPr>
        <w:t>, Catalogue No. 5216.0, Canberra.</w:t>
      </w:r>
    </w:p>
    <w:p w14:paraId="51C6BA08" w14:textId="76E7012F" w:rsidR="00213A40" w:rsidRPr="007D4FB8" w:rsidRDefault="00213A40" w:rsidP="00F114F4">
      <w:pPr>
        <w:pStyle w:val="Reference"/>
        <w:spacing w:before="100"/>
        <w:rPr>
          <w:spacing w:val="-4"/>
        </w:rPr>
      </w:pPr>
      <w:r w:rsidRPr="007D4FB8">
        <w:rPr>
          <w:spacing w:val="-4"/>
        </w:rPr>
        <w:t>——</w:t>
      </w:r>
      <w:r w:rsidR="00F114F4">
        <w:rPr>
          <w:spacing w:val="-4"/>
        </w:rPr>
        <w:t xml:space="preserve"> </w:t>
      </w:r>
      <w:r w:rsidRPr="007D4FB8">
        <w:rPr>
          <w:spacing w:val="-4"/>
        </w:rPr>
        <w:t xml:space="preserve">2020a, </w:t>
      </w:r>
      <w:r w:rsidRPr="007D4FB8">
        <w:rPr>
          <w:i/>
          <w:iCs/>
          <w:spacing w:val="-4"/>
        </w:rPr>
        <w:t>Australian System of National Accounts, 2019-20</w:t>
      </w:r>
      <w:r w:rsidRPr="007D4FB8">
        <w:rPr>
          <w:spacing w:val="-4"/>
        </w:rPr>
        <w:t>, Cat. No. 5204.0.</w:t>
      </w:r>
    </w:p>
    <w:p w14:paraId="4FDB94EE" w14:textId="20AAEFDB" w:rsidR="00213A40" w:rsidRPr="007D4FB8" w:rsidRDefault="00213A40" w:rsidP="00F114F4">
      <w:pPr>
        <w:pStyle w:val="Reference"/>
        <w:spacing w:before="100"/>
        <w:rPr>
          <w:spacing w:val="-4"/>
        </w:rPr>
      </w:pPr>
      <w:r w:rsidRPr="007D4FB8">
        <w:rPr>
          <w:spacing w:val="-4"/>
        </w:rPr>
        <w:t>——</w:t>
      </w:r>
      <w:r w:rsidR="00F114F4">
        <w:rPr>
          <w:spacing w:val="-4"/>
        </w:rPr>
        <w:t> </w:t>
      </w:r>
      <w:r w:rsidRPr="007D4FB8">
        <w:rPr>
          <w:spacing w:val="-4"/>
        </w:rPr>
        <w:t xml:space="preserve">2020b, </w:t>
      </w:r>
      <w:r w:rsidRPr="007D4FB8">
        <w:rPr>
          <w:i/>
          <w:iCs/>
          <w:spacing w:val="-4"/>
        </w:rPr>
        <w:t>Characteristics of Employment, 2014 to 2020</w:t>
      </w:r>
      <w:r w:rsidRPr="007D4FB8">
        <w:rPr>
          <w:spacing w:val="-4"/>
        </w:rPr>
        <w:t>, https://www.abs.gov.au/</w:t>
      </w:r>
      <w:r w:rsidR="00F114F4">
        <w:rPr>
          <w:spacing w:val="-4"/>
        </w:rPr>
        <w:br/>
      </w:r>
      <w:r w:rsidRPr="007D4FB8">
        <w:rPr>
          <w:spacing w:val="-4"/>
        </w:rPr>
        <w:t>AUSSTATS/abs@.nsf/Lookup/6333.0.00.001Main+Features1Australia?OpenDocument (accessed 21 January 2021).</w:t>
      </w:r>
    </w:p>
    <w:p w14:paraId="35ED4800" w14:textId="10AACFB7" w:rsidR="00213A40" w:rsidRPr="007D4FB8" w:rsidRDefault="00213A40" w:rsidP="00F114F4">
      <w:pPr>
        <w:pStyle w:val="Reference"/>
        <w:spacing w:before="100"/>
        <w:rPr>
          <w:spacing w:val="-4"/>
        </w:rPr>
      </w:pPr>
      <w:r w:rsidRPr="007D4FB8">
        <w:rPr>
          <w:spacing w:val="-4"/>
        </w:rPr>
        <w:t>——</w:t>
      </w:r>
      <w:r w:rsidR="00F114F4">
        <w:rPr>
          <w:spacing w:val="-4"/>
        </w:rPr>
        <w:t> </w:t>
      </w:r>
      <w:r w:rsidRPr="007D4FB8">
        <w:rPr>
          <w:spacing w:val="-4"/>
        </w:rPr>
        <w:t xml:space="preserve">2020c, </w:t>
      </w:r>
      <w:r w:rsidRPr="007D4FB8">
        <w:rPr>
          <w:i/>
          <w:iCs/>
          <w:spacing w:val="-4"/>
        </w:rPr>
        <w:t>Household Impacts of COVID-19 Survey</w:t>
      </w:r>
      <w:r w:rsidRPr="007D4FB8">
        <w:rPr>
          <w:spacing w:val="-4"/>
        </w:rPr>
        <w:t>, ABS.</w:t>
      </w:r>
    </w:p>
    <w:p w14:paraId="6AF00429" w14:textId="0F23349E" w:rsidR="00213A40" w:rsidRPr="007D4FB8" w:rsidRDefault="00213A40" w:rsidP="00F114F4">
      <w:pPr>
        <w:pStyle w:val="Reference"/>
        <w:spacing w:before="100"/>
        <w:rPr>
          <w:spacing w:val="-4"/>
        </w:rPr>
      </w:pPr>
      <w:r w:rsidRPr="007D4FB8">
        <w:rPr>
          <w:spacing w:val="-4"/>
        </w:rPr>
        <w:t>——</w:t>
      </w:r>
      <w:r w:rsidR="00F114F4">
        <w:rPr>
          <w:spacing w:val="-4"/>
        </w:rPr>
        <w:t> </w:t>
      </w:r>
      <w:r w:rsidRPr="007D4FB8">
        <w:rPr>
          <w:spacing w:val="-4"/>
        </w:rPr>
        <w:t xml:space="preserve">2020d, </w:t>
      </w:r>
      <w:r w:rsidRPr="007D4FB8">
        <w:rPr>
          <w:i/>
          <w:iCs/>
          <w:spacing w:val="-4"/>
        </w:rPr>
        <w:t>Labour Force, Australia, Detailed - Electronic Delivery, October 2020</w:t>
      </w:r>
      <w:r w:rsidRPr="007D4FB8">
        <w:rPr>
          <w:spacing w:val="-4"/>
        </w:rPr>
        <w:t>, Cat. no. 6291.0.55.001.</w:t>
      </w:r>
    </w:p>
    <w:p w14:paraId="14DC82C5" w14:textId="0D1F8F59" w:rsidR="00213A40" w:rsidRPr="007D4FB8" w:rsidRDefault="00213A40" w:rsidP="00F114F4">
      <w:pPr>
        <w:pStyle w:val="Reference"/>
        <w:spacing w:before="100"/>
        <w:rPr>
          <w:spacing w:val="-4"/>
        </w:rPr>
      </w:pPr>
      <w:r w:rsidRPr="007D4FB8">
        <w:rPr>
          <w:spacing w:val="-4"/>
        </w:rPr>
        <w:t>——</w:t>
      </w:r>
      <w:r w:rsidR="00F114F4">
        <w:rPr>
          <w:spacing w:val="-4"/>
        </w:rPr>
        <w:t> </w:t>
      </w:r>
      <w:r w:rsidRPr="007D4FB8">
        <w:rPr>
          <w:spacing w:val="-4"/>
        </w:rPr>
        <w:t xml:space="preserve">2020e, </w:t>
      </w:r>
      <w:r w:rsidRPr="007D4FB8">
        <w:rPr>
          <w:i/>
          <w:iCs/>
          <w:spacing w:val="-4"/>
        </w:rPr>
        <w:t>Non-market output measures in the Australian National Accounts: a conceptual framework for enhancements, 2020</w:t>
      </w:r>
      <w:r w:rsidRPr="007D4FB8">
        <w:rPr>
          <w:spacing w:val="-4"/>
        </w:rPr>
        <w:t>, Cat. No. 5900.0.00.000.</w:t>
      </w:r>
    </w:p>
    <w:p w14:paraId="6A918C5E" w14:textId="1C5FC23A" w:rsidR="00213A40" w:rsidRPr="007D4FB8" w:rsidRDefault="00213A40" w:rsidP="00F114F4">
      <w:pPr>
        <w:pStyle w:val="Reference"/>
        <w:spacing w:before="100"/>
        <w:rPr>
          <w:spacing w:val="-4"/>
        </w:rPr>
      </w:pPr>
      <w:r w:rsidRPr="007D4FB8">
        <w:rPr>
          <w:spacing w:val="-4"/>
        </w:rPr>
        <w:t>——</w:t>
      </w:r>
      <w:r w:rsidR="00F114F4">
        <w:rPr>
          <w:spacing w:val="-4"/>
        </w:rPr>
        <w:t> </w:t>
      </w:r>
      <w:r w:rsidRPr="007D4FB8">
        <w:rPr>
          <w:spacing w:val="-4"/>
        </w:rPr>
        <w:t xml:space="preserve">2020f, </w:t>
      </w:r>
      <w:r w:rsidRPr="007D4FB8">
        <w:rPr>
          <w:i/>
          <w:iCs/>
          <w:spacing w:val="-4"/>
        </w:rPr>
        <w:t>Weekly Payroll Jobs and Wages in Australia, 14 November 2020</w:t>
      </w:r>
      <w:r w:rsidRPr="007D4FB8">
        <w:rPr>
          <w:spacing w:val="-4"/>
        </w:rPr>
        <w:t>, Cat. no. 6160.0.55.001.</w:t>
      </w:r>
    </w:p>
    <w:p w14:paraId="6CC2D2F4" w14:textId="054C1A12" w:rsidR="00213A40" w:rsidRPr="007D4FB8" w:rsidRDefault="00213A40" w:rsidP="00F114F4">
      <w:pPr>
        <w:pStyle w:val="Reference"/>
        <w:spacing w:before="100"/>
        <w:rPr>
          <w:spacing w:val="-4"/>
        </w:rPr>
      </w:pPr>
      <w:r w:rsidRPr="007D4FB8">
        <w:rPr>
          <w:spacing w:val="-4"/>
        </w:rPr>
        <w:t xml:space="preserve">Acemoglu, D. and Autor, D. 2010, </w:t>
      </w:r>
      <w:r w:rsidRPr="007D4FB8">
        <w:rPr>
          <w:i/>
          <w:iCs/>
          <w:spacing w:val="-4"/>
        </w:rPr>
        <w:t>Skills, Tasks and Technologies: Implications for Employment and Earnings</w:t>
      </w:r>
      <w:r w:rsidRPr="007D4FB8">
        <w:rPr>
          <w:spacing w:val="-4"/>
        </w:rPr>
        <w:t>, https://search.proquest.com/docview/1687808228?accountid=12528&amp;rfr_</w:t>
      </w:r>
      <w:r w:rsidR="00F114F4">
        <w:rPr>
          <w:spacing w:val="-4"/>
        </w:rPr>
        <w:br/>
      </w:r>
      <w:r w:rsidRPr="007D4FB8">
        <w:rPr>
          <w:spacing w:val="-4"/>
        </w:rPr>
        <w:t>id=info%3Axri%2Fsid%3Aprimo (accessed 2 November 2020).</w:t>
      </w:r>
    </w:p>
    <w:p w14:paraId="0923CE8F" w14:textId="77777777" w:rsidR="00213A40" w:rsidRPr="00F114F4" w:rsidRDefault="00213A40" w:rsidP="00F114F4">
      <w:pPr>
        <w:pStyle w:val="Reference"/>
        <w:spacing w:before="100"/>
        <w:rPr>
          <w:spacing w:val="-6"/>
        </w:rPr>
      </w:pPr>
      <w:r w:rsidRPr="00F114F4">
        <w:rPr>
          <w:spacing w:val="-6"/>
        </w:rPr>
        <w:t xml:space="preserve">—— and Linn, J. 2004, ‘Market Size in Innovation: Theory and Evidence from the Pharmaceutical Industry’, </w:t>
      </w:r>
      <w:r w:rsidRPr="00F114F4">
        <w:rPr>
          <w:i/>
          <w:iCs/>
          <w:spacing w:val="-6"/>
        </w:rPr>
        <w:t>The Quarterly Journal of Economics</w:t>
      </w:r>
      <w:r w:rsidRPr="00F114F4">
        <w:rPr>
          <w:spacing w:val="-6"/>
        </w:rPr>
        <w:t>, vol. 119, no. 3, pp. 1049–1090.</w:t>
      </w:r>
    </w:p>
    <w:p w14:paraId="3DB7F76D" w14:textId="77777777" w:rsidR="00213A40" w:rsidRPr="007D4FB8" w:rsidRDefault="00213A40" w:rsidP="00F114F4">
      <w:pPr>
        <w:pStyle w:val="Reference"/>
        <w:spacing w:before="100"/>
        <w:rPr>
          <w:spacing w:val="-4"/>
        </w:rPr>
      </w:pPr>
      <w:r w:rsidRPr="007D4FB8">
        <w:rPr>
          <w:spacing w:val="-4"/>
        </w:rPr>
        <w:t xml:space="preserve">Andrews, D., </w:t>
      </w:r>
      <w:proofErr w:type="spellStart"/>
      <w:r w:rsidRPr="007D4FB8">
        <w:rPr>
          <w:spacing w:val="-4"/>
        </w:rPr>
        <w:t>Criscuolo</w:t>
      </w:r>
      <w:proofErr w:type="spellEnd"/>
      <w:r w:rsidRPr="007D4FB8">
        <w:rPr>
          <w:spacing w:val="-4"/>
        </w:rPr>
        <w:t xml:space="preserve">, C. and Gal, P. 2015, </w:t>
      </w:r>
      <w:r w:rsidRPr="007D4FB8">
        <w:rPr>
          <w:i/>
          <w:iCs/>
          <w:spacing w:val="-4"/>
        </w:rPr>
        <w:t>Frontier firms, technology diffusion and public policy: micro evidence from OECD countries</w:t>
      </w:r>
      <w:r w:rsidRPr="007D4FB8">
        <w:rPr>
          <w:spacing w:val="-4"/>
        </w:rPr>
        <w:t>, The Future of Productivity: Main Background papers, OECD.</w:t>
      </w:r>
    </w:p>
    <w:p w14:paraId="559BE245" w14:textId="77777777" w:rsidR="00213A40" w:rsidRPr="007D4FB8" w:rsidRDefault="00213A40" w:rsidP="00F114F4">
      <w:pPr>
        <w:pStyle w:val="Reference"/>
        <w:spacing w:before="100"/>
        <w:rPr>
          <w:spacing w:val="-4"/>
        </w:rPr>
      </w:pPr>
      <w:r w:rsidRPr="007D4FB8">
        <w:rPr>
          <w:spacing w:val="-4"/>
        </w:rPr>
        <w:t xml:space="preserve">——, —— and Peter, G. 2016, </w:t>
      </w:r>
      <w:r w:rsidRPr="007D4FB8">
        <w:rPr>
          <w:i/>
          <w:iCs/>
          <w:spacing w:val="-4"/>
        </w:rPr>
        <w:t>The best versus the rest: the global productivity slowdown, divergence across firms and the role of public policy</w:t>
      </w:r>
      <w:r w:rsidRPr="007D4FB8">
        <w:rPr>
          <w:spacing w:val="-4"/>
        </w:rPr>
        <w:t>, OECD productivity working papers, 5, OECD Publishing.</w:t>
      </w:r>
    </w:p>
    <w:p w14:paraId="58444A74" w14:textId="77777777" w:rsidR="00213A40" w:rsidRPr="007D4FB8" w:rsidRDefault="00213A40" w:rsidP="00F114F4">
      <w:pPr>
        <w:pStyle w:val="Reference"/>
        <w:spacing w:before="100"/>
        <w:rPr>
          <w:spacing w:val="-4"/>
        </w:rPr>
      </w:pPr>
      <w:r w:rsidRPr="007D4FB8">
        <w:rPr>
          <w:spacing w:val="-4"/>
        </w:rPr>
        <w:t xml:space="preserve">Andrews, M.J., Stewart, M.B., </w:t>
      </w:r>
      <w:proofErr w:type="spellStart"/>
      <w:r w:rsidRPr="007D4FB8">
        <w:rPr>
          <w:spacing w:val="-4"/>
        </w:rPr>
        <w:t>Swaffield</w:t>
      </w:r>
      <w:proofErr w:type="spellEnd"/>
      <w:r w:rsidRPr="007D4FB8">
        <w:rPr>
          <w:spacing w:val="-4"/>
        </w:rPr>
        <w:t xml:space="preserve">, J.K. and Upward, R. 1998, ‘The estimation of union wage differentials and the impact of methodological choices’, </w:t>
      </w:r>
      <w:r w:rsidRPr="007D4FB8">
        <w:rPr>
          <w:i/>
          <w:iCs/>
          <w:spacing w:val="-4"/>
        </w:rPr>
        <w:t>Labour Economics</w:t>
      </w:r>
      <w:r w:rsidRPr="007D4FB8">
        <w:rPr>
          <w:spacing w:val="-4"/>
        </w:rPr>
        <w:t>, vol. 5, no. 4, pp. 449–474.</w:t>
      </w:r>
    </w:p>
    <w:p w14:paraId="4EE938BA" w14:textId="77777777" w:rsidR="00213A40" w:rsidRPr="007D4FB8" w:rsidRDefault="00213A40" w:rsidP="00F114F4">
      <w:pPr>
        <w:pStyle w:val="Reference"/>
        <w:spacing w:before="100"/>
        <w:rPr>
          <w:spacing w:val="-4"/>
        </w:rPr>
      </w:pPr>
      <w:r w:rsidRPr="007D4FB8">
        <w:rPr>
          <w:spacing w:val="-4"/>
        </w:rPr>
        <w:t xml:space="preserve">van Ark, B., </w:t>
      </w:r>
      <w:proofErr w:type="spellStart"/>
      <w:r w:rsidRPr="007D4FB8">
        <w:rPr>
          <w:spacing w:val="-4"/>
        </w:rPr>
        <w:t>O’Mahony</w:t>
      </w:r>
      <w:proofErr w:type="spellEnd"/>
      <w:r w:rsidRPr="007D4FB8">
        <w:rPr>
          <w:spacing w:val="-4"/>
        </w:rPr>
        <w:t xml:space="preserve">, M. and Timmer, M.P. 2008, ‘The Productivity Gap between Europe and the United States: Trends and Causes’, </w:t>
      </w:r>
      <w:r w:rsidRPr="007D4FB8">
        <w:rPr>
          <w:i/>
          <w:iCs/>
          <w:spacing w:val="-4"/>
        </w:rPr>
        <w:t>Journal of Economic Perspectives</w:t>
      </w:r>
      <w:r w:rsidRPr="007D4FB8">
        <w:rPr>
          <w:spacing w:val="-4"/>
        </w:rPr>
        <w:t>, vol. 22, no. 1, pp. 25–44.</w:t>
      </w:r>
    </w:p>
    <w:p w14:paraId="643229AF" w14:textId="77777777" w:rsidR="00213A40" w:rsidRPr="007D4FB8" w:rsidRDefault="00213A40" w:rsidP="00F114F4">
      <w:pPr>
        <w:pStyle w:val="Reference"/>
        <w:spacing w:before="100"/>
        <w:rPr>
          <w:spacing w:val="-4"/>
        </w:rPr>
      </w:pPr>
      <w:r w:rsidRPr="007D4FB8">
        <w:rPr>
          <w:spacing w:val="-4"/>
        </w:rPr>
        <w:t xml:space="preserve">ASIC (Australian Securities and Investments Commission) 2020, </w:t>
      </w:r>
      <w:r w:rsidRPr="007D4FB8">
        <w:rPr>
          <w:i/>
          <w:iCs/>
          <w:spacing w:val="-4"/>
        </w:rPr>
        <w:t>Enhanced regulatory sandbox</w:t>
      </w:r>
      <w:r w:rsidRPr="007D4FB8">
        <w:rPr>
          <w:spacing w:val="-4"/>
        </w:rPr>
        <w:t>, Information sheet, https://asic.gov.au/for-business/innovation-hub/enhanced-regulatory-sandbox/info-248-enhanced-regulatory-sandbox/ (accessed 18 February 2021).</w:t>
      </w:r>
    </w:p>
    <w:p w14:paraId="737610E9" w14:textId="77777777" w:rsidR="00213A40" w:rsidRPr="007D4FB8" w:rsidRDefault="00213A40" w:rsidP="00F114F4">
      <w:pPr>
        <w:pStyle w:val="Reference"/>
        <w:spacing w:before="100"/>
        <w:rPr>
          <w:spacing w:val="-4"/>
        </w:rPr>
      </w:pPr>
      <w:proofErr w:type="spellStart"/>
      <w:r w:rsidRPr="007D4FB8">
        <w:rPr>
          <w:spacing w:val="-4"/>
        </w:rPr>
        <w:lastRenderedPageBreak/>
        <w:t>Ayyagari</w:t>
      </w:r>
      <w:proofErr w:type="spellEnd"/>
      <w:r w:rsidRPr="007D4FB8">
        <w:rPr>
          <w:spacing w:val="-4"/>
        </w:rPr>
        <w:t xml:space="preserve">, M., </w:t>
      </w:r>
      <w:proofErr w:type="spellStart"/>
      <w:r w:rsidRPr="007D4FB8">
        <w:rPr>
          <w:spacing w:val="-4"/>
        </w:rPr>
        <w:t>Demirguc-Kunt</w:t>
      </w:r>
      <w:proofErr w:type="spellEnd"/>
      <w:r w:rsidRPr="007D4FB8">
        <w:rPr>
          <w:spacing w:val="-4"/>
        </w:rPr>
        <w:t xml:space="preserve">, A. and </w:t>
      </w:r>
      <w:proofErr w:type="spellStart"/>
      <w:r w:rsidRPr="007D4FB8">
        <w:rPr>
          <w:spacing w:val="-4"/>
        </w:rPr>
        <w:t>Maksimovic</w:t>
      </w:r>
      <w:proofErr w:type="spellEnd"/>
      <w:r w:rsidRPr="007D4FB8">
        <w:rPr>
          <w:spacing w:val="-4"/>
        </w:rPr>
        <w:t xml:space="preserve">, V. 2018, </w:t>
      </w:r>
      <w:r w:rsidRPr="007D4FB8">
        <w:rPr>
          <w:i/>
          <w:iCs/>
          <w:spacing w:val="-4"/>
        </w:rPr>
        <w:t xml:space="preserve">Who are America’s star </w:t>
      </w:r>
      <w:proofErr w:type="gramStart"/>
      <w:r w:rsidRPr="007D4FB8">
        <w:rPr>
          <w:i/>
          <w:iCs/>
          <w:spacing w:val="-4"/>
        </w:rPr>
        <w:t>firms?</w:t>
      </w:r>
      <w:r w:rsidRPr="007D4FB8">
        <w:rPr>
          <w:spacing w:val="-4"/>
        </w:rPr>
        <w:t>,</w:t>
      </w:r>
      <w:proofErr w:type="gramEnd"/>
      <w:r w:rsidRPr="007D4FB8">
        <w:rPr>
          <w:spacing w:val="-4"/>
        </w:rPr>
        <w:t xml:space="preserve"> Policy Research working paper, World Bank.</w:t>
      </w:r>
    </w:p>
    <w:p w14:paraId="1373C1E5" w14:textId="77777777" w:rsidR="00213A40" w:rsidRPr="007D4FB8" w:rsidRDefault="00213A40" w:rsidP="00F114F4">
      <w:pPr>
        <w:pStyle w:val="Reference"/>
        <w:spacing w:before="100"/>
        <w:rPr>
          <w:spacing w:val="-4"/>
        </w:rPr>
      </w:pPr>
      <w:r w:rsidRPr="007D4FB8">
        <w:rPr>
          <w:spacing w:val="-4"/>
        </w:rPr>
        <w:t xml:space="preserve">Barnes, P. 2010, </w:t>
      </w:r>
      <w:r w:rsidRPr="007D4FB8">
        <w:rPr>
          <w:i/>
          <w:iCs/>
          <w:spacing w:val="-4"/>
        </w:rPr>
        <w:t>Investments in Intangible Assets and Australia’s Productivity Growth: Sectoral Estimates</w:t>
      </w:r>
      <w:r w:rsidRPr="007D4FB8">
        <w:rPr>
          <w:spacing w:val="-4"/>
        </w:rPr>
        <w:t>, Productivity Commission Staff Working Paper, Canberra.</w:t>
      </w:r>
    </w:p>
    <w:p w14:paraId="5AE21C6C" w14:textId="77777777" w:rsidR="00213A40" w:rsidRPr="007D4FB8" w:rsidRDefault="00213A40" w:rsidP="00F114F4">
      <w:pPr>
        <w:pStyle w:val="Reference"/>
        <w:spacing w:before="100"/>
        <w:rPr>
          <w:spacing w:val="-4"/>
        </w:rPr>
      </w:pPr>
      <w:r w:rsidRPr="007D4FB8">
        <w:rPr>
          <w:spacing w:val="-4"/>
        </w:rPr>
        <w:t xml:space="preserve">——, Soames, L., Li, C. and Munoz, M. 2013, </w:t>
      </w:r>
      <w:r w:rsidRPr="007D4FB8">
        <w:rPr>
          <w:i/>
          <w:iCs/>
          <w:spacing w:val="-4"/>
        </w:rPr>
        <w:t>Productivity in Manufacturing - Measurement and Interpretation</w:t>
      </w:r>
      <w:r w:rsidRPr="007D4FB8">
        <w:rPr>
          <w:spacing w:val="-4"/>
        </w:rPr>
        <w:t>, Productivity Commission Staff Working Paper, Canberra.</w:t>
      </w:r>
    </w:p>
    <w:p w14:paraId="2F6937D9" w14:textId="77777777" w:rsidR="00213A40" w:rsidRPr="007D4FB8" w:rsidRDefault="00213A40" w:rsidP="00F114F4">
      <w:pPr>
        <w:pStyle w:val="Reference"/>
        <w:spacing w:before="100"/>
        <w:rPr>
          <w:spacing w:val="-4"/>
        </w:rPr>
      </w:pPr>
      <w:r w:rsidRPr="007D4FB8">
        <w:rPr>
          <w:spacing w:val="-4"/>
        </w:rPr>
        <w:t xml:space="preserve">Baumol, W.J. 1967, ‘Macroeconomics of Unbalanced Growth: The Anatomy of Urban Crisis’, </w:t>
      </w:r>
      <w:r w:rsidRPr="007D4FB8">
        <w:rPr>
          <w:i/>
          <w:iCs/>
          <w:spacing w:val="-4"/>
        </w:rPr>
        <w:t>The American Economic Review</w:t>
      </w:r>
      <w:r w:rsidRPr="007D4FB8">
        <w:rPr>
          <w:spacing w:val="-4"/>
        </w:rPr>
        <w:t>, vol. 57, no. 3, pp. 415–426.</w:t>
      </w:r>
    </w:p>
    <w:p w14:paraId="729046C9" w14:textId="77777777" w:rsidR="00213A40" w:rsidRPr="007D4FB8" w:rsidRDefault="00213A40" w:rsidP="00F114F4">
      <w:pPr>
        <w:pStyle w:val="Reference"/>
        <w:spacing w:before="100"/>
        <w:rPr>
          <w:spacing w:val="-4"/>
        </w:rPr>
      </w:pPr>
      <w:proofErr w:type="spellStart"/>
      <w:r w:rsidRPr="007D4FB8">
        <w:rPr>
          <w:spacing w:val="-4"/>
        </w:rPr>
        <w:t>Berlingieri</w:t>
      </w:r>
      <w:proofErr w:type="spellEnd"/>
      <w:r w:rsidRPr="007D4FB8">
        <w:rPr>
          <w:spacing w:val="-4"/>
        </w:rPr>
        <w:t xml:space="preserve">, G. 2014, </w:t>
      </w:r>
      <w:r w:rsidRPr="007D4FB8">
        <w:rPr>
          <w:i/>
          <w:iCs/>
          <w:spacing w:val="-4"/>
        </w:rPr>
        <w:t>Outsourcing and the Rise in Services</w:t>
      </w:r>
      <w:r w:rsidRPr="007D4FB8">
        <w:rPr>
          <w:spacing w:val="-4"/>
        </w:rPr>
        <w:t xml:space="preserve">, </w:t>
      </w:r>
      <w:proofErr w:type="gramStart"/>
      <w:r w:rsidRPr="007D4FB8">
        <w:rPr>
          <w:spacing w:val="-4"/>
        </w:rPr>
        <w:t>No</w:t>
      </w:r>
      <w:proofErr w:type="gramEnd"/>
      <w:r w:rsidRPr="007D4FB8">
        <w:rPr>
          <w:spacing w:val="-4"/>
        </w:rPr>
        <w:t xml:space="preserve"> 1199, CEP Discussion Paper, Centre for Economic Performance, LSE, http://cep.lse.ac.uk/pubs/download/dp1199.pdf (accessed 13 November 2020).</w:t>
      </w:r>
    </w:p>
    <w:p w14:paraId="23F88DC0" w14:textId="77777777" w:rsidR="00213A40" w:rsidRPr="007D4FB8" w:rsidRDefault="00213A40" w:rsidP="00F114F4">
      <w:pPr>
        <w:pStyle w:val="Reference"/>
        <w:spacing w:before="100"/>
        <w:rPr>
          <w:spacing w:val="-4"/>
        </w:rPr>
      </w:pPr>
      <w:proofErr w:type="spellStart"/>
      <w:r w:rsidRPr="007D4FB8">
        <w:rPr>
          <w:spacing w:val="-4"/>
        </w:rPr>
        <w:t>Bessen</w:t>
      </w:r>
      <w:proofErr w:type="spellEnd"/>
      <w:r w:rsidRPr="007D4FB8">
        <w:rPr>
          <w:spacing w:val="-4"/>
        </w:rPr>
        <w:t xml:space="preserve">, J. 2016, </w:t>
      </w:r>
      <w:r w:rsidRPr="007D4FB8">
        <w:rPr>
          <w:i/>
          <w:iCs/>
          <w:spacing w:val="-4"/>
        </w:rPr>
        <w:t xml:space="preserve">Accounting for rising corporate profits: intangibles or regulatory </w:t>
      </w:r>
      <w:proofErr w:type="gramStart"/>
      <w:r w:rsidRPr="007D4FB8">
        <w:rPr>
          <w:i/>
          <w:iCs/>
          <w:spacing w:val="-4"/>
        </w:rPr>
        <w:t>rents?</w:t>
      </w:r>
      <w:r w:rsidRPr="007D4FB8">
        <w:rPr>
          <w:spacing w:val="-4"/>
        </w:rPr>
        <w:t>,</w:t>
      </w:r>
      <w:proofErr w:type="gramEnd"/>
      <w:r w:rsidRPr="007D4FB8">
        <w:rPr>
          <w:spacing w:val="-4"/>
        </w:rPr>
        <w:t xml:space="preserve"> 16–18, Law &amp; Economics Working paper, Boston University School of Law.</w:t>
      </w:r>
    </w:p>
    <w:p w14:paraId="1162B4A0" w14:textId="77777777" w:rsidR="00213A40" w:rsidRPr="007D4FB8" w:rsidRDefault="00213A40" w:rsidP="00F114F4">
      <w:pPr>
        <w:pStyle w:val="Reference"/>
        <w:spacing w:before="100"/>
        <w:rPr>
          <w:spacing w:val="-4"/>
        </w:rPr>
      </w:pPr>
      <w:r w:rsidRPr="007D4FB8">
        <w:rPr>
          <w:spacing w:val="-4"/>
        </w:rPr>
        <w:t xml:space="preserve">Blanco, A., Borland, J., </w:t>
      </w:r>
      <w:proofErr w:type="spellStart"/>
      <w:r w:rsidRPr="007D4FB8">
        <w:rPr>
          <w:spacing w:val="-4"/>
        </w:rPr>
        <w:t>Coelli</w:t>
      </w:r>
      <w:proofErr w:type="spellEnd"/>
      <w:r w:rsidRPr="007D4FB8">
        <w:rPr>
          <w:spacing w:val="-4"/>
        </w:rPr>
        <w:t xml:space="preserve">, M.B. and </w:t>
      </w:r>
      <w:proofErr w:type="spellStart"/>
      <w:r w:rsidRPr="007D4FB8">
        <w:rPr>
          <w:spacing w:val="-4"/>
        </w:rPr>
        <w:t>Maccarone</w:t>
      </w:r>
      <w:proofErr w:type="spellEnd"/>
      <w:r w:rsidRPr="007D4FB8">
        <w:rPr>
          <w:spacing w:val="-4"/>
        </w:rPr>
        <w:t>, J. 2020, ‘The impact of international trade on manufacturing employment in Australia: Evidence from the China shock’.</w:t>
      </w:r>
    </w:p>
    <w:p w14:paraId="12B8289B" w14:textId="77777777" w:rsidR="00213A40" w:rsidRPr="007D4FB8" w:rsidRDefault="00213A40" w:rsidP="00F114F4">
      <w:pPr>
        <w:pStyle w:val="Reference"/>
        <w:spacing w:before="100"/>
        <w:rPr>
          <w:spacing w:val="-4"/>
        </w:rPr>
      </w:pPr>
      <w:r w:rsidRPr="007D4FB8">
        <w:rPr>
          <w:spacing w:val="-4"/>
        </w:rPr>
        <w:t xml:space="preserve">Brynjolfsson, E., Eggers, F. and </w:t>
      </w:r>
      <w:proofErr w:type="spellStart"/>
      <w:r w:rsidRPr="007D4FB8">
        <w:rPr>
          <w:spacing w:val="-4"/>
        </w:rPr>
        <w:t>Gannamaneni</w:t>
      </w:r>
      <w:proofErr w:type="spellEnd"/>
      <w:r w:rsidRPr="007D4FB8">
        <w:rPr>
          <w:spacing w:val="-4"/>
        </w:rPr>
        <w:t xml:space="preserve">, A. 2018, </w:t>
      </w:r>
      <w:r w:rsidRPr="007D4FB8">
        <w:rPr>
          <w:i/>
          <w:iCs/>
          <w:spacing w:val="-4"/>
        </w:rPr>
        <w:t>Using Massive Online Choice Experiments to Measure Changes in Well-being</w:t>
      </w:r>
      <w:r w:rsidRPr="007D4FB8">
        <w:rPr>
          <w:spacing w:val="-4"/>
        </w:rPr>
        <w:t>, National Bureau of Economic Research, Cambridge, Mass.</w:t>
      </w:r>
    </w:p>
    <w:p w14:paraId="3DFA8AEA" w14:textId="77777777" w:rsidR="00213A40" w:rsidRPr="007D4FB8" w:rsidRDefault="00213A40" w:rsidP="00F114F4">
      <w:pPr>
        <w:pStyle w:val="Reference"/>
        <w:spacing w:before="100"/>
        <w:rPr>
          <w:spacing w:val="-4"/>
        </w:rPr>
      </w:pPr>
      <w:r w:rsidRPr="007D4FB8">
        <w:rPr>
          <w:spacing w:val="-4"/>
        </w:rPr>
        <w:t xml:space="preserve">——, Hu, Y. (Jeffrey) and Smith, M.D. 2003, ‘Consumer Surplus in the Digital Economy: Estimating the Value of Increased Product Variety at Online Booksellers’, </w:t>
      </w:r>
      <w:r w:rsidRPr="007D4FB8">
        <w:rPr>
          <w:i/>
          <w:iCs/>
          <w:spacing w:val="-4"/>
        </w:rPr>
        <w:t>Management Science</w:t>
      </w:r>
      <w:r w:rsidRPr="007D4FB8">
        <w:rPr>
          <w:spacing w:val="-4"/>
        </w:rPr>
        <w:t>, vol. 49, no. 11, pp. 1580–1596.</w:t>
      </w:r>
    </w:p>
    <w:p w14:paraId="4FB00D39" w14:textId="77777777" w:rsidR="00213A40" w:rsidRPr="007D4FB8" w:rsidRDefault="00213A40" w:rsidP="00F114F4">
      <w:pPr>
        <w:pStyle w:val="Reference"/>
        <w:spacing w:before="100"/>
        <w:rPr>
          <w:spacing w:val="-4"/>
        </w:rPr>
      </w:pPr>
      <w:r w:rsidRPr="007D4FB8">
        <w:rPr>
          <w:spacing w:val="-4"/>
        </w:rPr>
        <w:t xml:space="preserve">—— and Smith, M.D. 2000, ‘Frictionless Commerce? A Comparison of Internet and Conventional Retailers’, </w:t>
      </w:r>
      <w:r w:rsidRPr="007D4FB8">
        <w:rPr>
          <w:i/>
          <w:iCs/>
          <w:spacing w:val="-4"/>
        </w:rPr>
        <w:t>Management Science</w:t>
      </w:r>
      <w:r w:rsidRPr="007D4FB8">
        <w:rPr>
          <w:spacing w:val="-4"/>
        </w:rPr>
        <w:t>, vol. 46, no. 4, pp. 563–585.</w:t>
      </w:r>
    </w:p>
    <w:p w14:paraId="2FF811DC" w14:textId="77777777" w:rsidR="00213A40" w:rsidRPr="007D4FB8" w:rsidRDefault="00213A40" w:rsidP="00F114F4">
      <w:pPr>
        <w:pStyle w:val="Reference"/>
        <w:spacing w:before="100"/>
        <w:rPr>
          <w:spacing w:val="-4"/>
        </w:rPr>
      </w:pPr>
      <w:proofErr w:type="spellStart"/>
      <w:r w:rsidRPr="007D4FB8">
        <w:rPr>
          <w:spacing w:val="-4"/>
        </w:rPr>
        <w:t>Burtless</w:t>
      </w:r>
      <w:proofErr w:type="spellEnd"/>
      <w:r w:rsidRPr="007D4FB8">
        <w:rPr>
          <w:spacing w:val="-4"/>
        </w:rPr>
        <w:t xml:space="preserve">, G. 2010, </w:t>
      </w:r>
      <w:r w:rsidRPr="007D4FB8">
        <w:rPr>
          <w:i/>
          <w:iCs/>
          <w:spacing w:val="-4"/>
        </w:rPr>
        <w:t xml:space="preserve">A Future of Lousy </w:t>
      </w:r>
      <w:proofErr w:type="gramStart"/>
      <w:r w:rsidRPr="007D4FB8">
        <w:rPr>
          <w:i/>
          <w:iCs/>
          <w:spacing w:val="-4"/>
        </w:rPr>
        <w:t>Jobs?:</w:t>
      </w:r>
      <w:proofErr w:type="gramEnd"/>
      <w:r w:rsidRPr="007D4FB8">
        <w:rPr>
          <w:i/>
          <w:iCs/>
          <w:spacing w:val="-4"/>
        </w:rPr>
        <w:t xml:space="preserve"> The Changing Structure of U.S. Wages</w:t>
      </w:r>
      <w:r w:rsidRPr="007D4FB8">
        <w:rPr>
          <w:spacing w:val="-4"/>
        </w:rPr>
        <w:t>, Brookings Institution Press.</w:t>
      </w:r>
    </w:p>
    <w:p w14:paraId="5AD1E9B4" w14:textId="77777777" w:rsidR="00213A40" w:rsidRPr="007D4FB8" w:rsidRDefault="00213A40" w:rsidP="00F114F4">
      <w:pPr>
        <w:pStyle w:val="Reference"/>
        <w:spacing w:before="100"/>
        <w:rPr>
          <w:spacing w:val="-4"/>
        </w:rPr>
      </w:pPr>
      <w:proofErr w:type="spellStart"/>
      <w:r w:rsidRPr="007D4FB8">
        <w:rPr>
          <w:spacing w:val="-4"/>
        </w:rPr>
        <w:t>Butlin</w:t>
      </w:r>
      <w:proofErr w:type="spellEnd"/>
      <w:r w:rsidRPr="007D4FB8">
        <w:rPr>
          <w:spacing w:val="-4"/>
        </w:rPr>
        <w:t xml:space="preserve">, M., Dixon, R. and Lloyd, P. 2015, ‘Statistical Appendix: selected data series, 1800-2010’, </w:t>
      </w:r>
      <w:r w:rsidRPr="007D4FB8">
        <w:rPr>
          <w:i/>
          <w:iCs/>
          <w:spacing w:val="-4"/>
        </w:rPr>
        <w:t>The Cambridge economic history of Australia</w:t>
      </w:r>
      <w:r w:rsidRPr="007D4FB8">
        <w:rPr>
          <w:spacing w:val="-4"/>
        </w:rPr>
        <w:t>, Cambridge University Press, Sydney.</w:t>
      </w:r>
    </w:p>
    <w:p w14:paraId="41FF94DA" w14:textId="77777777" w:rsidR="00213A40" w:rsidRPr="007D4FB8" w:rsidRDefault="00213A40" w:rsidP="00F114F4">
      <w:pPr>
        <w:pStyle w:val="Reference"/>
        <w:spacing w:before="100"/>
        <w:rPr>
          <w:spacing w:val="-4"/>
        </w:rPr>
      </w:pPr>
      <w:r w:rsidRPr="007D4FB8">
        <w:rPr>
          <w:spacing w:val="-4"/>
        </w:rPr>
        <w:t>Carrie, J. 2017, ‘</w:t>
      </w:r>
      <w:proofErr w:type="spellStart"/>
      <w:r w:rsidRPr="007D4FB8">
        <w:rPr>
          <w:spacing w:val="-4"/>
        </w:rPr>
        <w:t>Greyball</w:t>
      </w:r>
      <w:proofErr w:type="spellEnd"/>
      <w:r w:rsidRPr="007D4FB8">
        <w:rPr>
          <w:spacing w:val="-4"/>
        </w:rPr>
        <w:t xml:space="preserve">: how Uber used secret software to dodge the law’, </w:t>
      </w:r>
      <w:r w:rsidRPr="007D4FB8">
        <w:rPr>
          <w:i/>
          <w:iCs/>
          <w:spacing w:val="-4"/>
        </w:rPr>
        <w:t>The Guardian</w:t>
      </w:r>
      <w:r w:rsidRPr="007D4FB8">
        <w:rPr>
          <w:spacing w:val="-4"/>
        </w:rPr>
        <w:t>, https://www.theguardian.com/technology/2017/mar/03/uber-secret-program-greyball-resignation-ed-baker (accessed 12 January 2021).</w:t>
      </w:r>
    </w:p>
    <w:p w14:paraId="04FE4FB5" w14:textId="77777777" w:rsidR="00213A40" w:rsidRPr="007D4FB8" w:rsidRDefault="00213A40" w:rsidP="00F114F4">
      <w:pPr>
        <w:pStyle w:val="Reference"/>
        <w:spacing w:before="100"/>
        <w:rPr>
          <w:spacing w:val="-4"/>
        </w:rPr>
      </w:pPr>
      <w:proofErr w:type="spellStart"/>
      <w:r w:rsidRPr="007D4FB8">
        <w:rPr>
          <w:spacing w:val="-4"/>
        </w:rPr>
        <w:t>Coelli</w:t>
      </w:r>
      <w:proofErr w:type="spellEnd"/>
      <w:r w:rsidRPr="007D4FB8">
        <w:rPr>
          <w:spacing w:val="-4"/>
        </w:rPr>
        <w:t xml:space="preserve">, M. and Borland, J. 2016, ‘Job Polarisation and Earnings Inequality in Australia’, </w:t>
      </w:r>
      <w:r w:rsidRPr="007D4FB8">
        <w:rPr>
          <w:i/>
          <w:iCs/>
          <w:spacing w:val="-4"/>
        </w:rPr>
        <w:t>Economic Record</w:t>
      </w:r>
      <w:r w:rsidRPr="007D4FB8">
        <w:rPr>
          <w:spacing w:val="-4"/>
        </w:rPr>
        <w:t>, vol. 92, no. 296, pp. 1–27.</w:t>
      </w:r>
    </w:p>
    <w:p w14:paraId="2B44846F" w14:textId="77777777" w:rsidR="00213A40" w:rsidRPr="007D4FB8" w:rsidRDefault="00213A40" w:rsidP="00F114F4">
      <w:pPr>
        <w:pStyle w:val="Reference"/>
        <w:spacing w:before="100"/>
        <w:rPr>
          <w:spacing w:val="-4"/>
        </w:rPr>
      </w:pPr>
      <w:r w:rsidRPr="007D4FB8">
        <w:rPr>
          <w:spacing w:val="-4"/>
        </w:rPr>
        <w:t xml:space="preserve">Connolly, E. and Lewis, C. 2010, ‘Structural Change in the Australian Economy’, </w:t>
      </w:r>
      <w:r w:rsidRPr="007D4FB8">
        <w:rPr>
          <w:i/>
          <w:iCs/>
          <w:spacing w:val="-4"/>
        </w:rPr>
        <w:t>RBA Bulletin, September</w:t>
      </w:r>
      <w:r w:rsidRPr="007D4FB8">
        <w:rPr>
          <w:spacing w:val="-4"/>
        </w:rPr>
        <w:t>, pp. 1–10.</w:t>
      </w:r>
    </w:p>
    <w:p w14:paraId="7E995A35" w14:textId="77777777" w:rsidR="00213A40" w:rsidRPr="007D4FB8" w:rsidRDefault="00213A40" w:rsidP="00F114F4">
      <w:pPr>
        <w:pStyle w:val="Reference"/>
        <w:spacing w:before="100"/>
        <w:rPr>
          <w:spacing w:val="-4"/>
        </w:rPr>
      </w:pPr>
      <w:proofErr w:type="spellStart"/>
      <w:r w:rsidRPr="007D4FB8">
        <w:rPr>
          <w:spacing w:val="-4"/>
        </w:rPr>
        <w:t>Corrado</w:t>
      </w:r>
      <w:proofErr w:type="spellEnd"/>
      <w:r w:rsidRPr="007D4FB8">
        <w:rPr>
          <w:spacing w:val="-4"/>
        </w:rPr>
        <w:t xml:space="preserve">, C., </w:t>
      </w:r>
      <w:proofErr w:type="spellStart"/>
      <w:r w:rsidRPr="007D4FB8">
        <w:rPr>
          <w:spacing w:val="-4"/>
        </w:rPr>
        <w:t>Haskel</w:t>
      </w:r>
      <w:proofErr w:type="spellEnd"/>
      <w:r w:rsidRPr="007D4FB8">
        <w:rPr>
          <w:spacing w:val="-4"/>
        </w:rPr>
        <w:t xml:space="preserve">, J., </w:t>
      </w:r>
      <w:proofErr w:type="spellStart"/>
      <w:r w:rsidRPr="007D4FB8">
        <w:rPr>
          <w:spacing w:val="-4"/>
        </w:rPr>
        <w:t>Jona-Iasinio</w:t>
      </w:r>
      <w:proofErr w:type="spellEnd"/>
      <w:r w:rsidRPr="007D4FB8">
        <w:rPr>
          <w:spacing w:val="-4"/>
        </w:rPr>
        <w:t xml:space="preserve">, C. and Iommi, M. 2016, </w:t>
      </w:r>
      <w:r w:rsidRPr="007D4FB8">
        <w:rPr>
          <w:i/>
          <w:iCs/>
          <w:spacing w:val="-4"/>
        </w:rPr>
        <w:t>Intangible Investment in the EU and US Before and Since the Great Recession and Its Contribution to Productivity Growth</w:t>
      </w:r>
      <w:r w:rsidRPr="007D4FB8">
        <w:rPr>
          <w:spacing w:val="-4"/>
        </w:rPr>
        <w:t>, Working paper, 2016/08, European Investment Bank.</w:t>
      </w:r>
    </w:p>
    <w:p w14:paraId="5C2692D2" w14:textId="77777777" w:rsidR="00213A40" w:rsidRPr="007D4FB8" w:rsidRDefault="00213A40" w:rsidP="00F114F4">
      <w:pPr>
        <w:pStyle w:val="Reference"/>
        <w:spacing w:before="100"/>
        <w:rPr>
          <w:spacing w:val="-4"/>
        </w:rPr>
      </w:pPr>
      <w:r w:rsidRPr="007D4FB8">
        <w:rPr>
          <w:spacing w:val="-4"/>
        </w:rPr>
        <w:t xml:space="preserve">——, </w:t>
      </w:r>
      <w:proofErr w:type="spellStart"/>
      <w:r w:rsidRPr="007D4FB8">
        <w:rPr>
          <w:spacing w:val="-4"/>
        </w:rPr>
        <w:t>Hulten</w:t>
      </w:r>
      <w:proofErr w:type="spellEnd"/>
      <w:r w:rsidRPr="007D4FB8">
        <w:rPr>
          <w:spacing w:val="-4"/>
        </w:rPr>
        <w:t xml:space="preserve">, C. and </w:t>
      </w:r>
      <w:proofErr w:type="spellStart"/>
      <w:r w:rsidRPr="007D4FB8">
        <w:rPr>
          <w:spacing w:val="-4"/>
        </w:rPr>
        <w:t>Sichel</w:t>
      </w:r>
      <w:proofErr w:type="spellEnd"/>
      <w:r w:rsidRPr="007D4FB8">
        <w:rPr>
          <w:spacing w:val="-4"/>
        </w:rPr>
        <w:t xml:space="preserve">, D. 2009, ‘Intangible capital and U.S. economic growth’, </w:t>
      </w:r>
      <w:r w:rsidRPr="007D4FB8">
        <w:rPr>
          <w:i/>
          <w:iCs/>
          <w:spacing w:val="-4"/>
        </w:rPr>
        <w:t>The Review of Income and Wealth</w:t>
      </w:r>
      <w:r w:rsidRPr="007D4FB8">
        <w:rPr>
          <w:spacing w:val="-4"/>
        </w:rPr>
        <w:t>, vol. 55, no. 3, pp. 661–685.</w:t>
      </w:r>
    </w:p>
    <w:p w14:paraId="4EDB6DF6" w14:textId="77777777" w:rsidR="00213A40" w:rsidRPr="007D4FB8" w:rsidRDefault="00213A40" w:rsidP="00F114F4">
      <w:pPr>
        <w:pStyle w:val="Reference"/>
        <w:spacing w:before="100"/>
        <w:rPr>
          <w:spacing w:val="-4"/>
        </w:rPr>
      </w:pPr>
      <w:proofErr w:type="spellStart"/>
      <w:r w:rsidRPr="007D4FB8">
        <w:rPr>
          <w:spacing w:val="-4"/>
        </w:rPr>
        <w:lastRenderedPageBreak/>
        <w:t>Crespi</w:t>
      </w:r>
      <w:proofErr w:type="spellEnd"/>
      <w:r w:rsidRPr="007D4FB8">
        <w:rPr>
          <w:spacing w:val="-4"/>
        </w:rPr>
        <w:t xml:space="preserve">, G., </w:t>
      </w:r>
      <w:proofErr w:type="spellStart"/>
      <w:r w:rsidRPr="007D4FB8">
        <w:rPr>
          <w:spacing w:val="-4"/>
        </w:rPr>
        <w:t>Criscuolo</w:t>
      </w:r>
      <w:proofErr w:type="spellEnd"/>
      <w:r w:rsidRPr="007D4FB8">
        <w:rPr>
          <w:spacing w:val="-4"/>
        </w:rPr>
        <w:t xml:space="preserve">, C. and </w:t>
      </w:r>
      <w:proofErr w:type="spellStart"/>
      <w:r w:rsidRPr="007D4FB8">
        <w:rPr>
          <w:spacing w:val="-4"/>
        </w:rPr>
        <w:t>Haskel</w:t>
      </w:r>
      <w:proofErr w:type="spellEnd"/>
      <w:r w:rsidRPr="007D4FB8">
        <w:rPr>
          <w:spacing w:val="-4"/>
        </w:rPr>
        <w:t xml:space="preserve">, J. 2008, ‘Productivity, Exporting and the Learning-by-Exporting Hypothesis: Direct Evidence from UK Firms’, </w:t>
      </w:r>
      <w:r w:rsidRPr="007D4FB8">
        <w:rPr>
          <w:i/>
          <w:iCs/>
          <w:spacing w:val="-4"/>
        </w:rPr>
        <w:t>The Canadian Journal of Economics</w:t>
      </w:r>
      <w:r w:rsidRPr="007D4FB8">
        <w:rPr>
          <w:spacing w:val="-4"/>
        </w:rPr>
        <w:t>, vol. 41, no. 2, pp. 619–638.</w:t>
      </w:r>
    </w:p>
    <w:p w14:paraId="531650E1" w14:textId="77777777" w:rsidR="00213A40" w:rsidRPr="007D4FB8" w:rsidRDefault="00213A40" w:rsidP="00F114F4">
      <w:pPr>
        <w:pStyle w:val="Reference"/>
        <w:spacing w:before="100"/>
        <w:rPr>
          <w:spacing w:val="-4"/>
        </w:rPr>
      </w:pPr>
      <w:r w:rsidRPr="007D4FB8">
        <w:rPr>
          <w:spacing w:val="-4"/>
        </w:rPr>
        <w:t xml:space="preserve">De Locker, J., </w:t>
      </w:r>
      <w:proofErr w:type="spellStart"/>
      <w:r w:rsidRPr="007D4FB8">
        <w:rPr>
          <w:spacing w:val="-4"/>
        </w:rPr>
        <w:t>Eeckhout</w:t>
      </w:r>
      <w:proofErr w:type="spellEnd"/>
      <w:r w:rsidRPr="007D4FB8">
        <w:rPr>
          <w:spacing w:val="-4"/>
        </w:rPr>
        <w:t xml:space="preserve">, J. and Unger, G. 2019, </w:t>
      </w:r>
      <w:r w:rsidRPr="007D4FB8">
        <w:rPr>
          <w:i/>
          <w:iCs/>
          <w:spacing w:val="-4"/>
        </w:rPr>
        <w:t>The rise of market power and the macroeconomic implications</w:t>
      </w:r>
      <w:r w:rsidRPr="007D4FB8">
        <w:rPr>
          <w:spacing w:val="-4"/>
        </w:rPr>
        <w:t>, Working Paper.</w:t>
      </w:r>
    </w:p>
    <w:p w14:paraId="1A29B1C4" w14:textId="77777777" w:rsidR="00213A40" w:rsidRPr="007D4FB8" w:rsidRDefault="00213A40" w:rsidP="00F114F4">
      <w:pPr>
        <w:pStyle w:val="Reference"/>
        <w:spacing w:before="100"/>
        <w:rPr>
          <w:spacing w:val="-4"/>
        </w:rPr>
      </w:pPr>
      <w:r w:rsidRPr="007D4FB8">
        <w:rPr>
          <w:spacing w:val="-4"/>
        </w:rPr>
        <w:t xml:space="preserve">De Ridder, M. 2019, </w:t>
      </w:r>
      <w:r w:rsidRPr="007D4FB8">
        <w:rPr>
          <w:i/>
          <w:iCs/>
          <w:spacing w:val="-4"/>
        </w:rPr>
        <w:t>Market Power and Innovation in the Intangible Economy</w:t>
      </w:r>
      <w:r w:rsidRPr="007D4FB8">
        <w:rPr>
          <w:spacing w:val="-4"/>
        </w:rPr>
        <w:t>, Working Paper, 2019–07, Centre for Macroeconomics.</w:t>
      </w:r>
    </w:p>
    <w:p w14:paraId="4C956081" w14:textId="77777777" w:rsidR="00213A40" w:rsidRPr="007D4FB8" w:rsidRDefault="00213A40" w:rsidP="00F114F4">
      <w:pPr>
        <w:pStyle w:val="Reference"/>
        <w:spacing w:before="100"/>
        <w:rPr>
          <w:spacing w:val="-4"/>
        </w:rPr>
      </w:pPr>
      <w:r w:rsidRPr="007D4FB8">
        <w:rPr>
          <w:spacing w:val="-4"/>
        </w:rPr>
        <w:t xml:space="preserve">Decker, R., </w:t>
      </w:r>
      <w:proofErr w:type="spellStart"/>
      <w:r w:rsidRPr="007D4FB8">
        <w:rPr>
          <w:spacing w:val="-4"/>
        </w:rPr>
        <w:t>Haltiwanger</w:t>
      </w:r>
      <w:proofErr w:type="spellEnd"/>
      <w:r w:rsidRPr="007D4FB8">
        <w:rPr>
          <w:spacing w:val="-4"/>
        </w:rPr>
        <w:t xml:space="preserve">, J., </w:t>
      </w:r>
      <w:proofErr w:type="spellStart"/>
      <w:r w:rsidRPr="007D4FB8">
        <w:rPr>
          <w:spacing w:val="-4"/>
        </w:rPr>
        <w:t>Jarmin</w:t>
      </w:r>
      <w:proofErr w:type="spellEnd"/>
      <w:r w:rsidRPr="007D4FB8">
        <w:rPr>
          <w:spacing w:val="-4"/>
        </w:rPr>
        <w:t xml:space="preserve">, R. and Miranda, J. 2017, ‘Declining dynamism, allocative efficiency, and the productivity slowdown’, </w:t>
      </w:r>
      <w:r w:rsidRPr="007D4FB8">
        <w:rPr>
          <w:i/>
          <w:iCs/>
          <w:spacing w:val="-4"/>
        </w:rPr>
        <w:t>American Economic Review</w:t>
      </w:r>
      <w:r w:rsidRPr="007D4FB8">
        <w:rPr>
          <w:spacing w:val="-4"/>
        </w:rPr>
        <w:t>, vol. 107, no. 5, pp. 322–326.</w:t>
      </w:r>
    </w:p>
    <w:p w14:paraId="19A40676" w14:textId="73D54157" w:rsidR="00213A40" w:rsidRPr="007D4FB8" w:rsidRDefault="00213A40" w:rsidP="00F114F4">
      <w:pPr>
        <w:pStyle w:val="Reference"/>
        <w:spacing w:before="100"/>
        <w:rPr>
          <w:spacing w:val="-4"/>
        </w:rPr>
      </w:pPr>
      <w:r w:rsidRPr="007D4FB8">
        <w:rPr>
          <w:spacing w:val="-4"/>
        </w:rPr>
        <w:t xml:space="preserve">Diez, F. and Fan, J. 2018, </w:t>
      </w:r>
      <w:r w:rsidRPr="007D4FB8">
        <w:rPr>
          <w:i/>
          <w:iCs/>
          <w:spacing w:val="-4"/>
        </w:rPr>
        <w:t>Global declining competition</w:t>
      </w:r>
      <w:r w:rsidRPr="007D4FB8">
        <w:rPr>
          <w:spacing w:val="-4"/>
        </w:rPr>
        <w:t>, Technical report, Working Paper, October.</w:t>
      </w:r>
    </w:p>
    <w:p w14:paraId="4498AF4A" w14:textId="77777777" w:rsidR="00213A40" w:rsidRPr="007D4FB8" w:rsidRDefault="00213A40" w:rsidP="00F114F4">
      <w:pPr>
        <w:pStyle w:val="Reference"/>
        <w:spacing w:before="100"/>
        <w:rPr>
          <w:spacing w:val="-4"/>
        </w:rPr>
      </w:pPr>
      <w:proofErr w:type="spellStart"/>
      <w:r w:rsidRPr="007D4FB8">
        <w:rPr>
          <w:spacing w:val="-4"/>
        </w:rPr>
        <w:t>Dingel</w:t>
      </w:r>
      <w:proofErr w:type="spellEnd"/>
      <w:r w:rsidRPr="007D4FB8">
        <w:rPr>
          <w:spacing w:val="-4"/>
        </w:rPr>
        <w:t xml:space="preserve"> and Neiman 2020, ‘How Many Jobs Can be Done at Home?’, </w:t>
      </w:r>
      <w:proofErr w:type="spellStart"/>
      <w:r w:rsidRPr="007D4FB8">
        <w:rPr>
          <w:i/>
          <w:iCs/>
          <w:spacing w:val="-4"/>
        </w:rPr>
        <w:t>Covid</w:t>
      </w:r>
      <w:proofErr w:type="spellEnd"/>
      <w:r w:rsidRPr="007D4FB8">
        <w:rPr>
          <w:i/>
          <w:iCs/>
          <w:spacing w:val="-4"/>
        </w:rPr>
        <w:t xml:space="preserve"> Economics, Vetted and Real-Time Papers</w:t>
      </w:r>
      <w:r w:rsidRPr="007D4FB8">
        <w:rPr>
          <w:spacing w:val="-4"/>
        </w:rPr>
        <w:t>, no. 1, pp. 16–24.</w:t>
      </w:r>
    </w:p>
    <w:p w14:paraId="30897C3B" w14:textId="77777777" w:rsidR="00213A40" w:rsidRPr="007D4FB8" w:rsidRDefault="00213A40" w:rsidP="00F114F4">
      <w:pPr>
        <w:pStyle w:val="Reference"/>
        <w:spacing w:before="100"/>
        <w:rPr>
          <w:spacing w:val="-4"/>
        </w:rPr>
      </w:pPr>
      <w:r w:rsidRPr="007D4FB8">
        <w:rPr>
          <w:spacing w:val="-4"/>
        </w:rPr>
        <w:t xml:space="preserve">European Commission, United Nations, International Monetary Fund, Organisation for Economic Co-operation and Development and World Bank 2009, </w:t>
      </w:r>
      <w:r w:rsidRPr="007D4FB8">
        <w:rPr>
          <w:i/>
          <w:iCs/>
          <w:spacing w:val="-4"/>
        </w:rPr>
        <w:t>System of national accounts 2008</w:t>
      </w:r>
      <w:r w:rsidRPr="007D4FB8">
        <w:rPr>
          <w:spacing w:val="-4"/>
        </w:rPr>
        <w:t>, United Nations, New York.</w:t>
      </w:r>
    </w:p>
    <w:p w14:paraId="256FAED0" w14:textId="77777777" w:rsidR="00213A40" w:rsidRPr="007D4FB8" w:rsidRDefault="00213A40" w:rsidP="00F114F4">
      <w:pPr>
        <w:pStyle w:val="Reference"/>
        <w:spacing w:before="100"/>
        <w:rPr>
          <w:spacing w:val="-4"/>
        </w:rPr>
      </w:pPr>
      <w:r w:rsidRPr="007D4FB8">
        <w:rPr>
          <w:spacing w:val="-4"/>
        </w:rPr>
        <w:t xml:space="preserve">Ghosh, P. 2020, </w:t>
      </w:r>
      <w:r w:rsidRPr="007D4FB8">
        <w:rPr>
          <w:i/>
          <w:iCs/>
          <w:spacing w:val="-4"/>
        </w:rPr>
        <w:t xml:space="preserve">The Exodus </w:t>
      </w:r>
      <w:proofErr w:type="gramStart"/>
      <w:r w:rsidRPr="007D4FB8">
        <w:rPr>
          <w:i/>
          <w:iCs/>
          <w:spacing w:val="-4"/>
        </w:rPr>
        <w:t>Of</w:t>
      </w:r>
      <w:proofErr w:type="gramEnd"/>
      <w:r w:rsidRPr="007D4FB8">
        <w:rPr>
          <w:i/>
          <w:iCs/>
          <w:spacing w:val="-4"/>
        </w:rPr>
        <w:t xml:space="preserve"> Chinese Manufacturing: Shutting Down ‘The World’s Factory’</w:t>
      </w:r>
      <w:r w:rsidRPr="007D4FB8">
        <w:rPr>
          <w:spacing w:val="-4"/>
        </w:rPr>
        <w:t>, Forbes, https://www.forbes.com/sites/princeghosh/2020/09/18/the-exodus-of-chinese-manufacturing-shutting-down-the-worlds-factory/ (accessed 21 December 2020).</w:t>
      </w:r>
    </w:p>
    <w:p w14:paraId="48923110" w14:textId="77777777" w:rsidR="00213A40" w:rsidRPr="007D4FB8" w:rsidRDefault="00213A40" w:rsidP="00F114F4">
      <w:pPr>
        <w:pStyle w:val="Reference"/>
        <w:spacing w:before="100"/>
        <w:rPr>
          <w:spacing w:val="-4"/>
        </w:rPr>
      </w:pPr>
      <w:r w:rsidRPr="007D4FB8">
        <w:rPr>
          <w:spacing w:val="-4"/>
        </w:rPr>
        <w:t xml:space="preserve">Gilfillan, G. 2018, </w:t>
      </w:r>
      <w:r w:rsidRPr="007D4FB8">
        <w:rPr>
          <w:i/>
          <w:iCs/>
          <w:spacing w:val="-4"/>
        </w:rPr>
        <w:t>Characteristics and use of casual employees in Australia</w:t>
      </w:r>
      <w:r w:rsidRPr="007D4FB8">
        <w:rPr>
          <w:spacing w:val="-4"/>
        </w:rPr>
        <w:t>, Research Paper Series, 2018-19, Parliamentary Library, Canberra.</w:t>
      </w:r>
    </w:p>
    <w:p w14:paraId="2B7101F0" w14:textId="77777777" w:rsidR="00213A40" w:rsidRPr="007D4FB8" w:rsidRDefault="00213A40" w:rsidP="00F114F4">
      <w:pPr>
        <w:pStyle w:val="Reference"/>
        <w:spacing w:before="100"/>
        <w:rPr>
          <w:spacing w:val="-4"/>
        </w:rPr>
      </w:pPr>
      <w:r w:rsidRPr="007D4FB8">
        <w:rPr>
          <w:spacing w:val="-4"/>
        </w:rPr>
        <w:t xml:space="preserve">Goldfarb, A. and Tucker, C. 2019, ‘Digital Economics’, </w:t>
      </w:r>
      <w:r w:rsidRPr="007D4FB8">
        <w:rPr>
          <w:i/>
          <w:iCs/>
          <w:spacing w:val="-4"/>
        </w:rPr>
        <w:t>Journal of Economic Literature</w:t>
      </w:r>
      <w:r w:rsidRPr="007D4FB8">
        <w:rPr>
          <w:spacing w:val="-4"/>
        </w:rPr>
        <w:t>, vol. 57, no. 1, pp. 3–43.</w:t>
      </w:r>
    </w:p>
    <w:p w14:paraId="296426D6" w14:textId="77777777" w:rsidR="00213A40" w:rsidRPr="007D4FB8" w:rsidRDefault="00213A40" w:rsidP="00F114F4">
      <w:pPr>
        <w:pStyle w:val="Reference"/>
        <w:spacing w:before="100"/>
        <w:rPr>
          <w:spacing w:val="-4"/>
        </w:rPr>
      </w:pPr>
      <w:proofErr w:type="spellStart"/>
      <w:r w:rsidRPr="007D4FB8">
        <w:rPr>
          <w:spacing w:val="-4"/>
        </w:rPr>
        <w:t>Goldmanis</w:t>
      </w:r>
      <w:proofErr w:type="spellEnd"/>
      <w:r w:rsidRPr="007D4FB8">
        <w:rPr>
          <w:spacing w:val="-4"/>
        </w:rPr>
        <w:t xml:space="preserve">, M., </w:t>
      </w:r>
      <w:proofErr w:type="spellStart"/>
      <w:r w:rsidRPr="007D4FB8">
        <w:rPr>
          <w:spacing w:val="-4"/>
        </w:rPr>
        <w:t>Hortaçsu</w:t>
      </w:r>
      <w:proofErr w:type="spellEnd"/>
      <w:r w:rsidRPr="007D4FB8">
        <w:rPr>
          <w:spacing w:val="-4"/>
        </w:rPr>
        <w:t xml:space="preserve">, A., </w:t>
      </w:r>
      <w:proofErr w:type="spellStart"/>
      <w:r w:rsidRPr="007D4FB8">
        <w:rPr>
          <w:spacing w:val="-4"/>
        </w:rPr>
        <w:t>Syverson</w:t>
      </w:r>
      <w:proofErr w:type="spellEnd"/>
      <w:r w:rsidRPr="007D4FB8">
        <w:rPr>
          <w:spacing w:val="-4"/>
        </w:rPr>
        <w:t xml:space="preserve">, C. and Emre, Ö. 2010, ‘E‐Commerce and the Market Structure of Retail Industries’, </w:t>
      </w:r>
      <w:r w:rsidRPr="007D4FB8">
        <w:rPr>
          <w:i/>
          <w:iCs/>
          <w:spacing w:val="-4"/>
        </w:rPr>
        <w:t>The Economic Journal</w:t>
      </w:r>
      <w:r w:rsidRPr="007D4FB8">
        <w:rPr>
          <w:spacing w:val="-4"/>
        </w:rPr>
        <w:t>, vol. 120, no. 545, pp. 651–682.</w:t>
      </w:r>
    </w:p>
    <w:p w14:paraId="0232A0A2" w14:textId="77777777" w:rsidR="00213A40" w:rsidRPr="007D4FB8" w:rsidRDefault="00213A40" w:rsidP="00F114F4">
      <w:pPr>
        <w:pStyle w:val="Reference"/>
        <w:spacing w:before="100"/>
        <w:rPr>
          <w:spacing w:val="-4"/>
        </w:rPr>
      </w:pPr>
      <w:r w:rsidRPr="007D4FB8">
        <w:rPr>
          <w:spacing w:val="-4"/>
        </w:rPr>
        <w:t xml:space="preserve">Grubb, B. 2014, ‘NSW cracks down on Uber ride-sharing’, </w:t>
      </w:r>
      <w:r w:rsidRPr="007D4FB8">
        <w:rPr>
          <w:i/>
          <w:iCs/>
          <w:spacing w:val="-4"/>
        </w:rPr>
        <w:t>Sydney Morning Herald</w:t>
      </w:r>
      <w:r w:rsidRPr="007D4FB8">
        <w:rPr>
          <w:spacing w:val="-4"/>
        </w:rPr>
        <w:t>, https://www.smh.com.au/technology/nsw-cracks-down-on-uber-ridesharing-20140617-zsabx.html (accessed 12 January 2021).</w:t>
      </w:r>
    </w:p>
    <w:p w14:paraId="6B4925DD" w14:textId="77777777" w:rsidR="00213A40" w:rsidRPr="007D4FB8" w:rsidRDefault="00213A40" w:rsidP="00F114F4">
      <w:pPr>
        <w:pStyle w:val="Reference"/>
        <w:spacing w:before="100"/>
        <w:rPr>
          <w:spacing w:val="-4"/>
        </w:rPr>
      </w:pPr>
      <w:r w:rsidRPr="007D4FB8">
        <w:rPr>
          <w:spacing w:val="-4"/>
        </w:rPr>
        <w:t xml:space="preserve">Hartford Funds 2020, </w:t>
      </w:r>
      <w:r w:rsidRPr="007D4FB8">
        <w:rPr>
          <w:i/>
          <w:iCs/>
          <w:spacing w:val="-4"/>
        </w:rPr>
        <w:t>FAANG: Taking a Bite Out of the Equity Market</w:t>
      </w:r>
      <w:r w:rsidRPr="007D4FB8">
        <w:rPr>
          <w:spacing w:val="-4"/>
        </w:rPr>
        <w:t>, https://www.hartfordfunds.com/dam/en/docs/pub/whitepapers/CCWP028.pdf (accessed 26 March 2021).</w:t>
      </w:r>
    </w:p>
    <w:p w14:paraId="703E8645" w14:textId="77777777" w:rsidR="00213A40" w:rsidRPr="007D4FB8" w:rsidRDefault="00213A40" w:rsidP="00F114F4">
      <w:pPr>
        <w:pStyle w:val="Reference"/>
        <w:spacing w:before="100"/>
        <w:rPr>
          <w:spacing w:val="-4"/>
        </w:rPr>
      </w:pPr>
      <w:proofErr w:type="spellStart"/>
      <w:r w:rsidRPr="007D4FB8">
        <w:rPr>
          <w:spacing w:val="-4"/>
        </w:rPr>
        <w:t>Haskel</w:t>
      </w:r>
      <w:proofErr w:type="spellEnd"/>
      <w:r w:rsidRPr="007D4FB8">
        <w:rPr>
          <w:spacing w:val="-4"/>
        </w:rPr>
        <w:t xml:space="preserve">, J. and Westlake, S. 2017, </w:t>
      </w:r>
      <w:r w:rsidRPr="007D4FB8">
        <w:rPr>
          <w:i/>
          <w:iCs/>
          <w:spacing w:val="-4"/>
        </w:rPr>
        <w:t xml:space="preserve">Capitalism Without Capital </w:t>
      </w:r>
      <w:proofErr w:type="gramStart"/>
      <w:r w:rsidRPr="007D4FB8">
        <w:rPr>
          <w:i/>
          <w:iCs/>
          <w:spacing w:val="-4"/>
        </w:rPr>
        <w:t>The</w:t>
      </w:r>
      <w:proofErr w:type="gramEnd"/>
      <w:r w:rsidRPr="007D4FB8">
        <w:rPr>
          <w:i/>
          <w:iCs/>
          <w:spacing w:val="-4"/>
        </w:rPr>
        <w:t xml:space="preserve"> Rise of the Intangible Economy</w:t>
      </w:r>
      <w:r w:rsidRPr="007D4FB8">
        <w:rPr>
          <w:spacing w:val="-4"/>
        </w:rPr>
        <w:t>, Princeton University Press, NJ.</w:t>
      </w:r>
    </w:p>
    <w:p w14:paraId="29B20712" w14:textId="77777777" w:rsidR="00213A40" w:rsidRPr="007D4FB8" w:rsidRDefault="00213A40" w:rsidP="00F114F4">
      <w:pPr>
        <w:pStyle w:val="Reference"/>
        <w:spacing w:before="100"/>
        <w:rPr>
          <w:spacing w:val="-4"/>
        </w:rPr>
      </w:pPr>
      <w:r w:rsidRPr="007D4FB8">
        <w:rPr>
          <w:spacing w:val="-4"/>
        </w:rPr>
        <w:t xml:space="preserve">Heath, A. 2017, ‘Structural Change in Australian Industry: The Role of Business Services’, </w:t>
      </w:r>
      <w:r w:rsidRPr="007D4FB8">
        <w:rPr>
          <w:i/>
          <w:iCs/>
          <w:spacing w:val="-4"/>
        </w:rPr>
        <w:t>Speech to the Economic Society of Australia, Hobart</w:t>
      </w:r>
      <w:r w:rsidRPr="007D4FB8">
        <w:rPr>
          <w:spacing w:val="-4"/>
        </w:rPr>
        <w:t>, vol. 6.</w:t>
      </w:r>
    </w:p>
    <w:p w14:paraId="2DC5F6B6" w14:textId="77777777" w:rsidR="00213A40" w:rsidRPr="007D4FB8" w:rsidRDefault="00213A40" w:rsidP="00F114F4">
      <w:pPr>
        <w:pStyle w:val="Reference"/>
        <w:spacing w:before="100"/>
        <w:rPr>
          <w:spacing w:val="-4"/>
        </w:rPr>
      </w:pPr>
      <w:proofErr w:type="spellStart"/>
      <w:r w:rsidRPr="007D4FB8">
        <w:rPr>
          <w:spacing w:val="-4"/>
        </w:rPr>
        <w:t>Iscan</w:t>
      </w:r>
      <w:proofErr w:type="spellEnd"/>
      <w:r w:rsidRPr="007D4FB8">
        <w:rPr>
          <w:spacing w:val="-4"/>
        </w:rPr>
        <w:t xml:space="preserve">, T. 2010, ‘How Much Can Engel’s Law and Baumol’s Disease Explain the Rise of Service Employment in the United States?’, </w:t>
      </w:r>
      <w:r w:rsidRPr="007D4FB8">
        <w:rPr>
          <w:i/>
          <w:iCs/>
          <w:spacing w:val="-4"/>
        </w:rPr>
        <w:t>The B.E. Journal of Macroeconomics</w:t>
      </w:r>
      <w:r w:rsidRPr="007D4FB8">
        <w:rPr>
          <w:spacing w:val="-4"/>
        </w:rPr>
        <w:t>, vol. 10, no. 1.</w:t>
      </w:r>
    </w:p>
    <w:p w14:paraId="1E966E4C" w14:textId="3F3F847B" w:rsidR="00213A40" w:rsidRPr="007D4FB8" w:rsidRDefault="00213A40" w:rsidP="00F114F4">
      <w:pPr>
        <w:pStyle w:val="Reference"/>
        <w:spacing w:before="100"/>
        <w:rPr>
          <w:spacing w:val="-6"/>
        </w:rPr>
      </w:pPr>
      <w:r w:rsidRPr="007D4FB8">
        <w:rPr>
          <w:spacing w:val="-6"/>
        </w:rPr>
        <w:lastRenderedPageBreak/>
        <w:t>Jenner, K., Walker, A., Close, C. and Saunders, T. 2018, ‘Mining Investment beyond the Boom</w:t>
      </w:r>
      <w:r w:rsidR="007D4FB8" w:rsidRPr="007D4FB8">
        <w:rPr>
          <w:spacing w:val="-6"/>
        </w:rPr>
        <w:t xml:space="preserve"> |</w:t>
      </w:r>
      <w:r w:rsidRPr="007D4FB8">
        <w:rPr>
          <w:spacing w:val="-6"/>
        </w:rPr>
        <w:t xml:space="preserve"> Bulletin – March Quarter 2018’, </w:t>
      </w:r>
      <w:r w:rsidRPr="007D4FB8">
        <w:rPr>
          <w:i/>
          <w:iCs/>
          <w:spacing w:val="-6"/>
        </w:rPr>
        <w:t>Bulletin</w:t>
      </w:r>
      <w:r w:rsidRPr="007D4FB8">
        <w:rPr>
          <w:spacing w:val="-6"/>
        </w:rPr>
        <w:t>, March, https://www.rba.gov.au/publications/</w:t>
      </w:r>
      <w:r w:rsidR="007D4FB8" w:rsidRPr="007D4FB8">
        <w:rPr>
          <w:spacing w:val="-6"/>
        </w:rPr>
        <w:br/>
      </w:r>
      <w:r w:rsidRPr="007D4FB8">
        <w:rPr>
          <w:spacing w:val="-6"/>
        </w:rPr>
        <w:t>bulletin/2018/mar/mining-investment-beyond-the-boom.html (accessed 13 November 2020).</w:t>
      </w:r>
    </w:p>
    <w:p w14:paraId="0C122CB5" w14:textId="77777777" w:rsidR="00213A40" w:rsidRPr="007D4FB8" w:rsidRDefault="00213A40" w:rsidP="00F114F4">
      <w:pPr>
        <w:pStyle w:val="Reference"/>
        <w:spacing w:before="100"/>
        <w:rPr>
          <w:spacing w:val="-4"/>
        </w:rPr>
      </w:pPr>
      <w:r w:rsidRPr="007D4FB8">
        <w:rPr>
          <w:spacing w:val="-4"/>
        </w:rPr>
        <w:t xml:space="preserve">Johnston, A., Porter, D., </w:t>
      </w:r>
      <w:proofErr w:type="spellStart"/>
      <w:r w:rsidRPr="007D4FB8">
        <w:rPr>
          <w:spacing w:val="-4"/>
        </w:rPr>
        <w:t>Cobbold</w:t>
      </w:r>
      <w:proofErr w:type="spellEnd"/>
      <w:r w:rsidRPr="007D4FB8">
        <w:rPr>
          <w:spacing w:val="-4"/>
        </w:rPr>
        <w:t xml:space="preserve">, T. and </w:t>
      </w:r>
      <w:proofErr w:type="spellStart"/>
      <w:r w:rsidRPr="007D4FB8">
        <w:rPr>
          <w:spacing w:val="-4"/>
        </w:rPr>
        <w:t>Dolamore</w:t>
      </w:r>
      <w:proofErr w:type="spellEnd"/>
      <w:r w:rsidRPr="007D4FB8">
        <w:rPr>
          <w:spacing w:val="-4"/>
        </w:rPr>
        <w:t xml:space="preserve">, R. 2000, </w:t>
      </w:r>
      <w:r w:rsidRPr="007D4FB8">
        <w:rPr>
          <w:i/>
          <w:iCs/>
          <w:spacing w:val="-4"/>
        </w:rPr>
        <w:t>Productivity in Australia’s Wholesale and Retail Trade</w:t>
      </w:r>
      <w:r w:rsidRPr="007D4FB8">
        <w:rPr>
          <w:spacing w:val="-4"/>
        </w:rPr>
        <w:t>, Productivity Commission Staff Research Paper, Canberra.</w:t>
      </w:r>
    </w:p>
    <w:p w14:paraId="3049E017" w14:textId="77777777" w:rsidR="00213A40" w:rsidRPr="007D4FB8" w:rsidRDefault="00213A40" w:rsidP="00F114F4">
      <w:pPr>
        <w:pStyle w:val="Reference"/>
        <w:spacing w:before="100"/>
        <w:rPr>
          <w:spacing w:val="-4"/>
        </w:rPr>
      </w:pPr>
      <w:r w:rsidRPr="007D4FB8">
        <w:rPr>
          <w:spacing w:val="-4"/>
        </w:rPr>
        <w:t xml:space="preserve">Keller, W. and </w:t>
      </w:r>
      <w:proofErr w:type="spellStart"/>
      <w:r w:rsidRPr="007D4FB8">
        <w:rPr>
          <w:spacing w:val="-4"/>
        </w:rPr>
        <w:t>Yeaple</w:t>
      </w:r>
      <w:proofErr w:type="spellEnd"/>
      <w:r w:rsidRPr="007D4FB8">
        <w:rPr>
          <w:spacing w:val="-4"/>
        </w:rPr>
        <w:t xml:space="preserve">, S.R. 2013, ‘The Gravity of Knowledge’, American Economic Association, </w:t>
      </w:r>
      <w:r w:rsidRPr="007D4FB8">
        <w:rPr>
          <w:i/>
          <w:iCs/>
          <w:spacing w:val="-4"/>
        </w:rPr>
        <w:t>The American Economic Review</w:t>
      </w:r>
      <w:r w:rsidRPr="007D4FB8">
        <w:rPr>
          <w:spacing w:val="-4"/>
        </w:rPr>
        <w:t>, vol. 103, no. 4, pp. 1414–1444.</w:t>
      </w:r>
    </w:p>
    <w:p w14:paraId="1D269F02" w14:textId="77777777" w:rsidR="00213A40" w:rsidRPr="007D4FB8" w:rsidRDefault="00213A40" w:rsidP="00F114F4">
      <w:pPr>
        <w:pStyle w:val="Reference"/>
        <w:spacing w:before="100"/>
        <w:rPr>
          <w:spacing w:val="-4"/>
        </w:rPr>
      </w:pPr>
      <w:r w:rsidRPr="007D4FB8">
        <w:rPr>
          <w:spacing w:val="-4"/>
        </w:rPr>
        <w:t xml:space="preserve">Krugman, P. 1995, </w:t>
      </w:r>
      <w:r w:rsidRPr="007D4FB8">
        <w:rPr>
          <w:i/>
          <w:iCs/>
          <w:spacing w:val="-4"/>
        </w:rPr>
        <w:t>Growing World Trade: Causes and Consequences</w:t>
      </w:r>
      <w:r w:rsidRPr="007D4FB8">
        <w:rPr>
          <w:spacing w:val="-4"/>
        </w:rPr>
        <w:t>, 1, Brookings Papers on Economic Activity.</w:t>
      </w:r>
    </w:p>
    <w:p w14:paraId="6DAEE298" w14:textId="77777777" w:rsidR="00213A40" w:rsidRPr="007D4FB8" w:rsidRDefault="00213A40" w:rsidP="00F114F4">
      <w:pPr>
        <w:pStyle w:val="Reference"/>
        <w:spacing w:before="100"/>
        <w:rPr>
          <w:spacing w:val="-4"/>
        </w:rPr>
      </w:pPr>
      <w:r w:rsidRPr="007D4FB8">
        <w:rPr>
          <w:spacing w:val="-4"/>
        </w:rPr>
        <w:t xml:space="preserve">Kuznets, S. 1971, </w:t>
      </w:r>
      <w:r w:rsidRPr="007D4FB8">
        <w:rPr>
          <w:i/>
          <w:iCs/>
          <w:spacing w:val="-4"/>
        </w:rPr>
        <w:t>Economic Growth of Nations: Total Output and Production Structure</w:t>
      </w:r>
      <w:r w:rsidRPr="007D4FB8">
        <w:rPr>
          <w:spacing w:val="-4"/>
        </w:rPr>
        <w:t>, Harvard University Press, Cambridge, MA.</w:t>
      </w:r>
    </w:p>
    <w:p w14:paraId="6937DD5F" w14:textId="77777777" w:rsidR="00213A40" w:rsidRPr="007D4FB8" w:rsidRDefault="00213A40" w:rsidP="00F114F4">
      <w:pPr>
        <w:pStyle w:val="Reference"/>
        <w:spacing w:before="100"/>
        <w:rPr>
          <w:spacing w:val="-4"/>
        </w:rPr>
      </w:pPr>
      <w:r w:rsidRPr="007D4FB8">
        <w:rPr>
          <w:spacing w:val="-4"/>
        </w:rPr>
        <w:t xml:space="preserve">Melitz, M.J. and Redding, S.J. 2012, </w:t>
      </w:r>
      <w:r w:rsidRPr="007D4FB8">
        <w:rPr>
          <w:i/>
          <w:iCs/>
          <w:spacing w:val="-4"/>
        </w:rPr>
        <w:t>Heterogeneous Firms and Trade</w:t>
      </w:r>
      <w:r w:rsidRPr="007D4FB8">
        <w:rPr>
          <w:spacing w:val="-4"/>
        </w:rPr>
        <w:t xml:space="preserve">, </w:t>
      </w:r>
      <w:r w:rsidRPr="007D4FB8">
        <w:rPr>
          <w:i/>
          <w:iCs/>
          <w:spacing w:val="-4"/>
        </w:rPr>
        <w:t>CEP Discussion Papers</w:t>
      </w:r>
      <w:r w:rsidRPr="007D4FB8">
        <w:rPr>
          <w:spacing w:val="-4"/>
        </w:rPr>
        <w:t>, December, dp1183, CEP Discussion Papers, Centre for Economic Performance, LSE, https://ideas.repec.org/p/cep/cepdps/dp1183.html (accessed 10 November 2020).</w:t>
      </w:r>
    </w:p>
    <w:p w14:paraId="1F3484F8" w14:textId="77777777" w:rsidR="00213A40" w:rsidRPr="007D4FB8" w:rsidRDefault="00213A40" w:rsidP="00F114F4">
      <w:pPr>
        <w:pStyle w:val="Reference"/>
        <w:spacing w:before="100"/>
        <w:rPr>
          <w:spacing w:val="-4"/>
        </w:rPr>
      </w:pPr>
      <w:r w:rsidRPr="007D4FB8">
        <w:rPr>
          <w:spacing w:val="-4"/>
        </w:rPr>
        <w:t xml:space="preserve">Morikawa, M. 2011, ‘Economies of Density and Productivity in Service Industries: An Analysis of Personal Service Industries Based on Establishment-Level Data’, </w:t>
      </w:r>
      <w:r w:rsidRPr="007D4FB8">
        <w:rPr>
          <w:i/>
          <w:iCs/>
          <w:spacing w:val="-4"/>
        </w:rPr>
        <w:t>The Review of Economics and Statistics</w:t>
      </w:r>
      <w:r w:rsidRPr="007D4FB8">
        <w:rPr>
          <w:spacing w:val="-4"/>
        </w:rPr>
        <w:t>, vol. 93, no. 1, pp. 179–192.</w:t>
      </w:r>
    </w:p>
    <w:p w14:paraId="3CDDD072" w14:textId="77777777" w:rsidR="00213A40" w:rsidRPr="007D4FB8" w:rsidRDefault="00213A40" w:rsidP="00F114F4">
      <w:pPr>
        <w:pStyle w:val="Reference"/>
        <w:spacing w:before="100"/>
        <w:rPr>
          <w:spacing w:val="-4"/>
        </w:rPr>
      </w:pPr>
      <w:r w:rsidRPr="007D4FB8">
        <w:rPr>
          <w:spacing w:val="-4"/>
        </w:rPr>
        <w:t xml:space="preserve">Nakamura, L., Samuels, J. and </w:t>
      </w:r>
      <w:proofErr w:type="spellStart"/>
      <w:r w:rsidRPr="007D4FB8">
        <w:rPr>
          <w:spacing w:val="-4"/>
        </w:rPr>
        <w:t>Soloveichik</w:t>
      </w:r>
      <w:proofErr w:type="spellEnd"/>
      <w:r w:rsidRPr="007D4FB8">
        <w:rPr>
          <w:spacing w:val="-4"/>
        </w:rPr>
        <w:t xml:space="preserve">, R. 2017, </w:t>
      </w:r>
      <w:r w:rsidRPr="007D4FB8">
        <w:rPr>
          <w:i/>
          <w:iCs/>
          <w:spacing w:val="-4"/>
        </w:rPr>
        <w:t>Measuring the “Free” Digital Economy Within the GDP and Productivity Accounts</w:t>
      </w:r>
      <w:r w:rsidRPr="007D4FB8">
        <w:rPr>
          <w:spacing w:val="-4"/>
        </w:rPr>
        <w:t>, Working Paper, No. 17-37, Federal Reserve Bank of Philadelphia.</w:t>
      </w:r>
    </w:p>
    <w:p w14:paraId="249281A7" w14:textId="77777777" w:rsidR="00213A40" w:rsidRPr="007D4FB8" w:rsidRDefault="00213A40" w:rsidP="00F114F4">
      <w:pPr>
        <w:pStyle w:val="Reference"/>
        <w:spacing w:before="100"/>
        <w:rPr>
          <w:spacing w:val="-4"/>
        </w:rPr>
      </w:pPr>
      <w:r w:rsidRPr="007D4FB8">
        <w:rPr>
          <w:spacing w:val="-4"/>
        </w:rPr>
        <w:t xml:space="preserve">Ngai, R. and </w:t>
      </w:r>
      <w:proofErr w:type="spellStart"/>
      <w:r w:rsidRPr="007D4FB8">
        <w:rPr>
          <w:spacing w:val="-4"/>
        </w:rPr>
        <w:t>Pissarides</w:t>
      </w:r>
      <w:proofErr w:type="spellEnd"/>
      <w:r w:rsidRPr="007D4FB8">
        <w:rPr>
          <w:spacing w:val="-4"/>
        </w:rPr>
        <w:t xml:space="preserve">, C. 2008, ‘Trends in hours and economic growth’, </w:t>
      </w:r>
      <w:r w:rsidRPr="007D4FB8">
        <w:rPr>
          <w:i/>
          <w:iCs/>
          <w:spacing w:val="-4"/>
        </w:rPr>
        <w:t>Review of Economic Dynamics</w:t>
      </w:r>
      <w:r w:rsidRPr="007D4FB8">
        <w:rPr>
          <w:spacing w:val="-4"/>
        </w:rPr>
        <w:t>, vol. 11, pp. 239–256.</w:t>
      </w:r>
    </w:p>
    <w:p w14:paraId="2384AE26" w14:textId="02CA357C" w:rsidR="00213A40" w:rsidRPr="007D4FB8" w:rsidRDefault="00213A40" w:rsidP="00F114F4">
      <w:pPr>
        <w:pStyle w:val="Reference"/>
        <w:spacing w:before="100"/>
        <w:rPr>
          <w:spacing w:val="-4"/>
        </w:rPr>
      </w:pPr>
      <w:r w:rsidRPr="007D4FB8">
        <w:rPr>
          <w:spacing w:val="-4"/>
        </w:rPr>
        <w:t xml:space="preserve">Nordhaus, W.D. 2008, ‘Baumol’s Diseases: A Macroeconomic Perspective’, </w:t>
      </w:r>
      <w:r w:rsidRPr="007D4FB8">
        <w:rPr>
          <w:i/>
          <w:iCs/>
          <w:spacing w:val="-4"/>
        </w:rPr>
        <w:t>The B.E. Journal of Macroeconomics</w:t>
      </w:r>
      <w:r w:rsidRPr="007D4FB8">
        <w:rPr>
          <w:spacing w:val="-4"/>
        </w:rPr>
        <w:t>, vol. 8, no. 1, https://www.degruyter.com/view/journals/bejm/8/1/</w:t>
      </w:r>
      <w:r w:rsidR="007D4FB8">
        <w:rPr>
          <w:spacing w:val="-4"/>
        </w:rPr>
        <w:br/>
      </w:r>
      <w:r w:rsidRPr="007D4FB8">
        <w:rPr>
          <w:spacing w:val="-4"/>
        </w:rPr>
        <w:t>article-bejm.2008.8.1.1382.xml.xml (accessed 15 October 2020).</w:t>
      </w:r>
    </w:p>
    <w:p w14:paraId="3419B069" w14:textId="7208B661" w:rsidR="00213A40" w:rsidRPr="007D4FB8" w:rsidRDefault="00213A40" w:rsidP="00F114F4">
      <w:pPr>
        <w:pStyle w:val="Reference"/>
        <w:spacing w:before="100"/>
        <w:rPr>
          <w:spacing w:val="-4"/>
        </w:rPr>
      </w:pPr>
      <w:r w:rsidRPr="007D4FB8">
        <w:rPr>
          <w:spacing w:val="-4"/>
        </w:rPr>
        <w:t xml:space="preserve">PC (Productivity Commission) 2005, </w:t>
      </w:r>
      <w:r w:rsidRPr="007D4FB8">
        <w:rPr>
          <w:i/>
          <w:iCs/>
          <w:spacing w:val="-4"/>
        </w:rPr>
        <w:t>Economic implications of an ageing Australia</w:t>
      </w:r>
      <w:r w:rsidRPr="007D4FB8">
        <w:rPr>
          <w:spacing w:val="-4"/>
        </w:rPr>
        <w:t>, Research Report</w:t>
      </w:r>
      <w:r w:rsidR="007D4FB8">
        <w:rPr>
          <w:spacing w:val="-4"/>
        </w:rPr>
        <w:t>, Canberra</w:t>
      </w:r>
      <w:r w:rsidRPr="007D4FB8">
        <w:rPr>
          <w:spacing w:val="-4"/>
        </w:rPr>
        <w:t>.</w:t>
      </w:r>
    </w:p>
    <w:p w14:paraId="5891865B" w14:textId="7511A453" w:rsidR="00213A40" w:rsidRPr="007D4FB8" w:rsidRDefault="00213A40" w:rsidP="00F114F4">
      <w:pPr>
        <w:pStyle w:val="Reference"/>
        <w:spacing w:before="100"/>
        <w:rPr>
          <w:spacing w:val="-4"/>
        </w:rPr>
      </w:pPr>
      <w:r w:rsidRPr="007D4FB8">
        <w:rPr>
          <w:spacing w:val="-4"/>
        </w:rPr>
        <w:t xml:space="preserve">—— 2015a, </w:t>
      </w:r>
      <w:r w:rsidRPr="007D4FB8">
        <w:rPr>
          <w:i/>
          <w:iCs/>
          <w:spacing w:val="-4"/>
        </w:rPr>
        <w:t>Barriers to Growth in Service Exports</w:t>
      </w:r>
      <w:r w:rsidRPr="007D4FB8">
        <w:rPr>
          <w:spacing w:val="-4"/>
        </w:rPr>
        <w:t>, Research Report, Canberra.</w:t>
      </w:r>
    </w:p>
    <w:p w14:paraId="61DC4592" w14:textId="40D9EBDA" w:rsidR="00213A40" w:rsidRPr="007D4FB8" w:rsidRDefault="00213A40" w:rsidP="00F114F4">
      <w:pPr>
        <w:pStyle w:val="Reference"/>
        <w:spacing w:before="100"/>
        <w:rPr>
          <w:spacing w:val="-4"/>
        </w:rPr>
      </w:pPr>
      <w:r w:rsidRPr="007D4FB8">
        <w:rPr>
          <w:spacing w:val="-4"/>
        </w:rPr>
        <w:t xml:space="preserve">—— 2015b, </w:t>
      </w:r>
      <w:r w:rsidRPr="007D4FB8">
        <w:rPr>
          <w:i/>
          <w:iCs/>
          <w:spacing w:val="-4"/>
        </w:rPr>
        <w:t>Business Set-up, Transfer and Closure</w:t>
      </w:r>
      <w:r w:rsidRPr="007D4FB8">
        <w:rPr>
          <w:spacing w:val="-4"/>
        </w:rPr>
        <w:t>, Report no. 75, Canberra.</w:t>
      </w:r>
    </w:p>
    <w:p w14:paraId="5A65DD2F" w14:textId="4CD71F36" w:rsidR="00213A40" w:rsidRPr="007D4FB8" w:rsidRDefault="00213A40" w:rsidP="00F114F4">
      <w:pPr>
        <w:pStyle w:val="Reference"/>
        <w:spacing w:before="100"/>
        <w:rPr>
          <w:spacing w:val="-4"/>
        </w:rPr>
      </w:pPr>
      <w:r w:rsidRPr="007D4FB8">
        <w:rPr>
          <w:spacing w:val="-4"/>
        </w:rPr>
        <w:t xml:space="preserve">—— 2017a, </w:t>
      </w:r>
      <w:r w:rsidRPr="007D4FB8">
        <w:rPr>
          <w:i/>
          <w:iCs/>
          <w:spacing w:val="-4"/>
        </w:rPr>
        <w:t xml:space="preserve">Shifting the Dial: 5 Year Productivity Review, supporting paper no. 1, Productivity and Income </w:t>
      </w:r>
      <w:r w:rsidR="00F114F4">
        <w:rPr>
          <w:i/>
          <w:iCs/>
          <w:spacing w:val="-4"/>
        </w:rPr>
        <w:t>–</w:t>
      </w:r>
      <w:r w:rsidRPr="007D4FB8">
        <w:rPr>
          <w:i/>
          <w:iCs/>
          <w:spacing w:val="-4"/>
        </w:rPr>
        <w:t xml:space="preserve"> the Australian Story</w:t>
      </w:r>
      <w:r w:rsidRPr="007D4FB8">
        <w:rPr>
          <w:spacing w:val="-4"/>
        </w:rPr>
        <w:t>, Canberra.</w:t>
      </w:r>
    </w:p>
    <w:p w14:paraId="10E34A8A" w14:textId="07B0080D" w:rsidR="00213A40" w:rsidRPr="007D4FB8" w:rsidRDefault="00213A40" w:rsidP="00F114F4">
      <w:pPr>
        <w:pStyle w:val="Reference"/>
        <w:spacing w:before="100"/>
        <w:rPr>
          <w:spacing w:val="-4"/>
        </w:rPr>
      </w:pPr>
      <w:r w:rsidRPr="007D4FB8">
        <w:rPr>
          <w:spacing w:val="-4"/>
        </w:rPr>
        <w:t xml:space="preserve">—— 2017b, </w:t>
      </w:r>
      <w:proofErr w:type="gramStart"/>
      <w:r w:rsidRPr="007D4FB8">
        <w:rPr>
          <w:i/>
          <w:iCs/>
          <w:spacing w:val="-4"/>
        </w:rPr>
        <w:t>Why</w:t>
      </w:r>
      <w:proofErr w:type="gramEnd"/>
      <w:r w:rsidRPr="007D4FB8">
        <w:rPr>
          <w:i/>
          <w:iCs/>
          <w:spacing w:val="-4"/>
        </w:rPr>
        <w:t xml:space="preserve"> a Better Health System Matters,</w:t>
      </w:r>
      <w:r w:rsidRPr="007D4FB8">
        <w:rPr>
          <w:spacing w:val="-4"/>
        </w:rPr>
        <w:t xml:space="preserve"> Shifting the Dial: 5 year Productivity Review, Supporting Paper no. 4.</w:t>
      </w:r>
    </w:p>
    <w:p w14:paraId="7AAF4A46" w14:textId="4728EA44" w:rsidR="00213A40" w:rsidRPr="007D4FB8" w:rsidRDefault="00213A40" w:rsidP="00F114F4">
      <w:pPr>
        <w:pStyle w:val="Reference"/>
        <w:spacing w:before="100"/>
        <w:rPr>
          <w:spacing w:val="-4"/>
        </w:rPr>
      </w:pPr>
      <w:r w:rsidRPr="007D4FB8">
        <w:rPr>
          <w:spacing w:val="-4"/>
        </w:rPr>
        <w:t xml:space="preserve">—— 2020, </w:t>
      </w:r>
      <w:r w:rsidRPr="007D4FB8">
        <w:rPr>
          <w:i/>
          <w:iCs/>
          <w:spacing w:val="-4"/>
        </w:rPr>
        <w:t>PC Productivity Insights 2020</w:t>
      </w:r>
      <w:r w:rsidRPr="007D4FB8">
        <w:rPr>
          <w:spacing w:val="-4"/>
        </w:rPr>
        <w:t>, Canberra.</w:t>
      </w:r>
    </w:p>
    <w:p w14:paraId="31C15DD6" w14:textId="77777777" w:rsidR="00213A40" w:rsidRPr="007D4FB8" w:rsidRDefault="00213A40" w:rsidP="00F114F4">
      <w:pPr>
        <w:pStyle w:val="Reference"/>
        <w:spacing w:before="100"/>
        <w:rPr>
          <w:spacing w:val="-4"/>
        </w:rPr>
      </w:pPr>
      <w:r w:rsidRPr="007D4FB8">
        <w:rPr>
          <w:spacing w:val="-4"/>
        </w:rPr>
        <w:t xml:space="preserve">Pugsley, B.W. and </w:t>
      </w:r>
      <w:proofErr w:type="spellStart"/>
      <w:r w:rsidRPr="007D4FB8">
        <w:rPr>
          <w:spacing w:val="-4"/>
        </w:rPr>
        <w:t>Sahin</w:t>
      </w:r>
      <w:proofErr w:type="spellEnd"/>
      <w:r w:rsidRPr="007D4FB8">
        <w:rPr>
          <w:spacing w:val="-4"/>
        </w:rPr>
        <w:t xml:space="preserve">, A. 2019, ‘Grown-up business cycles’, </w:t>
      </w:r>
      <w:r w:rsidRPr="007D4FB8">
        <w:rPr>
          <w:i/>
          <w:iCs/>
          <w:spacing w:val="-4"/>
        </w:rPr>
        <w:t>The Review of Financial Studies</w:t>
      </w:r>
      <w:r w:rsidRPr="007D4FB8">
        <w:rPr>
          <w:spacing w:val="-4"/>
        </w:rPr>
        <w:t>, vol. 32, no. 3, pp. 1102–1147.</w:t>
      </w:r>
    </w:p>
    <w:p w14:paraId="62399EB3" w14:textId="77777777" w:rsidR="00213A40" w:rsidRPr="007D4FB8" w:rsidRDefault="00213A40" w:rsidP="00F114F4">
      <w:pPr>
        <w:pStyle w:val="Reference"/>
        <w:spacing w:before="100"/>
        <w:rPr>
          <w:spacing w:val="-4"/>
        </w:rPr>
      </w:pPr>
      <w:r w:rsidRPr="007D4FB8">
        <w:rPr>
          <w:spacing w:val="-4"/>
        </w:rPr>
        <w:t xml:space="preserve">Rayner, V. and Bishop, J. 2013, </w:t>
      </w:r>
      <w:r w:rsidRPr="007D4FB8">
        <w:rPr>
          <w:i/>
          <w:iCs/>
          <w:spacing w:val="-4"/>
        </w:rPr>
        <w:t>Industry dimensions of the resource boom: an input-output analysis</w:t>
      </w:r>
      <w:r w:rsidRPr="007D4FB8">
        <w:rPr>
          <w:spacing w:val="-4"/>
        </w:rPr>
        <w:t>, Economic Research Department, Reserve Bank of Australia.</w:t>
      </w:r>
    </w:p>
    <w:p w14:paraId="578A2F90" w14:textId="77777777" w:rsidR="00213A40" w:rsidRPr="007D4FB8" w:rsidRDefault="00213A40" w:rsidP="00F114F4">
      <w:pPr>
        <w:pStyle w:val="Reference"/>
        <w:spacing w:before="100"/>
        <w:rPr>
          <w:spacing w:val="-4"/>
        </w:rPr>
      </w:pPr>
      <w:proofErr w:type="spellStart"/>
      <w:r w:rsidRPr="007D4FB8">
        <w:rPr>
          <w:spacing w:val="-4"/>
        </w:rPr>
        <w:lastRenderedPageBreak/>
        <w:t>Remeikis</w:t>
      </w:r>
      <w:proofErr w:type="spellEnd"/>
      <w:r w:rsidRPr="007D4FB8">
        <w:rPr>
          <w:spacing w:val="-4"/>
        </w:rPr>
        <w:t xml:space="preserve">, A. 2016, ‘Queensland set to increase fines for Uber drivers’, </w:t>
      </w:r>
      <w:r w:rsidRPr="007D4FB8">
        <w:rPr>
          <w:i/>
          <w:iCs/>
          <w:spacing w:val="-4"/>
        </w:rPr>
        <w:t>Brisbane Times</w:t>
      </w:r>
      <w:r w:rsidRPr="007D4FB8">
        <w:rPr>
          <w:spacing w:val="-4"/>
        </w:rPr>
        <w:t>, https://www.brisbanetimes.com.au/national/queensland/queensland-set-to-increase-fines-for-uber-drivers-20160420-gobane.html#:~:text=Transport%20Inspectors%20will%20now%20have,toughest%20infringements%20in%20the%20country. (accessed 12 January 2021).</w:t>
      </w:r>
    </w:p>
    <w:p w14:paraId="6B4F8EC9" w14:textId="77777777" w:rsidR="00213A40" w:rsidRPr="007D4FB8" w:rsidRDefault="00213A40" w:rsidP="00F114F4">
      <w:pPr>
        <w:pStyle w:val="Reference"/>
        <w:spacing w:before="100"/>
        <w:rPr>
          <w:spacing w:val="-4"/>
        </w:rPr>
      </w:pPr>
      <w:proofErr w:type="spellStart"/>
      <w:r w:rsidRPr="007D4FB8">
        <w:rPr>
          <w:spacing w:val="-4"/>
        </w:rPr>
        <w:t>Sier</w:t>
      </w:r>
      <w:proofErr w:type="spellEnd"/>
      <w:r w:rsidRPr="007D4FB8">
        <w:rPr>
          <w:spacing w:val="-4"/>
        </w:rPr>
        <w:t xml:space="preserve">, J. 2015, ‘The untold story of Uber’s arrival in Australia’, </w:t>
      </w:r>
      <w:r w:rsidRPr="007D4FB8">
        <w:rPr>
          <w:i/>
          <w:iCs/>
          <w:spacing w:val="-4"/>
        </w:rPr>
        <w:t>The Australian Financial Review</w:t>
      </w:r>
      <w:r w:rsidRPr="007D4FB8">
        <w:rPr>
          <w:spacing w:val="-4"/>
        </w:rPr>
        <w:t>, https://www.afr.com/work-and-careers/management/the-untold-story-of-ubers-arrival-in-australia-20151001-gjyxz4 (accessed 12 January 2021).</w:t>
      </w:r>
    </w:p>
    <w:p w14:paraId="6625AF4D" w14:textId="77777777" w:rsidR="00213A40" w:rsidRPr="007D4FB8" w:rsidRDefault="00213A40" w:rsidP="00F114F4">
      <w:pPr>
        <w:pStyle w:val="Reference"/>
        <w:spacing w:before="100"/>
        <w:rPr>
          <w:spacing w:val="-4"/>
        </w:rPr>
      </w:pPr>
      <w:proofErr w:type="spellStart"/>
      <w:r w:rsidRPr="007D4FB8">
        <w:rPr>
          <w:spacing w:val="-4"/>
        </w:rPr>
        <w:t>Sorbe</w:t>
      </w:r>
      <w:proofErr w:type="spellEnd"/>
      <w:r w:rsidRPr="007D4FB8">
        <w:rPr>
          <w:spacing w:val="-4"/>
        </w:rPr>
        <w:t xml:space="preserve">, S., Gal, P. and </w:t>
      </w:r>
      <w:proofErr w:type="spellStart"/>
      <w:r w:rsidRPr="007D4FB8">
        <w:rPr>
          <w:spacing w:val="-4"/>
        </w:rPr>
        <w:t>Millot</w:t>
      </w:r>
      <w:proofErr w:type="spellEnd"/>
      <w:r w:rsidRPr="007D4FB8">
        <w:rPr>
          <w:spacing w:val="-4"/>
        </w:rPr>
        <w:t xml:space="preserve">, V. 2018, ‘Can productivity still grow in service-based </w:t>
      </w:r>
      <w:proofErr w:type="gramStart"/>
      <w:r w:rsidRPr="007D4FB8">
        <w:rPr>
          <w:spacing w:val="-4"/>
        </w:rPr>
        <w:t>economies?:</w:t>
      </w:r>
      <w:proofErr w:type="gramEnd"/>
      <w:r w:rsidRPr="007D4FB8">
        <w:rPr>
          <w:spacing w:val="-4"/>
        </w:rPr>
        <w:t xml:space="preserve"> Literature overview and preliminary evidence from OECD countries’, https://www.oecd-ilibrary.org/economics/can-productivity-still-grow-in-service-based-economies_4458ec7b-en (accessed 12 October 2020).</w:t>
      </w:r>
    </w:p>
    <w:p w14:paraId="4EC30798" w14:textId="77777777" w:rsidR="00213A40" w:rsidRPr="007D4FB8" w:rsidRDefault="00213A40" w:rsidP="00F114F4">
      <w:pPr>
        <w:pStyle w:val="Reference"/>
        <w:spacing w:before="100"/>
        <w:rPr>
          <w:spacing w:val="-4"/>
        </w:rPr>
      </w:pPr>
      <w:r w:rsidRPr="007D4FB8">
        <w:rPr>
          <w:spacing w:val="-4"/>
        </w:rPr>
        <w:t xml:space="preserve">Syed, A., Grafton, R.Q., </w:t>
      </w:r>
      <w:proofErr w:type="spellStart"/>
      <w:r w:rsidRPr="007D4FB8">
        <w:rPr>
          <w:spacing w:val="-4"/>
        </w:rPr>
        <w:t>Kalirajan</w:t>
      </w:r>
      <w:proofErr w:type="spellEnd"/>
      <w:r w:rsidRPr="007D4FB8">
        <w:rPr>
          <w:spacing w:val="-4"/>
        </w:rPr>
        <w:t xml:space="preserve">, K. and Parham, D. 2015, ‘Multifactor productivity growth and the Australian mining sector’, Wiley-Blackwell, </w:t>
      </w:r>
      <w:r w:rsidRPr="007D4FB8">
        <w:rPr>
          <w:i/>
          <w:iCs/>
          <w:spacing w:val="-4"/>
        </w:rPr>
        <w:t>Australian Journal of Agricultural &amp; Resource Economics</w:t>
      </w:r>
      <w:r w:rsidRPr="007D4FB8">
        <w:rPr>
          <w:spacing w:val="-4"/>
        </w:rPr>
        <w:t>, vol. 59, no. 4, pp. 549–570.</w:t>
      </w:r>
    </w:p>
    <w:p w14:paraId="2B073E44" w14:textId="719EE0A3" w:rsidR="00213A40" w:rsidRPr="007D4FB8" w:rsidRDefault="00213A40" w:rsidP="00F114F4">
      <w:pPr>
        <w:pStyle w:val="Reference"/>
        <w:spacing w:before="100"/>
        <w:rPr>
          <w:spacing w:val="-4"/>
        </w:rPr>
      </w:pPr>
      <w:proofErr w:type="spellStart"/>
      <w:r w:rsidRPr="007D4FB8">
        <w:rPr>
          <w:spacing w:val="-4"/>
        </w:rPr>
        <w:t>Szekely</w:t>
      </w:r>
      <w:proofErr w:type="spellEnd"/>
      <w:r w:rsidRPr="007D4FB8">
        <w:rPr>
          <w:spacing w:val="-4"/>
        </w:rPr>
        <w:t xml:space="preserve">, B. 2018, </w:t>
      </w:r>
      <w:r w:rsidRPr="007D4FB8">
        <w:rPr>
          <w:i/>
          <w:iCs/>
          <w:spacing w:val="-4"/>
        </w:rPr>
        <w:t xml:space="preserve">Is Uber legal in </w:t>
      </w:r>
      <w:proofErr w:type="gramStart"/>
      <w:r w:rsidRPr="007D4FB8">
        <w:rPr>
          <w:i/>
          <w:iCs/>
          <w:spacing w:val="-4"/>
        </w:rPr>
        <w:t>Australia?</w:t>
      </w:r>
      <w:r w:rsidRPr="007D4FB8">
        <w:rPr>
          <w:spacing w:val="-4"/>
        </w:rPr>
        <w:t>,</w:t>
      </w:r>
      <w:proofErr w:type="gramEnd"/>
      <w:r w:rsidRPr="007D4FB8">
        <w:rPr>
          <w:spacing w:val="-4"/>
        </w:rPr>
        <w:t xml:space="preserve"> </w:t>
      </w:r>
      <w:proofErr w:type="spellStart"/>
      <w:r w:rsidRPr="007D4FB8">
        <w:rPr>
          <w:spacing w:val="-4"/>
        </w:rPr>
        <w:t>splend</w:t>
      </w:r>
      <w:proofErr w:type="spellEnd"/>
      <w:r w:rsidRPr="007D4FB8">
        <w:rPr>
          <w:spacing w:val="-4"/>
        </w:rPr>
        <w:t>, https://www.splend.com.au/blog/is-uber-legal/#:~:text=Northern%20Territory-,Australian%20Capital%20Territory,to%20operate</w:t>
      </w:r>
      <w:r w:rsidR="007D4FB8">
        <w:rPr>
          <w:spacing w:val="-4"/>
        </w:rPr>
        <w:br/>
      </w:r>
      <w:r w:rsidRPr="007D4FB8">
        <w:rPr>
          <w:spacing w:val="-4"/>
        </w:rPr>
        <w:t>%20in%20the%20ACT. (accessed 12 January 2021).</w:t>
      </w:r>
    </w:p>
    <w:p w14:paraId="4FEC8DB2" w14:textId="77777777" w:rsidR="00213A40" w:rsidRPr="007D4FB8" w:rsidRDefault="00213A40" w:rsidP="00F114F4">
      <w:pPr>
        <w:pStyle w:val="Reference"/>
        <w:spacing w:before="100"/>
        <w:rPr>
          <w:spacing w:val="-4"/>
        </w:rPr>
      </w:pPr>
      <w:r w:rsidRPr="007D4FB8">
        <w:rPr>
          <w:spacing w:val="-4"/>
        </w:rPr>
        <w:t xml:space="preserve">The Economist 2020, </w:t>
      </w:r>
      <w:r w:rsidRPr="007D4FB8">
        <w:rPr>
          <w:i/>
          <w:iCs/>
          <w:spacing w:val="-4"/>
        </w:rPr>
        <w:t>Economics A-Z</w:t>
      </w:r>
      <w:r w:rsidRPr="007D4FB8">
        <w:rPr>
          <w:spacing w:val="-4"/>
        </w:rPr>
        <w:t>, The Economist, https://www.economist.com/economics-a-to-z (accessed 6 August 2020).</w:t>
      </w:r>
    </w:p>
    <w:p w14:paraId="4104BB15" w14:textId="77777777" w:rsidR="00213A40" w:rsidRPr="007D4FB8" w:rsidRDefault="00213A40" w:rsidP="00F114F4">
      <w:pPr>
        <w:pStyle w:val="Reference"/>
        <w:spacing w:before="100"/>
        <w:rPr>
          <w:spacing w:val="-4"/>
        </w:rPr>
      </w:pPr>
      <w:r w:rsidRPr="007D4FB8">
        <w:rPr>
          <w:spacing w:val="-4"/>
        </w:rPr>
        <w:t xml:space="preserve">Timmer, M. and Vries, G.J. 2015, ‘Patterns of structural change in developing countries’, </w:t>
      </w:r>
      <w:r w:rsidRPr="007D4FB8">
        <w:rPr>
          <w:i/>
          <w:iCs/>
          <w:spacing w:val="-4"/>
        </w:rPr>
        <w:t xml:space="preserve">Handbook of Industry and </w:t>
      </w:r>
      <w:proofErr w:type="spellStart"/>
      <w:r w:rsidRPr="007D4FB8">
        <w:rPr>
          <w:i/>
          <w:iCs/>
          <w:spacing w:val="-4"/>
        </w:rPr>
        <w:t>Developement</w:t>
      </w:r>
      <w:proofErr w:type="spellEnd"/>
      <w:r w:rsidRPr="007D4FB8">
        <w:rPr>
          <w:spacing w:val="-4"/>
        </w:rPr>
        <w:t>, Routledge, pp. 65–83.</w:t>
      </w:r>
    </w:p>
    <w:p w14:paraId="6D89F12A" w14:textId="77777777" w:rsidR="00213A40" w:rsidRPr="007D4FB8" w:rsidRDefault="00213A40" w:rsidP="00F114F4">
      <w:pPr>
        <w:pStyle w:val="Reference"/>
        <w:spacing w:before="100"/>
        <w:rPr>
          <w:spacing w:val="-4"/>
        </w:rPr>
      </w:pPr>
      <w:proofErr w:type="spellStart"/>
      <w:r w:rsidRPr="007D4FB8">
        <w:rPr>
          <w:spacing w:val="-4"/>
        </w:rPr>
        <w:t>Topp</w:t>
      </w:r>
      <w:proofErr w:type="spellEnd"/>
      <w:r w:rsidRPr="007D4FB8">
        <w:rPr>
          <w:spacing w:val="-4"/>
        </w:rPr>
        <w:t xml:space="preserve">, V. and </w:t>
      </w:r>
      <w:proofErr w:type="spellStart"/>
      <w:r w:rsidRPr="007D4FB8">
        <w:rPr>
          <w:spacing w:val="-4"/>
        </w:rPr>
        <w:t>Kulys</w:t>
      </w:r>
      <w:proofErr w:type="spellEnd"/>
      <w:r w:rsidRPr="007D4FB8">
        <w:rPr>
          <w:spacing w:val="-4"/>
        </w:rPr>
        <w:t xml:space="preserve">, T. 2012, </w:t>
      </w:r>
      <w:r w:rsidRPr="007D4FB8">
        <w:rPr>
          <w:i/>
          <w:iCs/>
          <w:spacing w:val="-4"/>
        </w:rPr>
        <w:t>Productivity in Electricity, Gas and Water: Measurement and Interpretation</w:t>
      </w:r>
      <w:r w:rsidRPr="007D4FB8">
        <w:rPr>
          <w:spacing w:val="-4"/>
        </w:rPr>
        <w:t>, Productivity Commission Staff Working Paper, Canberra.</w:t>
      </w:r>
    </w:p>
    <w:p w14:paraId="5FF5BE9C" w14:textId="77777777" w:rsidR="00213A40" w:rsidRPr="007D4FB8" w:rsidRDefault="00213A40" w:rsidP="00F114F4">
      <w:pPr>
        <w:pStyle w:val="Reference"/>
        <w:spacing w:before="100"/>
        <w:rPr>
          <w:spacing w:val="-4"/>
        </w:rPr>
      </w:pPr>
      <w:proofErr w:type="spellStart"/>
      <w:r w:rsidRPr="007D4FB8">
        <w:rPr>
          <w:spacing w:val="-4"/>
        </w:rPr>
        <w:t>Topp</w:t>
      </w:r>
      <w:proofErr w:type="spellEnd"/>
      <w:r w:rsidRPr="007D4FB8">
        <w:rPr>
          <w:spacing w:val="-4"/>
        </w:rPr>
        <w:t xml:space="preserve">, V. and </w:t>
      </w:r>
      <w:proofErr w:type="spellStart"/>
      <w:r w:rsidRPr="007D4FB8">
        <w:rPr>
          <w:spacing w:val="-4"/>
        </w:rPr>
        <w:t>Kulys</w:t>
      </w:r>
      <w:proofErr w:type="spellEnd"/>
      <w:r w:rsidRPr="007D4FB8">
        <w:rPr>
          <w:spacing w:val="-4"/>
        </w:rPr>
        <w:t xml:space="preserve">, T. 2013, </w:t>
      </w:r>
      <w:r w:rsidRPr="007D4FB8">
        <w:rPr>
          <w:i/>
          <w:iCs/>
          <w:spacing w:val="-4"/>
        </w:rPr>
        <w:t>On Productivity: the influence of natural resource inputs</w:t>
      </w:r>
      <w:r w:rsidRPr="007D4FB8">
        <w:rPr>
          <w:spacing w:val="-4"/>
        </w:rPr>
        <w:t xml:space="preserve">, Productivity </w:t>
      </w:r>
      <w:proofErr w:type="spellStart"/>
      <w:r w:rsidRPr="007D4FB8">
        <w:rPr>
          <w:spacing w:val="-4"/>
        </w:rPr>
        <w:t>Comission</w:t>
      </w:r>
      <w:proofErr w:type="spellEnd"/>
      <w:r w:rsidRPr="007D4FB8">
        <w:rPr>
          <w:spacing w:val="-4"/>
        </w:rPr>
        <w:t xml:space="preserve"> Staff Research Note, Canberra.</w:t>
      </w:r>
    </w:p>
    <w:p w14:paraId="719E454E" w14:textId="77777777" w:rsidR="00213A40" w:rsidRPr="007D4FB8" w:rsidRDefault="00213A40" w:rsidP="00F114F4">
      <w:pPr>
        <w:pStyle w:val="Reference"/>
        <w:spacing w:before="100"/>
        <w:rPr>
          <w:spacing w:val="-4"/>
        </w:rPr>
      </w:pPr>
      <w:proofErr w:type="spellStart"/>
      <w:r w:rsidRPr="007D4FB8">
        <w:rPr>
          <w:spacing w:val="-4"/>
        </w:rPr>
        <w:t>Topp</w:t>
      </w:r>
      <w:proofErr w:type="spellEnd"/>
      <w:r w:rsidRPr="007D4FB8">
        <w:rPr>
          <w:spacing w:val="-4"/>
        </w:rPr>
        <w:t xml:space="preserve">, V., Soames, L., Parham, D. and Bloch, H. 2008, </w:t>
      </w:r>
      <w:r w:rsidRPr="007D4FB8">
        <w:rPr>
          <w:i/>
          <w:iCs/>
          <w:spacing w:val="-4"/>
        </w:rPr>
        <w:t>Productivity in the Mining Industry: Measurement and Interpretation</w:t>
      </w:r>
      <w:r w:rsidRPr="007D4FB8">
        <w:rPr>
          <w:spacing w:val="-4"/>
        </w:rPr>
        <w:t>, Productivity Commission Staff Working Paper, Canberra.</w:t>
      </w:r>
    </w:p>
    <w:p w14:paraId="5FD5AAFC" w14:textId="77777777" w:rsidR="00213A40" w:rsidRPr="007D4FB8" w:rsidRDefault="00213A40" w:rsidP="00F114F4">
      <w:pPr>
        <w:pStyle w:val="Reference"/>
        <w:spacing w:before="100"/>
        <w:rPr>
          <w:spacing w:val="-4"/>
        </w:rPr>
      </w:pPr>
      <w:r w:rsidRPr="007D4FB8">
        <w:rPr>
          <w:spacing w:val="-4"/>
        </w:rPr>
        <w:t xml:space="preserve">Withers, G., Endres, T. and Perry, L. 1985, </w:t>
      </w:r>
      <w:r w:rsidRPr="007D4FB8">
        <w:rPr>
          <w:i/>
          <w:iCs/>
          <w:spacing w:val="-4"/>
        </w:rPr>
        <w:t>Australian Historical Statistics: Labour Statistics</w:t>
      </w:r>
      <w:r w:rsidRPr="007D4FB8">
        <w:rPr>
          <w:spacing w:val="-4"/>
        </w:rPr>
        <w:t>, 7, Source Papers in Economic History, Australian National University.</w:t>
      </w:r>
    </w:p>
    <w:p w14:paraId="230D63E2" w14:textId="3E53ECDB" w:rsidR="00213A40" w:rsidRPr="00777FF0" w:rsidRDefault="00213A40" w:rsidP="00F114F4">
      <w:pPr>
        <w:pStyle w:val="Reference"/>
        <w:spacing w:before="100"/>
        <w:rPr>
          <w:spacing w:val="-4"/>
        </w:rPr>
      </w:pPr>
      <w:r w:rsidRPr="00777FF0">
        <w:rPr>
          <w:spacing w:val="-4"/>
        </w:rPr>
        <w:t xml:space="preserve">World Bank 2020, </w:t>
      </w:r>
      <w:proofErr w:type="spellStart"/>
      <w:r w:rsidRPr="00777FF0">
        <w:rPr>
          <w:i/>
          <w:iCs/>
          <w:spacing w:val="-4"/>
        </w:rPr>
        <w:t>DataBank</w:t>
      </w:r>
      <w:proofErr w:type="spellEnd"/>
      <w:r w:rsidRPr="00777FF0">
        <w:rPr>
          <w:spacing w:val="-4"/>
        </w:rPr>
        <w:t>, https://databank.worldbank.org/home.aspx (accessed 11</w:t>
      </w:r>
      <w:r w:rsidR="00777FF0" w:rsidRPr="00777FF0">
        <w:rPr>
          <w:spacing w:val="-4"/>
        </w:rPr>
        <w:t> </w:t>
      </w:r>
      <w:r w:rsidRPr="00777FF0">
        <w:rPr>
          <w:spacing w:val="-4"/>
        </w:rPr>
        <w:t>December 2020).</w:t>
      </w:r>
    </w:p>
    <w:p w14:paraId="53BDA2E0" w14:textId="4D70A677" w:rsidR="00213A40" w:rsidRPr="007D4FB8" w:rsidRDefault="00213A40" w:rsidP="00F114F4">
      <w:pPr>
        <w:pStyle w:val="Reference"/>
        <w:spacing w:before="100"/>
        <w:rPr>
          <w:spacing w:val="-4"/>
        </w:rPr>
      </w:pPr>
      <w:r w:rsidRPr="007D4FB8">
        <w:rPr>
          <w:spacing w:val="-4"/>
        </w:rPr>
        <w:t xml:space="preserve">Yahoo 2021, </w:t>
      </w:r>
      <w:r w:rsidRPr="007D4FB8">
        <w:rPr>
          <w:i/>
          <w:iCs/>
          <w:spacing w:val="-4"/>
        </w:rPr>
        <w:t>Alphabet Inc. (GOOG)</w:t>
      </w:r>
      <w:r w:rsidRPr="007D4FB8">
        <w:rPr>
          <w:spacing w:val="-4"/>
        </w:rPr>
        <w:t xml:space="preserve">, </w:t>
      </w:r>
      <w:proofErr w:type="spellStart"/>
      <w:r w:rsidRPr="007D4FB8">
        <w:rPr>
          <w:spacing w:val="-4"/>
        </w:rPr>
        <w:t>yahoo!</w:t>
      </w:r>
      <w:proofErr w:type="spellEnd"/>
      <w:r w:rsidRPr="007D4FB8">
        <w:rPr>
          <w:spacing w:val="-4"/>
        </w:rPr>
        <w:t xml:space="preserve"> finance, https://finance.yahoo.com/quote/GOOG/</w:t>
      </w:r>
      <w:r w:rsidR="007D4FB8">
        <w:rPr>
          <w:spacing w:val="-4"/>
        </w:rPr>
        <w:br/>
      </w:r>
      <w:proofErr w:type="spellStart"/>
      <w:r w:rsidRPr="007D4FB8">
        <w:rPr>
          <w:spacing w:val="-4"/>
        </w:rPr>
        <w:t>key-statistics?p</w:t>
      </w:r>
      <w:proofErr w:type="spellEnd"/>
      <w:r w:rsidRPr="007D4FB8">
        <w:rPr>
          <w:spacing w:val="-4"/>
        </w:rPr>
        <w:t>=GOOG (accessed 26 March 2021).</w:t>
      </w:r>
    </w:p>
    <w:p w14:paraId="2D1E5A0C" w14:textId="77777777" w:rsidR="00213A40" w:rsidRPr="007D4FB8" w:rsidRDefault="00213A40" w:rsidP="00F114F4">
      <w:pPr>
        <w:pStyle w:val="Reference"/>
        <w:spacing w:before="100"/>
        <w:rPr>
          <w:spacing w:val="-4"/>
        </w:rPr>
      </w:pPr>
      <w:r w:rsidRPr="007D4FB8">
        <w:rPr>
          <w:spacing w:val="-4"/>
        </w:rPr>
        <w:t xml:space="preserve">Yang, H. 2013, ‘Targeted search and the long tail effect’, </w:t>
      </w:r>
      <w:r w:rsidRPr="007D4FB8">
        <w:rPr>
          <w:i/>
          <w:iCs/>
          <w:spacing w:val="-4"/>
        </w:rPr>
        <w:t>The RAND Journal of Economics</w:t>
      </w:r>
      <w:r w:rsidRPr="007D4FB8">
        <w:rPr>
          <w:spacing w:val="-4"/>
        </w:rPr>
        <w:t>, vol. 44, no. 4, pp. 733–756.</w:t>
      </w:r>
    </w:p>
    <w:p w14:paraId="00713CB4" w14:textId="77777777" w:rsidR="00213A40" w:rsidRPr="007D4FB8" w:rsidRDefault="00213A40" w:rsidP="00F114F4">
      <w:pPr>
        <w:pStyle w:val="Reference"/>
        <w:spacing w:before="100"/>
        <w:rPr>
          <w:spacing w:val="-4"/>
        </w:rPr>
      </w:pPr>
      <w:r w:rsidRPr="007D4FB8">
        <w:rPr>
          <w:spacing w:val="-4"/>
        </w:rPr>
        <w:t xml:space="preserve">Zhao, S., Barnes, P., Gordon, J., Munoz, M. and Hunter, J. 2016, </w:t>
      </w:r>
      <w:r w:rsidRPr="007D4FB8">
        <w:rPr>
          <w:i/>
          <w:iCs/>
          <w:spacing w:val="-4"/>
        </w:rPr>
        <w:t>Productivity in Financial and Insurance Services</w:t>
      </w:r>
      <w:r w:rsidRPr="007D4FB8">
        <w:rPr>
          <w:spacing w:val="-4"/>
        </w:rPr>
        <w:t>, Productivity Commission Staff Research Note, Canberra.</w:t>
      </w:r>
    </w:p>
    <w:sectPr w:rsidR="00213A40" w:rsidRPr="007D4FB8" w:rsidSect="00C764D7">
      <w:headerReference w:type="default" r:id="rId53"/>
      <w:footerReference w:type="default" r:id="rId54"/>
      <w:type w:val="oddPage"/>
      <w:pgSz w:w="11907" w:h="16840" w:code="9"/>
      <w:pgMar w:top="1985" w:right="1304" w:bottom="1247" w:left="1814" w:header="1701" w:footer="397" w:gutter="0"/>
      <w:pgNumType w:start="1"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857D8" w14:textId="77777777" w:rsidR="00BA1876" w:rsidRDefault="00BA1876" w:rsidP="001F37D1">
      <w:r>
        <w:separator/>
      </w:r>
    </w:p>
  </w:endnote>
  <w:endnote w:type="continuationSeparator" w:id="0">
    <w:p w14:paraId="1AFE92ED" w14:textId="77777777" w:rsidR="00BA1876" w:rsidRDefault="00BA1876" w:rsidP="001F37D1">
      <w:r>
        <w:continuationSeparator/>
      </w:r>
    </w:p>
  </w:endnote>
  <w:endnote w:type="continuationNotice" w:id="1">
    <w:p w14:paraId="34E31CEE" w14:textId="77777777" w:rsidR="00BA1876" w:rsidRDefault="00BA1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1876" w14:paraId="580DCF36" w14:textId="77777777" w:rsidTr="00AC38FD">
      <w:trPr>
        <w:trHeight w:hRule="exact" w:val="567"/>
      </w:trPr>
      <w:tc>
        <w:tcPr>
          <w:tcW w:w="510" w:type="dxa"/>
        </w:tcPr>
        <w:p w14:paraId="1777A088" w14:textId="77777777" w:rsidR="00BA1876" w:rsidRDefault="00BA1876">
          <w:pPr>
            <w:pStyle w:val="Footer"/>
            <w:ind w:right="360" w:firstLine="360"/>
          </w:pPr>
        </w:p>
      </w:tc>
      <w:tc>
        <w:tcPr>
          <w:tcW w:w="7767" w:type="dxa"/>
        </w:tcPr>
        <w:p w14:paraId="635639C0" w14:textId="73AECF3B" w:rsidR="00BA1876" w:rsidRPr="00BA5B14" w:rsidRDefault="00BA1876" w:rsidP="00AC38FD">
          <w:pPr>
            <w:pStyle w:val="Footer"/>
            <w:jc w:val="right"/>
            <w:rPr>
              <w:rFonts w:cs="Arial"/>
            </w:rPr>
          </w:pPr>
          <w:r>
            <w:rPr>
              <w:rFonts w:cs="Arial"/>
            </w:rPr>
            <w:t>Productivity in the service sector</w:t>
          </w:r>
        </w:p>
      </w:tc>
      <w:tc>
        <w:tcPr>
          <w:tcW w:w="510" w:type="dxa"/>
        </w:tcPr>
        <w:p w14:paraId="7DF26B5D" w14:textId="77777777" w:rsidR="00BA1876" w:rsidRPr="00A24443" w:rsidRDefault="00BA187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67410">
            <w:rPr>
              <w:rStyle w:val="PageNumber"/>
              <w:caps w:val="0"/>
              <w:noProof/>
            </w:rPr>
            <w:t>iii</w:t>
          </w:r>
          <w:r w:rsidRPr="00A24443">
            <w:rPr>
              <w:rStyle w:val="PageNumber"/>
              <w:caps w:val="0"/>
            </w:rPr>
            <w:fldChar w:fldCharType="end"/>
          </w:r>
        </w:p>
      </w:tc>
    </w:tr>
  </w:tbl>
  <w:p w14:paraId="24D33159" w14:textId="77777777" w:rsidR="00BA1876" w:rsidRDefault="00BA1876">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1876" w14:paraId="57A80FE7" w14:textId="77777777" w:rsidTr="001F37D1">
      <w:trPr>
        <w:trHeight w:hRule="exact" w:val="567"/>
      </w:trPr>
      <w:tc>
        <w:tcPr>
          <w:tcW w:w="510" w:type="dxa"/>
        </w:tcPr>
        <w:p w14:paraId="32F9526E" w14:textId="77777777" w:rsidR="00BA1876" w:rsidRPr="00A24443" w:rsidRDefault="00BA1876" w:rsidP="001F37D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67410">
            <w:rPr>
              <w:rStyle w:val="PageNumber"/>
              <w:caps w:val="0"/>
              <w:noProof/>
            </w:rPr>
            <w:t>48</w:t>
          </w:r>
          <w:r w:rsidRPr="00A24443">
            <w:rPr>
              <w:rStyle w:val="PageNumber"/>
              <w:caps w:val="0"/>
            </w:rPr>
            <w:fldChar w:fldCharType="end"/>
          </w:r>
        </w:p>
      </w:tc>
      <w:tc>
        <w:tcPr>
          <w:tcW w:w="7767" w:type="dxa"/>
        </w:tcPr>
        <w:p w14:paraId="21DC14CA" w14:textId="2F1FD4D8" w:rsidR="00BA1876" w:rsidRPr="0013739A" w:rsidRDefault="00BA1876" w:rsidP="001F37D1">
          <w:pPr>
            <w:pStyle w:val="Footer"/>
            <w:rPr>
              <w:rFonts w:cs="Yu Mincho"/>
            </w:rPr>
          </w:pPr>
          <w:bookmarkStart w:id="6" w:name="DraftReportEven"/>
          <w:bookmarkEnd w:id="6"/>
          <w:r>
            <w:rPr>
              <w:rFonts w:cs="Yu Mincho"/>
            </w:rPr>
            <w:t>PRODUCTIVITY INSIGHTS 2021</w:t>
          </w:r>
          <w:r w:rsidRPr="00BA5B14">
            <w:rPr>
              <w:rFonts w:cs="Yu Mincho"/>
            </w:rPr>
            <w:fldChar w:fldCharType="begin"/>
          </w:r>
          <w:r w:rsidRPr="00BA5B14">
            <w:rPr>
              <w:rFonts w:cs="Yu Mincho"/>
            </w:rPr>
            <w:instrText xml:space="preserve"> SUBJECT  \* MERGEFORMAT </w:instrText>
          </w:r>
          <w:r w:rsidRPr="00BA5B14">
            <w:rPr>
              <w:rFonts w:cs="Yu Mincho"/>
            </w:rPr>
            <w:fldChar w:fldCharType="end"/>
          </w:r>
        </w:p>
      </w:tc>
      <w:tc>
        <w:tcPr>
          <w:tcW w:w="510" w:type="dxa"/>
        </w:tcPr>
        <w:p w14:paraId="13164029" w14:textId="77777777" w:rsidR="00BA1876" w:rsidRDefault="00BA1876" w:rsidP="001F37D1">
          <w:pPr>
            <w:pStyle w:val="Footer"/>
          </w:pPr>
        </w:p>
      </w:tc>
    </w:tr>
  </w:tbl>
  <w:p w14:paraId="6576F4CC" w14:textId="77777777" w:rsidR="00BA1876" w:rsidRDefault="00BA1876" w:rsidP="001F37D1">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1876" w14:paraId="584287CF" w14:textId="77777777" w:rsidTr="001F37D1">
      <w:trPr>
        <w:trHeight w:hRule="exact" w:val="567"/>
      </w:trPr>
      <w:tc>
        <w:tcPr>
          <w:tcW w:w="510" w:type="dxa"/>
        </w:tcPr>
        <w:p w14:paraId="751D868A" w14:textId="77777777" w:rsidR="00BA1876" w:rsidRDefault="00BA1876">
          <w:pPr>
            <w:pStyle w:val="Footer"/>
            <w:ind w:right="360" w:firstLine="360"/>
          </w:pPr>
        </w:p>
      </w:tc>
      <w:tc>
        <w:tcPr>
          <w:tcW w:w="7767" w:type="dxa"/>
        </w:tcPr>
        <w:p w14:paraId="08BF5C90" w14:textId="53EF20BE" w:rsidR="00BA1876" w:rsidRPr="00BA5B14" w:rsidRDefault="00BA1876" w:rsidP="00D70E13">
          <w:pPr>
            <w:pStyle w:val="Footer"/>
            <w:jc w:val="right"/>
            <w:rPr>
              <w:rFonts w:cs="Yu Mincho"/>
            </w:rPr>
          </w:pPr>
          <w:r w:rsidRPr="00D570F6">
            <w:rPr>
              <w:rFonts w:cs="Yu Mincho"/>
            </w:rPr>
            <w:t xml:space="preserve">Productivity in the service sector </w:t>
          </w:r>
        </w:p>
      </w:tc>
      <w:tc>
        <w:tcPr>
          <w:tcW w:w="510" w:type="dxa"/>
        </w:tcPr>
        <w:p w14:paraId="304EC0AD" w14:textId="77777777" w:rsidR="00BA1876" w:rsidRPr="00A24443" w:rsidRDefault="00BA187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67410">
            <w:rPr>
              <w:rStyle w:val="PageNumber"/>
              <w:caps w:val="0"/>
              <w:noProof/>
            </w:rPr>
            <w:t>v</w:t>
          </w:r>
          <w:r w:rsidRPr="00A24443">
            <w:rPr>
              <w:rStyle w:val="PageNumber"/>
              <w:caps w:val="0"/>
            </w:rPr>
            <w:fldChar w:fldCharType="end"/>
          </w:r>
        </w:p>
      </w:tc>
    </w:tr>
  </w:tbl>
  <w:p w14:paraId="0B60FDAC" w14:textId="77777777" w:rsidR="00BA1876" w:rsidRDefault="00BA1876">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1876" w14:paraId="56BEEC82" w14:textId="77777777" w:rsidTr="001F37D1">
      <w:trPr>
        <w:trHeight w:hRule="exact" w:val="567"/>
      </w:trPr>
      <w:tc>
        <w:tcPr>
          <w:tcW w:w="510" w:type="dxa"/>
        </w:tcPr>
        <w:p w14:paraId="36BF43E6" w14:textId="77777777" w:rsidR="00BA1876" w:rsidRDefault="00BA1876">
          <w:pPr>
            <w:pStyle w:val="Footer"/>
            <w:ind w:right="360" w:firstLine="360"/>
          </w:pPr>
        </w:p>
      </w:tc>
      <w:tc>
        <w:tcPr>
          <w:tcW w:w="7767" w:type="dxa"/>
        </w:tcPr>
        <w:p w14:paraId="629C95A9" w14:textId="670C120E" w:rsidR="00BA1876" w:rsidRPr="00BA5B14" w:rsidRDefault="00BA1876" w:rsidP="002E53CC">
          <w:pPr>
            <w:pStyle w:val="Footer"/>
            <w:jc w:val="right"/>
            <w:rPr>
              <w:rFonts w:cs="Yu Mincho"/>
            </w:rPr>
          </w:pPr>
          <w:r w:rsidRPr="00D570F6">
            <w:rPr>
              <w:rFonts w:cs="Yu Mincho"/>
            </w:rPr>
            <w:t xml:space="preserve">Productivity in the service sector </w:t>
          </w:r>
        </w:p>
      </w:tc>
      <w:tc>
        <w:tcPr>
          <w:tcW w:w="510" w:type="dxa"/>
        </w:tcPr>
        <w:p w14:paraId="2C265CB2" w14:textId="77777777" w:rsidR="00BA1876" w:rsidRPr="00A24443" w:rsidRDefault="00BA187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67410">
            <w:rPr>
              <w:rStyle w:val="PageNumber"/>
              <w:caps w:val="0"/>
              <w:noProof/>
            </w:rPr>
            <w:t>47</w:t>
          </w:r>
          <w:r w:rsidRPr="00A24443">
            <w:rPr>
              <w:rStyle w:val="PageNumber"/>
              <w:caps w:val="0"/>
            </w:rPr>
            <w:fldChar w:fldCharType="end"/>
          </w:r>
        </w:p>
      </w:tc>
    </w:tr>
  </w:tbl>
  <w:p w14:paraId="75841AE1" w14:textId="77777777" w:rsidR="00BA1876" w:rsidRDefault="00BA1876">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1C50E" w14:textId="77777777" w:rsidR="00BA1876" w:rsidRDefault="00BA1876" w:rsidP="001F37D1">
      <w:r>
        <w:separator/>
      </w:r>
    </w:p>
  </w:footnote>
  <w:footnote w:type="continuationSeparator" w:id="0">
    <w:p w14:paraId="26B43022" w14:textId="77777777" w:rsidR="00BA1876" w:rsidRDefault="00BA1876" w:rsidP="001F37D1">
      <w:r>
        <w:continuationSeparator/>
      </w:r>
    </w:p>
  </w:footnote>
  <w:footnote w:type="continuationNotice" w:id="1">
    <w:p w14:paraId="542CD1F5" w14:textId="77777777" w:rsidR="00BA1876" w:rsidRDefault="00BA1876"/>
  </w:footnote>
  <w:footnote w:id="2">
    <w:p w14:paraId="40B91B64" w14:textId="6D268915" w:rsidR="00BA1876" w:rsidRPr="004D3D25" w:rsidRDefault="00BA1876">
      <w:pPr>
        <w:pStyle w:val="FootnoteText"/>
        <w:rPr>
          <w:spacing w:val="-4"/>
        </w:rPr>
      </w:pPr>
      <w:r w:rsidRPr="00CA2A7E">
        <w:rPr>
          <w:rStyle w:val="FootnoteReference"/>
        </w:rPr>
        <w:footnoteRef/>
      </w:r>
      <w:r>
        <w:tab/>
      </w:r>
      <w:r w:rsidRPr="004D3D25">
        <w:rPr>
          <w:spacing w:val="-4"/>
        </w:rPr>
        <w:t>As of 12 December 2020, accommodation and food services were 10 per cent below March 14</w:t>
      </w:r>
      <w:r w:rsidRPr="004D3D25" w:rsidDel="00BF19A1">
        <w:rPr>
          <w:spacing w:val="-4"/>
        </w:rPr>
        <w:t> </w:t>
      </w:r>
      <w:r w:rsidRPr="004D3D25">
        <w:rPr>
          <w:spacing w:val="-4"/>
        </w:rPr>
        <w:t xml:space="preserve">2020 employment levels, while recreation and the arts were about 5 per cent below. There was a subsequent fall in job numbers in December but the ABS noted that this was similar to falls seen at the same point in the previous year. </w:t>
      </w:r>
    </w:p>
  </w:footnote>
  <w:footnote w:id="3">
    <w:p w14:paraId="16CA5511" w14:textId="041F68BC" w:rsidR="00BA1876" w:rsidRPr="003F4A9A" w:rsidRDefault="00BA1876" w:rsidP="00E830BE">
      <w:pPr>
        <w:pStyle w:val="FootnoteText"/>
        <w:rPr>
          <w:spacing w:val="-6"/>
          <w:lang w:val="en-US"/>
        </w:rPr>
      </w:pPr>
      <w:r>
        <w:rPr>
          <w:rStyle w:val="FootnoteReference"/>
        </w:rPr>
        <w:footnoteRef/>
      </w:r>
      <w:r>
        <w:tab/>
      </w:r>
      <w:r w:rsidRPr="003F4A9A">
        <w:rPr>
          <w:spacing w:val="-6"/>
        </w:rPr>
        <w:t>We restrict the analysis to market sector services as many non-market services are delivered in rural areas to meet specific policy objectives rather than structural, economy</w:t>
      </w:r>
      <w:r w:rsidRPr="003F4A9A">
        <w:rPr>
          <w:spacing w:val="-6"/>
        </w:rPr>
        <w:noBreakHyphen/>
        <w:t xml:space="preserve">wide forces that will apply to most other service industries. </w:t>
      </w:r>
    </w:p>
  </w:footnote>
  <w:footnote w:id="4">
    <w:p w14:paraId="6BAD0F5A" w14:textId="478349C3" w:rsidR="00BA1876" w:rsidRDefault="00BA1876" w:rsidP="004D78FB">
      <w:pPr>
        <w:pStyle w:val="FootnoteText"/>
      </w:pPr>
      <w:r w:rsidRPr="00CA2A7E">
        <w:rPr>
          <w:rStyle w:val="FootnoteReference"/>
        </w:rPr>
        <w:footnoteRef/>
      </w:r>
      <w:r>
        <w:tab/>
        <w:t xml:space="preserve">The increasing importance of intangibles is a significant caveat to the above analysis that found most service are more capital intensive than manufacturing. Taking a broader definition than the one used by the ABS, many services subsectors use intangibles more intensively than manufacturing, such as business services, but as a whole manufacturing appears to use more intangibles </w:t>
      </w:r>
      <w:r w:rsidRPr="00E04E0F">
        <w:rPr>
          <w:szCs w:val="24"/>
        </w:rPr>
        <w:t>(Haskel and Westlake 2017, p. 31)</w:t>
      </w:r>
      <w:r>
        <w:t xml:space="preserve">. </w:t>
      </w:r>
    </w:p>
  </w:footnote>
  <w:footnote w:id="5">
    <w:p w14:paraId="6932D419" w14:textId="4BB817DB" w:rsidR="00BA1876" w:rsidRDefault="00BA1876" w:rsidP="004D78FB">
      <w:pPr>
        <w:pStyle w:val="FootnoteText"/>
      </w:pPr>
      <w:r>
        <w:rPr>
          <w:rStyle w:val="FootnoteReference"/>
        </w:rPr>
        <w:footnoteRef/>
      </w:r>
      <w:r>
        <w:tab/>
        <w:t xml:space="preserve">There is some evidence that the share of intangibles (using a wider definition than the one used by the ABS) in value add is higher in manufacturing than in services as whole, though the share of intangibles is much higher for certain service subindustries </w:t>
      </w:r>
      <w:r w:rsidRPr="00624E54">
        <w:rPr>
          <w:szCs w:val="24"/>
        </w:rPr>
        <w:t>(Haskel and Westlake 2017, p. 31)</w:t>
      </w:r>
      <w:r>
        <w:t xml:space="preserve">. </w:t>
      </w:r>
    </w:p>
  </w:footnote>
  <w:footnote w:id="6">
    <w:p w14:paraId="7D5CF324" w14:textId="77777777" w:rsidR="00BA1876" w:rsidRDefault="00BA1876">
      <w:pPr>
        <w:pStyle w:val="FootnoteText"/>
      </w:pPr>
      <w:r>
        <w:rPr>
          <w:rStyle w:val="FootnoteReference"/>
        </w:rPr>
        <w:footnoteRef/>
      </w:r>
      <w:r>
        <w:tab/>
        <w:t>A</w:t>
      </w:r>
      <w:r w:rsidRPr="00B57B28">
        <w:t>lthough greater competition is not universally conducive to productivity growth (for example, policymakers purposely limit competition with intellectual property laws), the factors that can make reduced competition beneficial for innovation (greater return on investment due to limited spill overs) are often limited by the reduced economies of scale and limited size of the market (</w:t>
      </w:r>
      <w:r>
        <w:t>due to</w:t>
      </w:r>
      <w:r w:rsidRPr="00B57B28">
        <w:t xml:space="preserve"> </w:t>
      </w:r>
      <w:r>
        <w:t>localised production and consumption</w:t>
      </w:r>
      <w:r w:rsidRPr="00B57B28">
        <w:t>) for many service sector industries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1876" w14:paraId="034D8CA2" w14:textId="77777777">
      <w:tc>
        <w:tcPr>
          <w:tcW w:w="6634" w:type="dxa"/>
          <w:tcBorders>
            <w:top w:val="single" w:sz="6" w:space="0" w:color="auto"/>
          </w:tcBorders>
        </w:tcPr>
        <w:p w14:paraId="38488D0A" w14:textId="77777777" w:rsidR="00BA1876" w:rsidRDefault="00BA1876" w:rsidP="00AC38FD">
          <w:pPr>
            <w:pStyle w:val="HeaderOdd"/>
          </w:pPr>
        </w:p>
      </w:tc>
      <w:tc>
        <w:tcPr>
          <w:tcW w:w="2155" w:type="dxa"/>
          <w:tcBorders>
            <w:top w:val="single" w:sz="24" w:space="0" w:color="auto"/>
          </w:tcBorders>
        </w:tcPr>
        <w:p w14:paraId="525789C8" w14:textId="77777777" w:rsidR="00BA1876" w:rsidRDefault="00BA1876" w:rsidP="00AC38FD">
          <w:pPr>
            <w:pStyle w:val="HeaderOdd"/>
          </w:pPr>
        </w:p>
      </w:tc>
    </w:tr>
  </w:tbl>
  <w:p w14:paraId="5118E78F" w14:textId="77777777" w:rsidR="00BA1876" w:rsidRDefault="00BA1876" w:rsidP="00AC38FD">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BA1876" w14:paraId="531F21C3" w14:textId="77777777">
      <w:tc>
        <w:tcPr>
          <w:tcW w:w="2155" w:type="dxa"/>
          <w:tcBorders>
            <w:top w:val="single" w:sz="24" w:space="0" w:color="auto"/>
          </w:tcBorders>
        </w:tcPr>
        <w:p w14:paraId="26C83640" w14:textId="77777777" w:rsidR="00BA1876" w:rsidRDefault="00BA1876" w:rsidP="001F37D1">
          <w:pPr>
            <w:pStyle w:val="HeaderEven"/>
          </w:pPr>
        </w:p>
      </w:tc>
      <w:tc>
        <w:tcPr>
          <w:tcW w:w="6634" w:type="dxa"/>
          <w:tcBorders>
            <w:top w:val="single" w:sz="6" w:space="0" w:color="auto"/>
          </w:tcBorders>
        </w:tcPr>
        <w:p w14:paraId="69D608DE" w14:textId="77777777" w:rsidR="00BA1876" w:rsidRDefault="00BA1876" w:rsidP="001F37D1">
          <w:pPr>
            <w:pStyle w:val="HeaderEven"/>
          </w:pPr>
        </w:p>
      </w:tc>
    </w:tr>
  </w:tbl>
  <w:p w14:paraId="6C5F0C01" w14:textId="77777777" w:rsidR="00BA1876" w:rsidRDefault="00BA1876" w:rsidP="001F37D1">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1876" w14:paraId="1F7C4E91" w14:textId="77777777">
      <w:tc>
        <w:tcPr>
          <w:tcW w:w="6634" w:type="dxa"/>
          <w:tcBorders>
            <w:top w:val="single" w:sz="6" w:space="0" w:color="auto"/>
          </w:tcBorders>
        </w:tcPr>
        <w:p w14:paraId="18630DED" w14:textId="77777777" w:rsidR="00BA1876" w:rsidRDefault="00BA1876" w:rsidP="001F37D1">
          <w:pPr>
            <w:pStyle w:val="HeaderOdd"/>
          </w:pPr>
        </w:p>
      </w:tc>
      <w:tc>
        <w:tcPr>
          <w:tcW w:w="2155" w:type="dxa"/>
          <w:tcBorders>
            <w:top w:val="single" w:sz="24" w:space="0" w:color="auto"/>
          </w:tcBorders>
        </w:tcPr>
        <w:p w14:paraId="2B19FFEF" w14:textId="77777777" w:rsidR="00BA1876" w:rsidRDefault="00BA1876" w:rsidP="001F37D1">
          <w:pPr>
            <w:pStyle w:val="HeaderOdd"/>
          </w:pPr>
        </w:p>
      </w:tc>
    </w:tr>
  </w:tbl>
  <w:p w14:paraId="7EDEC2E0" w14:textId="77777777" w:rsidR="00BA1876" w:rsidRDefault="00BA1876" w:rsidP="001F37D1">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1876" w14:paraId="35072FC9" w14:textId="77777777">
      <w:tc>
        <w:tcPr>
          <w:tcW w:w="6634" w:type="dxa"/>
          <w:tcBorders>
            <w:top w:val="single" w:sz="6" w:space="0" w:color="auto"/>
          </w:tcBorders>
        </w:tcPr>
        <w:p w14:paraId="5FAAAE82" w14:textId="77777777" w:rsidR="00BA1876" w:rsidRDefault="00BA1876" w:rsidP="001F37D1">
          <w:pPr>
            <w:pStyle w:val="HeaderOdd"/>
          </w:pPr>
        </w:p>
      </w:tc>
      <w:tc>
        <w:tcPr>
          <w:tcW w:w="2155" w:type="dxa"/>
          <w:tcBorders>
            <w:top w:val="single" w:sz="24" w:space="0" w:color="auto"/>
          </w:tcBorders>
        </w:tcPr>
        <w:p w14:paraId="31F592A2" w14:textId="77777777" w:rsidR="00BA1876" w:rsidRDefault="00BA1876" w:rsidP="001F37D1">
          <w:pPr>
            <w:pStyle w:val="HeaderOdd"/>
          </w:pPr>
        </w:p>
      </w:tc>
    </w:tr>
  </w:tbl>
  <w:p w14:paraId="6FC1112D" w14:textId="77777777" w:rsidR="00BA1876" w:rsidRDefault="00BA1876" w:rsidP="001F37D1">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5"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6"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1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2"/>
  </w:num>
  <w:num w:numId="3">
    <w:abstractNumId w:val="13"/>
  </w:num>
  <w:num w:numId="4">
    <w:abstractNumId w:val="3"/>
  </w:num>
  <w:num w:numId="5">
    <w:abstractNumId w:val="18"/>
  </w:num>
  <w:num w:numId="6">
    <w:abstractNumId w:val="15"/>
  </w:num>
  <w:num w:numId="7">
    <w:abstractNumId w:val="7"/>
  </w:num>
  <w:num w:numId="8">
    <w:abstractNumId w:val="14"/>
  </w:num>
  <w:num w:numId="9">
    <w:abstractNumId w:val="6"/>
  </w:num>
  <w:num w:numId="10">
    <w:abstractNumId w:val="5"/>
  </w:num>
  <w:num w:numId="11">
    <w:abstractNumId w:val="9"/>
  </w:num>
  <w:num w:numId="12">
    <w:abstractNumId w:val="10"/>
  </w:num>
  <w:num w:numId="13">
    <w:abstractNumId w:val="4"/>
  </w:num>
  <w:num w:numId="14">
    <w:abstractNumId w:val="16"/>
  </w:num>
  <w:num w:numId="15">
    <w:abstractNumId w:val="19"/>
  </w:num>
  <w:num w:numId="16">
    <w:abstractNumId w:val="12"/>
  </w:num>
  <w:num w:numId="17">
    <w:abstractNumId w:val="20"/>
  </w:num>
  <w:num w:numId="18">
    <w:abstractNumId w:val="17"/>
  </w:num>
  <w:num w:numId="19">
    <w:abstractNumId w:val="8"/>
  </w:num>
  <w:num w:numId="20">
    <w:abstractNumId w:val="0"/>
  </w:num>
  <w:num w:numId="21">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linkStyles/>
  <w:defaultTabStop w:val="720"/>
  <w:evenAndOddHeaders/>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7D1"/>
    <w:rsid w:val="0000000A"/>
    <w:rsid w:val="0000000C"/>
    <w:rsid w:val="000001BB"/>
    <w:rsid w:val="00000221"/>
    <w:rsid w:val="00000252"/>
    <w:rsid w:val="000002E7"/>
    <w:rsid w:val="00000369"/>
    <w:rsid w:val="0000048A"/>
    <w:rsid w:val="000004DE"/>
    <w:rsid w:val="00000AC7"/>
    <w:rsid w:val="00000AC8"/>
    <w:rsid w:val="00000E71"/>
    <w:rsid w:val="00000F87"/>
    <w:rsid w:val="00000FF8"/>
    <w:rsid w:val="000010D8"/>
    <w:rsid w:val="000013FD"/>
    <w:rsid w:val="00001487"/>
    <w:rsid w:val="0000149B"/>
    <w:rsid w:val="00001501"/>
    <w:rsid w:val="0000178C"/>
    <w:rsid w:val="0000183A"/>
    <w:rsid w:val="000019DF"/>
    <w:rsid w:val="000019F6"/>
    <w:rsid w:val="00001BA6"/>
    <w:rsid w:val="00001BF2"/>
    <w:rsid w:val="00001E6D"/>
    <w:rsid w:val="00001EC2"/>
    <w:rsid w:val="00002011"/>
    <w:rsid w:val="000024FF"/>
    <w:rsid w:val="0000260F"/>
    <w:rsid w:val="000026C7"/>
    <w:rsid w:val="0000276B"/>
    <w:rsid w:val="000028E5"/>
    <w:rsid w:val="00002B3F"/>
    <w:rsid w:val="00002BB3"/>
    <w:rsid w:val="00002D78"/>
    <w:rsid w:val="00002E90"/>
    <w:rsid w:val="00002ED2"/>
    <w:rsid w:val="000030A6"/>
    <w:rsid w:val="0000315A"/>
    <w:rsid w:val="00003198"/>
    <w:rsid w:val="000032F4"/>
    <w:rsid w:val="000036FB"/>
    <w:rsid w:val="000038DC"/>
    <w:rsid w:val="00003ADA"/>
    <w:rsid w:val="00003C3A"/>
    <w:rsid w:val="00003C57"/>
    <w:rsid w:val="00003CB7"/>
    <w:rsid w:val="00003E7D"/>
    <w:rsid w:val="00003EAB"/>
    <w:rsid w:val="00004477"/>
    <w:rsid w:val="00004521"/>
    <w:rsid w:val="0000461B"/>
    <w:rsid w:val="000046E3"/>
    <w:rsid w:val="00004A5D"/>
    <w:rsid w:val="00004C03"/>
    <w:rsid w:val="00004D6B"/>
    <w:rsid w:val="00004E10"/>
    <w:rsid w:val="00004E56"/>
    <w:rsid w:val="00004E5A"/>
    <w:rsid w:val="00004F13"/>
    <w:rsid w:val="00004F35"/>
    <w:rsid w:val="00005279"/>
    <w:rsid w:val="0000534D"/>
    <w:rsid w:val="00005406"/>
    <w:rsid w:val="0000540F"/>
    <w:rsid w:val="0000543F"/>
    <w:rsid w:val="00005572"/>
    <w:rsid w:val="0000565F"/>
    <w:rsid w:val="00005760"/>
    <w:rsid w:val="0000576D"/>
    <w:rsid w:val="00005830"/>
    <w:rsid w:val="0000586B"/>
    <w:rsid w:val="00005946"/>
    <w:rsid w:val="00005985"/>
    <w:rsid w:val="00005C71"/>
    <w:rsid w:val="00005DAC"/>
    <w:rsid w:val="00005F71"/>
    <w:rsid w:val="0000606D"/>
    <w:rsid w:val="00006191"/>
    <w:rsid w:val="00006288"/>
    <w:rsid w:val="0000636F"/>
    <w:rsid w:val="000065AB"/>
    <w:rsid w:val="000066CE"/>
    <w:rsid w:val="00006824"/>
    <w:rsid w:val="00006964"/>
    <w:rsid w:val="000069F7"/>
    <w:rsid w:val="00006B63"/>
    <w:rsid w:val="00006D06"/>
    <w:rsid w:val="0000724A"/>
    <w:rsid w:val="000074D7"/>
    <w:rsid w:val="00007519"/>
    <w:rsid w:val="000076A5"/>
    <w:rsid w:val="00007801"/>
    <w:rsid w:val="00007A56"/>
    <w:rsid w:val="00007C08"/>
    <w:rsid w:val="00007D12"/>
    <w:rsid w:val="00007F25"/>
    <w:rsid w:val="00010499"/>
    <w:rsid w:val="000106E6"/>
    <w:rsid w:val="000107B2"/>
    <w:rsid w:val="000108EE"/>
    <w:rsid w:val="000108FC"/>
    <w:rsid w:val="00010933"/>
    <w:rsid w:val="000109B7"/>
    <w:rsid w:val="00010ACD"/>
    <w:rsid w:val="00010B2E"/>
    <w:rsid w:val="00010B40"/>
    <w:rsid w:val="00010BEF"/>
    <w:rsid w:val="00010ED6"/>
    <w:rsid w:val="00010F1A"/>
    <w:rsid w:val="000111C6"/>
    <w:rsid w:val="00011422"/>
    <w:rsid w:val="00011649"/>
    <w:rsid w:val="000116C4"/>
    <w:rsid w:val="0001171E"/>
    <w:rsid w:val="00011961"/>
    <w:rsid w:val="00011ACC"/>
    <w:rsid w:val="00011B3F"/>
    <w:rsid w:val="00011EB9"/>
    <w:rsid w:val="00011FCE"/>
    <w:rsid w:val="00012391"/>
    <w:rsid w:val="000124E7"/>
    <w:rsid w:val="0001251A"/>
    <w:rsid w:val="0001252B"/>
    <w:rsid w:val="000125F5"/>
    <w:rsid w:val="000126DB"/>
    <w:rsid w:val="00012A1C"/>
    <w:rsid w:val="00012A88"/>
    <w:rsid w:val="00012AEF"/>
    <w:rsid w:val="00012C95"/>
    <w:rsid w:val="00012D06"/>
    <w:rsid w:val="00012ED3"/>
    <w:rsid w:val="00013169"/>
    <w:rsid w:val="0001319F"/>
    <w:rsid w:val="0001324D"/>
    <w:rsid w:val="0001348B"/>
    <w:rsid w:val="0001355E"/>
    <w:rsid w:val="00013566"/>
    <w:rsid w:val="000135F4"/>
    <w:rsid w:val="00013699"/>
    <w:rsid w:val="000136DB"/>
    <w:rsid w:val="0001390B"/>
    <w:rsid w:val="00013970"/>
    <w:rsid w:val="00013983"/>
    <w:rsid w:val="00013D52"/>
    <w:rsid w:val="00013D73"/>
    <w:rsid w:val="00013E98"/>
    <w:rsid w:val="00013FF6"/>
    <w:rsid w:val="0001406A"/>
    <w:rsid w:val="00014165"/>
    <w:rsid w:val="00014213"/>
    <w:rsid w:val="000145BA"/>
    <w:rsid w:val="0001462B"/>
    <w:rsid w:val="00014694"/>
    <w:rsid w:val="0001492C"/>
    <w:rsid w:val="00014DDB"/>
    <w:rsid w:val="00014E5D"/>
    <w:rsid w:val="000152E0"/>
    <w:rsid w:val="0001530E"/>
    <w:rsid w:val="00015462"/>
    <w:rsid w:val="0001549F"/>
    <w:rsid w:val="0001561F"/>
    <w:rsid w:val="0001575A"/>
    <w:rsid w:val="00015967"/>
    <w:rsid w:val="00015989"/>
    <w:rsid w:val="00015AAB"/>
    <w:rsid w:val="00015C34"/>
    <w:rsid w:val="00015DD2"/>
    <w:rsid w:val="00015E28"/>
    <w:rsid w:val="000160B3"/>
    <w:rsid w:val="00016118"/>
    <w:rsid w:val="0001618D"/>
    <w:rsid w:val="0001635A"/>
    <w:rsid w:val="000164FA"/>
    <w:rsid w:val="00016500"/>
    <w:rsid w:val="000166C5"/>
    <w:rsid w:val="00016982"/>
    <w:rsid w:val="00016BAF"/>
    <w:rsid w:val="00016C11"/>
    <w:rsid w:val="00016D83"/>
    <w:rsid w:val="0001702E"/>
    <w:rsid w:val="00017331"/>
    <w:rsid w:val="0001748C"/>
    <w:rsid w:val="0001749C"/>
    <w:rsid w:val="0001753A"/>
    <w:rsid w:val="000175BF"/>
    <w:rsid w:val="00017A01"/>
    <w:rsid w:val="00017B1A"/>
    <w:rsid w:val="00017D16"/>
    <w:rsid w:val="00017EB8"/>
    <w:rsid w:val="000200FD"/>
    <w:rsid w:val="00020198"/>
    <w:rsid w:val="00020275"/>
    <w:rsid w:val="0002039F"/>
    <w:rsid w:val="000204E4"/>
    <w:rsid w:val="00020753"/>
    <w:rsid w:val="000207E1"/>
    <w:rsid w:val="0002084D"/>
    <w:rsid w:val="000208B5"/>
    <w:rsid w:val="00020928"/>
    <w:rsid w:val="00020D5C"/>
    <w:rsid w:val="00020E70"/>
    <w:rsid w:val="00020EBE"/>
    <w:rsid w:val="00021026"/>
    <w:rsid w:val="00021117"/>
    <w:rsid w:val="0002127B"/>
    <w:rsid w:val="000214CC"/>
    <w:rsid w:val="0002154E"/>
    <w:rsid w:val="00021731"/>
    <w:rsid w:val="00021796"/>
    <w:rsid w:val="00021A6E"/>
    <w:rsid w:val="00022150"/>
    <w:rsid w:val="00022218"/>
    <w:rsid w:val="000224CD"/>
    <w:rsid w:val="0002274A"/>
    <w:rsid w:val="00022A46"/>
    <w:rsid w:val="00022CF7"/>
    <w:rsid w:val="00022D2C"/>
    <w:rsid w:val="00022FC3"/>
    <w:rsid w:val="00023132"/>
    <w:rsid w:val="000231A4"/>
    <w:rsid w:val="00023203"/>
    <w:rsid w:val="00023321"/>
    <w:rsid w:val="000233FD"/>
    <w:rsid w:val="00023486"/>
    <w:rsid w:val="000234B1"/>
    <w:rsid w:val="00023A28"/>
    <w:rsid w:val="00023CFF"/>
    <w:rsid w:val="00023DDD"/>
    <w:rsid w:val="00023E0B"/>
    <w:rsid w:val="00024176"/>
    <w:rsid w:val="00024197"/>
    <w:rsid w:val="000241AE"/>
    <w:rsid w:val="00024325"/>
    <w:rsid w:val="000244B7"/>
    <w:rsid w:val="0002467D"/>
    <w:rsid w:val="00024692"/>
    <w:rsid w:val="0002491B"/>
    <w:rsid w:val="000249BC"/>
    <w:rsid w:val="00024BEF"/>
    <w:rsid w:val="00024CD1"/>
    <w:rsid w:val="00024FBD"/>
    <w:rsid w:val="000250F7"/>
    <w:rsid w:val="00025115"/>
    <w:rsid w:val="000251B0"/>
    <w:rsid w:val="000256A3"/>
    <w:rsid w:val="000257F7"/>
    <w:rsid w:val="00025928"/>
    <w:rsid w:val="0002595B"/>
    <w:rsid w:val="00025975"/>
    <w:rsid w:val="00025EE4"/>
    <w:rsid w:val="00026185"/>
    <w:rsid w:val="000261DE"/>
    <w:rsid w:val="00026240"/>
    <w:rsid w:val="00026275"/>
    <w:rsid w:val="00026497"/>
    <w:rsid w:val="00026611"/>
    <w:rsid w:val="0002685F"/>
    <w:rsid w:val="0002690A"/>
    <w:rsid w:val="00026C29"/>
    <w:rsid w:val="00026E7A"/>
    <w:rsid w:val="00026EE8"/>
    <w:rsid w:val="00026F5A"/>
    <w:rsid w:val="00026FE0"/>
    <w:rsid w:val="00026FF9"/>
    <w:rsid w:val="0002747D"/>
    <w:rsid w:val="000279D1"/>
    <w:rsid w:val="00027C21"/>
    <w:rsid w:val="00027C39"/>
    <w:rsid w:val="00027D4F"/>
    <w:rsid w:val="00027E02"/>
    <w:rsid w:val="0003013B"/>
    <w:rsid w:val="000301DD"/>
    <w:rsid w:val="00030415"/>
    <w:rsid w:val="000308C1"/>
    <w:rsid w:val="000308C3"/>
    <w:rsid w:val="00030AC0"/>
    <w:rsid w:val="00030B7F"/>
    <w:rsid w:val="00030BB8"/>
    <w:rsid w:val="00030DBC"/>
    <w:rsid w:val="00030DE0"/>
    <w:rsid w:val="0003115D"/>
    <w:rsid w:val="00031217"/>
    <w:rsid w:val="0003123B"/>
    <w:rsid w:val="00031298"/>
    <w:rsid w:val="0003154F"/>
    <w:rsid w:val="000315FA"/>
    <w:rsid w:val="0003178F"/>
    <w:rsid w:val="0003180F"/>
    <w:rsid w:val="00031B4F"/>
    <w:rsid w:val="00031DD0"/>
    <w:rsid w:val="00031DD9"/>
    <w:rsid w:val="00031EF1"/>
    <w:rsid w:val="00031F5A"/>
    <w:rsid w:val="0003206F"/>
    <w:rsid w:val="000320B0"/>
    <w:rsid w:val="00032131"/>
    <w:rsid w:val="000322DE"/>
    <w:rsid w:val="00032314"/>
    <w:rsid w:val="00032427"/>
    <w:rsid w:val="000327CC"/>
    <w:rsid w:val="00032805"/>
    <w:rsid w:val="0003288B"/>
    <w:rsid w:val="00032C88"/>
    <w:rsid w:val="00032CAB"/>
    <w:rsid w:val="00032EE5"/>
    <w:rsid w:val="000330CA"/>
    <w:rsid w:val="000330E1"/>
    <w:rsid w:val="000330EE"/>
    <w:rsid w:val="000331B9"/>
    <w:rsid w:val="00033204"/>
    <w:rsid w:val="000332D4"/>
    <w:rsid w:val="00033343"/>
    <w:rsid w:val="000333FF"/>
    <w:rsid w:val="00033419"/>
    <w:rsid w:val="00033488"/>
    <w:rsid w:val="000334FD"/>
    <w:rsid w:val="00033773"/>
    <w:rsid w:val="000337BD"/>
    <w:rsid w:val="000337D0"/>
    <w:rsid w:val="0003385E"/>
    <w:rsid w:val="00033ADC"/>
    <w:rsid w:val="00033B23"/>
    <w:rsid w:val="00033B84"/>
    <w:rsid w:val="00033C13"/>
    <w:rsid w:val="00033D08"/>
    <w:rsid w:val="00033D57"/>
    <w:rsid w:val="00033E3C"/>
    <w:rsid w:val="00033EDE"/>
    <w:rsid w:val="00033F27"/>
    <w:rsid w:val="00033FC8"/>
    <w:rsid w:val="00033FED"/>
    <w:rsid w:val="000340A6"/>
    <w:rsid w:val="00034162"/>
    <w:rsid w:val="000345AC"/>
    <w:rsid w:val="00034994"/>
    <w:rsid w:val="000349A6"/>
    <w:rsid w:val="00034A21"/>
    <w:rsid w:val="00034D83"/>
    <w:rsid w:val="00034F0A"/>
    <w:rsid w:val="00034F8B"/>
    <w:rsid w:val="00035167"/>
    <w:rsid w:val="00035361"/>
    <w:rsid w:val="00035459"/>
    <w:rsid w:val="000356F5"/>
    <w:rsid w:val="00035880"/>
    <w:rsid w:val="00035993"/>
    <w:rsid w:val="000359B9"/>
    <w:rsid w:val="00035BB9"/>
    <w:rsid w:val="00035C19"/>
    <w:rsid w:val="00035F42"/>
    <w:rsid w:val="000360E8"/>
    <w:rsid w:val="000361B4"/>
    <w:rsid w:val="0003641E"/>
    <w:rsid w:val="0003645C"/>
    <w:rsid w:val="00036916"/>
    <w:rsid w:val="00036A9C"/>
    <w:rsid w:val="00036ACC"/>
    <w:rsid w:val="00036B34"/>
    <w:rsid w:val="00036D0C"/>
    <w:rsid w:val="000372C8"/>
    <w:rsid w:val="00037311"/>
    <w:rsid w:val="00037430"/>
    <w:rsid w:val="0003754E"/>
    <w:rsid w:val="00037625"/>
    <w:rsid w:val="00037709"/>
    <w:rsid w:val="0003778C"/>
    <w:rsid w:val="00037B24"/>
    <w:rsid w:val="00037BA6"/>
    <w:rsid w:val="00037DD5"/>
    <w:rsid w:val="00040020"/>
    <w:rsid w:val="00040075"/>
    <w:rsid w:val="000400AD"/>
    <w:rsid w:val="0004010B"/>
    <w:rsid w:val="00040268"/>
    <w:rsid w:val="000404E3"/>
    <w:rsid w:val="000405D7"/>
    <w:rsid w:val="00040840"/>
    <w:rsid w:val="00040A52"/>
    <w:rsid w:val="00040A61"/>
    <w:rsid w:val="00040E29"/>
    <w:rsid w:val="00041177"/>
    <w:rsid w:val="00041187"/>
    <w:rsid w:val="0004124C"/>
    <w:rsid w:val="00041698"/>
    <w:rsid w:val="000416C8"/>
    <w:rsid w:val="00041797"/>
    <w:rsid w:val="00041A49"/>
    <w:rsid w:val="00041A73"/>
    <w:rsid w:val="00041A94"/>
    <w:rsid w:val="00041CAC"/>
    <w:rsid w:val="00041F90"/>
    <w:rsid w:val="000420B2"/>
    <w:rsid w:val="00042164"/>
    <w:rsid w:val="0004218E"/>
    <w:rsid w:val="000424CE"/>
    <w:rsid w:val="000425DD"/>
    <w:rsid w:val="000427C8"/>
    <w:rsid w:val="00042C67"/>
    <w:rsid w:val="00042CA8"/>
    <w:rsid w:val="00042D18"/>
    <w:rsid w:val="00042F74"/>
    <w:rsid w:val="00042F95"/>
    <w:rsid w:val="00042FF1"/>
    <w:rsid w:val="0004303B"/>
    <w:rsid w:val="00043328"/>
    <w:rsid w:val="00043416"/>
    <w:rsid w:val="00043568"/>
    <w:rsid w:val="000437B6"/>
    <w:rsid w:val="00043956"/>
    <w:rsid w:val="0004395F"/>
    <w:rsid w:val="00043AB7"/>
    <w:rsid w:val="00043AC7"/>
    <w:rsid w:val="00043FD1"/>
    <w:rsid w:val="0004417E"/>
    <w:rsid w:val="000441AA"/>
    <w:rsid w:val="000441AD"/>
    <w:rsid w:val="00044440"/>
    <w:rsid w:val="00044546"/>
    <w:rsid w:val="00044628"/>
    <w:rsid w:val="000446C1"/>
    <w:rsid w:val="00044893"/>
    <w:rsid w:val="00044921"/>
    <w:rsid w:val="00044950"/>
    <w:rsid w:val="00044B13"/>
    <w:rsid w:val="00044B9F"/>
    <w:rsid w:val="00044BE0"/>
    <w:rsid w:val="00044C7F"/>
    <w:rsid w:val="00044CDD"/>
    <w:rsid w:val="00044D17"/>
    <w:rsid w:val="00044D7F"/>
    <w:rsid w:val="00044DD6"/>
    <w:rsid w:val="00044DEC"/>
    <w:rsid w:val="00045014"/>
    <w:rsid w:val="00045130"/>
    <w:rsid w:val="00045317"/>
    <w:rsid w:val="0004548A"/>
    <w:rsid w:val="000457D0"/>
    <w:rsid w:val="0004586A"/>
    <w:rsid w:val="00045A0D"/>
    <w:rsid w:val="00045C2F"/>
    <w:rsid w:val="00045C8A"/>
    <w:rsid w:val="00045C8C"/>
    <w:rsid w:val="00046049"/>
    <w:rsid w:val="00046317"/>
    <w:rsid w:val="0004648B"/>
    <w:rsid w:val="000466CE"/>
    <w:rsid w:val="000467E5"/>
    <w:rsid w:val="00046803"/>
    <w:rsid w:val="00046CD7"/>
    <w:rsid w:val="00046E7E"/>
    <w:rsid w:val="000470F9"/>
    <w:rsid w:val="000471AA"/>
    <w:rsid w:val="00047241"/>
    <w:rsid w:val="000472D9"/>
    <w:rsid w:val="00047463"/>
    <w:rsid w:val="00047714"/>
    <w:rsid w:val="00047924"/>
    <w:rsid w:val="00047A2E"/>
    <w:rsid w:val="00047B53"/>
    <w:rsid w:val="00047D5A"/>
    <w:rsid w:val="00047DAB"/>
    <w:rsid w:val="00047E54"/>
    <w:rsid w:val="00047E68"/>
    <w:rsid w:val="00047E7F"/>
    <w:rsid w:val="00047EAA"/>
    <w:rsid w:val="00047EFA"/>
    <w:rsid w:val="00047FE5"/>
    <w:rsid w:val="00047FFD"/>
    <w:rsid w:val="00050060"/>
    <w:rsid w:val="00050295"/>
    <w:rsid w:val="00050394"/>
    <w:rsid w:val="0005050D"/>
    <w:rsid w:val="000505C2"/>
    <w:rsid w:val="00050901"/>
    <w:rsid w:val="0005097F"/>
    <w:rsid w:val="00050AF6"/>
    <w:rsid w:val="00050B05"/>
    <w:rsid w:val="00050B34"/>
    <w:rsid w:val="00050B54"/>
    <w:rsid w:val="000510A7"/>
    <w:rsid w:val="000510AF"/>
    <w:rsid w:val="00051525"/>
    <w:rsid w:val="000516B8"/>
    <w:rsid w:val="000517BF"/>
    <w:rsid w:val="00051835"/>
    <w:rsid w:val="0005184D"/>
    <w:rsid w:val="00051A18"/>
    <w:rsid w:val="00051AB4"/>
    <w:rsid w:val="00051B8F"/>
    <w:rsid w:val="00051BE1"/>
    <w:rsid w:val="00051EF8"/>
    <w:rsid w:val="00051FEF"/>
    <w:rsid w:val="000520D9"/>
    <w:rsid w:val="000521A9"/>
    <w:rsid w:val="0005238C"/>
    <w:rsid w:val="0005286E"/>
    <w:rsid w:val="000528F9"/>
    <w:rsid w:val="00052909"/>
    <w:rsid w:val="00052986"/>
    <w:rsid w:val="00052AB8"/>
    <w:rsid w:val="00052BB5"/>
    <w:rsid w:val="00052D97"/>
    <w:rsid w:val="00052E7E"/>
    <w:rsid w:val="000530C0"/>
    <w:rsid w:val="0005314C"/>
    <w:rsid w:val="00053253"/>
    <w:rsid w:val="0005372B"/>
    <w:rsid w:val="0005374C"/>
    <w:rsid w:val="00053756"/>
    <w:rsid w:val="000537B1"/>
    <w:rsid w:val="000537EE"/>
    <w:rsid w:val="0005381B"/>
    <w:rsid w:val="00053A72"/>
    <w:rsid w:val="00053A8E"/>
    <w:rsid w:val="00053B8B"/>
    <w:rsid w:val="00053BD8"/>
    <w:rsid w:val="00053EF9"/>
    <w:rsid w:val="0005415A"/>
    <w:rsid w:val="00054249"/>
    <w:rsid w:val="00054372"/>
    <w:rsid w:val="0005459D"/>
    <w:rsid w:val="0005479A"/>
    <w:rsid w:val="00054ABD"/>
    <w:rsid w:val="00054B8B"/>
    <w:rsid w:val="00054CCF"/>
    <w:rsid w:val="00054F1E"/>
    <w:rsid w:val="00054FC5"/>
    <w:rsid w:val="000550FA"/>
    <w:rsid w:val="00055203"/>
    <w:rsid w:val="00055298"/>
    <w:rsid w:val="00055369"/>
    <w:rsid w:val="00055698"/>
    <w:rsid w:val="0005586A"/>
    <w:rsid w:val="00055893"/>
    <w:rsid w:val="00055AD1"/>
    <w:rsid w:val="00055AF5"/>
    <w:rsid w:val="00055B0E"/>
    <w:rsid w:val="00055BE2"/>
    <w:rsid w:val="00055D35"/>
    <w:rsid w:val="00055D39"/>
    <w:rsid w:val="00055E05"/>
    <w:rsid w:val="00056077"/>
    <w:rsid w:val="0005614D"/>
    <w:rsid w:val="000561FD"/>
    <w:rsid w:val="000562DE"/>
    <w:rsid w:val="00056508"/>
    <w:rsid w:val="00056637"/>
    <w:rsid w:val="00056654"/>
    <w:rsid w:val="000566CF"/>
    <w:rsid w:val="00056937"/>
    <w:rsid w:val="000569FA"/>
    <w:rsid w:val="00056BCB"/>
    <w:rsid w:val="00056BD3"/>
    <w:rsid w:val="00056C28"/>
    <w:rsid w:val="00056C65"/>
    <w:rsid w:val="00056F3C"/>
    <w:rsid w:val="00056FA4"/>
    <w:rsid w:val="00057120"/>
    <w:rsid w:val="0005729F"/>
    <w:rsid w:val="0005731F"/>
    <w:rsid w:val="00057344"/>
    <w:rsid w:val="00057695"/>
    <w:rsid w:val="000577FF"/>
    <w:rsid w:val="0005782B"/>
    <w:rsid w:val="0005788C"/>
    <w:rsid w:val="000579B5"/>
    <w:rsid w:val="00057E87"/>
    <w:rsid w:val="00057EEB"/>
    <w:rsid w:val="00057FF1"/>
    <w:rsid w:val="0006009A"/>
    <w:rsid w:val="000600C0"/>
    <w:rsid w:val="0006018C"/>
    <w:rsid w:val="00060306"/>
    <w:rsid w:val="0006031A"/>
    <w:rsid w:val="00060397"/>
    <w:rsid w:val="0006043C"/>
    <w:rsid w:val="000604C5"/>
    <w:rsid w:val="0006063C"/>
    <w:rsid w:val="0006068F"/>
    <w:rsid w:val="000606EB"/>
    <w:rsid w:val="0006083C"/>
    <w:rsid w:val="00060957"/>
    <w:rsid w:val="00060994"/>
    <w:rsid w:val="00060A34"/>
    <w:rsid w:val="00060B75"/>
    <w:rsid w:val="00060C4A"/>
    <w:rsid w:val="00060C8B"/>
    <w:rsid w:val="00060CA0"/>
    <w:rsid w:val="00060DE9"/>
    <w:rsid w:val="00060E2B"/>
    <w:rsid w:val="00060E63"/>
    <w:rsid w:val="00060F12"/>
    <w:rsid w:val="00060FD0"/>
    <w:rsid w:val="0006103B"/>
    <w:rsid w:val="00061047"/>
    <w:rsid w:val="000612B9"/>
    <w:rsid w:val="00061393"/>
    <w:rsid w:val="000614CC"/>
    <w:rsid w:val="000615F0"/>
    <w:rsid w:val="000615FB"/>
    <w:rsid w:val="000616BA"/>
    <w:rsid w:val="000618BC"/>
    <w:rsid w:val="00061963"/>
    <w:rsid w:val="0006199C"/>
    <w:rsid w:val="00061A4E"/>
    <w:rsid w:val="00061A67"/>
    <w:rsid w:val="000620A7"/>
    <w:rsid w:val="00062212"/>
    <w:rsid w:val="000622A4"/>
    <w:rsid w:val="000622CD"/>
    <w:rsid w:val="00062575"/>
    <w:rsid w:val="000625DE"/>
    <w:rsid w:val="000626B0"/>
    <w:rsid w:val="00062867"/>
    <w:rsid w:val="000628DB"/>
    <w:rsid w:val="000628E5"/>
    <w:rsid w:val="00062BCC"/>
    <w:rsid w:val="00062D72"/>
    <w:rsid w:val="00062F34"/>
    <w:rsid w:val="00063053"/>
    <w:rsid w:val="00063246"/>
    <w:rsid w:val="000632BE"/>
    <w:rsid w:val="000633ED"/>
    <w:rsid w:val="000633EE"/>
    <w:rsid w:val="000636ED"/>
    <w:rsid w:val="000637FC"/>
    <w:rsid w:val="00063D0B"/>
    <w:rsid w:val="00063D27"/>
    <w:rsid w:val="00063F73"/>
    <w:rsid w:val="00063FFE"/>
    <w:rsid w:val="00064075"/>
    <w:rsid w:val="000640AA"/>
    <w:rsid w:val="000640B3"/>
    <w:rsid w:val="00064493"/>
    <w:rsid w:val="0006451C"/>
    <w:rsid w:val="00064821"/>
    <w:rsid w:val="00064C48"/>
    <w:rsid w:val="00064D2D"/>
    <w:rsid w:val="0006512B"/>
    <w:rsid w:val="000653E4"/>
    <w:rsid w:val="0006558C"/>
    <w:rsid w:val="00065646"/>
    <w:rsid w:val="0006577B"/>
    <w:rsid w:val="000657BB"/>
    <w:rsid w:val="00065C0A"/>
    <w:rsid w:val="000660E4"/>
    <w:rsid w:val="0006610E"/>
    <w:rsid w:val="0006627C"/>
    <w:rsid w:val="0006657A"/>
    <w:rsid w:val="00066616"/>
    <w:rsid w:val="000667A0"/>
    <w:rsid w:val="000668DD"/>
    <w:rsid w:val="000669A0"/>
    <w:rsid w:val="00066ADF"/>
    <w:rsid w:val="00066AFB"/>
    <w:rsid w:val="0006704E"/>
    <w:rsid w:val="000672C8"/>
    <w:rsid w:val="00067335"/>
    <w:rsid w:val="000673D9"/>
    <w:rsid w:val="0006741C"/>
    <w:rsid w:val="00067609"/>
    <w:rsid w:val="00067975"/>
    <w:rsid w:val="00067A48"/>
    <w:rsid w:val="00067B83"/>
    <w:rsid w:val="00067BC8"/>
    <w:rsid w:val="00067BCC"/>
    <w:rsid w:val="00067C30"/>
    <w:rsid w:val="00067F79"/>
    <w:rsid w:val="00067F93"/>
    <w:rsid w:val="00067F9E"/>
    <w:rsid w:val="000701CC"/>
    <w:rsid w:val="00070208"/>
    <w:rsid w:val="00070332"/>
    <w:rsid w:val="00070354"/>
    <w:rsid w:val="00070364"/>
    <w:rsid w:val="00070367"/>
    <w:rsid w:val="000703E6"/>
    <w:rsid w:val="0007092A"/>
    <w:rsid w:val="00070C3B"/>
    <w:rsid w:val="00070CC6"/>
    <w:rsid w:val="00070CE0"/>
    <w:rsid w:val="00070E35"/>
    <w:rsid w:val="00070EAD"/>
    <w:rsid w:val="00070FE1"/>
    <w:rsid w:val="0007109B"/>
    <w:rsid w:val="000711C0"/>
    <w:rsid w:val="00071283"/>
    <w:rsid w:val="00071498"/>
    <w:rsid w:val="00071567"/>
    <w:rsid w:val="00071700"/>
    <w:rsid w:val="00071A1B"/>
    <w:rsid w:val="00071A2F"/>
    <w:rsid w:val="00071A39"/>
    <w:rsid w:val="00071CFF"/>
    <w:rsid w:val="00071DEF"/>
    <w:rsid w:val="00071E51"/>
    <w:rsid w:val="00072074"/>
    <w:rsid w:val="000721C5"/>
    <w:rsid w:val="00072383"/>
    <w:rsid w:val="00072492"/>
    <w:rsid w:val="00072541"/>
    <w:rsid w:val="000726AD"/>
    <w:rsid w:val="000726FC"/>
    <w:rsid w:val="000729DA"/>
    <w:rsid w:val="00072AB5"/>
    <w:rsid w:val="00072C1F"/>
    <w:rsid w:val="00072C2F"/>
    <w:rsid w:val="00072C34"/>
    <w:rsid w:val="00072F17"/>
    <w:rsid w:val="00072FCB"/>
    <w:rsid w:val="00072FD1"/>
    <w:rsid w:val="000734F0"/>
    <w:rsid w:val="00073954"/>
    <w:rsid w:val="00073AEA"/>
    <w:rsid w:val="00073D53"/>
    <w:rsid w:val="00073D7C"/>
    <w:rsid w:val="0007410D"/>
    <w:rsid w:val="000741BF"/>
    <w:rsid w:val="00074291"/>
    <w:rsid w:val="000742D3"/>
    <w:rsid w:val="00074512"/>
    <w:rsid w:val="000745E5"/>
    <w:rsid w:val="00074617"/>
    <w:rsid w:val="000747BF"/>
    <w:rsid w:val="00074D5F"/>
    <w:rsid w:val="00074F8B"/>
    <w:rsid w:val="00075232"/>
    <w:rsid w:val="0007574B"/>
    <w:rsid w:val="00075C69"/>
    <w:rsid w:val="00075D7D"/>
    <w:rsid w:val="00075D7E"/>
    <w:rsid w:val="00075E52"/>
    <w:rsid w:val="000761AC"/>
    <w:rsid w:val="00076352"/>
    <w:rsid w:val="00076565"/>
    <w:rsid w:val="0007662D"/>
    <w:rsid w:val="000766F4"/>
    <w:rsid w:val="0007679B"/>
    <w:rsid w:val="00076895"/>
    <w:rsid w:val="000769A6"/>
    <w:rsid w:val="00076A3D"/>
    <w:rsid w:val="00076BE0"/>
    <w:rsid w:val="00076CAE"/>
    <w:rsid w:val="00076DE1"/>
    <w:rsid w:val="00076DEC"/>
    <w:rsid w:val="00076ED6"/>
    <w:rsid w:val="000770D6"/>
    <w:rsid w:val="00077137"/>
    <w:rsid w:val="000771EC"/>
    <w:rsid w:val="00077356"/>
    <w:rsid w:val="000773ED"/>
    <w:rsid w:val="00077447"/>
    <w:rsid w:val="00077485"/>
    <w:rsid w:val="0007763E"/>
    <w:rsid w:val="00077867"/>
    <w:rsid w:val="000778BD"/>
    <w:rsid w:val="00077947"/>
    <w:rsid w:val="00077961"/>
    <w:rsid w:val="00077981"/>
    <w:rsid w:val="00077D82"/>
    <w:rsid w:val="00077D88"/>
    <w:rsid w:val="00077F10"/>
    <w:rsid w:val="00080093"/>
    <w:rsid w:val="00080098"/>
    <w:rsid w:val="000800EF"/>
    <w:rsid w:val="0008018E"/>
    <w:rsid w:val="00080307"/>
    <w:rsid w:val="00080440"/>
    <w:rsid w:val="0008054C"/>
    <w:rsid w:val="00080623"/>
    <w:rsid w:val="000806BA"/>
    <w:rsid w:val="0008097C"/>
    <w:rsid w:val="000811C8"/>
    <w:rsid w:val="0008126A"/>
    <w:rsid w:val="000812CE"/>
    <w:rsid w:val="00081525"/>
    <w:rsid w:val="00081569"/>
    <w:rsid w:val="0008159E"/>
    <w:rsid w:val="000817B9"/>
    <w:rsid w:val="000817C3"/>
    <w:rsid w:val="00081DDE"/>
    <w:rsid w:val="0008214E"/>
    <w:rsid w:val="0008216F"/>
    <w:rsid w:val="00082192"/>
    <w:rsid w:val="00082238"/>
    <w:rsid w:val="000822D8"/>
    <w:rsid w:val="000823C8"/>
    <w:rsid w:val="000824DB"/>
    <w:rsid w:val="000827A0"/>
    <w:rsid w:val="0008284E"/>
    <w:rsid w:val="000828DE"/>
    <w:rsid w:val="000828E6"/>
    <w:rsid w:val="00082911"/>
    <w:rsid w:val="00082D7E"/>
    <w:rsid w:val="00082EC9"/>
    <w:rsid w:val="00082FF7"/>
    <w:rsid w:val="00083709"/>
    <w:rsid w:val="0008373C"/>
    <w:rsid w:val="00083771"/>
    <w:rsid w:val="000837B1"/>
    <w:rsid w:val="00083887"/>
    <w:rsid w:val="000838E9"/>
    <w:rsid w:val="0008391C"/>
    <w:rsid w:val="00083969"/>
    <w:rsid w:val="00083984"/>
    <w:rsid w:val="000839CF"/>
    <w:rsid w:val="00083A13"/>
    <w:rsid w:val="00083AC1"/>
    <w:rsid w:val="00083B7B"/>
    <w:rsid w:val="00083C44"/>
    <w:rsid w:val="00083E1A"/>
    <w:rsid w:val="00083E6D"/>
    <w:rsid w:val="00083ECE"/>
    <w:rsid w:val="00083EFB"/>
    <w:rsid w:val="00083F08"/>
    <w:rsid w:val="000840EC"/>
    <w:rsid w:val="000841F4"/>
    <w:rsid w:val="00084227"/>
    <w:rsid w:val="00084231"/>
    <w:rsid w:val="0008424D"/>
    <w:rsid w:val="000842FB"/>
    <w:rsid w:val="00084353"/>
    <w:rsid w:val="00084681"/>
    <w:rsid w:val="000847C0"/>
    <w:rsid w:val="000847C5"/>
    <w:rsid w:val="00084823"/>
    <w:rsid w:val="00084D74"/>
    <w:rsid w:val="00084E68"/>
    <w:rsid w:val="00084E7E"/>
    <w:rsid w:val="00084EB0"/>
    <w:rsid w:val="000850C2"/>
    <w:rsid w:val="000851A2"/>
    <w:rsid w:val="00085234"/>
    <w:rsid w:val="00085270"/>
    <w:rsid w:val="0008528B"/>
    <w:rsid w:val="00085804"/>
    <w:rsid w:val="0008591A"/>
    <w:rsid w:val="00085BDB"/>
    <w:rsid w:val="00085E58"/>
    <w:rsid w:val="00085E76"/>
    <w:rsid w:val="00085F38"/>
    <w:rsid w:val="00085FDD"/>
    <w:rsid w:val="00086018"/>
    <w:rsid w:val="000862F0"/>
    <w:rsid w:val="00086319"/>
    <w:rsid w:val="00086417"/>
    <w:rsid w:val="000864C2"/>
    <w:rsid w:val="0008654B"/>
    <w:rsid w:val="000867A0"/>
    <w:rsid w:val="000868D3"/>
    <w:rsid w:val="0008692A"/>
    <w:rsid w:val="0008692E"/>
    <w:rsid w:val="00086A06"/>
    <w:rsid w:val="00086A4C"/>
    <w:rsid w:val="00086A6E"/>
    <w:rsid w:val="00086C6F"/>
    <w:rsid w:val="00086C99"/>
    <w:rsid w:val="00086CFC"/>
    <w:rsid w:val="00086E01"/>
    <w:rsid w:val="00086EDE"/>
    <w:rsid w:val="00087139"/>
    <w:rsid w:val="00087283"/>
    <w:rsid w:val="0008752C"/>
    <w:rsid w:val="000876FD"/>
    <w:rsid w:val="00087826"/>
    <w:rsid w:val="00087AAC"/>
    <w:rsid w:val="00087B4A"/>
    <w:rsid w:val="00087BFD"/>
    <w:rsid w:val="00087EFD"/>
    <w:rsid w:val="00087F80"/>
    <w:rsid w:val="00090094"/>
    <w:rsid w:val="00090174"/>
    <w:rsid w:val="0009025A"/>
    <w:rsid w:val="000904A4"/>
    <w:rsid w:val="000905B0"/>
    <w:rsid w:val="0009067A"/>
    <w:rsid w:val="00090941"/>
    <w:rsid w:val="00090A82"/>
    <w:rsid w:val="00090CA6"/>
    <w:rsid w:val="00090CC7"/>
    <w:rsid w:val="00090DAF"/>
    <w:rsid w:val="00090DC9"/>
    <w:rsid w:val="00090E3B"/>
    <w:rsid w:val="00090EC1"/>
    <w:rsid w:val="00090F29"/>
    <w:rsid w:val="00091057"/>
    <w:rsid w:val="000911DE"/>
    <w:rsid w:val="0009138E"/>
    <w:rsid w:val="0009139C"/>
    <w:rsid w:val="00091552"/>
    <w:rsid w:val="0009167E"/>
    <w:rsid w:val="000917A1"/>
    <w:rsid w:val="00091894"/>
    <w:rsid w:val="0009199D"/>
    <w:rsid w:val="00091AB5"/>
    <w:rsid w:val="00091B8C"/>
    <w:rsid w:val="00091C31"/>
    <w:rsid w:val="00091D24"/>
    <w:rsid w:val="00091D88"/>
    <w:rsid w:val="00091ED8"/>
    <w:rsid w:val="000922BC"/>
    <w:rsid w:val="000924A2"/>
    <w:rsid w:val="0009264C"/>
    <w:rsid w:val="000928FC"/>
    <w:rsid w:val="00092B00"/>
    <w:rsid w:val="00092BE4"/>
    <w:rsid w:val="00092C16"/>
    <w:rsid w:val="00092E70"/>
    <w:rsid w:val="00092FEF"/>
    <w:rsid w:val="000932C4"/>
    <w:rsid w:val="00093327"/>
    <w:rsid w:val="000933BA"/>
    <w:rsid w:val="0009344B"/>
    <w:rsid w:val="000934C5"/>
    <w:rsid w:val="0009363D"/>
    <w:rsid w:val="000936A7"/>
    <w:rsid w:val="0009386F"/>
    <w:rsid w:val="00093929"/>
    <w:rsid w:val="0009398B"/>
    <w:rsid w:val="00093B8E"/>
    <w:rsid w:val="0009408C"/>
    <w:rsid w:val="00094151"/>
    <w:rsid w:val="000941E1"/>
    <w:rsid w:val="00094320"/>
    <w:rsid w:val="0009449D"/>
    <w:rsid w:val="00094510"/>
    <w:rsid w:val="000946CE"/>
    <w:rsid w:val="00094755"/>
    <w:rsid w:val="00094B92"/>
    <w:rsid w:val="00094C32"/>
    <w:rsid w:val="000950B4"/>
    <w:rsid w:val="000952D6"/>
    <w:rsid w:val="00095304"/>
    <w:rsid w:val="000953EE"/>
    <w:rsid w:val="000953F7"/>
    <w:rsid w:val="0009545F"/>
    <w:rsid w:val="000954B3"/>
    <w:rsid w:val="0009553A"/>
    <w:rsid w:val="0009570C"/>
    <w:rsid w:val="000957CE"/>
    <w:rsid w:val="00095803"/>
    <w:rsid w:val="00095893"/>
    <w:rsid w:val="00095931"/>
    <w:rsid w:val="00095AD0"/>
    <w:rsid w:val="00095AFC"/>
    <w:rsid w:val="00095D85"/>
    <w:rsid w:val="00095E87"/>
    <w:rsid w:val="00095E8E"/>
    <w:rsid w:val="00096010"/>
    <w:rsid w:val="00096155"/>
    <w:rsid w:val="0009621C"/>
    <w:rsid w:val="00096301"/>
    <w:rsid w:val="00096370"/>
    <w:rsid w:val="00096484"/>
    <w:rsid w:val="00096625"/>
    <w:rsid w:val="00096702"/>
    <w:rsid w:val="000968A4"/>
    <w:rsid w:val="00096977"/>
    <w:rsid w:val="0009698C"/>
    <w:rsid w:val="00096CFC"/>
    <w:rsid w:val="000976AC"/>
    <w:rsid w:val="00097709"/>
    <w:rsid w:val="000979B8"/>
    <w:rsid w:val="00097BC2"/>
    <w:rsid w:val="00097BE1"/>
    <w:rsid w:val="00097BFF"/>
    <w:rsid w:val="00097E21"/>
    <w:rsid w:val="00097EAC"/>
    <w:rsid w:val="00097F28"/>
    <w:rsid w:val="000A0148"/>
    <w:rsid w:val="000A01E3"/>
    <w:rsid w:val="000A031F"/>
    <w:rsid w:val="000A04A9"/>
    <w:rsid w:val="000A0615"/>
    <w:rsid w:val="000A06B9"/>
    <w:rsid w:val="000A0975"/>
    <w:rsid w:val="000A09AF"/>
    <w:rsid w:val="000A0CB5"/>
    <w:rsid w:val="000A0D49"/>
    <w:rsid w:val="000A1047"/>
    <w:rsid w:val="000A1331"/>
    <w:rsid w:val="000A138A"/>
    <w:rsid w:val="000A1700"/>
    <w:rsid w:val="000A1812"/>
    <w:rsid w:val="000A184F"/>
    <w:rsid w:val="000A1A0E"/>
    <w:rsid w:val="000A1A5F"/>
    <w:rsid w:val="000A1D30"/>
    <w:rsid w:val="000A1E03"/>
    <w:rsid w:val="000A1EEA"/>
    <w:rsid w:val="000A1FF4"/>
    <w:rsid w:val="000A20D3"/>
    <w:rsid w:val="000A20D7"/>
    <w:rsid w:val="000A2219"/>
    <w:rsid w:val="000A22EF"/>
    <w:rsid w:val="000A236C"/>
    <w:rsid w:val="000A2660"/>
    <w:rsid w:val="000A2A7B"/>
    <w:rsid w:val="000A2B08"/>
    <w:rsid w:val="000A2BB5"/>
    <w:rsid w:val="000A2CAA"/>
    <w:rsid w:val="000A2DD4"/>
    <w:rsid w:val="000A2F9A"/>
    <w:rsid w:val="000A3097"/>
    <w:rsid w:val="000A322B"/>
    <w:rsid w:val="000A3253"/>
    <w:rsid w:val="000A33B3"/>
    <w:rsid w:val="000A3540"/>
    <w:rsid w:val="000A35CE"/>
    <w:rsid w:val="000A3843"/>
    <w:rsid w:val="000A3848"/>
    <w:rsid w:val="000A3867"/>
    <w:rsid w:val="000A38F0"/>
    <w:rsid w:val="000A39DE"/>
    <w:rsid w:val="000A3A10"/>
    <w:rsid w:val="000A3AB4"/>
    <w:rsid w:val="000A3C48"/>
    <w:rsid w:val="000A3D96"/>
    <w:rsid w:val="000A3DA6"/>
    <w:rsid w:val="000A4042"/>
    <w:rsid w:val="000A4068"/>
    <w:rsid w:val="000A4163"/>
    <w:rsid w:val="000A4271"/>
    <w:rsid w:val="000A4676"/>
    <w:rsid w:val="000A478F"/>
    <w:rsid w:val="000A47F6"/>
    <w:rsid w:val="000A485D"/>
    <w:rsid w:val="000A48A1"/>
    <w:rsid w:val="000A492B"/>
    <w:rsid w:val="000A4A74"/>
    <w:rsid w:val="000A4C50"/>
    <w:rsid w:val="000A4DF9"/>
    <w:rsid w:val="000A4EBA"/>
    <w:rsid w:val="000A50AC"/>
    <w:rsid w:val="000A53DA"/>
    <w:rsid w:val="000A543B"/>
    <w:rsid w:val="000A5507"/>
    <w:rsid w:val="000A558D"/>
    <w:rsid w:val="000A5649"/>
    <w:rsid w:val="000A5765"/>
    <w:rsid w:val="000A57BB"/>
    <w:rsid w:val="000A5B0A"/>
    <w:rsid w:val="000A5C81"/>
    <w:rsid w:val="000A5DD1"/>
    <w:rsid w:val="000A5F5A"/>
    <w:rsid w:val="000A5FC5"/>
    <w:rsid w:val="000A6057"/>
    <w:rsid w:val="000A61B9"/>
    <w:rsid w:val="000A61CB"/>
    <w:rsid w:val="000A6231"/>
    <w:rsid w:val="000A644D"/>
    <w:rsid w:val="000A64C4"/>
    <w:rsid w:val="000A65F2"/>
    <w:rsid w:val="000A672F"/>
    <w:rsid w:val="000A693A"/>
    <w:rsid w:val="000A69FE"/>
    <w:rsid w:val="000A6C2C"/>
    <w:rsid w:val="000A6F04"/>
    <w:rsid w:val="000A6F29"/>
    <w:rsid w:val="000A7022"/>
    <w:rsid w:val="000A711B"/>
    <w:rsid w:val="000A7320"/>
    <w:rsid w:val="000A7350"/>
    <w:rsid w:val="000A73EC"/>
    <w:rsid w:val="000A749F"/>
    <w:rsid w:val="000A7D7B"/>
    <w:rsid w:val="000A7E56"/>
    <w:rsid w:val="000A7E84"/>
    <w:rsid w:val="000B0225"/>
    <w:rsid w:val="000B053A"/>
    <w:rsid w:val="000B0572"/>
    <w:rsid w:val="000B0670"/>
    <w:rsid w:val="000B07CD"/>
    <w:rsid w:val="000B0830"/>
    <w:rsid w:val="000B0CB3"/>
    <w:rsid w:val="000B0D63"/>
    <w:rsid w:val="000B0EC8"/>
    <w:rsid w:val="000B0FDE"/>
    <w:rsid w:val="000B10C0"/>
    <w:rsid w:val="000B11B9"/>
    <w:rsid w:val="000B1235"/>
    <w:rsid w:val="000B1427"/>
    <w:rsid w:val="000B14D5"/>
    <w:rsid w:val="000B165F"/>
    <w:rsid w:val="000B178C"/>
    <w:rsid w:val="000B1819"/>
    <w:rsid w:val="000B1858"/>
    <w:rsid w:val="000B1999"/>
    <w:rsid w:val="000B1D86"/>
    <w:rsid w:val="000B1E8D"/>
    <w:rsid w:val="000B1F16"/>
    <w:rsid w:val="000B2078"/>
    <w:rsid w:val="000B236B"/>
    <w:rsid w:val="000B238E"/>
    <w:rsid w:val="000B247A"/>
    <w:rsid w:val="000B288E"/>
    <w:rsid w:val="000B2902"/>
    <w:rsid w:val="000B2A38"/>
    <w:rsid w:val="000B2B3B"/>
    <w:rsid w:val="000B2BD3"/>
    <w:rsid w:val="000B2BDF"/>
    <w:rsid w:val="000B31A0"/>
    <w:rsid w:val="000B33CD"/>
    <w:rsid w:val="000B3418"/>
    <w:rsid w:val="000B34E1"/>
    <w:rsid w:val="000B3574"/>
    <w:rsid w:val="000B3905"/>
    <w:rsid w:val="000B3964"/>
    <w:rsid w:val="000B3965"/>
    <w:rsid w:val="000B3975"/>
    <w:rsid w:val="000B3A08"/>
    <w:rsid w:val="000B3BC7"/>
    <w:rsid w:val="000B3DCD"/>
    <w:rsid w:val="000B3F5A"/>
    <w:rsid w:val="000B3FE7"/>
    <w:rsid w:val="000B4255"/>
    <w:rsid w:val="000B431A"/>
    <w:rsid w:val="000B4398"/>
    <w:rsid w:val="000B44D4"/>
    <w:rsid w:val="000B4720"/>
    <w:rsid w:val="000B47C2"/>
    <w:rsid w:val="000B4B07"/>
    <w:rsid w:val="000B4D94"/>
    <w:rsid w:val="000B4E82"/>
    <w:rsid w:val="000B4F27"/>
    <w:rsid w:val="000B50D1"/>
    <w:rsid w:val="000B52F5"/>
    <w:rsid w:val="000B542D"/>
    <w:rsid w:val="000B55E4"/>
    <w:rsid w:val="000B5672"/>
    <w:rsid w:val="000B58E4"/>
    <w:rsid w:val="000B5ABB"/>
    <w:rsid w:val="000B5FC2"/>
    <w:rsid w:val="000B603E"/>
    <w:rsid w:val="000B61C2"/>
    <w:rsid w:val="000B61CC"/>
    <w:rsid w:val="000B6203"/>
    <w:rsid w:val="000B6279"/>
    <w:rsid w:val="000B6309"/>
    <w:rsid w:val="000B6425"/>
    <w:rsid w:val="000B6711"/>
    <w:rsid w:val="000B68BF"/>
    <w:rsid w:val="000B690C"/>
    <w:rsid w:val="000B6979"/>
    <w:rsid w:val="000B6ADA"/>
    <w:rsid w:val="000B7360"/>
    <w:rsid w:val="000B73C0"/>
    <w:rsid w:val="000B7400"/>
    <w:rsid w:val="000B7404"/>
    <w:rsid w:val="000B74D8"/>
    <w:rsid w:val="000B755D"/>
    <w:rsid w:val="000B75AE"/>
    <w:rsid w:val="000B75FF"/>
    <w:rsid w:val="000B7634"/>
    <w:rsid w:val="000B7688"/>
    <w:rsid w:val="000B76B3"/>
    <w:rsid w:val="000B7A52"/>
    <w:rsid w:val="000B7AC3"/>
    <w:rsid w:val="000B7AD4"/>
    <w:rsid w:val="000B7E24"/>
    <w:rsid w:val="000B7FF6"/>
    <w:rsid w:val="000BCACD"/>
    <w:rsid w:val="000C015A"/>
    <w:rsid w:val="000C01F0"/>
    <w:rsid w:val="000C01F3"/>
    <w:rsid w:val="000C02E9"/>
    <w:rsid w:val="000C046B"/>
    <w:rsid w:val="000C0584"/>
    <w:rsid w:val="000C05C9"/>
    <w:rsid w:val="000C0634"/>
    <w:rsid w:val="000C063B"/>
    <w:rsid w:val="000C07AA"/>
    <w:rsid w:val="000C07DD"/>
    <w:rsid w:val="000C0F34"/>
    <w:rsid w:val="000C0F81"/>
    <w:rsid w:val="000C10E9"/>
    <w:rsid w:val="000C113E"/>
    <w:rsid w:val="000C11F4"/>
    <w:rsid w:val="000C1385"/>
    <w:rsid w:val="000C1A02"/>
    <w:rsid w:val="000C1B93"/>
    <w:rsid w:val="000C1C38"/>
    <w:rsid w:val="000C1E50"/>
    <w:rsid w:val="000C1E8B"/>
    <w:rsid w:val="000C2103"/>
    <w:rsid w:val="000C2202"/>
    <w:rsid w:val="000C24D8"/>
    <w:rsid w:val="000C2674"/>
    <w:rsid w:val="000C2742"/>
    <w:rsid w:val="000C29A6"/>
    <w:rsid w:val="000C2B3F"/>
    <w:rsid w:val="000C2BCD"/>
    <w:rsid w:val="000C2C5E"/>
    <w:rsid w:val="000C2E77"/>
    <w:rsid w:val="000C307C"/>
    <w:rsid w:val="000C319F"/>
    <w:rsid w:val="000C31FE"/>
    <w:rsid w:val="000C3426"/>
    <w:rsid w:val="000C3631"/>
    <w:rsid w:val="000C36DB"/>
    <w:rsid w:val="000C3733"/>
    <w:rsid w:val="000C3807"/>
    <w:rsid w:val="000C381C"/>
    <w:rsid w:val="000C3868"/>
    <w:rsid w:val="000C3A21"/>
    <w:rsid w:val="000C3A67"/>
    <w:rsid w:val="000C3BF5"/>
    <w:rsid w:val="000C3E50"/>
    <w:rsid w:val="000C4006"/>
    <w:rsid w:val="000C4139"/>
    <w:rsid w:val="000C4150"/>
    <w:rsid w:val="000C4159"/>
    <w:rsid w:val="000C43E5"/>
    <w:rsid w:val="000C485A"/>
    <w:rsid w:val="000C49B3"/>
    <w:rsid w:val="000C4BD4"/>
    <w:rsid w:val="000C4C18"/>
    <w:rsid w:val="000C4C7F"/>
    <w:rsid w:val="000C4D64"/>
    <w:rsid w:val="000C4FA0"/>
    <w:rsid w:val="000C5054"/>
    <w:rsid w:val="000C51E1"/>
    <w:rsid w:val="000C547B"/>
    <w:rsid w:val="000C5570"/>
    <w:rsid w:val="000C5659"/>
    <w:rsid w:val="000C5686"/>
    <w:rsid w:val="000C5895"/>
    <w:rsid w:val="000C59A7"/>
    <w:rsid w:val="000C5A3D"/>
    <w:rsid w:val="000C5AD6"/>
    <w:rsid w:val="000C5B9C"/>
    <w:rsid w:val="000C5C43"/>
    <w:rsid w:val="000C5CE5"/>
    <w:rsid w:val="000C5EA8"/>
    <w:rsid w:val="000C5EEC"/>
    <w:rsid w:val="000C5F9F"/>
    <w:rsid w:val="000C6010"/>
    <w:rsid w:val="000C602B"/>
    <w:rsid w:val="000C60D5"/>
    <w:rsid w:val="000C61C5"/>
    <w:rsid w:val="000C6286"/>
    <w:rsid w:val="000C62C3"/>
    <w:rsid w:val="000C62D1"/>
    <w:rsid w:val="000C6436"/>
    <w:rsid w:val="000C67BF"/>
    <w:rsid w:val="000C68ED"/>
    <w:rsid w:val="000C6918"/>
    <w:rsid w:val="000C69AE"/>
    <w:rsid w:val="000C6AF1"/>
    <w:rsid w:val="000C6BC4"/>
    <w:rsid w:val="000C6CF7"/>
    <w:rsid w:val="000C6D0D"/>
    <w:rsid w:val="000C6D90"/>
    <w:rsid w:val="000C6E14"/>
    <w:rsid w:val="000C6F16"/>
    <w:rsid w:val="000C6F23"/>
    <w:rsid w:val="000C6F95"/>
    <w:rsid w:val="000C6FD6"/>
    <w:rsid w:val="000C70A4"/>
    <w:rsid w:val="000C710F"/>
    <w:rsid w:val="000C726F"/>
    <w:rsid w:val="000C7288"/>
    <w:rsid w:val="000C736F"/>
    <w:rsid w:val="000C7462"/>
    <w:rsid w:val="000C74D7"/>
    <w:rsid w:val="000C755C"/>
    <w:rsid w:val="000C7599"/>
    <w:rsid w:val="000C77FE"/>
    <w:rsid w:val="000C78F8"/>
    <w:rsid w:val="000C793D"/>
    <w:rsid w:val="000C7B42"/>
    <w:rsid w:val="000C7D59"/>
    <w:rsid w:val="000C7D60"/>
    <w:rsid w:val="000C7DD3"/>
    <w:rsid w:val="000C7E40"/>
    <w:rsid w:val="000C7F1F"/>
    <w:rsid w:val="000D025B"/>
    <w:rsid w:val="000D03CC"/>
    <w:rsid w:val="000D04BF"/>
    <w:rsid w:val="000D0720"/>
    <w:rsid w:val="000D088B"/>
    <w:rsid w:val="000D08DD"/>
    <w:rsid w:val="000D09F1"/>
    <w:rsid w:val="000D0BFE"/>
    <w:rsid w:val="000D0CA1"/>
    <w:rsid w:val="000D0CDF"/>
    <w:rsid w:val="000D0D39"/>
    <w:rsid w:val="000D0F05"/>
    <w:rsid w:val="000D10EF"/>
    <w:rsid w:val="000D11CD"/>
    <w:rsid w:val="000D134A"/>
    <w:rsid w:val="000D1394"/>
    <w:rsid w:val="000D1625"/>
    <w:rsid w:val="000D1634"/>
    <w:rsid w:val="000D178B"/>
    <w:rsid w:val="000D1B00"/>
    <w:rsid w:val="000D1CC6"/>
    <w:rsid w:val="000D1E48"/>
    <w:rsid w:val="000D1F31"/>
    <w:rsid w:val="000D1FD3"/>
    <w:rsid w:val="000D2073"/>
    <w:rsid w:val="000D230A"/>
    <w:rsid w:val="000D230D"/>
    <w:rsid w:val="000D2506"/>
    <w:rsid w:val="000D2624"/>
    <w:rsid w:val="000D2676"/>
    <w:rsid w:val="000D2729"/>
    <w:rsid w:val="000D2999"/>
    <w:rsid w:val="000D29F6"/>
    <w:rsid w:val="000D2BF8"/>
    <w:rsid w:val="000D2C2D"/>
    <w:rsid w:val="000D2D26"/>
    <w:rsid w:val="000D30BC"/>
    <w:rsid w:val="000D30DF"/>
    <w:rsid w:val="000D325A"/>
    <w:rsid w:val="000D3351"/>
    <w:rsid w:val="000D346D"/>
    <w:rsid w:val="000D3489"/>
    <w:rsid w:val="000D34C6"/>
    <w:rsid w:val="000D39BD"/>
    <w:rsid w:val="000D3A8A"/>
    <w:rsid w:val="000D3A97"/>
    <w:rsid w:val="000D3BB2"/>
    <w:rsid w:val="000D3BFE"/>
    <w:rsid w:val="000D3E24"/>
    <w:rsid w:val="000D3F6E"/>
    <w:rsid w:val="000D409C"/>
    <w:rsid w:val="000D4139"/>
    <w:rsid w:val="000D42ED"/>
    <w:rsid w:val="000D432C"/>
    <w:rsid w:val="000D4353"/>
    <w:rsid w:val="000D43AF"/>
    <w:rsid w:val="000D44D1"/>
    <w:rsid w:val="000D4696"/>
    <w:rsid w:val="000D46A0"/>
    <w:rsid w:val="000D46D1"/>
    <w:rsid w:val="000D4808"/>
    <w:rsid w:val="000D4888"/>
    <w:rsid w:val="000D4923"/>
    <w:rsid w:val="000D49CC"/>
    <w:rsid w:val="000D49D5"/>
    <w:rsid w:val="000D4B4C"/>
    <w:rsid w:val="000D4C52"/>
    <w:rsid w:val="000D4E06"/>
    <w:rsid w:val="000D4F2F"/>
    <w:rsid w:val="000D4F61"/>
    <w:rsid w:val="000D4FF4"/>
    <w:rsid w:val="000D51A3"/>
    <w:rsid w:val="000D52FD"/>
    <w:rsid w:val="000D5869"/>
    <w:rsid w:val="000D5907"/>
    <w:rsid w:val="000D5919"/>
    <w:rsid w:val="000D5B65"/>
    <w:rsid w:val="000D5C4F"/>
    <w:rsid w:val="000D5E66"/>
    <w:rsid w:val="000D602B"/>
    <w:rsid w:val="000D61E8"/>
    <w:rsid w:val="000D631F"/>
    <w:rsid w:val="000D6425"/>
    <w:rsid w:val="000D652F"/>
    <w:rsid w:val="000D6649"/>
    <w:rsid w:val="000D6794"/>
    <w:rsid w:val="000D689A"/>
    <w:rsid w:val="000D6C50"/>
    <w:rsid w:val="000D6CE0"/>
    <w:rsid w:val="000D6D1D"/>
    <w:rsid w:val="000D6E6E"/>
    <w:rsid w:val="000D7247"/>
    <w:rsid w:val="000D727B"/>
    <w:rsid w:val="000D7671"/>
    <w:rsid w:val="000D769C"/>
    <w:rsid w:val="000D773D"/>
    <w:rsid w:val="000D77E3"/>
    <w:rsid w:val="000D7859"/>
    <w:rsid w:val="000D7877"/>
    <w:rsid w:val="000D78CF"/>
    <w:rsid w:val="000D79F6"/>
    <w:rsid w:val="000D7BA4"/>
    <w:rsid w:val="000D7D39"/>
    <w:rsid w:val="000D7E18"/>
    <w:rsid w:val="000D7E68"/>
    <w:rsid w:val="000D7F24"/>
    <w:rsid w:val="000E00F3"/>
    <w:rsid w:val="000E01E8"/>
    <w:rsid w:val="000E04FA"/>
    <w:rsid w:val="000E0536"/>
    <w:rsid w:val="000E0637"/>
    <w:rsid w:val="000E0967"/>
    <w:rsid w:val="000E09D2"/>
    <w:rsid w:val="000E0C05"/>
    <w:rsid w:val="000E0C38"/>
    <w:rsid w:val="000E0C9D"/>
    <w:rsid w:val="000E0E2F"/>
    <w:rsid w:val="000E0F99"/>
    <w:rsid w:val="000E0FA7"/>
    <w:rsid w:val="000E129E"/>
    <w:rsid w:val="000E157E"/>
    <w:rsid w:val="000E15DD"/>
    <w:rsid w:val="000E18AF"/>
    <w:rsid w:val="000E19FF"/>
    <w:rsid w:val="000E1A15"/>
    <w:rsid w:val="000E1AD7"/>
    <w:rsid w:val="000E1B7F"/>
    <w:rsid w:val="000E1DFF"/>
    <w:rsid w:val="000E1FB3"/>
    <w:rsid w:val="000E2075"/>
    <w:rsid w:val="000E21E8"/>
    <w:rsid w:val="000E23A3"/>
    <w:rsid w:val="000E2595"/>
    <w:rsid w:val="000E2B11"/>
    <w:rsid w:val="000E2B49"/>
    <w:rsid w:val="000E2C2A"/>
    <w:rsid w:val="000E2C42"/>
    <w:rsid w:val="000E2EFC"/>
    <w:rsid w:val="000E302E"/>
    <w:rsid w:val="000E317B"/>
    <w:rsid w:val="000E3300"/>
    <w:rsid w:val="000E338E"/>
    <w:rsid w:val="000E34BD"/>
    <w:rsid w:val="000E3916"/>
    <w:rsid w:val="000E3BF8"/>
    <w:rsid w:val="000E3BFF"/>
    <w:rsid w:val="000E3CAA"/>
    <w:rsid w:val="000E3ED1"/>
    <w:rsid w:val="000E3FD1"/>
    <w:rsid w:val="000E402E"/>
    <w:rsid w:val="000E41FC"/>
    <w:rsid w:val="000E43FC"/>
    <w:rsid w:val="000E4457"/>
    <w:rsid w:val="000E44E2"/>
    <w:rsid w:val="000E45A9"/>
    <w:rsid w:val="000E4658"/>
    <w:rsid w:val="000E473E"/>
    <w:rsid w:val="000E4A72"/>
    <w:rsid w:val="000E4B93"/>
    <w:rsid w:val="000E4C77"/>
    <w:rsid w:val="000E4DF6"/>
    <w:rsid w:val="000E4E91"/>
    <w:rsid w:val="000E4F02"/>
    <w:rsid w:val="000E4F11"/>
    <w:rsid w:val="000E50E2"/>
    <w:rsid w:val="000E5193"/>
    <w:rsid w:val="000E5280"/>
    <w:rsid w:val="000E55B6"/>
    <w:rsid w:val="000E5805"/>
    <w:rsid w:val="000E585E"/>
    <w:rsid w:val="000E5BD5"/>
    <w:rsid w:val="000E5CD6"/>
    <w:rsid w:val="000E5E33"/>
    <w:rsid w:val="000E5F7B"/>
    <w:rsid w:val="000E6255"/>
    <w:rsid w:val="000E626A"/>
    <w:rsid w:val="000E65E2"/>
    <w:rsid w:val="000E678C"/>
    <w:rsid w:val="000E696E"/>
    <w:rsid w:val="000E6A4A"/>
    <w:rsid w:val="000E6D2B"/>
    <w:rsid w:val="000E6E75"/>
    <w:rsid w:val="000E6E91"/>
    <w:rsid w:val="000E730B"/>
    <w:rsid w:val="000E75D9"/>
    <w:rsid w:val="000E76C9"/>
    <w:rsid w:val="000E7768"/>
    <w:rsid w:val="000E7858"/>
    <w:rsid w:val="000E7A1A"/>
    <w:rsid w:val="000E7A91"/>
    <w:rsid w:val="000E7AA0"/>
    <w:rsid w:val="000E7B8D"/>
    <w:rsid w:val="000E7BB2"/>
    <w:rsid w:val="000E7E76"/>
    <w:rsid w:val="000E7FBA"/>
    <w:rsid w:val="000F004D"/>
    <w:rsid w:val="000F00E9"/>
    <w:rsid w:val="000F00F6"/>
    <w:rsid w:val="000F0155"/>
    <w:rsid w:val="000F0262"/>
    <w:rsid w:val="000F02BE"/>
    <w:rsid w:val="000F05AE"/>
    <w:rsid w:val="000F07FE"/>
    <w:rsid w:val="000F089D"/>
    <w:rsid w:val="000F0A73"/>
    <w:rsid w:val="000F0BD5"/>
    <w:rsid w:val="000F0BF8"/>
    <w:rsid w:val="000F0CA5"/>
    <w:rsid w:val="000F0D53"/>
    <w:rsid w:val="000F0ED4"/>
    <w:rsid w:val="000F1105"/>
    <w:rsid w:val="000F1121"/>
    <w:rsid w:val="000F11AC"/>
    <w:rsid w:val="000F1222"/>
    <w:rsid w:val="000F1521"/>
    <w:rsid w:val="000F168D"/>
    <w:rsid w:val="000F1757"/>
    <w:rsid w:val="000F1797"/>
    <w:rsid w:val="000F17CA"/>
    <w:rsid w:val="000F1846"/>
    <w:rsid w:val="000F19C4"/>
    <w:rsid w:val="000F1B1B"/>
    <w:rsid w:val="000F1BE4"/>
    <w:rsid w:val="000F1D0E"/>
    <w:rsid w:val="000F1D1C"/>
    <w:rsid w:val="000F1D5F"/>
    <w:rsid w:val="000F1D66"/>
    <w:rsid w:val="000F1DA5"/>
    <w:rsid w:val="000F20E0"/>
    <w:rsid w:val="000F20E7"/>
    <w:rsid w:val="000F20F5"/>
    <w:rsid w:val="000F2384"/>
    <w:rsid w:val="000F243C"/>
    <w:rsid w:val="000F24DC"/>
    <w:rsid w:val="000F273F"/>
    <w:rsid w:val="000F2A3B"/>
    <w:rsid w:val="000F2DC8"/>
    <w:rsid w:val="000F2E5D"/>
    <w:rsid w:val="000F2F86"/>
    <w:rsid w:val="000F304A"/>
    <w:rsid w:val="000F324D"/>
    <w:rsid w:val="000F3299"/>
    <w:rsid w:val="000F32CE"/>
    <w:rsid w:val="000F341D"/>
    <w:rsid w:val="000F3511"/>
    <w:rsid w:val="000F35EB"/>
    <w:rsid w:val="000F37C3"/>
    <w:rsid w:val="000F3889"/>
    <w:rsid w:val="000F3938"/>
    <w:rsid w:val="000F3A85"/>
    <w:rsid w:val="000F3A9B"/>
    <w:rsid w:val="000F3B55"/>
    <w:rsid w:val="000F3C87"/>
    <w:rsid w:val="000F3E2A"/>
    <w:rsid w:val="000F3E4F"/>
    <w:rsid w:val="000F3E68"/>
    <w:rsid w:val="000F3EA9"/>
    <w:rsid w:val="000F3F3C"/>
    <w:rsid w:val="000F4106"/>
    <w:rsid w:val="000F42FF"/>
    <w:rsid w:val="000F457E"/>
    <w:rsid w:val="000F4594"/>
    <w:rsid w:val="000F46A9"/>
    <w:rsid w:val="000F49AD"/>
    <w:rsid w:val="000F49F9"/>
    <w:rsid w:val="000F4B72"/>
    <w:rsid w:val="000F4B8D"/>
    <w:rsid w:val="000F4C17"/>
    <w:rsid w:val="000F4CF5"/>
    <w:rsid w:val="000F4DEC"/>
    <w:rsid w:val="000F4E45"/>
    <w:rsid w:val="000F4FBA"/>
    <w:rsid w:val="000F5259"/>
    <w:rsid w:val="000F52BE"/>
    <w:rsid w:val="000F537C"/>
    <w:rsid w:val="000F5388"/>
    <w:rsid w:val="000F5415"/>
    <w:rsid w:val="000F5506"/>
    <w:rsid w:val="000F55F4"/>
    <w:rsid w:val="000F564B"/>
    <w:rsid w:val="000F593E"/>
    <w:rsid w:val="000F597B"/>
    <w:rsid w:val="000F5EF4"/>
    <w:rsid w:val="000F625D"/>
    <w:rsid w:val="000F6481"/>
    <w:rsid w:val="000F6661"/>
    <w:rsid w:val="000F6809"/>
    <w:rsid w:val="000F6906"/>
    <w:rsid w:val="000F6B8E"/>
    <w:rsid w:val="000F6EAD"/>
    <w:rsid w:val="000F7180"/>
    <w:rsid w:val="000F727F"/>
    <w:rsid w:val="000F75E1"/>
    <w:rsid w:val="000F771F"/>
    <w:rsid w:val="000F773F"/>
    <w:rsid w:val="000F7815"/>
    <w:rsid w:val="000F7826"/>
    <w:rsid w:val="000F785A"/>
    <w:rsid w:val="000F78BE"/>
    <w:rsid w:val="000F79F4"/>
    <w:rsid w:val="000F7AD2"/>
    <w:rsid w:val="000F7C44"/>
    <w:rsid w:val="000F7C82"/>
    <w:rsid w:val="000F7C95"/>
    <w:rsid w:val="000F7DAC"/>
    <w:rsid w:val="000F7DD6"/>
    <w:rsid w:val="000F7E85"/>
    <w:rsid w:val="000F7E9E"/>
    <w:rsid w:val="001001EF"/>
    <w:rsid w:val="001002EF"/>
    <w:rsid w:val="001003E2"/>
    <w:rsid w:val="001004B0"/>
    <w:rsid w:val="0010069C"/>
    <w:rsid w:val="001006BE"/>
    <w:rsid w:val="001007CC"/>
    <w:rsid w:val="00100863"/>
    <w:rsid w:val="00100A46"/>
    <w:rsid w:val="00100B03"/>
    <w:rsid w:val="00100E06"/>
    <w:rsid w:val="00100E4F"/>
    <w:rsid w:val="00101192"/>
    <w:rsid w:val="0010121F"/>
    <w:rsid w:val="0010126E"/>
    <w:rsid w:val="00101390"/>
    <w:rsid w:val="0010153B"/>
    <w:rsid w:val="00101624"/>
    <w:rsid w:val="0010167D"/>
    <w:rsid w:val="001018AD"/>
    <w:rsid w:val="00101A71"/>
    <w:rsid w:val="00101F60"/>
    <w:rsid w:val="0010202F"/>
    <w:rsid w:val="0010208B"/>
    <w:rsid w:val="0010214E"/>
    <w:rsid w:val="0010216F"/>
    <w:rsid w:val="00102886"/>
    <w:rsid w:val="00102D6A"/>
    <w:rsid w:val="00102F9F"/>
    <w:rsid w:val="0010300D"/>
    <w:rsid w:val="00103015"/>
    <w:rsid w:val="001030D7"/>
    <w:rsid w:val="00103278"/>
    <w:rsid w:val="0010329D"/>
    <w:rsid w:val="0010332A"/>
    <w:rsid w:val="00103436"/>
    <w:rsid w:val="00103597"/>
    <w:rsid w:val="00103639"/>
    <w:rsid w:val="001036DB"/>
    <w:rsid w:val="001036F8"/>
    <w:rsid w:val="00103A45"/>
    <w:rsid w:val="00103EEE"/>
    <w:rsid w:val="001041F3"/>
    <w:rsid w:val="00104278"/>
    <w:rsid w:val="001042A4"/>
    <w:rsid w:val="0010440E"/>
    <w:rsid w:val="00104558"/>
    <w:rsid w:val="0010473F"/>
    <w:rsid w:val="001047EE"/>
    <w:rsid w:val="001047FF"/>
    <w:rsid w:val="001049FE"/>
    <w:rsid w:val="00104BD9"/>
    <w:rsid w:val="00104C61"/>
    <w:rsid w:val="00104E34"/>
    <w:rsid w:val="00104F6A"/>
    <w:rsid w:val="00105189"/>
    <w:rsid w:val="00105199"/>
    <w:rsid w:val="00105274"/>
    <w:rsid w:val="00105546"/>
    <w:rsid w:val="0010560A"/>
    <w:rsid w:val="001056F1"/>
    <w:rsid w:val="0010583B"/>
    <w:rsid w:val="00105898"/>
    <w:rsid w:val="00105A01"/>
    <w:rsid w:val="00105AFF"/>
    <w:rsid w:val="00105BBC"/>
    <w:rsid w:val="001060FC"/>
    <w:rsid w:val="0010622D"/>
    <w:rsid w:val="00106264"/>
    <w:rsid w:val="0010647E"/>
    <w:rsid w:val="001066B8"/>
    <w:rsid w:val="001066FA"/>
    <w:rsid w:val="00106768"/>
    <w:rsid w:val="001067C3"/>
    <w:rsid w:val="001069BA"/>
    <w:rsid w:val="001069FB"/>
    <w:rsid w:val="00106AFA"/>
    <w:rsid w:val="00106C79"/>
    <w:rsid w:val="00106CA4"/>
    <w:rsid w:val="00106DA3"/>
    <w:rsid w:val="001070D4"/>
    <w:rsid w:val="001072B5"/>
    <w:rsid w:val="001072F6"/>
    <w:rsid w:val="00107366"/>
    <w:rsid w:val="001073A5"/>
    <w:rsid w:val="0010762E"/>
    <w:rsid w:val="00107752"/>
    <w:rsid w:val="00107773"/>
    <w:rsid w:val="0010781A"/>
    <w:rsid w:val="001079D7"/>
    <w:rsid w:val="00107A18"/>
    <w:rsid w:val="00107A56"/>
    <w:rsid w:val="00107A88"/>
    <w:rsid w:val="00107FCC"/>
    <w:rsid w:val="00110328"/>
    <w:rsid w:val="0011037E"/>
    <w:rsid w:val="001103A6"/>
    <w:rsid w:val="00110509"/>
    <w:rsid w:val="001106BB"/>
    <w:rsid w:val="001106E8"/>
    <w:rsid w:val="0011084E"/>
    <w:rsid w:val="0011094C"/>
    <w:rsid w:val="00110A3F"/>
    <w:rsid w:val="00110A98"/>
    <w:rsid w:val="00110E70"/>
    <w:rsid w:val="00110EAA"/>
    <w:rsid w:val="00110EE9"/>
    <w:rsid w:val="0011100D"/>
    <w:rsid w:val="001110EF"/>
    <w:rsid w:val="0011117D"/>
    <w:rsid w:val="001113E9"/>
    <w:rsid w:val="00111466"/>
    <w:rsid w:val="00111554"/>
    <w:rsid w:val="001116E3"/>
    <w:rsid w:val="00111B57"/>
    <w:rsid w:val="00111C02"/>
    <w:rsid w:val="00111E02"/>
    <w:rsid w:val="00111EE4"/>
    <w:rsid w:val="00112024"/>
    <w:rsid w:val="001125D2"/>
    <w:rsid w:val="001126F6"/>
    <w:rsid w:val="0011279C"/>
    <w:rsid w:val="00112843"/>
    <w:rsid w:val="00112975"/>
    <w:rsid w:val="0011297E"/>
    <w:rsid w:val="00112A5C"/>
    <w:rsid w:val="00112A5E"/>
    <w:rsid w:val="00112AA2"/>
    <w:rsid w:val="00112AC2"/>
    <w:rsid w:val="00112D52"/>
    <w:rsid w:val="00112EDD"/>
    <w:rsid w:val="00112F15"/>
    <w:rsid w:val="00112F45"/>
    <w:rsid w:val="001130B3"/>
    <w:rsid w:val="001130C5"/>
    <w:rsid w:val="001131C5"/>
    <w:rsid w:val="001131CF"/>
    <w:rsid w:val="0011322C"/>
    <w:rsid w:val="0011339C"/>
    <w:rsid w:val="001133A8"/>
    <w:rsid w:val="00113486"/>
    <w:rsid w:val="001135EB"/>
    <w:rsid w:val="00113863"/>
    <w:rsid w:val="00113870"/>
    <w:rsid w:val="001138F8"/>
    <w:rsid w:val="00113A5C"/>
    <w:rsid w:val="00113A90"/>
    <w:rsid w:val="00113DDD"/>
    <w:rsid w:val="00113E8D"/>
    <w:rsid w:val="00113F31"/>
    <w:rsid w:val="00114060"/>
    <w:rsid w:val="001141D3"/>
    <w:rsid w:val="00114237"/>
    <w:rsid w:val="001143A8"/>
    <w:rsid w:val="001143E3"/>
    <w:rsid w:val="00114433"/>
    <w:rsid w:val="0011443C"/>
    <w:rsid w:val="00114452"/>
    <w:rsid w:val="0011445C"/>
    <w:rsid w:val="00114502"/>
    <w:rsid w:val="001146D1"/>
    <w:rsid w:val="0011476C"/>
    <w:rsid w:val="001147BD"/>
    <w:rsid w:val="0011487E"/>
    <w:rsid w:val="00114A28"/>
    <w:rsid w:val="00114B44"/>
    <w:rsid w:val="00114BD0"/>
    <w:rsid w:val="00114C64"/>
    <w:rsid w:val="00114DE6"/>
    <w:rsid w:val="00114E3D"/>
    <w:rsid w:val="001150D3"/>
    <w:rsid w:val="001150FC"/>
    <w:rsid w:val="00115380"/>
    <w:rsid w:val="001154DC"/>
    <w:rsid w:val="001155FB"/>
    <w:rsid w:val="001157E5"/>
    <w:rsid w:val="0011585B"/>
    <w:rsid w:val="001158F5"/>
    <w:rsid w:val="00115ABA"/>
    <w:rsid w:val="00115C45"/>
    <w:rsid w:val="00115CDE"/>
    <w:rsid w:val="00115DDA"/>
    <w:rsid w:val="00115F2F"/>
    <w:rsid w:val="00115FCD"/>
    <w:rsid w:val="00116142"/>
    <w:rsid w:val="001161B0"/>
    <w:rsid w:val="00116257"/>
    <w:rsid w:val="001162EB"/>
    <w:rsid w:val="00116420"/>
    <w:rsid w:val="0011655E"/>
    <w:rsid w:val="00116699"/>
    <w:rsid w:val="00116822"/>
    <w:rsid w:val="00116957"/>
    <w:rsid w:val="001169E7"/>
    <w:rsid w:val="00116A61"/>
    <w:rsid w:val="00116AFF"/>
    <w:rsid w:val="00116BCD"/>
    <w:rsid w:val="00116DD6"/>
    <w:rsid w:val="00116E31"/>
    <w:rsid w:val="00116F70"/>
    <w:rsid w:val="0011708C"/>
    <w:rsid w:val="00117286"/>
    <w:rsid w:val="0011729E"/>
    <w:rsid w:val="001172AE"/>
    <w:rsid w:val="001172E1"/>
    <w:rsid w:val="001173AB"/>
    <w:rsid w:val="00117437"/>
    <w:rsid w:val="001174F5"/>
    <w:rsid w:val="00117765"/>
    <w:rsid w:val="001179A7"/>
    <w:rsid w:val="00117B41"/>
    <w:rsid w:val="00117B4E"/>
    <w:rsid w:val="00117C3B"/>
    <w:rsid w:val="00117EAF"/>
    <w:rsid w:val="00117EC0"/>
    <w:rsid w:val="00117EF5"/>
    <w:rsid w:val="00117FAA"/>
    <w:rsid w:val="001201AF"/>
    <w:rsid w:val="001202AE"/>
    <w:rsid w:val="001203E1"/>
    <w:rsid w:val="0012063C"/>
    <w:rsid w:val="0012066C"/>
    <w:rsid w:val="001206BE"/>
    <w:rsid w:val="001206D3"/>
    <w:rsid w:val="00120852"/>
    <w:rsid w:val="0012087A"/>
    <w:rsid w:val="00120DB4"/>
    <w:rsid w:val="00120E09"/>
    <w:rsid w:val="00120E90"/>
    <w:rsid w:val="00120EC4"/>
    <w:rsid w:val="00120F11"/>
    <w:rsid w:val="001210CB"/>
    <w:rsid w:val="00121257"/>
    <w:rsid w:val="0012135B"/>
    <w:rsid w:val="0012162B"/>
    <w:rsid w:val="001216EC"/>
    <w:rsid w:val="001216F5"/>
    <w:rsid w:val="001216F8"/>
    <w:rsid w:val="00121BE9"/>
    <w:rsid w:val="00121C87"/>
    <w:rsid w:val="00121D8B"/>
    <w:rsid w:val="00121DBF"/>
    <w:rsid w:val="00121F3C"/>
    <w:rsid w:val="00121F8D"/>
    <w:rsid w:val="00122164"/>
    <w:rsid w:val="00122165"/>
    <w:rsid w:val="00122195"/>
    <w:rsid w:val="00122261"/>
    <w:rsid w:val="00122523"/>
    <w:rsid w:val="00122668"/>
    <w:rsid w:val="00122681"/>
    <w:rsid w:val="00122693"/>
    <w:rsid w:val="001229B7"/>
    <w:rsid w:val="00122BC4"/>
    <w:rsid w:val="00122CA0"/>
    <w:rsid w:val="00122EB7"/>
    <w:rsid w:val="00123087"/>
    <w:rsid w:val="0012312C"/>
    <w:rsid w:val="00123225"/>
    <w:rsid w:val="001234C9"/>
    <w:rsid w:val="001236BE"/>
    <w:rsid w:val="001239B7"/>
    <w:rsid w:val="00123D6D"/>
    <w:rsid w:val="00123E86"/>
    <w:rsid w:val="00123F5F"/>
    <w:rsid w:val="00124200"/>
    <w:rsid w:val="00124208"/>
    <w:rsid w:val="00124350"/>
    <w:rsid w:val="001243A4"/>
    <w:rsid w:val="00124479"/>
    <w:rsid w:val="001247AE"/>
    <w:rsid w:val="00124890"/>
    <w:rsid w:val="00124951"/>
    <w:rsid w:val="001249EE"/>
    <w:rsid w:val="00124A8B"/>
    <w:rsid w:val="00124AF0"/>
    <w:rsid w:val="00124ECB"/>
    <w:rsid w:val="00124ED8"/>
    <w:rsid w:val="00124F92"/>
    <w:rsid w:val="00125293"/>
    <w:rsid w:val="00125353"/>
    <w:rsid w:val="0012549C"/>
    <w:rsid w:val="00125536"/>
    <w:rsid w:val="00125629"/>
    <w:rsid w:val="001257EE"/>
    <w:rsid w:val="001259F1"/>
    <w:rsid w:val="00125A21"/>
    <w:rsid w:val="00125AB0"/>
    <w:rsid w:val="00125CA3"/>
    <w:rsid w:val="00125CF8"/>
    <w:rsid w:val="00125E43"/>
    <w:rsid w:val="00126026"/>
    <w:rsid w:val="0012624B"/>
    <w:rsid w:val="00126300"/>
    <w:rsid w:val="001267C4"/>
    <w:rsid w:val="00126883"/>
    <w:rsid w:val="00126989"/>
    <w:rsid w:val="001269CD"/>
    <w:rsid w:val="001269DB"/>
    <w:rsid w:val="00126B5E"/>
    <w:rsid w:val="00126C07"/>
    <w:rsid w:val="00126C25"/>
    <w:rsid w:val="00126C79"/>
    <w:rsid w:val="00126C8E"/>
    <w:rsid w:val="00126DB9"/>
    <w:rsid w:val="00127287"/>
    <w:rsid w:val="001272E3"/>
    <w:rsid w:val="001273FA"/>
    <w:rsid w:val="001274F4"/>
    <w:rsid w:val="001275D7"/>
    <w:rsid w:val="0012764B"/>
    <w:rsid w:val="00127654"/>
    <w:rsid w:val="001276E4"/>
    <w:rsid w:val="00127940"/>
    <w:rsid w:val="00127BFB"/>
    <w:rsid w:val="00127DF8"/>
    <w:rsid w:val="001304C3"/>
    <w:rsid w:val="001305E5"/>
    <w:rsid w:val="00130693"/>
    <w:rsid w:val="00130719"/>
    <w:rsid w:val="00130763"/>
    <w:rsid w:val="001307DA"/>
    <w:rsid w:val="00130921"/>
    <w:rsid w:val="00130A5E"/>
    <w:rsid w:val="00130AFB"/>
    <w:rsid w:val="00130BC7"/>
    <w:rsid w:val="00130C1E"/>
    <w:rsid w:val="00130DB1"/>
    <w:rsid w:val="0013107A"/>
    <w:rsid w:val="00131261"/>
    <w:rsid w:val="001313D8"/>
    <w:rsid w:val="00131461"/>
    <w:rsid w:val="0013156D"/>
    <w:rsid w:val="00131961"/>
    <w:rsid w:val="00131A91"/>
    <w:rsid w:val="00131C78"/>
    <w:rsid w:val="001320F9"/>
    <w:rsid w:val="00132170"/>
    <w:rsid w:val="00132291"/>
    <w:rsid w:val="001322EB"/>
    <w:rsid w:val="001323AA"/>
    <w:rsid w:val="00132481"/>
    <w:rsid w:val="001324D5"/>
    <w:rsid w:val="00132510"/>
    <w:rsid w:val="001325A7"/>
    <w:rsid w:val="0013263C"/>
    <w:rsid w:val="00132822"/>
    <w:rsid w:val="00132A97"/>
    <w:rsid w:val="00132C12"/>
    <w:rsid w:val="00132C17"/>
    <w:rsid w:val="00132C96"/>
    <w:rsid w:val="00132CE0"/>
    <w:rsid w:val="00132D57"/>
    <w:rsid w:val="00132E4E"/>
    <w:rsid w:val="001331D3"/>
    <w:rsid w:val="00133202"/>
    <w:rsid w:val="00133242"/>
    <w:rsid w:val="00133380"/>
    <w:rsid w:val="00133400"/>
    <w:rsid w:val="0013345A"/>
    <w:rsid w:val="0013352B"/>
    <w:rsid w:val="0013366C"/>
    <w:rsid w:val="0013366E"/>
    <w:rsid w:val="0013366F"/>
    <w:rsid w:val="0013367C"/>
    <w:rsid w:val="001336B1"/>
    <w:rsid w:val="00133707"/>
    <w:rsid w:val="0013377A"/>
    <w:rsid w:val="00133826"/>
    <w:rsid w:val="001338C7"/>
    <w:rsid w:val="00133FC4"/>
    <w:rsid w:val="001342CA"/>
    <w:rsid w:val="00134347"/>
    <w:rsid w:val="001343A9"/>
    <w:rsid w:val="00134494"/>
    <w:rsid w:val="0013455F"/>
    <w:rsid w:val="001348C5"/>
    <w:rsid w:val="001349EA"/>
    <w:rsid w:val="00134ACD"/>
    <w:rsid w:val="00134C74"/>
    <w:rsid w:val="00134FA6"/>
    <w:rsid w:val="00135256"/>
    <w:rsid w:val="001353B7"/>
    <w:rsid w:val="00135416"/>
    <w:rsid w:val="00135569"/>
    <w:rsid w:val="001355E9"/>
    <w:rsid w:val="00135701"/>
    <w:rsid w:val="001357B7"/>
    <w:rsid w:val="001357FF"/>
    <w:rsid w:val="00135AA8"/>
    <w:rsid w:val="00135C0D"/>
    <w:rsid w:val="00135DD8"/>
    <w:rsid w:val="00135E52"/>
    <w:rsid w:val="00135E71"/>
    <w:rsid w:val="0013635C"/>
    <w:rsid w:val="001364C8"/>
    <w:rsid w:val="001365AC"/>
    <w:rsid w:val="001366B5"/>
    <w:rsid w:val="001366DC"/>
    <w:rsid w:val="001367F2"/>
    <w:rsid w:val="0013686B"/>
    <w:rsid w:val="001369A0"/>
    <w:rsid w:val="00136AD2"/>
    <w:rsid w:val="00136C42"/>
    <w:rsid w:val="00136CC4"/>
    <w:rsid w:val="00136DB6"/>
    <w:rsid w:val="00136E3E"/>
    <w:rsid w:val="0013717C"/>
    <w:rsid w:val="001372BC"/>
    <w:rsid w:val="001375D0"/>
    <w:rsid w:val="00137883"/>
    <w:rsid w:val="00137B2E"/>
    <w:rsid w:val="00137C7F"/>
    <w:rsid w:val="00137FAE"/>
    <w:rsid w:val="0014003D"/>
    <w:rsid w:val="001402ED"/>
    <w:rsid w:val="0014047C"/>
    <w:rsid w:val="00140501"/>
    <w:rsid w:val="001408EE"/>
    <w:rsid w:val="00140AA9"/>
    <w:rsid w:val="00140BDD"/>
    <w:rsid w:val="00140D8D"/>
    <w:rsid w:val="00140E8F"/>
    <w:rsid w:val="00140FB8"/>
    <w:rsid w:val="00140FD2"/>
    <w:rsid w:val="00140FD3"/>
    <w:rsid w:val="001411F6"/>
    <w:rsid w:val="00141277"/>
    <w:rsid w:val="001412D8"/>
    <w:rsid w:val="00141322"/>
    <w:rsid w:val="0014132D"/>
    <w:rsid w:val="0014154F"/>
    <w:rsid w:val="001416C8"/>
    <w:rsid w:val="001418C4"/>
    <w:rsid w:val="00141917"/>
    <w:rsid w:val="00141A5C"/>
    <w:rsid w:val="00141AFF"/>
    <w:rsid w:val="00141CA6"/>
    <w:rsid w:val="00141DFB"/>
    <w:rsid w:val="0014204F"/>
    <w:rsid w:val="00142240"/>
    <w:rsid w:val="001423F8"/>
    <w:rsid w:val="001424CD"/>
    <w:rsid w:val="00142729"/>
    <w:rsid w:val="00142742"/>
    <w:rsid w:val="00142A7E"/>
    <w:rsid w:val="00142CB6"/>
    <w:rsid w:val="00142CEA"/>
    <w:rsid w:val="00142CF0"/>
    <w:rsid w:val="00142DA8"/>
    <w:rsid w:val="00142E5E"/>
    <w:rsid w:val="00142E70"/>
    <w:rsid w:val="0014317D"/>
    <w:rsid w:val="0014326B"/>
    <w:rsid w:val="0014328B"/>
    <w:rsid w:val="0014338A"/>
    <w:rsid w:val="001434B8"/>
    <w:rsid w:val="001434F8"/>
    <w:rsid w:val="00143820"/>
    <w:rsid w:val="00143B1E"/>
    <w:rsid w:val="00143E50"/>
    <w:rsid w:val="001441DE"/>
    <w:rsid w:val="0014436B"/>
    <w:rsid w:val="00144377"/>
    <w:rsid w:val="00144408"/>
    <w:rsid w:val="00144526"/>
    <w:rsid w:val="00144558"/>
    <w:rsid w:val="001445C4"/>
    <w:rsid w:val="00144718"/>
    <w:rsid w:val="0014478B"/>
    <w:rsid w:val="001449DE"/>
    <w:rsid w:val="00144A68"/>
    <w:rsid w:val="00144C28"/>
    <w:rsid w:val="00144F26"/>
    <w:rsid w:val="00144F50"/>
    <w:rsid w:val="00144F8C"/>
    <w:rsid w:val="001450A4"/>
    <w:rsid w:val="00145264"/>
    <w:rsid w:val="001452A8"/>
    <w:rsid w:val="00145312"/>
    <w:rsid w:val="00145470"/>
    <w:rsid w:val="00145499"/>
    <w:rsid w:val="00145673"/>
    <w:rsid w:val="001456D8"/>
    <w:rsid w:val="001457D4"/>
    <w:rsid w:val="001457F8"/>
    <w:rsid w:val="00145A19"/>
    <w:rsid w:val="00145C30"/>
    <w:rsid w:val="00146095"/>
    <w:rsid w:val="00146170"/>
    <w:rsid w:val="0014622E"/>
    <w:rsid w:val="00146450"/>
    <w:rsid w:val="0014651B"/>
    <w:rsid w:val="001465B3"/>
    <w:rsid w:val="001465EB"/>
    <w:rsid w:val="001467B8"/>
    <w:rsid w:val="00146831"/>
    <w:rsid w:val="0014691E"/>
    <w:rsid w:val="00146A3E"/>
    <w:rsid w:val="00146B47"/>
    <w:rsid w:val="00146B7D"/>
    <w:rsid w:val="00146C25"/>
    <w:rsid w:val="00146D8D"/>
    <w:rsid w:val="00146EEE"/>
    <w:rsid w:val="00147034"/>
    <w:rsid w:val="001471BA"/>
    <w:rsid w:val="0014725E"/>
    <w:rsid w:val="0014741B"/>
    <w:rsid w:val="0014769D"/>
    <w:rsid w:val="001477BB"/>
    <w:rsid w:val="001477D7"/>
    <w:rsid w:val="00147933"/>
    <w:rsid w:val="001479A5"/>
    <w:rsid w:val="00147B69"/>
    <w:rsid w:val="00147CD0"/>
    <w:rsid w:val="00147CE1"/>
    <w:rsid w:val="00147E26"/>
    <w:rsid w:val="00147F91"/>
    <w:rsid w:val="00150215"/>
    <w:rsid w:val="00150242"/>
    <w:rsid w:val="00150260"/>
    <w:rsid w:val="00150391"/>
    <w:rsid w:val="0015058C"/>
    <w:rsid w:val="001508D6"/>
    <w:rsid w:val="00150A61"/>
    <w:rsid w:val="00150C4E"/>
    <w:rsid w:val="00150EC5"/>
    <w:rsid w:val="00151043"/>
    <w:rsid w:val="0015105F"/>
    <w:rsid w:val="001510C3"/>
    <w:rsid w:val="001512FA"/>
    <w:rsid w:val="0015136A"/>
    <w:rsid w:val="001513CE"/>
    <w:rsid w:val="001514F8"/>
    <w:rsid w:val="00151759"/>
    <w:rsid w:val="00151C8C"/>
    <w:rsid w:val="00151EC5"/>
    <w:rsid w:val="00152141"/>
    <w:rsid w:val="00152489"/>
    <w:rsid w:val="001527D9"/>
    <w:rsid w:val="00152987"/>
    <w:rsid w:val="001529D1"/>
    <w:rsid w:val="00152A39"/>
    <w:rsid w:val="00152AB5"/>
    <w:rsid w:val="00152CD7"/>
    <w:rsid w:val="00152DF8"/>
    <w:rsid w:val="00152E1E"/>
    <w:rsid w:val="00152F80"/>
    <w:rsid w:val="00153020"/>
    <w:rsid w:val="00153026"/>
    <w:rsid w:val="001530C7"/>
    <w:rsid w:val="001531B6"/>
    <w:rsid w:val="00153229"/>
    <w:rsid w:val="00153440"/>
    <w:rsid w:val="0015347F"/>
    <w:rsid w:val="001534F5"/>
    <w:rsid w:val="00153A0B"/>
    <w:rsid w:val="00153B77"/>
    <w:rsid w:val="00153C5F"/>
    <w:rsid w:val="0015400E"/>
    <w:rsid w:val="0015402C"/>
    <w:rsid w:val="001540E3"/>
    <w:rsid w:val="001542B1"/>
    <w:rsid w:val="00154398"/>
    <w:rsid w:val="00154410"/>
    <w:rsid w:val="00154439"/>
    <w:rsid w:val="0015449E"/>
    <w:rsid w:val="0015452F"/>
    <w:rsid w:val="001546B0"/>
    <w:rsid w:val="001546FA"/>
    <w:rsid w:val="001548AB"/>
    <w:rsid w:val="00154960"/>
    <w:rsid w:val="00154B7C"/>
    <w:rsid w:val="00154C8C"/>
    <w:rsid w:val="00154C9D"/>
    <w:rsid w:val="00154D1A"/>
    <w:rsid w:val="00154D33"/>
    <w:rsid w:val="00154F4D"/>
    <w:rsid w:val="00154FB4"/>
    <w:rsid w:val="00154FED"/>
    <w:rsid w:val="0015502A"/>
    <w:rsid w:val="00155247"/>
    <w:rsid w:val="0015526C"/>
    <w:rsid w:val="001552AE"/>
    <w:rsid w:val="00155461"/>
    <w:rsid w:val="001556C1"/>
    <w:rsid w:val="0015572A"/>
    <w:rsid w:val="0015583D"/>
    <w:rsid w:val="0015583E"/>
    <w:rsid w:val="00155A17"/>
    <w:rsid w:val="00155B08"/>
    <w:rsid w:val="00155B17"/>
    <w:rsid w:val="00155B66"/>
    <w:rsid w:val="00155D60"/>
    <w:rsid w:val="001563AA"/>
    <w:rsid w:val="001564A9"/>
    <w:rsid w:val="001566BA"/>
    <w:rsid w:val="00156718"/>
    <w:rsid w:val="0015682E"/>
    <w:rsid w:val="0015685A"/>
    <w:rsid w:val="001568A2"/>
    <w:rsid w:val="00156B45"/>
    <w:rsid w:val="00156D59"/>
    <w:rsid w:val="00156D8E"/>
    <w:rsid w:val="00156DB4"/>
    <w:rsid w:val="00156FE0"/>
    <w:rsid w:val="00157360"/>
    <w:rsid w:val="001573B1"/>
    <w:rsid w:val="001573FA"/>
    <w:rsid w:val="00157559"/>
    <w:rsid w:val="00157785"/>
    <w:rsid w:val="00157DA7"/>
    <w:rsid w:val="00157E4D"/>
    <w:rsid w:val="0016008C"/>
    <w:rsid w:val="00160335"/>
    <w:rsid w:val="0016045A"/>
    <w:rsid w:val="00160732"/>
    <w:rsid w:val="0016085B"/>
    <w:rsid w:val="00160932"/>
    <w:rsid w:val="0016099B"/>
    <w:rsid w:val="00160BB0"/>
    <w:rsid w:val="00160BD8"/>
    <w:rsid w:val="00160BED"/>
    <w:rsid w:val="00160F0E"/>
    <w:rsid w:val="00161234"/>
    <w:rsid w:val="00161422"/>
    <w:rsid w:val="00161730"/>
    <w:rsid w:val="001617AD"/>
    <w:rsid w:val="001617F7"/>
    <w:rsid w:val="00161BA7"/>
    <w:rsid w:val="00161BFD"/>
    <w:rsid w:val="00161C95"/>
    <w:rsid w:val="00161DC9"/>
    <w:rsid w:val="00161E5B"/>
    <w:rsid w:val="001620A5"/>
    <w:rsid w:val="001620FA"/>
    <w:rsid w:val="00162273"/>
    <w:rsid w:val="0016230A"/>
    <w:rsid w:val="001623CA"/>
    <w:rsid w:val="00162504"/>
    <w:rsid w:val="001625B6"/>
    <w:rsid w:val="00162724"/>
    <w:rsid w:val="001629CB"/>
    <w:rsid w:val="00162C32"/>
    <w:rsid w:val="00162DBF"/>
    <w:rsid w:val="00162DC4"/>
    <w:rsid w:val="00162E76"/>
    <w:rsid w:val="00162F2E"/>
    <w:rsid w:val="00163058"/>
    <w:rsid w:val="00163082"/>
    <w:rsid w:val="001631A1"/>
    <w:rsid w:val="001632C2"/>
    <w:rsid w:val="001634DD"/>
    <w:rsid w:val="0016354F"/>
    <w:rsid w:val="001635CD"/>
    <w:rsid w:val="0016384A"/>
    <w:rsid w:val="0016388D"/>
    <w:rsid w:val="001638DA"/>
    <w:rsid w:val="001639EA"/>
    <w:rsid w:val="00163A7D"/>
    <w:rsid w:val="00163AF4"/>
    <w:rsid w:val="00163BD5"/>
    <w:rsid w:val="00163DE0"/>
    <w:rsid w:val="00164077"/>
    <w:rsid w:val="00164091"/>
    <w:rsid w:val="0016409B"/>
    <w:rsid w:val="001645C1"/>
    <w:rsid w:val="001645F7"/>
    <w:rsid w:val="0016472B"/>
    <w:rsid w:val="00164780"/>
    <w:rsid w:val="001647D3"/>
    <w:rsid w:val="0016494A"/>
    <w:rsid w:val="00164A45"/>
    <w:rsid w:val="00164B23"/>
    <w:rsid w:val="00164BC3"/>
    <w:rsid w:val="00164BF5"/>
    <w:rsid w:val="00164CD7"/>
    <w:rsid w:val="0016502B"/>
    <w:rsid w:val="001650F7"/>
    <w:rsid w:val="0016518B"/>
    <w:rsid w:val="001651D6"/>
    <w:rsid w:val="0016522F"/>
    <w:rsid w:val="00165306"/>
    <w:rsid w:val="001655C9"/>
    <w:rsid w:val="001655EE"/>
    <w:rsid w:val="0016566B"/>
    <w:rsid w:val="001656BD"/>
    <w:rsid w:val="001656CC"/>
    <w:rsid w:val="001657D1"/>
    <w:rsid w:val="00165830"/>
    <w:rsid w:val="00165870"/>
    <w:rsid w:val="00165CD3"/>
    <w:rsid w:val="00165D91"/>
    <w:rsid w:val="00165E56"/>
    <w:rsid w:val="00165FCD"/>
    <w:rsid w:val="0016629D"/>
    <w:rsid w:val="001662D5"/>
    <w:rsid w:val="00166366"/>
    <w:rsid w:val="00166390"/>
    <w:rsid w:val="001663CA"/>
    <w:rsid w:val="0016675A"/>
    <w:rsid w:val="001669A8"/>
    <w:rsid w:val="00166C77"/>
    <w:rsid w:val="001670A9"/>
    <w:rsid w:val="001670BD"/>
    <w:rsid w:val="0016732A"/>
    <w:rsid w:val="00167380"/>
    <w:rsid w:val="0016746C"/>
    <w:rsid w:val="0016775A"/>
    <w:rsid w:val="001678AD"/>
    <w:rsid w:val="00167CBC"/>
    <w:rsid w:val="00167DB1"/>
    <w:rsid w:val="00167DBC"/>
    <w:rsid w:val="00167F50"/>
    <w:rsid w:val="00170046"/>
    <w:rsid w:val="001703EB"/>
    <w:rsid w:val="001704AB"/>
    <w:rsid w:val="0017050E"/>
    <w:rsid w:val="00170607"/>
    <w:rsid w:val="00170782"/>
    <w:rsid w:val="001708A9"/>
    <w:rsid w:val="001708D5"/>
    <w:rsid w:val="0017097D"/>
    <w:rsid w:val="00170AEA"/>
    <w:rsid w:val="00170B08"/>
    <w:rsid w:val="00170B99"/>
    <w:rsid w:val="00170DB1"/>
    <w:rsid w:val="00170EC8"/>
    <w:rsid w:val="001711A6"/>
    <w:rsid w:val="0017141F"/>
    <w:rsid w:val="0017167E"/>
    <w:rsid w:val="00171703"/>
    <w:rsid w:val="0017190F"/>
    <w:rsid w:val="00171C30"/>
    <w:rsid w:val="00171C41"/>
    <w:rsid w:val="00171C7C"/>
    <w:rsid w:val="00171D33"/>
    <w:rsid w:val="00171DDE"/>
    <w:rsid w:val="00171E8B"/>
    <w:rsid w:val="00171ECE"/>
    <w:rsid w:val="00171EFB"/>
    <w:rsid w:val="00171F0A"/>
    <w:rsid w:val="00172152"/>
    <w:rsid w:val="00172194"/>
    <w:rsid w:val="001725E6"/>
    <w:rsid w:val="001725ED"/>
    <w:rsid w:val="001726AD"/>
    <w:rsid w:val="001726D0"/>
    <w:rsid w:val="00172732"/>
    <w:rsid w:val="001727A7"/>
    <w:rsid w:val="001727F5"/>
    <w:rsid w:val="001729A0"/>
    <w:rsid w:val="001729B7"/>
    <w:rsid w:val="00172DCB"/>
    <w:rsid w:val="00172F14"/>
    <w:rsid w:val="00172F92"/>
    <w:rsid w:val="0017308B"/>
    <w:rsid w:val="001730A9"/>
    <w:rsid w:val="0017311F"/>
    <w:rsid w:val="001732B4"/>
    <w:rsid w:val="0017334B"/>
    <w:rsid w:val="00173382"/>
    <w:rsid w:val="001734B9"/>
    <w:rsid w:val="0017362F"/>
    <w:rsid w:val="00173868"/>
    <w:rsid w:val="001739D3"/>
    <w:rsid w:val="001739EA"/>
    <w:rsid w:val="00173AE0"/>
    <w:rsid w:val="00173E13"/>
    <w:rsid w:val="00173F32"/>
    <w:rsid w:val="00173F62"/>
    <w:rsid w:val="001740C0"/>
    <w:rsid w:val="0017414F"/>
    <w:rsid w:val="001741FE"/>
    <w:rsid w:val="001743D8"/>
    <w:rsid w:val="00174599"/>
    <w:rsid w:val="001747D2"/>
    <w:rsid w:val="001747EF"/>
    <w:rsid w:val="00174808"/>
    <w:rsid w:val="001749B9"/>
    <w:rsid w:val="00174CC8"/>
    <w:rsid w:val="00174CDB"/>
    <w:rsid w:val="0017503D"/>
    <w:rsid w:val="00175383"/>
    <w:rsid w:val="00175415"/>
    <w:rsid w:val="00175458"/>
    <w:rsid w:val="00175488"/>
    <w:rsid w:val="0017548F"/>
    <w:rsid w:val="001756EE"/>
    <w:rsid w:val="00175D0B"/>
    <w:rsid w:val="0017617D"/>
    <w:rsid w:val="001764E9"/>
    <w:rsid w:val="0017660A"/>
    <w:rsid w:val="00176769"/>
    <w:rsid w:val="001767B8"/>
    <w:rsid w:val="001767D7"/>
    <w:rsid w:val="001767E4"/>
    <w:rsid w:val="00176898"/>
    <w:rsid w:val="001768BB"/>
    <w:rsid w:val="00176A6F"/>
    <w:rsid w:val="00176BB0"/>
    <w:rsid w:val="00176C8B"/>
    <w:rsid w:val="00177028"/>
    <w:rsid w:val="0017708A"/>
    <w:rsid w:val="001770EC"/>
    <w:rsid w:val="001771A8"/>
    <w:rsid w:val="001775EC"/>
    <w:rsid w:val="001775ED"/>
    <w:rsid w:val="00177766"/>
    <w:rsid w:val="0017785B"/>
    <w:rsid w:val="00177CE7"/>
    <w:rsid w:val="00177E0F"/>
    <w:rsid w:val="00177E7A"/>
    <w:rsid w:val="00180095"/>
    <w:rsid w:val="00180390"/>
    <w:rsid w:val="00180448"/>
    <w:rsid w:val="00180532"/>
    <w:rsid w:val="00180583"/>
    <w:rsid w:val="001806B9"/>
    <w:rsid w:val="00180A81"/>
    <w:rsid w:val="00180D54"/>
    <w:rsid w:val="00180DF2"/>
    <w:rsid w:val="00180E34"/>
    <w:rsid w:val="00180E79"/>
    <w:rsid w:val="00180F68"/>
    <w:rsid w:val="0018121F"/>
    <w:rsid w:val="0018125D"/>
    <w:rsid w:val="00181297"/>
    <w:rsid w:val="001812F2"/>
    <w:rsid w:val="001814DD"/>
    <w:rsid w:val="001814FE"/>
    <w:rsid w:val="001817E6"/>
    <w:rsid w:val="00181856"/>
    <w:rsid w:val="00181860"/>
    <w:rsid w:val="00181868"/>
    <w:rsid w:val="001819F2"/>
    <w:rsid w:val="00181AE4"/>
    <w:rsid w:val="00181B27"/>
    <w:rsid w:val="00181B38"/>
    <w:rsid w:val="00181BA4"/>
    <w:rsid w:val="00181C88"/>
    <w:rsid w:val="00181D64"/>
    <w:rsid w:val="00181EF9"/>
    <w:rsid w:val="0018201C"/>
    <w:rsid w:val="00182086"/>
    <w:rsid w:val="0018220C"/>
    <w:rsid w:val="0018223C"/>
    <w:rsid w:val="00182413"/>
    <w:rsid w:val="00182609"/>
    <w:rsid w:val="00182746"/>
    <w:rsid w:val="00182931"/>
    <w:rsid w:val="00182C59"/>
    <w:rsid w:val="00182C88"/>
    <w:rsid w:val="00182DD0"/>
    <w:rsid w:val="00182EA3"/>
    <w:rsid w:val="00182ED8"/>
    <w:rsid w:val="00182EEF"/>
    <w:rsid w:val="001831C3"/>
    <w:rsid w:val="0018336B"/>
    <w:rsid w:val="001833BA"/>
    <w:rsid w:val="00183496"/>
    <w:rsid w:val="00183917"/>
    <w:rsid w:val="00183977"/>
    <w:rsid w:val="00183A06"/>
    <w:rsid w:val="00183BC7"/>
    <w:rsid w:val="00183DAE"/>
    <w:rsid w:val="00183DFF"/>
    <w:rsid w:val="00183E14"/>
    <w:rsid w:val="00183F8C"/>
    <w:rsid w:val="001843B9"/>
    <w:rsid w:val="001843DF"/>
    <w:rsid w:val="00184533"/>
    <w:rsid w:val="0018453A"/>
    <w:rsid w:val="00184663"/>
    <w:rsid w:val="001847A1"/>
    <w:rsid w:val="001847BA"/>
    <w:rsid w:val="001847C2"/>
    <w:rsid w:val="00184884"/>
    <w:rsid w:val="00184895"/>
    <w:rsid w:val="0018497F"/>
    <w:rsid w:val="00184A31"/>
    <w:rsid w:val="00184A44"/>
    <w:rsid w:val="00184B2F"/>
    <w:rsid w:val="00184D64"/>
    <w:rsid w:val="00184DAD"/>
    <w:rsid w:val="00184E20"/>
    <w:rsid w:val="00184E9D"/>
    <w:rsid w:val="00184F94"/>
    <w:rsid w:val="00185037"/>
    <w:rsid w:val="00185099"/>
    <w:rsid w:val="00185166"/>
    <w:rsid w:val="001852F8"/>
    <w:rsid w:val="00185309"/>
    <w:rsid w:val="0018535A"/>
    <w:rsid w:val="001853A4"/>
    <w:rsid w:val="001853B7"/>
    <w:rsid w:val="0018567A"/>
    <w:rsid w:val="001859D7"/>
    <w:rsid w:val="00185B65"/>
    <w:rsid w:val="00185BA1"/>
    <w:rsid w:val="00185C05"/>
    <w:rsid w:val="00185C15"/>
    <w:rsid w:val="00185C64"/>
    <w:rsid w:val="00185C88"/>
    <w:rsid w:val="00185D21"/>
    <w:rsid w:val="001861D6"/>
    <w:rsid w:val="001862AB"/>
    <w:rsid w:val="001862E2"/>
    <w:rsid w:val="001865A9"/>
    <w:rsid w:val="0018661F"/>
    <w:rsid w:val="00186681"/>
    <w:rsid w:val="00186B42"/>
    <w:rsid w:val="00186C88"/>
    <w:rsid w:val="00186C8D"/>
    <w:rsid w:val="00186D3D"/>
    <w:rsid w:val="00186E06"/>
    <w:rsid w:val="00186E85"/>
    <w:rsid w:val="001873E0"/>
    <w:rsid w:val="001875BF"/>
    <w:rsid w:val="001876A0"/>
    <w:rsid w:val="001876E4"/>
    <w:rsid w:val="0018774F"/>
    <w:rsid w:val="00187827"/>
    <w:rsid w:val="001878DE"/>
    <w:rsid w:val="001878F9"/>
    <w:rsid w:val="001879A6"/>
    <w:rsid w:val="00187A04"/>
    <w:rsid w:val="00187A22"/>
    <w:rsid w:val="00187C9D"/>
    <w:rsid w:val="00187D30"/>
    <w:rsid w:val="001904B1"/>
    <w:rsid w:val="0019066E"/>
    <w:rsid w:val="00190A33"/>
    <w:rsid w:val="00190A40"/>
    <w:rsid w:val="00190AF2"/>
    <w:rsid w:val="00190AF7"/>
    <w:rsid w:val="00191007"/>
    <w:rsid w:val="0019120D"/>
    <w:rsid w:val="00191265"/>
    <w:rsid w:val="001912C3"/>
    <w:rsid w:val="0019147C"/>
    <w:rsid w:val="001914AB"/>
    <w:rsid w:val="00191B13"/>
    <w:rsid w:val="00191D98"/>
    <w:rsid w:val="00191DDF"/>
    <w:rsid w:val="00191E41"/>
    <w:rsid w:val="00191F43"/>
    <w:rsid w:val="0019202B"/>
    <w:rsid w:val="00192048"/>
    <w:rsid w:val="00192183"/>
    <w:rsid w:val="00192262"/>
    <w:rsid w:val="00192410"/>
    <w:rsid w:val="001925DB"/>
    <w:rsid w:val="001926AD"/>
    <w:rsid w:val="001926F0"/>
    <w:rsid w:val="0019295E"/>
    <w:rsid w:val="00192ABE"/>
    <w:rsid w:val="00192D0A"/>
    <w:rsid w:val="00192D40"/>
    <w:rsid w:val="001930B9"/>
    <w:rsid w:val="00193187"/>
    <w:rsid w:val="00193204"/>
    <w:rsid w:val="0019324D"/>
    <w:rsid w:val="00193294"/>
    <w:rsid w:val="001934D4"/>
    <w:rsid w:val="0019371D"/>
    <w:rsid w:val="0019381E"/>
    <w:rsid w:val="00193B19"/>
    <w:rsid w:val="00193CFD"/>
    <w:rsid w:val="00193F88"/>
    <w:rsid w:val="00193FA6"/>
    <w:rsid w:val="00193FD1"/>
    <w:rsid w:val="0019420C"/>
    <w:rsid w:val="0019436A"/>
    <w:rsid w:val="001946F1"/>
    <w:rsid w:val="00194707"/>
    <w:rsid w:val="001948D3"/>
    <w:rsid w:val="00194904"/>
    <w:rsid w:val="00194C72"/>
    <w:rsid w:val="00194EC8"/>
    <w:rsid w:val="00195255"/>
    <w:rsid w:val="00195294"/>
    <w:rsid w:val="001952AA"/>
    <w:rsid w:val="0019546A"/>
    <w:rsid w:val="00195601"/>
    <w:rsid w:val="00195797"/>
    <w:rsid w:val="00195A15"/>
    <w:rsid w:val="00195AD5"/>
    <w:rsid w:val="00195C96"/>
    <w:rsid w:val="00195C9D"/>
    <w:rsid w:val="00195E0E"/>
    <w:rsid w:val="00195E77"/>
    <w:rsid w:val="00195EA5"/>
    <w:rsid w:val="00195FCB"/>
    <w:rsid w:val="001964E9"/>
    <w:rsid w:val="001965A6"/>
    <w:rsid w:val="00196690"/>
    <w:rsid w:val="0019674E"/>
    <w:rsid w:val="001968EA"/>
    <w:rsid w:val="0019691D"/>
    <w:rsid w:val="00196AEB"/>
    <w:rsid w:val="00196BD1"/>
    <w:rsid w:val="00196C6F"/>
    <w:rsid w:val="00196F8A"/>
    <w:rsid w:val="0019707F"/>
    <w:rsid w:val="0019711A"/>
    <w:rsid w:val="00197239"/>
    <w:rsid w:val="00197346"/>
    <w:rsid w:val="001973AD"/>
    <w:rsid w:val="001974BB"/>
    <w:rsid w:val="00197526"/>
    <w:rsid w:val="0019758B"/>
    <w:rsid w:val="001975C5"/>
    <w:rsid w:val="00197677"/>
    <w:rsid w:val="00197684"/>
    <w:rsid w:val="00197873"/>
    <w:rsid w:val="001979A5"/>
    <w:rsid w:val="00197A80"/>
    <w:rsid w:val="00197B66"/>
    <w:rsid w:val="001A01B5"/>
    <w:rsid w:val="001A030A"/>
    <w:rsid w:val="001A03C9"/>
    <w:rsid w:val="001A05F4"/>
    <w:rsid w:val="001A073A"/>
    <w:rsid w:val="001A0754"/>
    <w:rsid w:val="001A0A31"/>
    <w:rsid w:val="001A0A4F"/>
    <w:rsid w:val="001A0A63"/>
    <w:rsid w:val="001A0B36"/>
    <w:rsid w:val="001A0CBD"/>
    <w:rsid w:val="001A0DD5"/>
    <w:rsid w:val="001A0E1E"/>
    <w:rsid w:val="001A0E9B"/>
    <w:rsid w:val="001A0F22"/>
    <w:rsid w:val="001A0FB7"/>
    <w:rsid w:val="001A1045"/>
    <w:rsid w:val="001A1152"/>
    <w:rsid w:val="001A1293"/>
    <w:rsid w:val="001A12ED"/>
    <w:rsid w:val="001A131A"/>
    <w:rsid w:val="001A1342"/>
    <w:rsid w:val="001A13DD"/>
    <w:rsid w:val="001A1404"/>
    <w:rsid w:val="001A15DB"/>
    <w:rsid w:val="001A17C3"/>
    <w:rsid w:val="001A188C"/>
    <w:rsid w:val="001A18AE"/>
    <w:rsid w:val="001A1A89"/>
    <w:rsid w:val="001A1CA7"/>
    <w:rsid w:val="001A1DD2"/>
    <w:rsid w:val="001A1E89"/>
    <w:rsid w:val="001A22F5"/>
    <w:rsid w:val="001A2523"/>
    <w:rsid w:val="001A280A"/>
    <w:rsid w:val="001A287A"/>
    <w:rsid w:val="001A29BF"/>
    <w:rsid w:val="001A2D41"/>
    <w:rsid w:val="001A2D9E"/>
    <w:rsid w:val="001A2EF1"/>
    <w:rsid w:val="001A3115"/>
    <w:rsid w:val="001A350B"/>
    <w:rsid w:val="001A3526"/>
    <w:rsid w:val="001A358E"/>
    <w:rsid w:val="001A3744"/>
    <w:rsid w:val="001A37BF"/>
    <w:rsid w:val="001A39C9"/>
    <w:rsid w:val="001A39ED"/>
    <w:rsid w:val="001A3C60"/>
    <w:rsid w:val="001A3C67"/>
    <w:rsid w:val="001A3D7A"/>
    <w:rsid w:val="001A3FB6"/>
    <w:rsid w:val="001A41CD"/>
    <w:rsid w:val="001A41E8"/>
    <w:rsid w:val="001A41FE"/>
    <w:rsid w:val="001A4326"/>
    <w:rsid w:val="001A4480"/>
    <w:rsid w:val="001A4632"/>
    <w:rsid w:val="001A4695"/>
    <w:rsid w:val="001A46B1"/>
    <w:rsid w:val="001A47A1"/>
    <w:rsid w:val="001A47BF"/>
    <w:rsid w:val="001A4906"/>
    <w:rsid w:val="001A49EB"/>
    <w:rsid w:val="001A4B62"/>
    <w:rsid w:val="001A4EF2"/>
    <w:rsid w:val="001A508F"/>
    <w:rsid w:val="001A50EE"/>
    <w:rsid w:val="001A514C"/>
    <w:rsid w:val="001A531F"/>
    <w:rsid w:val="001A5441"/>
    <w:rsid w:val="001A560C"/>
    <w:rsid w:val="001A5740"/>
    <w:rsid w:val="001A58AA"/>
    <w:rsid w:val="001A5C06"/>
    <w:rsid w:val="001A5C35"/>
    <w:rsid w:val="001A5CC6"/>
    <w:rsid w:val="001A5CF4"/>
    <w:rsid w:val="001A5D6B"/>
    <w:rsid w:val="001A5DC8"/>
    <w:rsid w:val="001A5F92"/>
    <w:rsid w:val="001A6076"/>
    <w:rsid w:val="001A61A8"/>
    <w:rsid w:val="001A6252"/>
    <w:rsid w:val="001A625F"/>
    <w:rsid w:val="001A632E"/>
    <w:rsid w:val="001A642E"/>
    <w:rsid w:val="001A6657"/>
    <w:rsid w:val="001A667F"/>
    <w:rsid w:val="001A6702"/>
    <w:rsid w:val="001A6749"/>
    <w:rsid w:val="001A675C"/>
    <w:rsid w:val="001A68B7"/>
    <w:rsid w:val="001A68F0"/>
    <w:rsid w:val="001A6A19"/>
    <w:rsid w:val="001A6AFC"/>
    <w:rsid w:val="001A6B68"/>
    <w:rsid w:val="001A6B99"/>
    <w:rsid w:val="001A6BFE"/>
    <w:rsid w:val="001A6D8B"/>
    <w:rsid w:val="001A6F1B"/>
    <w:rsid w:val="001A7109"/>
    <w:rsid w:val="001A71D9"/>
    <w:rsid w:val="001A7302"/>
    <w:rsid w:val="001A73DD"/>
    <w:rsid w:val="001A743B"/>
    <w:rsid w:val="001A771D"/>
    <w:rsid w:val="001A7903"/>
    <w:rsid w:val="001A79A0"/>
    <w:rsid w:val="001A7D1D"/>
    <w:rsid w:val="001A7DAB"/>
    <w:rsid w:val="001A7E26"/>
    <w:rsid w:val="001A7E6F"/>
    <w:rsid w:val="001B0138"/>
    <w:rsid w:val="001B0250"/>
    <w:rsid w:val="001B03B9"/>
    <w:rsid w:val="001B0423"/>
    <w:rsid w:val="001B04E6"/>
    <w:rsid w:val="001B067E"/>
    <w:rsid w:val="001B0AB1"/>
    <w:rsid w:val="001B0BBD"/>
    <w:rsid w:val="001B0D36"/>
    <w:rsid w:val="001B0D63"/>
    <w:rsid w:val="001B0D85"/>
    <w:rsid w:val="001B0DB7"/>
    <w:rsid w:val="001B0DEF"/>
    <w:rsid w:val="001B0E28"/>
    <w:rsid w:val="001B0E36"/>
    <w:rsid w:val="001B0F36"/>
    <w:rsid w:val="001B0F7A"/>
    <w:rsid w:val="001B0F9D"/>
    <w:rsid w:val="001B0FE5"/>
    <w:rsid w:val="001B10D9"/>
    <w:rsid w:val="001B10F1"/>
    <w:rsid w:val="001B10F3"/>
    <w:rsid w:val="001B1100"/>
    <w:rsid w:val="001B15CA"/>
    <w:rsid w:val="001B16E1"/>
    <w:rsid w:val="001B171D"/>
    <w:rsid w:val="001B1725"/>
    <w:rsid w:val="001B1B43"/>
    <w:rsid w:val="001B1C96"/>
    <w:rsid w:val="001B2163"/>
    <w:rsid w:val="001B21E6"/>
    <w:rsid w:val="001B221A"/>
    <w:rsid w:val="001B2225"/>
    <w:rsid w:val="001B24F1"/>
    <w:rsid w:val="001B258C"/>
    <w:rsid w:val="001B280E"/>
    <w:rsid w:val="001B28B4"/>
    <w:rsid w:val="001B2A4F"/>
    <w:rsid w:val="001B2BC1"/>
    <w:rsid w:val="001B2BEF"/>
    <w:rsid w:val="001B2CEB"/>
    <w:rsid w:val="001B2FD9"/>
    <w:rsid w:val="001B319C"/>
    <w:rsid w:val="001B3274"/>
    <w:rsid w:val="001B32DD"/>
    <w:rsid w:val="001B32F6"/>
    <w:rsid w:val="001B3718"/>
    <w:rsid w:val="001B4106"/>
    <w:rsid w:val="001B41A0"/>
    <w:rsid w:val="001B4302"/>
    <w:rsid w:val="001B4369"/>
    <w:rsid w:val="001B43E5"/>
    <w:rsid w:val="001B4411"/>
    <w:rsid w:val="001B44B3"/>
    <w:rsid w:val="001B44F4"/>
    <w:rsid w:val="001B45C4"/>
    <w:rsid w:val="001B486C"/>
    <w:rsid w:val="001B4B11"/>
    <w:rsid w:val="001B4B23"/>
    <w:rsid w:val="001B4ED1"/>
    <w:rsid w:val="001B5015"/>
    <w:rsid w:val="001B582F"/>
    <w:rsid w:val="001B59BA"/>
    <w:rsid w:val="001B59DD"/>
    <w:rsid w:val="001B5DBD"/>
    <w:rsid w:val="001B5DDC"/>
    <w:rsid w:val="001B5FF9"/>
    <w:rsid w:val="001B60BA"/>
    <w:rsid w:val="001B6129"/>
    <w:rsid w:val="001B63F2"/>
    <w:rsid w:val="001B65A2"/>
    <w:rsid w:val="001B6744"/>
    <w:rsid w:val="001B67F7"/>
    <w:rsid w:val="001B6908"/>
    <w:rsid w:val="001B6AC4"/>
    <w:rsid w:val="001B6AD7"/>
    <w:rsid w:val="001B6B39"/>
    <w:rsid w:val="001B6CE7"/>
    <w:rsid w:val="001B7143"/>
    <w:rsid w:val="001B71A4"/>
    <w:rsid w:val="001B7265"/>
    <w:rsid w:val="001B7334"/>
    <w:rsid w:val="001B7421"/>
    <w:rsid w:val="001B7441"/>
    <w:rsid w:val="001B748A"/>
    <w:rsid w:val="001B74A6"/>
    <w:rsid w:val="001B74B7"/>
    <w:rsid w:val="001B74C0"/>
    <w:rsid w:val="001B7500"/>
    <w:rsid w:val="001B7577"/>
    <w:rsid w:val="001B7617"/>
    <w:rsid w:val="001B77F6"/>
    <w:rsid w:val="001B78B3"/>
    <w:rsid w:val="001B7A3D"/>
    <w:rsid w:val="001B7A51"/>
    <w:rsid w:val="001B7AEF"/>
    <w:rsid w:val="001B7D2D"/>
    <w:rsid w:val="001B7FF3"/>
    <w:rsid w:val="001C000D"/>
    <w:rsid w:val="001C0409"/>
    <w:rsid w:val="001C0429"/>
    <w:rsid w:val="001C05BB"/>
    <w:rsid w:val="001C05EC"/>
    <w:rsid w:val="001C08F7"/>
    <w:rsid w:val="001C09A7"/>
    <w:rsid w:val="001C0A87"/>
    <w:rsid w:val="001C0B36"/>
    <w:rsid w:val="001C0B44"/>
    <w:rsid w:val="001C113E"/>
    <w:rsid w:val="001C149B"/>
    <w:rsid w:val="001C1500"/>
    <w:rsid w:val="001C15AD"/>
    <w:rsid w:val="001C19CC"/>
    <w:rsid w:val="001C1A71"/>
    <w:rsid w:val="001C1AC9"/>
    <w:rsid w:val="001C1D39"/>
    <w:rsid w:val="001C20B2"/>
    <w:rsid w:val="001C2567"/>
    <w:rsid w:val="001C2614"/>
    <w:rsid w:val="001C2725"/>
    <w:rsid w:val="001C292C"/>
    <w:rsid w:val="001C2A40"/>
    <w:rsid w:val="001C2CF2"/>
    <w:rsid w:val="001C2D04"/>
    <w:rsid w:val="001C2F67"/>
    <w:rsid w:val="001C2FCB"/>
    <w:rsid w:val="001C30F8"/>
    <w:rsid w:val="001C3185"/>
    <w:rsid w:val="001C31DA"/>
    <w:rsid w:val="001C32C7"/>
    <w:rsid w:val="001C33DF"/>
    <w:rsid w:val="001C3882"/>
    <w:rsid w:val="001C3C43"/>
    <w:rsid w:val="001C3D4C"/>
    <w:rsid w:val="001C3D82"/>
    <w:rsid w:val="001C4067"/>
    <w:rsid w:val="001C40A4"/>
    <w:rsid w:val="001C436C"/>
    <w:rsid w:val="001C46F3"/>
    <w:rsid w:val="001C4831"/>
    <w:rsid w:val="001C48E3"/>
    <w:rsid w:val="001C49B9"/>
    <w:rsid w:val="001C4A7E"/>
    <w:rsid w:val="001C4F5D"/>
    <w:rsid w:val="001C5077"/>
    <w:rsid w:val="001C50C2"/>
    <w:rsid w:val="001C50FF"/>
    <w:rsid w:val="001C5273"/>
    <w:rsid w:val="001C539A"/>
    <w:rsid w:val="001C5412"/>
    <w:rsid w:val="001C5743"/>
    <w:rsid w:val="001C581B"/>
    <w:rsid w:val="001C58FB"/>
    <w:rsid w:val="001C5A0A"/>
    <w:rsid w:val="001C5DCB"/>
    <w:rsid w:val="001C5E57"/>
    <w:rsid w:val="001C5E70"/>
    <w:rsid w:val="001C5FB4"/>
    <w:rsid w:val="001C613B"/>
    <w:rsid w:val="001C62C5"/>
    <w:rsid w:val="001C634B"/>
    <w:rsid w:val="001C63A9"/>
    <w:rsid w:val="001C63AD"/>
    <w:rsid w:val="001C6542"/>
    <w:rsid w:val="001C65D0"/>
    <w:rsid w:val="001C6973"/>
    <w:rsid w:val="001C6A51"/>
    <w:rsid w:val="001C6BF8"/>
    <w:rsid w:val="001C6C3D"/>
    <w:rsid w:val="001C6D7B"/>
    <w:rsid w:val="001C6EB1"/>
    <w:rsid w:val="001C6EF5"/>
    <w:rsid w:val="001C7066"/>
    <w:rsid w:val="001C71B4"/>
    <w:rsid w:val="001C73AD"/>
    <w:rsid w:val="001C7405"/>
    <w:rsid w:val="001C758A"/>
    <w:rsid w:val="001C767C"/>
    <w:rsid w:val="001C7737"/>
    <w:rsid w:val="001C783E"/>
    <w:rsid w:val="001C78C8"/>
    <w:rsid w:val="001C7919"/>
    <w:rsid w:val="001C7A02"/>
    <w:rsid w:val="001C7C0F"/>
    <w:rsid w:val="001C7C45"/>
    <w:rsid w:val="001C7D1B"/>
    <w:rsid w:val="001D014D"/>
    <w:rsid w:val="001D0280"/>
    <w:rsid w:val="001D0286"/>
    <w:rsid w:val="001D03FF"/>
    <w:rsid w:val="001D071B"/>
    <w:rsid w:val="001D0B41"/>
    <w:rsid w:val="001D0B45"/>
    <w:rsid w:val="001D0C16"/>
    <w:rsid w:val="001D0FBE"/>
    <w:rsid w:val="001D10BC"/>
    <w:rsid w:val="001D110C"/>
    <w:rsid w:val="001D11C5"/>
    <w:rsid w:val="001D14C1"/>
    <w:rsid w:val="001D1527"/>
    <w:rsid w:val="001D1584"/>
    <w:rsid w:val="001D1716"/>
    <w:rsid w:val="001D1892"/>
    <w:rsid w:val="001D1905"/>
    <w:rsid w:val="001D196E"/>
    <w:rsid w:val="001D1A55"/>
    <w:rsid w:val="001D1BAD"/>
    <w:rsid w:val="001D1DCC"/>
    <w:rsid w:val="001D1E2B"/>
    <w:rsid w:val="001D1E8A"/>
    <w:rsid w:val="001D1F71"/>
    <w:rsid w:val="001D1FF2"/>
    <w:rsid w:val="001D21CD"/>
    <w:rsid w:val="001D22C5"/>
    <w:rsid w:val="001D230D"/>
    <w:rsid w:val="001D231D"/>
    <w:rsid w:val="001D239C"/>
    <w:rsid w:val="001D246E"/>
    <w:rsid w:val="001D2507"/>
    <w:rsid w:val="001D2625"/>
    <w:rsid w:val="001D2691"/>
    <w:rsid w:val="001D2719"/>
    <w:rsid w:val="001D2957"/>
    <w:rsid w:val="001D29F2"/>
    <w:rsid w:val="001D2B3E"/>
    <w:rsid w:val="001D2B54"/>
    <w:rsid w:val="001D2B57"/>
    <w:rsid w:val="001D2D1E"/>
    <w:rsid w:val="001D2D21"/>
    <w:rsid w:val="001D3081"/>
    <w:rsid w:val="001D31B9"/>
    <w:rsid w:val="001D34C7"/>
    <w:rsid w:val="001D373C"/>
    <w:rsid w:val="001D37C2"/>
    <w:rsid w:val="001D3B45"/>
    <w:rsid w:val="001D3B8D"/>
    <w:rsid w:val="001D3D5C"/>
    <w:rsid w:val="001D3D69"/>
    <w:rsid w:val="001D3E3D"/>
    <w:rsid w:val="001D41EF"/>
    <w:rsid w:val="001D42C1"/>
    <w:rsid w:val="001D45F5"/>
    <w:rsid w:val="001D4ACA"/>
    <w:rsid w:val="001D4B22"/>
    <w:rsid w:val="001D4B6C"/>
    <w:rsid w:val="001D4BAF"/>
    <w:rsid w:val="001D4F03"/>
    <w:rsid w:val="001D5177"/>
    <w:rsid w:val="001D51B2"/>
    <w:rsid w:val="001D5401"/>
    <w:rsid w:val="001D5501"/>
    <w:rsid w:val="001D5546"/>
    <w:rsid w:val="001D55BE"/>
    <w:rsid w:val="001D586F"/>
    <w:rsid w:val="001D58E2"/>
    <w:rsid w:val="001D594E"/>
    <w:rsid w:val="001D5A03"/>
    <w:rsid w:val="001D5B40"/>
    <w:rsid w:val="001D5BF4"/>
    <w:rsid w:val="001D5E05"/>
    <w:rsid w:val="001D5E1A"/>
    <w:rsid w:val="001D62BF"/>
    <w:rsid w:val="001D62FA"/>
    <w:rsid w:val="001D6425"/>
    <w:rsid w:val="001D6431"/>
    <w:rsid w:val="001D64EF"/>
    <w:rsid w:val="001D65BB"/>
    <w:rsid w:val="001D6607"/>
    <w:rsid w:val="001D675C"/>
    <w:rsid w:val="001D6E0B"/>
    <w:rsid w:val="001D6E59"/>
    <w:rsid w:val="001D6E9C"/>
    <w:rsid w:val="001D6EB2"/>
    <w:rsid w:val="001D6EFE"/>
    <w:rsid w:val="001D6F5B"/>
    <w:rsid w:val="001D7257"/>
    <w:rsid w:val="001D744B"/>
    <w:rsid w:val="001D7584"/>
    <w:rsid w:val="001D7644"/>
    <w:rsid w:val="001D7686"/>
    <w:rsid w:val="001D7889"/>
    <w:rsid w:val="001D793E"/>
    <w:rsid w:val="001D79A2"/>
    <w:rsid w:val="001D7A30"/>
    <w:rsid w:val="001D7B0B"/>
    <w:rsid w:val="001D7C82"/>
    <w:rsid w:val="001D7D04"/>
    <w:rsid w:val="001D7EDF"/>
    <w:rsid w:val="001D7F38"/>
    <w:rsid w:val="001E0122"/>
    <w:rsid w:val="001E01A9"/>
    <w:rsid w:val="001E01BD"/>
    <w:rsid w:val="001E0204"/>
    <w:rsid w:val="001E044E"/>
    <w:rsid w:val="001E07E0"/>
    <w:rsid w:val="001E0945"/>
    <w:rsid w:val="001E0999"/>
    <w:rsid w:val="001E0C13"/>
    <w:rsid w:val="001E0C50"/>
    <w:rsid w:val="001E0FBD"/>
    <w:rsid w:val="001E101F"/>
    <w:rsid w:val="001E1621"/>
    <w:rsid w:val="001E1896"/>
    <w:rsid w:val="001E1916"/>
    <w:rsid w:val="001E1A97"/>
    <w:rsid w:val="001E1B54"/>
    <w:rsid w:val="001E1E1D"/>
    <w:rsid w:val="001E1F2C"/>
    <w:rsid w:val="001E1FAF"/>
    <w:rsid w:val="001E1FD6"/>
    <w:rsid w:val="001E1FE3"/>
    <w:rsid w:val="001E20DA"/>
    <w:rsid w:val="001E2254"/>
    <w:rsid w:val="001E22A5"/>
    <w:rsid w:val="001E2334"/>
    <w:rsid w:val="001E2486"/>
    <w:rsid w:val="001E24F5"/>
    <w:rsid w:val="001E29CA"/>
    <w:rsid w:val="001E2BB8"/>
    <w:rsid w:val="001E3149"/>
    <w:rsid w:val="001E343F"/>
    <w:rsid w:val="001E3594"/>
    <w:rsid w:val="001E360F"/>
    <w:rsid w:val="001E3712"/>
    <w:rsid w:val="001E3A8F"/>
    <w:rsid w:val="001E3B6E"/>
    <w:rsid w:val="001E3C21"/>
    <w:rsid w:val="001E3D4D"/>
    <w:rsid w:val="001E3DC0"/>
    <w:rsid w:val="001E3DEC"/>
    <w:rsid w:val="001E3EF1"/>
    <w:rsid w:val="001E3F07"/>
    <w:rsid w:val="001E4012"/>
    <w:rsid w:val="001E40BF"/>
    <w:rsid w:val="001E4245"/>
    <w:rsid w:val="001E431C"/>
    <w:rsid w:val="001E4395"/>
    <w:rsid w:val="001E4463"/>
    <w:rsid w:val="001E44F8"/>
    <w:rsid w:val="001E473B"/>
    <w:rsid w:val="001E4762"/>
    <w:rsid w:val="001E4865"/>
    <w:rsid w:val="001E4940"/>
    <w:rsid w:val="001E4CBC"/>
    <w:rsid w:val="001E4D14"/>
    <w:rsid w:val="001E4D47"/>
    <w:rsid w:val="001E4E7F"/>
    <w:rsid w:val="001E51ED"/>
    <w:rsid w:val="001E52D6"/>
    <w:rsid w:val="001E5329"/>
    <w:rsid w:val="001E5392"/>
    <w:rsid w:val="001E5515"/>
    <w:rsid w:val="001E5529"/>
    <w:rsid w:val="001E55B2"/>
    <w:rsid w:val="001E568B"/>
    <w:rsid w:val="001E56BF"/>
    <w:rsid w:val="001E572D"/>
    <w:rsid w:val="001E59ED"/>
    <w:rsid w:val="001E5A51"/>
    <w:rsid w:val="001E5C44"/>
    <w:rsid w:val="001E5C4C"/>
    <w:rsid w:val="001E5D4F"/>
    <w:rsid w:val="001E5FD2"/>
    <w:rsid w:val="001E6068"/>
    <w:rsid w:val="001E60E6"/>
    <w:rsid w:val="001E62A6"/>
    <w:rsid w:val="001E6334"/>
    <w:rsid w:val="001E6435"/>
    <w:rsid w:val="001E659A"/>
    <w:rsid w:val="001E66EB"/>
    <w:rsid w:val="001E6842"/>
    <w:rsid w:val="001E689D"/>
    <w:rsid w:val="001E6907"/>
    <w:rsid w:val="001E6B88"/>
    <w:rsid w:val="001E6C35"/>
    <w:rsid w:val="001E6F6C"/>
    <w:rsid w:val="001E7143"/>
    <w:rsid w:val="001E72CB"/>
    <w:rsid w:val="001E7352"/>
    <w:rsid w:val="001E780C"/>
    <w:rsid w:val="001E7C37"/>
    <w:rsid w:val="001E7DBE"/>
    <w:rsid w:val="001E7F5D"/>
    <w:rsid w:val="001E7FB3"/>
    <w:rsid w:val="001E7FC7"/>
    <w:rsid w:val="001F0348"/>
    <w:rsid w:val="001F0418"/>
    <w:rsid w:val="001F07A1"/>
    <w:rsid w:val="001F0819"/>
    <w:rsid w:val="001F092C"/>
    <w:rsid w:val="001F0D0F"/>
    <w:rsid w:val="001F0E65"/>
    <w:rsid w:val="001F1001"/>
    <w:rsid w:val="001F125C"/>
    <w:rsid w:val="001F127B"/>
    <w:rsid w:val="001F152B"/>
    <w:rsid w:val="001F1552"/>
    <w:rsid w:val="001F1A21"/>
    <w:rsid w:val="001F1A78"/>
    <w:rsid w:val="001F1BCB"/>
    <w:rsid w:val="001F1C4D"/>
    <w:rsid w:val="001F1D80"/>
    <w:rsid w:val="001F206D"/>
    <w:rsid w:val="001F23E2"/>
    <w:rsid w:val="001F24FA"/>
    <w:rsid w:val="001F2505"/>
    <w:rsid w:val="001F2697"/>
    <w:rsid w:val="001F28AD"/>
    <w:rsid w:val="001F29C4"/>
    <w:rsid w:val="001F2A90"/>
    <w:rsid w:val="001F2BBF"/>
    <w:rsid w:val="001F2CBF"/>
    <w:rsid w:val="001F2E7A"/>
    <w:rsid w:val="001F2F7D"/>
    <w:rsid w:val="001F3000"/>
    <w:rsid w:val="001F317A"/>
    <w:rsid w:val="001F32BB"/>
    <w:rsid w:val="001F3362"/>
    <w:rsid w:val="001F359F"/>
    <w:rsid w:val="001F374C"/>
    <w:rsid w:val="001F37D1"/>
    <w:rsid w:val="001F3A47"/>
    <w:rsid w:val="001F3B85"/>
    <w:rsid w:val="001F3C38"/>
    <w:rsid w:val="001F3E68"/>
    <w:rsid w:val="001F3EB5"/>
    <w:rsid w:val="001F3F43"/>
    <w:rsid w:val="001F421C"/>
    <w:rsid w:val="001F444B"/>
    <w:rsid w:val="001F45A8"/>
    <w:rsid w:val="001F45B4"/>
    <w:rsid w:val="001F4837"/>
    <w:rsid w:val="001F489A"/>
    <w:rsid w:val="001F4A59"/>
    <w:rsid w:val="001F4B0B"/>
    <w:rsid w:val="001F4B14"/>
    <w:rsid w:val="001F4BC4"/>
    <w:rsid w:val="001F4CAE"/>
    <w:rsid w:val="001F4CBC"/>
    <w:rsid w:val="001F4D65"/>
    <w:rsid w:val="001F4DF2"/>
    <w:rsid w:val="001F5006"/>
    <w:rsid w:val="001F5015"/>
    <w:rsid w:val="001F53B3"/>
    <w:rsid w:val="001F54FD"/>
    <w:rsid w:val="001F551C"/>
    <w:rsid w:val="001F552F"/>
    <w:rsid w:val="001F556F"/>
    <w:rsid w:val="001F5718"/>
    <w:rsid w:val="001F57E4"/>
    <w:rsid w:val="001F5865"/>
    <w:rsid w:val="001F5B3F"/>
    <w:rsid w:val="001F5B89"/>
    <w:rsid w:val="001F5C09"/>
    <w:rsid w:val="001F5C30"/>
    <w:rsid w:val="001F5F4F"/>
    <w:rsid w:val="001F6094"/>
    <w:rsid w:val="001F612D"/>
    <w:rsid w:val="001F6205"/>
    <w:rsid w:val="001F628C"/>
    <w:rsid w:val="001F64BE"/>
    <w:rsid w:val="001F64DE"/>
    <w:rsid w:val="001F64F4"/>
    <w:rsid w:val="001F67B3"/>
    <w:rsid w:val="001F684F"/>
    <w:rsid w:val="001F6A39"/>
    <w:rsid w:val="001F6B7B"/>
    <w:rsid w:val="001F6EF1"/>
    <w:rsid w:val="001F6FCA"/>
    <w:rsid w:val="001F6FF5"/>
    <w:rsid w:val="001F7148"/>
    <w:rsid w:val="001F71AA"/>
    <w:rsid w:val="001F735C"/>
    <w:rsid w:val="001F7381"/>
    <w:rsid w:val="001F74ED"/>
    <w:rsid w:val="001F779F"/>
    <w:rsid w:val="001F77C1"/>
    <w:rsid w:val="001F7C9F"/>
    <w:rsid w:val="00200035"/>
    <w:rsid w:val="00200247"/>
    <w:rsid w:val="0020033C"/>
    <w:rsid w:val="002003C7"/>
    <w:rsid w:val="002003F6"/>
    <w:rsid w:val="00200603"/>
    <w:rsid w:val="00200613"/>
    <w:rsid w:val="00200766"/>
    <w:rsid w:val="0020076D"/>
    <w:rsid w:val="002007BD"/>
    <w:rsid w:val="0020085C"/>
    <w:rsid w:val="002008DD"/>
    <w:rsid w:val="00200BA6"/>
    <w:rsid w:val="00200CD8"/>
    <w:rsid w:val="00200FE5"/>
    <w:rsid w:val="00201010"/>
    <w:rsid w:val="0020112B"/>
    <w:rsid w:val="00201184"/>
    <w:rsid w:val="00201508"/>
    <w:rsid w:val="00201583"/>
    <w:rsid w:val="00201890"/>
    <w:rsid w:val="002018B3"/>
    <w:rsid w:val="002018BE"/>
    <w:rsid w:val="00201ABD"/>
    <w:rsid w:val="00201D07"/>
    <w:rsid w:val="00201DCB"/>
    <w:rsid w:val="00201DE2"/>
    <w:rsid w:val="00201F52"/>
    <w:rsid w:val="0020200A"/>
    <w:rsid w:val="00202270"/>
    <w:rsid w:val="002022DF"/>
    <w:rsid w:val="00202395"/>
    <w:rsid w:val="002023F5"/>
    <w:rsid w:val="00202464"/>
    <w:rsid w:val="002025C8"/>
    <w:rsid w:val="002025DD"/>
    <w:rsid w:val="0020263D"/>
    <w:rsid w:val="00202691"/>
    <w:rsid w:val="002028CB"/>
    <w:rsid w:val="00202B0B"/>
    <w:rsid w:val="00202BD5"/>
    <w:rsid w:val="00202C33"/>
    <w:rsid w:val="00202CE4"/>
    <w:rsid w:val="00202E7B"/>
    <w:rsid w:val="00202FEE"/>
    <w:rsid w:val="002031B7"/>
    <w:rsid w:val="00203457"/>
    <w:rsid w:val="00203912"/>
    <w:rsid w:val="0020393F"/>
    <w:rsid w:val="00203A8A"/>
    <w:rsid w:val="00203ADB"/>
    <w:rsid w:val="00203C9F"/>
    <w:rsid w:val="00203CAD"/>
    <w:rsid w:val="00203D8D"/>
    <w:rsid w:val="00203E88"/>
    <w:rsid w:val="00203F69"/>
    <w:rsid w:val="00204062"/>
    <w:rsid w:val="0020425D"/>
    <w:rsid w:val="002042B1"/>
    <w:rsid w:val="0020459C"/>
    <w:rsid w:val="00204759"/>
    <w:rsid w:val="002047A3"/>
    <w:rsid w:val="00204854"/>
    <w:rsid w:val="00204886"/>
    <w:rsid w:val="002049BD"/>
    <w:rsid w:val="00204A9B"/>
    <w:rsid w:val="00204B12"/>
    <w:rsid w:val="00204B5D"/>
    <w:rsid w:val="00204FA0"/>
    <w:rsid w:val="00204FC8"/>
    <w:rsid w:val="0020507C"/>
    <w:rsid w:val="002050A4"/>
    <w:rsid w:val="002050D2"/>
    <w:rsid w:val="00205119"/>
    <w:rsid w:val="002052A6"/>
    <w:rsid w:val="00205672"/>
    <w:rsid w:val="00205A5E"/>
    <w:rsid w:val="00205B16"/>
    <w:rsid w:val="00205B66"/>
    <w:rsid w:val="00205D03"/>
    <w:rsid w:val="00205D0A"/>
    <w:rsid w:val="0020603B"/>
    <w:rsid w:val="002060B6"/>
    <w:rsid w:val="002061D2"/>
    <w:rsid w:val="00206374"/>
    <w:rsid w:val="00206660"/>
    <w:rsid w:val="002068D7"/>
    <w:rsid w:val="0020696A"/>
    <w:rsid w:val="00206A7E"/>
    <w:rsid w:val="00206B61"/>
    <w:rsid w:val="00206DEF"/>
    <w:rsid w:val="00206E1E"/>
    <w:rsid w:val="00206E52"/>
    <w:rsid w:val="00207115"/>
    <w:rsid w:val="0020715C"/>
    <w:rsid w:val="00207212"/>
    <w:rsid w:val="0020727A"/>
    <w:rsid w:val="00207661"/>
    <w:rsid w:val="0020780A"/>
    <w:rsid w:val="0020782A"/>
    <w:rsid w:val="0020787E"/>
    <w:rsid w:val="002078AA"/>
    <w:rsid w:val="002079B5"/>
    <w:rsid w:val="00207CF4"/>
    <w:rsid w:val="00207DED"/>
    <w:rsid w:val="00207F3D"/>
    <w:rsid w:val="00207F80"/>
    <w:rsid w:val="00207FD8"/>
    <w:rsid w:val="00207FE9"/>
    <w:rsid w:val="002100FD"/>
    <w:rsid w:val="002101E6"/>
    <w:rsid w:val="0021030B"/>
    <w:rsid w:val="002103E2"/>
    <w:rsid w:val="0021044A"/>
    <w:rsid w:val="002104FC"/>
    <w:rsid w:val="002105CD"/>
    <w:rsid w:val="0021064D"/>
    <w:rsid w:val="002106C8"/>
    <w:rsid w:val="00210795"/>
    <w:rsid w:val="0021081C"/>
    <w:rsid w:val="00210860"/>
    <w:rsid w:val="00210A08"/>
    <w:rsid w:val="00210CC8"/>
    <w:rsid w:val="00210E5A"/>
    <w:rsid w:val="00210F1B"/>
    <w:rsid w:val="00210F76"/>
    <w:rsid w:val="002112F8"/>
    <w:rsid w:val="00211359"/>
    <w:rsid w:val="0021136D"/>
    <w:rsid w:val="002113BC"/>
    <w:rsid w:val="002115B8"/>
    <w:rsid w:val="0021164B"/>
    <w:rsid w:val="002116C6"/>
    <w:rsid w:val="00211717"/>
    <w:rsid w:val="0021182D"/>
    <w:rsid w:val="00211830"/>
    <w:rsid w:val="002119BF"/>
    <w:rsid w:val="00211A68"/>
    <w:rsid w:val="00211B58"/>
    <w:rsid w:val="00211BED"/>
    <w:rsid w:val="00211E9C"/>
    <w:rsid w:val="00211EA7"/>
    <w:rsid w:val="002122E7"/>
    <w:rsid w:val="00212405"/>
    <w:rsid w:val="002124B5"/>
    <w:rsid w:val="00212549"/>
    <w:rsid w:val="002125BE"/>
    <w:rsid w:val="00212C18"/>
    <w:rsid w:val="00212EB1"/>
    <w:rsid w:val="00212EEE"/>
    <w:rsid w:val="00212F65"/>
    <w:rsid w:val="00212F8E"/>
    <w:rsid w:val="002131FD"/>
    <w:rsid w:val="002132F9"/>
    <w:rsid w:val="002133B0"/>
    <w:rsid w:val="002136E9"/>
    <w:rsid w:val="00213766"/>
    <w:rsid w:val="002138E2"/>
    <w:rsid w:val="002139AA"/>
    <w:rsid w:val="00213A40"/>
    <w:rsid w:val="00213B38"/>
    <w:rsid w:val="00213BBE"/>
    <w:rsid w:val="00213DB0"/>
    <w:rsid w:val="0021419D"/>
    <w:rsid w:val="002141AF"/>
    <w:rsid w:val="002142B5"/>
    <w:rsid w:val="0021464B"/>
    <w:rsid w:val="0021467A"/>
    <w:rsid w:val="00214A52"/>
    <w:rsid w:val="00214AC4"/>
    <w:rsid w:val="00214B8E"/>
    <w:rsid w:val="00214C5D"/>
    <w:rsid w:val="00214CCF"/>
    <w:rsid w:val="002150CD"/>
    <w:rsid w:val="002151C6"/>
    <w:rsid w:val="00215294"/>
    <w:rsid w:val="0021541C"/>
    <w:rsid w:val="002154A2"/>
    <w:rsid w:val="002155A5"/>
    <w:rsid w:val="002155C8"/>
    <w:rsid w:val="002157C8"/>
    <w:rsid w:val="002157E9"/>
    <w:rsid w:val="002158FE"/>
    <w:rsid w:val="0021594E"/>
    <w:rsid w:val="00215B97"/>
    <w:rsid w:val="00215E13"/>
    <w:rsid w:val="00215EC6"/>
    <w:rsid w:val="00215ED8"/>
    <w:rsid w:val="00215F2B"/>
    <w:rsid w:val="00215F3F"/>
    <w:rsid w:val="002162A7"/>
    <w:rsid w:val="002163C1"/>
    <w:rsid w:val="002163CB"/>
    <w:rsid w:val="00216434"/>
    <w:rsid w:val="00216477"/>
    <w:rsid w:val="002164A3"/>
    <w:rsid w:val="00216560"/>
    <w:rsid w:val="00216581"/>
    <w:rsid w:val="00216809"/>
    <w:rsid w:val="002168E1"/>
    <w:rsid w:val="00216BB5"/>
    <w:rsid w:val="00216C28"/>
    <w:rsid w:val="00216C3A"/>
    <w:rsid w:val="00216E28"/>
    <w:rsid w:val="00216F27"/>
    <w:rsid w:val="00216F97"/>
    <w:rsid w:val="002170A3"/>
    <w:rsid w:val="00217256"/>
    <w:rsid w:val="00217342"/>
    <w:rsid w:val="0021743C"/>
    <w:rsid w:val="002174E1"/>
    <w:rsid w:val="002175B0"/>
    <w:rsid w:val="002175CE"/>
    <w:rsid w:val="0021773B"/>
    <w:rsid w:val="0021773C"/>
    <w:rsid w:val="00217760"/>
    <w:rsid w:val="00217776"/>
    <w:rsid w:val="00217878"/>
    <w:rsid w:val="00217B20"/>
    <w:rsid w:val="00217B8B"/>
    <w:rsid w:val="00217C94"/>
    <w:rsid w:val="00217CF5"/>
    <w:rsid w:val="00217E2E"/>
    <w:rsid w:val="00217FAE"/>
    <w:rsid w:val="002200C4"/>
    <w:rsid w:val="00220135"/>
    <w:rsid w:val="00220335"/>
    <w:rsid w:val="00220397"/>
    <w:rsid w:val="0022049F"/>
    <w:rsid w:val="00220595"/>
    <w:rsid w:val="002205D2"/>
    <w:rsid w:val="0022060C"/>
    <w:rsid w:val="0022065D"/>
    <w:rsid w:val="0022068C"/>
    <w:rsid w:val="002206B7"/>
    <w:rsid w:val="00220791"/>
    <w:rsid w:val="00220B0F"/>
    <w:rsid w:val="00220CC4"/>
    <w:rsid w:val="00220D66"/>
    <w:rsid w:val="00220D8F"/>
    <w:rsid w:val="0022100F"/>
    <w:rsid w:val="00221207"/>
    <w:rsid w:val="002212E4"/>
    <w:rsid w:val="002213EA"/>
    <w:rsid w:val="002215ED"/>
    <w:rsid w:val="0022164E"/>
    <w:rsid w:val="0022166A"/>
    <w:rsid w:val="00221842"/>
    <w:rsid w:val="002218F6"/>
    <w:rsid w:val="00221B09"/>
    <w:rsid w:val="00221D8E"/>
    <w:rsid w:val="00221F31"/>
    <w:rsid w:val="00221F44"/>
    <w:rsid w:val="002221E9"/>
    <w:rsid w:val="00222443"/>
    <w:rsid w:val="002224A0"/>
    <w:rsid w:val="0022265F"/>
    <w:rsid w:val="002226D6"/>
    <w:rsid w:val="002229E4"/>
    <w:rsid w:val="00222B68"/>
    <w:rsid w:val="00222BE2"/>
    <w:rsid w:val="00222CE2"/>
    <w:rsid w:val="00222EB6"/>
    <w:rsid w:val="00222F5F"/>
    <w:rsid w:val="00223215"/>
    <w:rsid w:val="00223298"/>
    <w:rsid w:val="00223358"/>
    <w:rsid w:val="00223443"/>
    <w:rsid w:val="0022351F"/>
    <w:rsid w:val="002237B4"/>
    <w:rsid w:val="002239BE"/>
    <w:rsid w:val="00223BBE"/>
    <w:rsid w:val="00223BFC"/>
    <w:rsid w:val="00223C4B"/>
    <w:rsid w:val="00223D40"/>
    <w:rsid w:val="00223E0D"/>
    <w:rsid w:val="00223E6D"/>
    <w:rsid w:val="00223F28"/>
    <w:rsid w:val="00223F6E"/>
    <w:rsid w:val="00223FF8"/>
    <w:rsid w:val="002240FC"/>
    <w:rsid w:val="00224189"/>
    <w:rsid w:val="00224209"/>
    <w:rsid w:val="00224239"/>
    <w:rsid w:val="0022424E"/>
    <w:rsid w:val="00224446"/>
    <w:rsid w:val="002244D5"/>
    <w:rsid w:val="002244F2"/>
    <w:rsid w:val="0022476A"/>
    <w:rsid w:val="00224846"/>
    <w:rsid w:val="00224ACE"/>
    <w:rsid w:val="00224BD3"/>
    <w:rsid w:val="00224DCA"/>
    <w:rsid w:val="00224F91"/>
    <w:rsid w:val="002251A7"/>
    <w:rsid w:val="0022546D"/>
    <w:rsid w:val="00225511"/>
    <w:rsid w:val="00225A17"/>
    <w:rsid w:val="00225CE1"/>
    <w:rsid w:val="00225E27"/>
    <w:rsid w:val="00225EBC"/>
    <w:rsid w:val="002262A1"/>
    <w:rsid w:val="00226477"/>
    <w:rsid w:val="002264B4"/>
    <w:rsid w:val="00226693"/>
    <w:rsid w:val="0022684B"/>
    <w:rsid w:val="00226A62"/>
    <w:rsid w:val="00226BFA"/>
    <w:rsid w:val="00226C4F"/>
    <w:rsid w:val="00226C67"/>
    <w:rsid w:val="00226DD7"/>
    <w:rsid w:val="00226F07"/>
    <w:rsid w:val="00226F70"/>
    <w:rsid w:val="00226F86"/>
    <w:rsid w:val="002270F2"/>
    <w:rsid w:val="002271FD"/>
    <w:rsid w:val="00227289"/>
    <w:rsid w:val="0022767C"/>
    <w:rsid w:val="0022772E"/>
    <w:rsid w:val="0022789F"/>
    <w:rsid w:val="00227922"/>
    <w:rsid w:val="00227993"/>
    <w:rsid w:val="00227AF4"/>
    <w:rsid w:val="00227B47"/>
    <w:rsid w:val="00227C18"/>
    <w:rsid w:val="00227D15"/>
    <w:rsid w:val="00227D4E"/>
    <w:rsid w:val="00227FF7"/>
    <w:rsid w:val="002300DA"/>
    <w:rsid w:val="00230495"/>
    <w:rsid w:val="00230543"/>
    <w:rsid w:val="0023062A"/>
    <w:rsid w:val="0023062E"/>
    <w:rsid w:val="002307C8"/>
    <w:rsid w:val="00230811"/>
    <w:rsid w:val="00230930"/>
    <w:rsid w:val="00230D2B"/>
    <w:rsid w:val="00230E47"/>
    <w:rsid w:val="00230F46"/>
    <w:rsid w:val="00231204"/>
    <w:rsid w:val="002313B4"/>
    <w:rsid w:val="002315CD"/>
    <w:rsid w:val="00231663"/>
    <w:rsid w:val="0023174F"/>
    <w:rsid w:val="002318A8"/>
    <w:rsid w:val="0023192B"/>
    <w:rsid w:val="00231F5C"/>
    <w:rsid w:val="00231F96"/>
    <w:rsid w:val="0023213E"/>
    <w:rsid w:val="0023230E"/>
    <w:rsid w:val="00232337"/>
    <w:rsid w:val="002325DD"/>
    <w:rsid w:val="002326E3"/>
    <w:rsid w:val="0023294B"/>
    <w:rsid w:val="002329C5"/>
    <w:rsid w:val="00232A49"/>
    <w:rsid w:val="00232B7E"/>
    <w:rsid w:val="00232D3B"/>
    <w:rsid w:val="00232E64"/>
    <w:rsid w:val="00232EC3"/>
    <w:rsid w:val="00232FD5"/>
    <w:rsid w:val="0023304D"/>
    <w:rsid w:val="00233569"/>
    <w:rsid w:val="0023374C"/>
    <w:rsid w:val="002337F5"/>
    <w:rsid w:val="00233AAB"/>
    <w:rsid w:val="00233B40"/>
    <w:rsid w:val="00233B5B"/>
    <w:rsid w:val="00233D71"/>
    <w:rsid w:val="00233EA5"/>
    <w:rsid w:val="00233EEE"/>
    <w:rsid w:val="00234192"/>
    <w:rsid w:val="002343E4"/>
    <w:rsid w:val="00234429"/>
    <w:rsid w:val="00234485"/>
    <w:rsid w:val="002349A0"/>
    <w:rsid w:val="00234BE0"/>
    <w:rsid w:val="00234E48"/>
    <w:rsid w:val="00234F49"/>
    <w:rsid w:val="002350F8"/>
    <w:rsid w:val="00235397"/>
    <w:rsid w:val="0023558C"/>
    <w:rsid w:val="002355C3"/>
    <w:rsid w:val="00235629"/>
    <w:rsid w:val="00235631"/>
    <w:rsid w:val="002358A0"/>
    <w:rsid w:val="002358F3"/>
    <w:rsid w:val="002359C9"/>
    <w:rsid w:val="00235B69"/>
    <w:rsid w:val="00235D39"/>
    <w:rsid w:val="00235DE8"/>
    <w:rsid w:val="00235E4D"/>
    <w:rsid w:val="0023623D"/>
    <w:rsid w:val="002362EB"/>
    <w:rsid w:val="0023630D"/>
    <w:rsid w:val="00236323"/>
    <w:rsid w:val="00236562"/>
    <w:rsid w:val="0023657B"/>
    <w:rsid w:val="002365C8"/>
    <w:rsid w:val="0023674A"/>
    <w:rsid w:val="002368B3"/>
    <w:rsid w:val="00236BBF"/>
    <w:rsid w:val="00236E47"/>
    <w:rsid w:val="00236F06"/>
    <w:rsid w:val="00236FD7"/>
    <w:rsid w:val="0023730B"/>
    <w:rsid w:val="002373D6"/>
    <w:rsid w:val="0023742A"/>
    <w:rsid w:val="0023744C"/>
    <w:rsid w:val="00237498"/>
    <w:rsid w:val="00237651"/>
    <w:rsid w:val="00237658"/>
    <w:rsid w:val="002376B4"/>
    <w:rsid w:val="00237718"/>
    <w:rsid w:val="0023779D"/>
    <w:rsid w:val="002377D8"/>
    <w:rsid w:val="0023789D"/>
    <w:rsid w:val="0023795C"/>
    <w:rsid w:val="00237BA1"/>
    <w:rsid w:val="00237CBA"/>
    <w:rsid w:val="00237F6E"/>
    <w:rsid w:val="002400DC"/>
    <w:rsid w:val="00240161"/>
    <w:rsid w:val="002401B3"/>
    <w:rsid w:val="00240382"/>
    <w:rsid w:val="002403C2"/>
    <w:rsid w:val="00240904"/>
    <w:rsid w:val="0024091F"/>
    <w:rsid w:val="002409AD"/>
    <w:rsid w:val="00240E4B"/>
    <w:rsid w:val="00240E67"/>
    <w:rsid w:val="00240F57"/>
    <w:rsid w:val="00241021"/>
    <w:rsid w:val="002415B0"/>
    <w:rsid w:val="002415F2"/>
    <w:rsid w:val="00241641"/>
    <w:rsid w:val="0024178D"/>
    <w:rsid w:val="00241A09"/>
    <w:rsid w:val="00241B23"/>
    <w:rsid w:val="00241BC9"/>
    <w:rsid w:val="00241BF6"/>
    <w:rsid w:val="00241C6E"/>
    <w:rsid w:val="00241CF5"/>
    <w:rsid w:val="002420DE"/>
    <w:rsid w:val="00242116"/>
    <w:rsid w:val="002421EF"/>
    <w:rsid w:val="002422A8"/>
    <w:rsid w:val="0024250C"/>
    <w:rsid w:val="002425AC"/>
    <w:rsid w:val="002426C5"/>
    <w:rsid w:val="002427EE"/>
    <w:rsid w:val="00242872"/>
    <w:rsid w:val="002429AC"/>
    <w:rsid w:val="00242A3F"/>
    <w:rsid w:val="00242A7D"/>
    <w:rsid w:val="00242A84"/>
    <w:rsid w:val="00242BF3"/>
    <w:rsid w:val="00242CE3"/>
    <w:rsid w:val="00242D73"/>
    <w:rsid w:val="00242E10"/>
    <w:rsid w:val="00243164"/>
    <w:rsid w:val="00243194"/>
    <w:rsid w:val="00243206"/>
    <w:rsid w:val="00243231"/>
    <w:rsid w:val="002432B6"/>
    <w:rsid w:val="002437AC"/>
    <w:rsid w:val="00243C26"/>
    <w:rsid w:val="00243C9C"/>
    <w:rsid w:val="00243CD7"/>
    <w:rsid w:val="00243D20"/>
    <w:rsid w:val="00243E4A"/>
    <w:rsid w:val="00244138"/>
    <w:rsid w:val="00244230"/>
    <w:rsid w:val="00244551"/>
    <w:rsid w:val="002445FA"/>
    <w:rsid w:val="00244643"/>
    <w:rsid w:val="00244686"/>
    <w:rsid w:val="0024477B"/>
    <w:rsid w:val="00244A4E"/>
    <w:rsid w:val="00244B01"/>
    <w:rsid w:val="00244B7D"/>
    <w:rsid w:val="00244F37"/>
    <w:rsid w:val="00245065"/>
    <w:rsid w:val="00245399"/>
    <w:rsid w:val="0024539D"/>
    <w:rsid w:val="00245489"/>
    <w:rsid w:val="00245762"/>
    <w:rsid w:val="002458C4"/>
    <w:rsid w:val="002458DC"/>
    <w:rsid w:val="00245906"/>
    <w:rsid w:val="0024594B"/>
    <w:rsid w:val="002459AF"/>
    <w:rsid w:val="002459E6"/>
    <w:rsid w:val="00245A55"/>
    <w:rsid w:val="00245C2A"/>
    <w:rsid w:val="00245EA3"/>
    <w:rsid w:val="00245ECE"/>
    <w:rsid w:val="00245ED7"/>
    <w:rsid w:val="00245F02"/>
    <w:rsid w:val="002460A2"/>
    <w:rsid w:val="00246169"/>
    <w:rsid w:val="002461A4"/>
    <w:rsid w:val="00246217"/>
    <w:rsid w:val="00246417"/>
    <w:rsid w:val="002464EB"/>
    <w:rsid w:val="002466FC"/>
    <w:rsid w:val="0024689F"/>
    <w:rsid w:val="00246D34"/>
    <w:rsid w:val="00246ECE"/>
    <w:rsid w:val="0024720A"/>
    <w:rsid w:val="002472CB"/>
    <w:rsid w:val="0024730D"/>
    <w:rsid w:val="0024736C"/>
    <w:rsid w:val="00247399"/>
    <w:rsid w:val="0024740D"/>
    <w:rsid w:val="00247423"/>
    <w:rsid w:val="002474A6"/>
    <w:rsid w:val="00247712"/>
    <w:rsid w:val="00247738"/>
    <w:rsid w:val="002477C1"/>
    <w:rsid w:val="00247CBC"/>
    <w:rsid w:val="00247D2E"/>
    <w:rsid w:val="00247E44"/>
    <w:rsid w:val="00247E5F"/>
    <w:rsid w:val="0025054B"/>
    <w:rsid w:val="002505C3"/>
    <w:rsid w:val="00250A6C"/>
    <w:rsid w:val="00250A95"/>
    <w:rsid w:val="00250ACE"/>
    <w:rsid w:val="00250CE5"/>
    <w:rsid w:val="00250E1E"/>
    <w:rsid w:val="00250EB8"/>
    <w:rsid w:val="00250FF8"/>
    <w:rsid w:val="0025106E"/>
    <w:rsid w:val="0025111C"/>
    <w:rsid w:val="00251280"/>
    <w:rsid w:val="00251355"/>
    <w:rsid w:val="002515EA"/>
    <w:rsid w:val="0025164C"/>
    <w:rsid w:val="002516A5"/>
    <w:rsid w:val="0025180E"/>
    <w:rsid w:val="0025189C"/>
    <w:rsid w:val="00251922"/>
    <w:rsid w:val="0025197D"/>
    <w:rsid w:val="00251A29"/>
    <w:rsid w:val="00251A3D"/>
    <w:rsid w:val="00251B91"/>
    <w:rsid w:val="00251BD3"/>
    <w:rsid w:val="00251C08"/>
    <w:rsid w:val="00251C46"/>
    <w:rsid w:val="00251CC4"/>
    <w:rsid w:val="00251D7C"/>
    <w:rsid w:val="00251DCC"/>
    <w:rsid w:val="00251ECC"/>
    <w:rsid w:val="00251FB0"/>
    <w:rsid w:val="0025208A"/>
    <w:rsid w:val="0025218C"/>
    <w:rsid w:val="002522E6"/>
    <w:rsid w:val="00252302"/>
    <w:rsid w:val="00252494"/>
    <w:rsid w:val="00252572"/>
    <w:rsid w:val="002525F0"/>
    <w:rsid w:val="00252E25"/>
    <w:rsid w:val="00252E85"/>
    <w:rsid w:val="00252E8D"/>
    <w:rsid w:val="00252ECF"/>
    <w:rsid w:val="0025315E"/>
    <w:rsid w:val="0025382A"/>
    <w:rsid w:val="002539BD"/>
    <w:rsid w:val="00253B57"/>
    <w:rsid w:val="00253B69"/>
    <w:rsid w:val="00253D76"/>
    <w:rsid w:val="00253F8A"/>
    <w:rsid w:val="00254044"/>
    <w:rsid w:val="00254517"/>
    <w:rsid w:val="002546E2"/>
    <w:rsid w:val="00254879"/>
    <w:rsid w:val="002549D7"/>
    <w:rsid w:val="00254B17"/>
    <w:rsid w:val="00254B34"/>
    <w:rsid w:val="00254BAC"/>
    <w:rsid w:val="00254C2C"/>
    <w:rsid w:val="00254CB5"/>
    <w:rsid w:val="00254E31"/>
    <w:rsid w:val="00254E5C"/>
    <w:rsid w:val="00254FE0"/>
    <w:rsid w:val="002554AD"/>
    <w:rsid w:val="002554FD"/>
    <w:rsid w:val="002555B7"/>
    <w:rsid w:val="002555C3"/>
    <w:rsid w:val="00255710"/>
    <w:rsid w:val="002557C5"/>
    <w:rsid w:val="002559DD"/>
    <w:rsid w:val="00255B8C"/>
    <w:rsid w:val="00255EBB"/>
    <w:rsid w:val="002561EE"/>
    <w:rsid w:val="002562E7"/>
    <w:rsid w:val="00256569"/>
    <w:rsid w:val="00256581"/>
    <w:rsid w:val="002566D7"/>
    <w:rsid w:val="0025673E"/>
    <w:rsid w:val="002569FE"/>
    <w:rsid w:val="00256B78"/>
    <w:rsid w:val="00256D95"/>
    <w:rsid w:val="00256EC3"/>
    <w:rsid w:val="002571B6"/>
    <w:rsid w:val="00257277"/>
    <w:rsid w:val="0025727A"/>
    <w:rsid w:val="0025731D"/>
    <w:rsid w:val="00257339"/>
    <w:rsid w:val="002573B6"/>
    <w:rsid w:val="00257428"/>
    <w:rsid w:val="00257788"/>
    <w:rsid w:val="00257A4D"/>
    <w:rsid w:val="00257B67"/>
    <w:rsid w:val="00257C89"/>
    <w:rsid w:val="00257D89"/>
    <w:rsid w:val="00257F10"/>
    <w:rsid w:val="0026010E"/>
    <w:rsid w:val="00260203"/>
    <w:rsid w:val="00260331"/>
    <w:rsid w:val="00260536"/>
    <w:rsid w:val="00260656"/>
    <w:rsid w:val="002606C5"/>
    <w:rsid w:val="002606EF"/>
    <w:rsid w:val="002608F6"/>
    <w:rsid w:val="002609F0"/>
    <w:rsid w:val="00260AE8"/>
    <w:rsid w:val="00260B84"/>
    <w:rsid w:val="00260CC1"/>
    <w:rsid w:val="00260CEE"/>
    <w:rsid w:val="00260E03"/>
    <w:rsid w:val="00260F32"/>
    <w:rsid w:val="00260F9E"/>
    <w:rsid w:val="002611B9"/>
    <w:rsid w:val="00261282"/>
    <w:rsid w:val="00261438"/>
    <w:rsid w:val="00261533"/>
    <w:rsid w:val="002617CA"/>
    <w:rsid w:val="00261AC4"/>
    <w:rsid w:val="00261D3A"/>
    <w:rsid w:val="00261E02"/>
    <w:rsid w:val="00261E0A"/>
    <w:rsid w:val="00261FDD"/>
    <w:rsid w:val="0026204C"/>
    <w:rsid w:val="0026211F"/>
    <w:rsid w:val="00262147"/>
    <w:rsid w:val="002621CA"/>
    <w:rsid w:val="002622D5"/>
    <w:rsid w:val="00262315"/>
    <w:rsid w:val="0026250C"/>
    <w:rsid w:val="00262569"/>
    <w:rsid w:val="002625B5"/>
    <w:rsid w:val="00262685"/>
    <w:rsid w:val="00262AE9"/>
    <w:rsid w:val="00262DF2"/>
    <w:rsid w:val="00262E60"/>
    <w:rsid w:val="00262F08"/>
    <w:rsid w:val="00262F22"/>
    <w:rsid w:val="0026313D"/>
    <w:rsid w:val="00263377"/>
    <w:rsid w:val="00263659"/>
    <w:rsid w:val="0026382D"/>
    <w:rsid w:val="00263B47"/>
    <w:rsid w:val="00263BC5"/>
    <w:rsid w:val="00263C06"/>
    <w:rsid w:val="00263C4D"/>
    <w:rsid w:val="00263F01"/>
    <w:rsid w:val="00263F42"/>
    <w:rsid w:val="00263FA9"/>
    <w:rsid w:val="0026407D"/>
    <w:rsid w:val="002640FA"/>
    <w:rsid w:val="0026446D"/>
    <w:rsid w:val="002645AF"/>
    <w:rsid w:val="00264696"/>
    <w:rsid w:val="0026484C"/>
    <w:rsid w:val="002648AE"/>
    <w:rsid w:val="00264907"/>
    <w:rsid w:val="002649E7"/>
    <w:rsid w:val="00264B0B"/>
    <w:rsid w:val="00264B76"/>
    <w:rsid w:val="00264E1C"/>
    <w:rsid w:val="00264E24"/>
    <w:rsid w:val="00264EF0"/>
    <w:rsid w:val="00264F32"/>
    <w:rsid w:val="0026514E"/>
    <w:rsid w:val="00265169"/>
    <w:rsid w:val="002651C5"/>
    <w:rsid w:val="002651C8"/>
    <w:rsid w:val="0026549D"/>
    <w:rsid w:val="002655AF"/>
    <w:rsid w:val="002655FC"/>
    <w:rsid w:val="00265880"/>
    <w:rsid w:val="00265938"/>
    <w:rsid w:val="00265ACC"/>
    <w:rsid w:val="00265B25"/>
    <w:rsid w:val="00265B69"/>
    <w:rsid w:val="002660B9"/>
    <w:rsid w:val="00266350"/>
    <w:rsid w:val="002663D9"/>
    <w:rsid w:val="00266500"/>
    <w:rsid w:val="0026653D"/>
    <w:rsid w:val="0026675F"/>
    <w:rsid w:val="002667B4"/>
    <w:rsid w:val="00266DDE"/>
    <w:rsid w:val="00266E4C"/>
    <w:rsid w:val="0026717C"/>
    <w:rsid w:val="00267444"/>
    <w:rsid w:val="00267571"/>
    <w:rsid w:val="00267588"/>
    <w:rsid w:val="0026764B"/>
    <w:rsid w:val="00267684"/>
    <w:rsid w:val="0026792E"/>
    <w:rsid w:val="002679B5"/>
    <w:rsid w:val="00267B67"/>
    <w:rsid w:val="00267BF9"/>
    <w:rsid w:val="00267DCB"/>
    <w:rsid w:val="00267F69"/>
    <w:rsid w:val="00270123"/>
    <w:rsid w:val="0027044F"/>
    <w:rsid w:val="00270482"/>
    <w:rsid w:val="00270514"/>
    <w:rsid w:val="00270541"/>
    <w:rsid w:val="002705EA"/>
    <w:rsid w:val="00270626"/>
    <w:rsid w:val="002706FF"/>
    <w:rsid w:val="00270704"/>
    <w:rsid w:val="00270910"/>
    <w:rsid w:val="00270950"/>
    <w:rsid w:val="00270C06"/>
    <w:rsid w:val="00270C7A"/>
    <w:rsid w:val="00270D51"/>
    <w:rsid w:val="00270F7F"/>
    <w:rsid w:val="0027122D"/>
    <w:rsid w:val="00271271"/>
    <w:rsid w:val="0027138C"/>
    <w:rsid w:val="002713B6"/>
    <w:rsid w:val="00271515"/>
    <w:rsid w:val="00271681"/>
    <w:rsid w:val="00271A21"/>
    <w:rsid w:val="00271B62"/>
    <w:rsid w:val="00271C90"/>
    <w:rsid w:val="00271D25"/>
    <w:rsid w:val="00271DC4"/>
    <w:rsid w:val="00272117"/>
    <w:rsid w:val="0027239A"/>
    <w:rsid w:val="00272414"/>
    <w:rsid w:val="00272422"/>
    <w:rsid w:val="00272468"/>
    <w:rsid w:val="002724D3"/>
    <w:rsid w:val="00272519"/>
    <w:rsid w:val="0027251B"/>
    <w:rsid w:val="00272619"/>
    <w:rsid w:val="002727CB"/>
    <w:rsid w:val="00272A1D"/>
    <w:rsid w:val="00272E5C"/>
    <w:rsid w:val="00272FA1"/>
    <w:rsid w:val="002732FA"/>
    <w:rsid w:val="00273647"/>
    <w:rsid w:val="00273815"/>
    <w:rsid w:val="002738D3"/>
    <w:rsid w:val="00273998"/>
    <w:rsid w:val="002740C9"/>
    <w:rsid w:val="00274483"/>
    <w:rsid w:val="00274581"/>
    <w:rsid w:val="0027490A"/>
    <w:rsid w:val="002749FF"/>
    <w:rsid w:val="00274A7F"/>
    <w:rsid w:val="00274C86"/>
    <w:rsid w:val="00274F80"/>
    <w:rsid w:val="0027500E"/>
    <w:rsid w:val="002750D1"/>
    <w:rsid w:val="002751A7"/>
    <w:rsid w:val="002752AE"/>
    <w:rsid w:val="002753C6"/>
    <w:rsid w:val="00275467"/>
    <w:rsid w:val="0027564C"/>
    <w:rsid w:val="0027570A"/>
    <w:rsid w:val="00275736"/>
    <w:rsid w:val="00275FE2"/>
    <w:rsid w:val="0027603E"/>
    <w:rsid w:val="00276058"/>
    <w:rsid w:val="00276132"/>
    <w:rsid w:val="00276269"/>
    <w:rsid w:val="002762E3"/>
    <w:rsid w:val="0027637A"/>
    <w:rsid w:val="002763D4"/>
    <w:rsid w:val="00276478"/>
    <w:rsid w:val="00276573"/>
    <w:rsid w:val="002767E0"/>
    <w:rsid w:val="00276A7D"/>
    <w:rsid w:val="00276B44"/>
    <w:rsid w:val="00276D54"/>
    <w:rsid w:val="0027764A"/>
    <w:rsid w:val="00277709"/>
    <w:rsid w:val="00277782"/>
    <w:rsid w:val="00277847"/>
    <w:rsid w:val="002779DD"/>
    <w:rsid w:val="00277AD9"/>
    <w:rsid w:val="00277D8D"/>
    <w:rsid w:val="002801B9"/>
    <w:rsid w:val="00280287"/>
    <w:rsid w:val="002803B5"/>
    <w:rsid w:val="002804B4"/>
    <w:rsid w:val="002807E6"/>
    <w:rsid w:val="00280A7C"/>
    <w:rsid w:val="00280C62"/>
    <w:rsid w:val="00280D4F"/>
    <w:rsid w:val="00280E31"/>
    <w:rsid w:val="00280E84"/>
    <w:rsid w:val="00280EBF"/>
    <w:rsid w:val="00280FB5"/>
    <w:rsid w:val="00281373"/>
    <w:rsid w:val="002813E4"/>
    <w:rsid w:val="002814D4"/>
    <w:rsid w:val="00281687"/>
    <w:rsid w:val="002816EA"/>
    <w:rsid w:val="00281775"/>
    <w:rsid w:val="0028181B"/>
    <w:rsid w:val="00281C9F"/>
    <w:rsid w:val="00281DB8"/>
    <w:rsid w:val="0028205C"/>
    <w:rsid w:val="0028218F"/>
    <w:rsid w:val="0028229E"/>
    <w:rsid w:val="0028235C"/>
    <w:rsid w:val="0028243F"/>
    <w:rsid w:val="002824DA"/>
    <w:rsid w:val="0028282E"/>
    <w:rsid w:val="002828AA"/>
    <w:rsid w:val="002828BE"/>
    <w:rsid w:val="00282A54"/>
    <w:rsid w:val="00282D75"/>
    <w:rsid w:val="00282F94"/>
    <w:rsid w:val="00283607"/>
    <w:rsid w:val="00283760"/>
    <w:rsid w:val="0028377E"/>
    <w:rsid w:val="00283827"/>
    <w:rsid w:val="002838AC"/>
    <w:rsid w:val="00283A09"/>
    <w:rsid w:val="00283A1E"/>
    <w:rsid w:val="00283A8C"/>
    <w:rsid w:val="00283A95"/>
    <w:rsid w:val="00283B3C"/>
    <w:rsid w:val="00283D98"/>
    <w:rsid w:val="00283E16"/>
    <w:rsid w:val="00283F66"/>
    <w:rsid w:val="002840B4"/>
    <w:rsid w:val="0028418B"/>
    <w:rsid w:val="0028440A"/>
    <w:rsid w:val="00284423"/>
    <w:rsid w:val="002844C6"/>
    <w:rsid w:val="002846EE"/>
    <w:rsid w:val="00284798"/>
    <w:rsid w:val="002847D4"/>
    <w:rsid w:val="00284829"/>
    <w:rsid w:val="00284963"/>
    <w:rsid w:val="00284AE6"/>
    <w:rsid w:val="00284B46"/>
    <w:rsid w:val="00284C09"/>
    <w:rsid w:val="00284CE4"/>
    <w:rsid w:val="00284D12"/>
    <w:rsid w:val="00284D50"/>
    <w:rsid w:val="00284D6D"/>
    <w:rsid w:val="00284EED"/>
    <w:rsid w:val="00284F13"/>
    <w:rsid w:val="00284FE5"/>
    <w:rsid w:val="002850E3"/>
    <w:rsid w:val="002850ED"/>
    <w:rsid w:val="002852DA"/>
    <w:rsid w:val="002853DF"/>
    <w:rsid w:val="00285417"/>
    <w:rsid w:val="0028550D"/>
    <w:rsid w:val="002859D5"/>
    <w:rsid w:val="002859F1"/>
    <w:rsid w:val="00285A36"/>
    <w:rsid w:val="00285AEF"/>
    <w:rsid w:val="00285C00"/>
    <w:rsid w:val="00285D1B"/>
    <w:rsid w:val="00285D7F"/>
    <w:rsid w:val="00285DAE"/>
    <w:rsid w:val="00286258"/>
    <w:rsid w:val="0028638D"/>
    <w:rsid w:val="00286419"/>
    <w:rsid w:val="002866AD"/>
    <w:rsid w:val="0028681F"/>
    <w:rsid w:val="002868CE"/>
    <w:rsid w:val="00286A1A"/>
    <w:rsid w:val="00286BA9"/>
    <w:rsid w:val="00286C6F"/>
    <w:rsid w:val="002870B1"/>
    <w:rsid w:val="002872E1"/>
    <w:rsid w:val="002873B4"/>
    <w:rsid w:val="00287424"/>
    <w:rsid w:val="0028743C"/>
    <w:rsid w:val="002874E1"/>
    <w:rsid w:val="0028766D"/>
    <w:rsid w:val="002876BF"/>
    <w:rsid w:val="00287744"/>
    <w:rsid w:val="002878DE"/>
    <w:rsid w:val="002879EA"/>
    <w:rsid w:val="00287A1B"/>
    <w:rsid w:val="00287AE1"/>
    <w:rsid w:val="00287D50"/>
    <w:rsid w:val="00287DAB"/>
    <w:rsid w:val="00287E4C"/>
    <w:rsid w:val="00287FDF"/>
    <w:rsid w:val="002900A6"/>
    <w:rsid w:val="002901BD"/>
    <w:rsid w:val="00290292"/>
    <w:rsid w:val="00290457"/>
    <w:rsid w:val="0029045C"/>
    <w:rsid w:val="00290464"/>
    <w:rsid w:val="00290491"/>
    <w:rsid w:val="002904B6"/>
    <w:rsid w:val="0029053A"/>
    <w:rsid w:val="0029059E"/>
    <w:rsid w:val="002906D5"/>
    <w:rsid w:val="00290953"/>
    <w:rsid w:val="00290ADF"/>
    <w:rsid w:val="00290E86"/>
    <w:rsid w:val="00291012"/>
    <w:rsid w:val="002910DC"/>
    <w:rsid w:val="002913FC"/>
    <w:rsid w:val="00291442"/>
    <w:rsid w:val="002914F0"/>
    <w:rsid w:val="002918C6"/>
    <w:rsid w:val="002919AE"/>
    <w:rsid w:val="00291C20"/>
    <w:rsid w:val="00291C3C"/>
    <w:rsid w:val="00291D8C"/>
    <w:rsid w:val="00291DF6"/>
    <w:rsid w:val="00291EE2"/>
    <w:rsid w:val="0029234D"/>
    <w:rsid w:val="00292631"/>
    <w:rsid w:val="00292771"/>
    <w:rsid w:val="00292989"/>
    <w:rsid w:val="002929D5"/>
    <w:rsid w:val="00292B3C"/>
    <w:rsid w:val="00292B42"/>
    <w:rsid w:val="00292B43"/>
    <w:rsid w:val="00292B97"/>
    <w:rsid w:val="00292BEF"/>
    <w:rsid w:val="00292CDB"/>
    <w:rsid w:val="00292CF3"/>
    <w:rsid w:val="00292FFE"/>
    <w:rsid w:val="0029308A"/>
    <w:rsid w:val="002930AF"/>
    <w:rsid w:val="00293365"/>
    <w:rsid w:val="002935D5"/>
    <w:rsid w:val="0029383B"/>
    <w:rsid w:val="00293A60"/>
    <w:rsid w:val="00293CB8"/>
    <w:rsid w:val="00293D59"/>
    <w:rsid w:val="00293E71"/>
    <w:rsid w:val="00294268"/>
    <w:rsid w:val="00294485"/>
    <w:rsid w:val="002944D8"/>
    <w:rsid w:val="00294642"/>
    <w:rsid w:val="00294759"/>
    <w:rsid w:val="00294AE1"/>
    <w:rsid w:val="00294BED"/>
    <w:rsid w:val="00294E7B"/>
    <w:rsid w:val="002954D6"/>
    <w:rsid w:val="00295741"/>
    <w:rsid w:val="00295A6D"/>
    <w:rsid w:val="00295B3A"/>
    <w:rsid w:val="00295C34"/>
    <w:rsid w:val="00295EC8"/>
    <w:rsid w:val="00295F2F"/>
    <w:rsid w:val="00296096"/>
    <w:rsid w:val="002960B8"/>
    <w:rsid w:val="0029630D"/>
    <w:rsid w:val="0029654E"/>
    <w:rsid w:val="002966AB"/>
    <w:rsid w:val="0029671C"/>
    <w:rsid w:val="0029680E"/>
    <w:rsid w:val="0029691B"/>
    <w:rsid w:val="0029693C"/>
    <w:rsid w:val="002969F5"/>
    <w:rsid w:val="00296A23"/>
    <w:rsid w:val="00296BCA"/>
    <w:rsid w:val="00296C87"/>
    <w:rsid w:val="00296E33"/>
    <w:rsid w:val="00296E49"/>
    <w:rsid w:val="00296EFE"/>
    <w:rsid w:val="00296F22"/>
    <w:rsid w:val="00296FFB"/>
    <w:rsid w:val="0029713F"/>
    <w:rsid w:val="00297190"/>
    <w:rsid w:val="0029719E"/>
    <w:rsid w:val="0029753E"/>
    <w:rsid w:val="0029754D"/>
    <w:rsid w:val="002975E1"/>
    <w:rsid w:val="002976F4"/>
    <w:rsid w:val="00297C73"/>
    <w:rsid w:val="00297C84"/>
    <w:rsid w:val="00297DE6"/>
    <w:rsid w:val="00297E62"/>
    <w:rsid w:val="00297F00"/>
    <w:rsid w:val="00297F2E"/>
    <w:rsid w:val="002A03DC"/>
    <w:rsid w:val="002A0597"/>
    <w:rsid w:val="002A0745"/>
    <w:rsid w:val="002A07A9"/>
    <w:rsid w:val="002A09E3"/>
    <w:rsid w:val="002A0B0B"/>
    <w:rsid w:val="002A0C69"/>
    <w:rsid w:val="002A0E4D"/>
    <w:rsid w:val="002A1000"/>
    <w:rsid w:val="002A103F"/>
    <w:rsid w:val="002A1195"/>
    <w:rsid w:val="002A1210"/>
    <w:rsid w:val="002A1476"/>
    <w:rsid w:val="002A1522"/>
    <w:rsid w:val="002A1597"/>
    <w:rsid w:val="002A1754"/>
    <w:rsid w:val="002A1773"/>
    <w:rsid w:val="002A1973"/>
    <w:rsid w:val="002A197D"/>
    <w:rsid w:val="002A1B15"/>
    <w:rsid w:val="002A1B7F"/>
    <w:rsid w:val="002A1D77"/>
    <w:rsid w:val="002A1E84"/>
    <w:rsid w:val="002A1F57"/>
    <w:rsid w:val="002A2001"/>
    <w:rsid w:val="002A2397"/>
    <w:rsid w:val="002A23F7"/>
    <w:rsid w:val="002A2421"/>
    <w:rsid w:val="002A2454"/>
    <w:rsid w:val="002A284F"/>
    <w:rsid w:val="002A29AC"/>
    <w:rsid w:val="002A29D4"/>
    <w:rsid w:val="002A2BF2"/>
    <w:rsid w:val="002A2C55"/>
    <w:rsid w:val="002A2EA1"/>
    <w:rsid w:val="002A2F31"/>
    <w:rsid w:val="002A2FCA"/>
    <w:rsid w:val="002A3140"/>
    <w:rsid w:val="002A3153"/>
    <w:rsid w:val="002A345B"/>
    <w:rsid w:val="002A3695"/>
    <w:rsid w:val="002A3CB0"/>
    <w:rsid w:val="002A3CCD"/>
    <w:rsid w:val="002A3D33"/>
    <w:rsid w:val="002A4304"/>
    <w:rsid w:val="002A43C3"/>
    <w:rsid w:val="002A45DC"/>
    <w:rsid w:val="002A4815"/>
    <w:rsid w:val="002A4C8B"/>
    <w:rsid w:val="002A4CB3"/>
    <w:rsid w:val="002A5081"/>
    <w:rsid w:val="002A5204"/>
    <w:rsid w:val="002A52A9"/>
    <w:rsid w:val="002A52ED"/>
    <w:rsid w:val="002A52FF"/>
    <w:rsid w:val="002A53B8"/>
    <w:rsid w:val="002A55DA"/>
    <w:rsid w:val="002A5697"/>
    <w:rsid w:val="002A56D5"/>
    <w:rsid w:val="002A570E"/>
    <w:rsid w:val="002A5943"/>
    <w:rsid w:val="002A5A7F"/>
    <w:rsid w:val="002A5C29"/>
    <w:rsid w:val="002A5F42"/>
    <w:rsid w:val="002A5F9F"/>
    <w:rsid w:val="002A6106"/>
    <w:rsid w:val="002A6220"/>
    <w:rsid w:val="002A62F2"/>
    <w:rsid w:val="002A680F"/>
    <w:rsid w:val="002A6882"/>
    <w:rsid w:val="002A6BA9"/>
    <w:rsid w:val="002A6BEA"/>
    <w:rsid w:val="002A6F3F"/>
    <w:rsid w:val="002A7085"/>
    <w:rsid w:val="002A7194"/>
    <w:rsid w:val="002A71EB"/>
    <w:rsid w:val="002A724F"/>
    <w:rsid w:val="002A72CF"/>
    <w:rsid w:val="002A7302"/>
    <w:rsid w:val="002A73D4"/>
    <w:rsid w:val="002A7402"/>
    <w:rsid w:val="002A74C7"/>
    <w:rsid w:val="002A74CA"/>
    <w:rsid w:val="002A752E"/>
    <w:rsid w:val="002A75EA"/>
    <w:rsid w:val="002A776E"/>
    <w:rsid w:val="002A7815"/>
    <w:rsid w:val="002A7919"/>
    <w:rsid w:val="002A79D2"/>
    <w:rsid w:val="002A7B46"/>
    <w:rsid w:val="002A7C8E"/>
    <w:rsid w:val="002A7DED"/>
    <w:rsid w:val="002A7E7F"/>
    <w:rsid w:val="002A7EE3"/>
    <w:rsid w:val="002B000E"/>
    <w:rsid w:val="002B010E"/>
    <w:rsid w:val="002B01DA"/>
    <w:rsid w:val="002B0250"/>
    <w:rsid w:val="002B031C"/>
    <w:rsid w:val="002B03D6"/>
    <w:rsid w:val="002B0424"/>
    <w:rsid w:val="002B07B1"/>
    <w:rsid w:val="002B0805"/>
    <w:rsid w:val="002B0812"/>
    <w:rsid w:val="002B09AF"/>
    <w:rsid w:val="002B0A2C"/>
    <w:rsid w:val="002B0A3D"/>
    <w:rsid w:val="002B0CB9"/>
    <w:rsid w:val="002B0CBD"/>
    <w:rsid w:val="002B0E32"/>
    <w:rsid w:val="002B102D"/>
    <w:rsid w:val="002B102F"/>
    <w:rsid w:val="002B10E4"/>
    <w:rsid w:val="002B11C0"/>
    <w:rsid w:val="002B1228"/>
    <w:rsid w:val="002B128E"/>
    <w:rsid w:val="002B12A2"/>
    <w:rsid w:val="002B12BE"/>
    <w:rsid w:val="002B1341"/>
    <w:rsid w:val="002B137A"/>
    <w:rsid w:val="002B13F1"/>
    <w:rsid w:val="002B16A7"/>
    <w:rsid w:val="002B1965"/>
    <w:rsid w:val="002B1A15"/>
    <w:rsid w:val="002B1A22"/>
    <w:rsid w:val="002B1A94"/>
    <w:rsid w:val="002B1C02"/>
    <w:rsid w:val="002B1DA0"/>
    <w:rsid w:val="002B1ED2"/>
    <w:rsid w:val="002B1F50"/>
    <w:rsid w:val="002B1F66"/>
    <w:rsid w:val="002B1FC5"/>
    <w:rsid w:val="002B2100"/>
    <w:rsid w:val="002B2102"/>
    <w:rsid w:val="002B216F"/>
    <w:rsid w:val="002B220C"/>
    <w:rsid w:val="002B2230"/>
    <w:rsid w:val="002B22D4"/>
    <w:rsid w:val="002B2696"/>
    <w:rsid w:val="002B2763"/>
    <w:rsid w:val="002B2916"/>
    <w:rsid w:val="002B2B46"/>
    <w:rsid w:val="002B2BFA"/>
    <w:rsid w:val="002B2CEC"/>
    <w:rsid w:val="002B3014"/>
    <w:rsid w:val="002B309A"/>
    <w:rsid w:val="002B3372"/>
    <w:rsid w:val="002B33E7"/>
    <w:rsid w:val="002B351A"/>
    <w:rsid w:val="002B3593"/>
    <w:rsid w:val="002B35D8"/>
    <w:rsid w:val="002B3C19"/>
    <w:rsid w:val="002B3C30"/>
    <w:rsid w:val="002B3D2E"/>
    <w:rsid w:val="002B3E6A"/>
    <w:rsid w:val="002B3F4B"/>
    <w:rsid w:val="002B3F6D"/>
    <w:rsid w:val="002B3F7E"/>
    <w:rsid w:val="002B411B"/>
    <w:rsid w:val="002B41C5"/>
    <w:rsid w:val="002B41CD"/>
    <w:rsid w:val="002B41EF"/>
    <w:rsid w:val="002B42CA"/>
    <w:rsid w:val="002B4482"/>
    <w:rsid w:val="002B44D6"/>
    <w:rsid w:val="002B457C"/>
    <w:rsid w:val="002B46A8"/>
    <w:rsid w:val="002B46B9"/>
    <w:rsid w:val="002B4744"/>
    <w:rsid w:val="002B4900"/>
    <w:rsid w:val="002B49D2"/>
    <w:rsid w:val="002B4A0C"/>
    <w:rsid w:val="002B4A61"/>
    <w:rsid w:val="002B4ACF"/>
    <w:rsid w:val="002B4C31"/>
    <w:rsid w:val="002B4D7E"/>
    <w:rsid w:val="002B4FBF"/>
    <w:rsid w:val="002B5091"/>
    <w:rsid w:val="002B5112"/>
    <w:rsid w:val="002B51C5"/>
    <w:rsid w:val="002B527A"/>
    <w:rsid w:val="002B5298"/>
    <w:rsid w:val="002B52F1"/>
    <w:rsid w:val="002B555E"/>
    <w:rsid w:val="002B56AD"/>
    <w:rsid w:val="002B5747"/>
    <w:rsid w:val="002B5A63"/>
    <w:rsid w:val="002B5B0D"/>
    <w:rsid w:val="002B5B58"/>
    <w:rsid w:val="002B5E8E"/>
    <w:rsid w:val="002B603A"/>
    <w:rsid w:val="002B608E"/>
    <w:rsid w:val="002B6288"/>
    <w:rsid w:val="002B6345"/>
    <w:rsid w:val="002B6516"/>
    <w:rsid w:val="002B653C"/>
    <w:rsid w:val="002B6678"/>
    <w:rsid w:val="002B6A6D"/>
    <w:rsid w:val="002B6C04"/>
    <w:rsid w:val="002B6CA0"/>
    <w:rsid w:val="002B6D65"/>
    <w:rsid w:val="002B6DC5"/>
    <w:rsid w:val="002B6DEE"/>
    <w:rsid w:val="002B6FF4"/>
    <w:rsid w:val="002B701A"/>
    <w:rsid w:val="002B710A"/>
    <w:rsid w:val="002B7261"/>
    <w:rsid w:val="002B7376"/>
    <w:rsid w:val="002B7429"/>
    <w:rsid w:val="002B74D3"/>
    <w:rsid w:val="002B7790"/>
    <w:rsid w:val="002B77D1"/>
    <w:rsid w:val="002B7834"/>
    <w:rsid w:val="002B785C"/>
    <w:rsid w:val="002B7A34"/>
    <w:rsid w:val="002B7C80"/>
    <w:rsid w:val="002B7DAE"/>
    <w:rsid w:val="002B7F70"/>
    <w:rsid w:val="002C0235"/>
    <w:rsid w:val="002C0242"/>
    <w:rsid w:val="002C034C"/>
    <w:rsid w:val="002C059E"/>
    <w:rsid w:val="002C088E"/>
    <w:rsid w:val="002C08A1"/>
    <w:rsid w:val="002C0996"/>
    <w:rsid w:val="002C09FC"/>
    <w:rsid w:val="002C0AB1"/>
    <w:rsid w:val="002C0B16"/>
    <w:rsid w:val="002C0B70"/>
    <w:rsid w:val="002C0C0C"/>
    <w:rsid w:val="002C0E70"/>
    <w:rsid w:val="002C0F3A"/>
    <w:rsid w:val="002C0F4D"/>
    <w:rsid w:val="002C0F58"/>
    <w:rsid w:val="002C113A"/>
    <w:rsid w:val="002C1388"/>
    <w:rsid w:val="002C13DE"/>
    <w:rsid w:val="002C1522"/>
    <w:rsid w:val="002C1538"/>
    <w:rsid w:val="002C1687"/>
    <w:rsid w:val="002C16CA"/>
    <w:rsid w:val="002C17FC"/>
    <w:rsid w:val="002C1B14"/>
    <w:rsid w:val="002C1C71"/>
    <w:rsid w:val="002C1CDE"/>
    <w:rsid w:val="002C1D67"/>
    <w:rsid w:val="002C1DCD"/>
    <w:rsid w:val="002C254F"/>
    <w:rsid w:val="002C2574"/>
    <w:rsid w:val="002C26A4"/>
    <w:rsid w:val="002C26F1"/>
    <w:rsid w:val="002C2728"/>
    <w:rsid w:val="002C2849"/>
    <w:rsid w:val="002C2AB6"/>
    <w:rsid w:val="002C2CE7"/>
    <w:rsid w:val="002C2D14"/>
    <w:rsid w:val="002C2DB6"/>
    <w:rsid w:val="002C2E8B"/>
    <w:rsid w:val="002C2F03"/>
    <w:rsid w:val="002C3080"/>
    <w:rsid w:val="002C32A0"/>
    <w:rsid w:val="002C33ED"/>
    <w:rsid w:val="002C352E"/>
    <w:rsid w:val="002C3C37"/>
    <w:rsid w:val="002C3C80"/>
    <w:rsid w:val="002C3DD5"/>
    <w:rsid w:val="002C3EFE"/>
    <w:rsid w:val="002C3FEB"/>
    <w:rsid w:val="002C4079"/>
    <w:rsid w:val="002C40B1"/>
    <w:rsid w:val="002C43A2"/>
    <w:rsid w:val="002C43F6"/>
    <w:rsid w:val="002C4480"/>
    <w:rsid w:val="002C4498"/>
    <w:rsid w:val="002C457D"/>
    <w:rsid w:val="002C4648"/>
    <w:rsid w:val="002C4861"/>
    <w:rsid w:val="002C499C"/>
    <w:rsid w:val="002C49F2"/>
    <w:rsid w:val="002C4A58"/>
    <w:rsid w:val="002C4D11"/>
    <w:rsid w:val="002C4FD3"/>
    <w:rsid w:val="002C508C"/>
    <w:rsid w:val="002C50D8"/>
    <w:rsid w:val="002C50F9"/>
    <w:rsid w:val="002C53C4"/>
    <w:rsid w:val="002C5556"/>
    <w:rsid w:val="002C580C"/>
    <w:rsid w:val="002C5824"/>
    <w:rsid w:val="002C5882"/>
    <w:rsid w:val="002C5967"/>
    <w:rsid w:val="002C59E6"/>
    <w:rsid w:val="002C5A1C"/>
    <w:rsid w:val="002C5C38"/>
    <w:rsid w:val="002C5C69"/>
    <w:rsid w:val="002C5E30"/>
    <w:rsid w:val="002C5E4A"/>
    <w:rsid w:val="002C603F"/>
    <w:rsid w:val="002C6042"/>
    <w:rsid w:val="002C60C8"/>
    <w:rsid w:val="002C60E5"/>
    <w:rsid w:val="002C6161"/>
    <w:rsid w:val="002C61C6"/>
    <w:rsid w:val="002C630A"/>
    <w:rsid w:val="002C6356"/>
    <w:rsid w:val="002C6491"/>
    <w:rsid w:val="002C6F02"/>
    <w:rsid w:val="002C6F34"/>
    <w:rsid w:val="002C6F8E"/>
    <w:rsid w:val="002C70AE"/>
    <w:rsid w:val="002C70CB"/>
    <w:rsid w:val="002C721F"/>
    <w:rsid w:val="002C7296"/>
    <w:rsid w:val="002C7340"/>
    <w:rsid w:val="002C7816"/>
    <w:rsid w:val="002C79AB"/>
    <w:rsid w:val="002C7A0D"/>
    <w:rsid w:val="002C7A7E"/>
    <w:rsid w:val="002C7BC6"/>
    <w:rsid w:val="002C7D55"/>
    <w:rsid w:val="002C7D98"/>
    <w:rsid w:val="002C7DB8"/>
    <w:rsid w:val="002C7F04"/>
    <w:rsid w:val="002C7F25"/>
    <w:rsid w:val="002C7F9A"/>
    <w:rsid w:val="002C7FE7"/>
    <w:rsid w:val="002D01AD"/>
    <w:rsid w:val="002D01BB"/>
    <w:rsid w:val="002D0283"/>
    <w:rsid w:val="002D055E"/>
    <w:rsid w:val="002D0668"/>
    <w:rsid w:val="002D0728"/>
    <w:rsid w:val="002D076D"/>
    <w:rsid w:val="002D08C7"/>
    <w:rsid w:val="002D0AF2"/>
    <w:rsid w:val="002D0AFE"/>
    <w:rsid w:val="002D0B53"/>
    <w:rsid w:val="002D0B8B"/>
    <w:rsid w:val="002D0C59"/>
    <w:rsid w:val="002D0DBD"/>
    <w:rsid w:val="002D0E50"/>
    <w:rsid w:val="002D0F86"/>
    <w:rsid w:val="002D1062"/>
    <w:rsid w:val="002D10B1"/>
    <w:rsid w:val="002D1106"/>
    <w:rsid w:val="002D1397"/>
    <w:rsid w:val="002D13AB"/>
    <w:rsid w:val="002D13C6"/>
    <w:rsid w:val="002D16BA"/>
    <w:rsid w:val="002D1907"/>
    <w:rsid w:val="002D1C51"/>
    <w:rsid w:val="002D1C8B"/>
    <w:rsid w:val="002D1DB0"/>
    <w:rsid w:val="002D1EF9"/>
    <w:rsid w:val="002D20E8"/>
    <w:rsid w:val="002D2539"/>
    <w:rsid w:val="002D260E"/>
    <w:rsid w:val="002D2695"/>
    <w:rsid w:val="002D2932"/>
    <w:rsid w:val="002D29D2"/>
    <w:rsid w:val="002D2BE3"/>
    <w:rsid w:val="002D2F53"/>
    <w:rsid w:val="002D30EB"/>
    <w:rsid w:val="002D31F6"/>
    <w:rsid w:val="002D3202"/>
    <w:rsid w:val="002D3340"/>
    <w:rsid w:val="002D33F0"/>
    <w:rsid w:val="002D3482"/>
    <w:rsid w:val="002D3735"/>
    <w:rsid w:val="002D3783"/>
    <w:rsid w:val="002D3884"/>
    <w:rsid w:val="002D390D"/>
    <w:rsid w:val="002D3A97"/>
    <w:rsid w:val="002D3CC4"/>
    <w:rsid w:val="002D3E6C"/>
    <w:rsid w:val="002D3E93"/>
    <w:rsid w:val="002D3EE1"/>
    <w:rsid w:val="002D3F45"/>
    <w:rsid w:val="002D3F7F"/>
    <w:rsid w:val="002D3F95"/>
    <w:rsid w:val="002D4025"/>
    <w:rsid w:val="002D416F"/>
    <w:rsid w:val="002D432C"/>
    <w:rsid w:val="002D4642"/>
    <w:rsid w:val="002D4658"/>
    <w:rsid w:val="002D483E"/>
    <w:rsid w:val="002D4886"/>
    <w:rsid w:val="002D497A"/>
    <w:rsid w:val="002D4A86"/>
    <w:rsid w:val="002D4B6A"/>
    <w:rsid w:val="002D4B8C"/>
    <w:rsid w:val="002D4BB6"/>
    <w:rsid w:val="002D4CBE"/>
    <w:rsid w:val="002D4ED4"/>
    <w:rsid w:val="002D51B6"/>
    <w:rsid w:val="002D53BA"/>
    <w:rsid w:val="002D541A"/>
    <w:rsid w:val="002D54E8"/>
    <w:rsid w:val="002D5567"/>
    <w:rsid w:val="002D57BB"/>
    <w:rsid w:val="002D587D"/>
    <w:rsid w:val="002D5918"/>
    <w:rsid w:val="002D5B06"/>
    <w:rsid w:val="002D5C5E"/>
    <w:rsid w:val="002D5DB5"/>
    <w:rsid w:val="002D5E70"/>
    <w:rsid w:val="002D5FB8"/>
    <w:rsid w:val="002D604D"/>
    <w:rsid w:val="002D6466"/>
    <w:rsid w:val="002D666B"/>
    <w:rsid w:val="002D688F"/>
    <w:rsid w:val="002D69CE"/>
    <w:rsid w:val="002D6A97"/>
    <w:rsid w:val="002D6AC0"/>
    <w:rsid w:val="002D6B11"/>
    <w:rsid w:val="002D6B8A"/>
    <w:rsid w:val="002D6C0B"/>
    <w:rsid w:val="002D6CDA"/>
    <w:rsid w:val="002D6E3F"/>
    <w:rsid w:val="002D6EC1"/>
    <w:rsid w:val="002D6F93"/>
    <w:rsid w:val="002D7052"/>
    <w:rsid w:val="002D70D7"/>
    <w:rsid w:val="002D70EC"/>
    <w:rsid w:val="002D7108"/>
    <w:rsid w:val="002D710D"/>
    <w:rsid w:val="002D7170"/>
    <w:rsid w:val="002D717D"/>
    <w:rsid w:val="002D74B7"/>
    <w:rsid w:val="002D7586"/>
    <w:rsid w:val="002D76F8"/>
    <w:rsid w:val="002D7B5C"/>
    <w:rsid w:val="002D7B5E"/>
    <w:rsid w:val="002D7BB0"/>
    <w:rsid w:val="002D7BCC"/>
    <w:rsid w:val="002D7C6B"/>
    <w:rsid w:val="002D7E32"/>
    <w:rsid w:val="002D7E4F"/>
    <w:rsid w:val="002D7EF8"/>
    <w:rsid w:val="002D7FCC"/>
    <w:rsid w:val="002E014A"/>
    <w:rsid w:val="002E01AA"/>
    <w:rsid w:val="002E0234"/>
    <w:rsid w:val="002E040E"/>
    <w:rsid w:val="002E050C"/>
    <w:rsid w:val="002E0694"/>
    <w:rsid w:val="002E0AE7"/>
    <w:rsid w:val="002E0B7F"/>
    <w:rsid w:val="002E0BB9"/>
    <w:rsid w:val="002E0CA9"/>
    <w:rsid w:val="002E0DC8"/>
    <w:rsid w:val="002E0E74"/>
    <w:rsid w:val="002E0F95"/>
    <w:rsid w:val="002E1357"/>
    <w:rsid w:val="002E14CD"/>
    <w:rsid w:val="002E1756"/>
    <w:rsid w:val="002E1A0E"/>
    <w:rsid w:val="002E1A4D"/>
    <w:rsid w:val="002E1B1D"/>
    <w:rsid w:val="002E1B21"/>
    <w:rsid w:val="002E1B7C"/>
    <w:rsid w:val="002E1C1E"/>
    <w:rsid w:val="002E1D2F"/>
    <w:rsid w:val="002E20D6"/>
    <w:rsid w:val="002E20EB"/>
    <w:rsid w:val="002E213A"/>
    <w:rsid w:val="002E2156"/>
    <w:rsid w:val="002E2253"/>
    <w:rsid w:val="002E2490"/>
    <w:rsid w:val="002E259B"/>
    <w:rsid w:val="002E25E5"/>
    <w:rsid w:val="002E26ED"/>
    <w:rsid w:val="002E2751"/>
    <w:rsid w:val="002E2860"/>
    <w:rsid w:val="002E2A4B"/>
    <w:rsid w:val="002E2B0A"/>
    <w:rsid w:val="002E2D7C"/>
    <w:rsid w:val="002E2DAF"/>
    <w:rsid w:val="002E2E7D"/>
    <w:rsid w:val="002E2ECF"/>
    <w:rsid w:val="002E2EFC"/>
    <w:rsid w:val="002E2F79"/>
    <w:rsid w:val="002E33F3"/>
    <w:rsid w:val="002E35C0"/>
    <w:rsid w:val="002E3621"/>
    <w:rsid w:val="002E3744"/>
    <w:rsid w:val="002E3840"/>
    <w:rsid w:val="002E3983"/>
    <w:rsid w:val="002E3CAF"/>
    <w:rsid w:val="002E3EDC"/>
    <w:rsid w:val="002E413A"/>
    <w:rsid w:val="002E41DD"/>
    <w:rsid w:val="002E4279"/>
    <w:rsid w:val="002E474A"/>
    <w:rsid w:val="002E484F"/>
    <w:rsid w:val="002E4A6B"/>
    <w:rsid w:val="002E4A89"/>
    <w:rsid w:val="002E4B4E"/>
    <w:rsid w:val="002E4C7D"/>
    <w:rsid w:val="002E4D45"/>
    <w:rsid w:val="002E4D5D"/>
    <w:rsid w:val="002E4DBC"/>
    <w:rsid w:val="002E4E54"/>
    <w:rsid w:val="002E4E85"/>
    <w:rsid w:val="002E4F82"/>
    <w:rsid w:val="002E4F9A"/>
    <w:rsid w:val="002E5027"/>
    <w:rsid w:val="002E51A2"/>
    <w:rsid w:val="002E521C"/>
    <w:rsid w:val="002E53CC"/>
    <w:rsid w:val="002E54F4"/>
    <w:rsid w:val="002E5503"/>
    <w:rsid w:val="002E5645"/>
    <w:rsid w:val="002E56F1"/>
    <w:rsid w:val="002E578D"/>
    <w:rsid w:val="002E5AE0"/>
    <w:rsid w:val="002E5EF2"/>
    <w:rsid w:val="002E5FEC"/>
    <w:rsid w:val="002E6025"/>
    <w:rsid w:val="002E6064"/>
    <w:rsid w:val="002E606C"/>
    <w:rsid w:val="002E61C8"/>
    <w:rsid w:val="002E6229"/>
    <w:rsid w:val="002E625A"/>
    <w:rsid w:val="002E6627"/>
    <w:rsid w:val="002E678C"/>
    <w:rsid w:val="002E67B1"/>
    <w:rsid w:val="002E69FA"/>
    <w:rsid w:val="002E6A9C"/>
    <w:rsid w:val="002E6C11"/>
    <w:rsid w:val="002E6C2F"/>
    <w:rsid w:val="002E6C4F"/>
    <w:rsid w:val="002E6C94"/>
    <w:rsid w:val="002E6D11"/>
    <w:rsid w:val="002E6D77"/>
    <w:rsid w:val="002E6E60"/>
    <w:rsid w:val="002E6FE3"/>
    <w:rsid w:val="002E7088"/>
    <w:rsid w:val="002E70D7"/>
    <w:rsid w:val="002E70EB"/>
    <w:rsid w:val="002E7265"/>
    <w:rsid w:val="002E72BA"/>
    <w:rsid w:val="002E7486"/>
    <w:rsid w:val="002E7489"/>
    <w:rsid w:val="002E754E"/>
    <w:rsid w:val="002E7647"/>
    <w:rsid w:val="002E789F"/>
    <w:rsid w:val="002E797A"/>
    <w:rsid w:val="002E7A74"/>
    <w:rsid w:val="002E7A95"/>
    <w:rsid w:val="002E7AE4"/>
    <w:rsid w:val="002E7BF7"/>
    <w:rsid w:val="002E7C58"/>
    <w:rsid w:val="002E7C68"/>
    <w:rsid w:val="002E7D20"/>
    <w:rsid w:val="002E7D3D"/>
    <w:rsid w:val="002E7E3C"/>
    <w:rsid w:val="002F004F"/>
    <w:rsid w:val="002F00E1"/>
    <w:rsid w:val="002F0195"/>
    <w:rsid w:val="002F03D5"/>
    <w:rsid w:val="002F05CA"/>
    <w:rsid w:val="002F0877"/>
    <w:rsid w:val="002F09B0"/>
    <w:rsid w:val="002F0A30"/>
    <w:rsid w:val="002F0C4B"/>
    <w:rsid w:val="002F0E85"/>
    <w:rsid w:val="002F0F27"/>
    <w:rsid w:val="002F101D"/>
    <w:rsid w:val="002F10EC"/>
    <w:rsid w:val="002F1351"/>
    <w:rsid w:val="002F15A5"/>
    <w:rsid w:val="002F1628"/>
    <w:rsid w:val="002F193E"/>
    <w:rsid w:val="002F1A96"/>
    <w:rsid w:val="002F1C68"/>
    <w:rsid w:val="002F1D12"/>
    <w:rsid w:val="002F1D99"/>
    <w:rsid w:val="002F20C7"/>
    <w:rsid w:val="002F20F3"/>
    <w:rsid w:val="002F21DA"/>
    <w:rsid w:val="002F21E5"/>
    <w:rsid w:val="002F23B8"/>
    <w:rsid w:val="002F26D7"/>
    <w:rsid w:val="002F26FD"/>
    <w:rsid w:val="002F27A1"/>
    <w:rsid w:val="002F29AF"/>
    <w:rsid w:val="002F2A20"/>
    <w:rsid w:val="002F2A51"/>
    <w:rsid w:val="002F2B24"/>
    <w:rsid w:val="002F2DDF"/>
    <w:rsid w:val="002F2EF9"/>
    <w:rsid w:val="002F318B"/>
    <w:rsid w:val="002F3442"/>
    <w:rsid w:val="002F350C"/>
    <w:rsid w:val="002F35BC"/>
    <w:rsid w:val="002F3620"/>
    <w:rsid w:val="002F3641"/>
    <w:rsid w:val="002F3752"/>
    <w:rsid w:val="002F3903"/>
    <w:rsid w:val="002F3B4B"/>
    <w:rsid w:val="002F3DB1"/>
    <w:rsid w:val="002F3E56"/>
    <w:rsid w:val="002F3E96"/>
    <w:rsid w:val="002F406E"/>
    <w:rsid w:val="002F424E"/>
    <w:rsid w:val="002F433E"/>
    <w:rsid w:val="002F45C1"/>
    <w:rsid w:val="002F45F1"/>
    <w:rsid w:val="002F46CE"/>
    <w:rsid w:val="002F4843"/>
    <w:rsid w:val="002F4A0D"/>
    <w:rsid w:val="002F4B66"/>
    <w:rsid w:val="002F4E23"/>
    <w:rsid w:val="002F4EEA"/>
    <w:rsid w:val="002F50B9"/>
    <w:rsid w:val="002F52EE"/>
    <w:rsid w:val="002F5878"/>
    <w:rsid w:val="002F58E3"/>
    <w:rsid w:val="002F59B6"/>
    <w:rsid w:val="002F59DF"/>
    <w:rsid w:val="002F5B8D"/>
    <w:rsid w:val="002F5F7F"/>
    <w:rsid w:val="002F6450"/>
    <w:rsid w:val="002F65C0"/>
    <w:rsid w:val="002F6630"/>
    <w:rsid w:val="002F6873"/>
    <w:rsid w:val="002F6934"/>
    <w:rsid w:val="002F6B00"/>
    <w:rsid w:val="002F6C3E"/>
    <w:rsid w:val="002F6C4F"/>
    <w:rsid w:val="002F6C50"/>
    <w:rsid w:val="002F6C87"/>
    <w:rsid w:val="002F6DEF"/>
    <w:rsid w:val="002F6DFE"/>
    <w:rsid w:val="002F6F39"/>
    <w:rsid w:val="002F707F"/>
    <w:rsid w:val="002F74EA"/>
    <w:rsid w:val="002F763D"/>
    <w:rsid w:val="002F768A"/>
    <w:rsid w:val="002F7747"/>
    <w:rsid w:val="002F775C"/>
    <w:rsid w:val="002F777A"/>
    <w:rsid w:val="002F77F4"/>
    <w:rsid w:val="002F7A5B"/>
    <w:rsid w:val="002F7ADB"/>
    <w:rsid w:val="002F7C7B"/>
    <w:rsid w:val="00300097"/>
    <w:rsid w:val="00300226"/>
    <w:rsid w:val="00300317"/>
    <w:rsid w:val="003003C5"/>
    <w:rsid w:val="00300574"/>
    <w:rsid w:val="003006EC"/>
    <w:rsid w:val="003007B4"/>
    <w:rsid w:val="00300876"/>
    <w:rsid w:val="00300920"/>
    <w:rsid w:val="00300A6A"/>
    <w:rsid w:val="00300AFA"/>
    <w:rsid w:val="003010D2"/>
    <w:rsid w:val="003011D2"/>
    <w:rsid w:val="00301421"/>
    <w:rsid w:val="0030143D"/>
    <w:rsid w:val="003014D7"/>
    <w:rsid w:val="00301761"/>
    <w:rsid w:val="003017CF"/>
    <w:rsid w:val="00301A0C"/>
    <w:rsid w:val="00301AAD"/>
    <w:rsid w:val="00301B09"/>
    <w:rsid w:val="00301B58"/>
    <w:rsid w:val="00301BA3"/>
    <w:rsid w:val="00301CF0"/>
    <w:rsid w:val="00301E2F"/>
    <w:rsid w:val="00301F01"/>
    <w:rsid w:val="00301FA4"/>
    <w:rsid w:val="00302236"/>
    <w:rsid w:val="0030223C"/>
    <w:rsid w:val="00302500"/>
    <w:rsid w:val="0030259E"/>
    <w:rsid w:val="003025E2"/>
    <w:rsid w:val="003028F7"/>
    <w:rsid w:val="00302982"/>
    <w:rsid w:val="00302A30"/>
    <w:rsid w:val="00302A86"/>
    <w:rsid w:val="00302B08"/>
    <w:rsid w:val="00302CBE"/>
    <w:rsid w:val="00302D77"/>
    <w:rsid w:val="00302E43"/>
    <w:rsid w:val="00302E64"/>
    <w:rsid w:val="00302FBE"/>
    <w:rsid w:val="00302FFB"/>
    <w:rsid w:val="0030305F"/>
    <w:rsid w:val="00303210"/>
    <w:rsid w:val="003032A0"/>
    <w:rsid w:val="00303449"/>
    <w:rsid w:val="003034AD"/>
    <w:rsid w:val="003034E5"/>
    <w:rsid w:val="00303733"/>
    <w:rsid w:val="00303A2D"/>
    <w:rsid w:val="00303CD6"/>
    <w:rsid w:val="00303D43"/>
    <w:rsid w:val="00304212"/>
    <w:rsid w:val="003042C1"/>
    <w:rsid w:val="003043E9"/>
    <w:rsid w:val="00304461"/>
    <w:rsid w:val="00304492"/>
    <w:rsid w:val="0030472F"/>
    <w:rsid w:val="0030475A"/>
    <w:rsid w:val="00304868"/>
    <w:rsid w:val="00304881"/>
    <w:rsid w:val="00304BBF"/>
    <w:rsid w:val="00304C3B"/>
    <w:rsid w:val="00304CE7"/>
    <w:rsid w:val="00304D85"/>
    <w:rsid w:val="00304F24"/>
    <w:rsid w:val="00305073"/>
    <w:rsid w:val="00305246"/>
    <w:rsid w:val="0030546E"/>
    <w:rsid w:val="00305579"/>
    <w:rsid w:val="003055A7"/>
    <w:rsid w:val="003056E6"/>
    <w:rsid w:val="003059D5"/>
    <w:rsid w:val="003059F6"/>
    <w:rsid w:val="00305A95"/>
    <w:rsid w:val="00305B9E"/>
    <w:rsid w:val="00305E61"/>
    <w:rsid w:val="00306045"/>
    <w:rsid w:val="003060E1"/>
    <w:rsid w:val="003060F3"/>
    <w:rsid w:val="0030614C"/>
    <w:rsid w:val="0030617C"/>
    <w:rsid w:val="0030618D"/>
    <w:rsid w:val="00306399"/>
    <w:rsid w:val="00306505"/>
    <w:rsid w:val="00306528"/>
    <w:rsid w:val="00306531"/>
    <w:rsid w:val="00306630"/>
    <w:rsid w:val="003066D7"/>
    <w:rsid w:val="0030679D"/>
    <w:rsid w:val="00306871"/>
    <w:rsid w:val="00306A25"/>
    <w:rsid w:val="00306AE5"/>
    <w:rsid w:val="00306B56"/>
    <w:rsid w:val="00306E17"/>
    <w:rsid w:val="00306E46"/>
    <w:rsid w:val="00306E64"/>
    <w:rsid w:val="00306F4A"/>
    <w:rsid w:val="00307077"/>
    <w:rsid w:val="00307083"/>
    <w:rsid w:val="003073BA"/>
    <w:rsid w:val="00307949"/>
    <w:rsid w:val="00307982"/>
    <w:rsid w:val="00307C7D"/>
    <w:rsid w:val="00307DB7"/>
    <w:rsid w:val="0031008F"/>
    <w:rsid w:val="00310123"/>
    <w:rsid w:val="00310154"/>
    <w:rsid w:val="00310273"/>
    <w:rsid w:val="0031037F"/>
    <w:rsid w:val="003103C6"/>
    <w:rsid w:val="003104A3"/>
    <w:rsid w:val="0031059F"/>
    <w:rsid w:val="0031060A"/>
    <w:rsid w:val="0031067F"/>
    <w:rsid w:val="0031074A"/>
    <w:rsid w:val="00310846"/>
    <w:rsid w:val="00310901"/>
    <w:rsid w:val="00310B8E"/>
    <w:rsid w:val="00310D0A"/>
    <w:rsid w:val="00310E15"/>
    <w:rsid w:val="00310E29"/>
    <w:rsid w:val="00311064"/>
    <w:rsid w:val="00311189"/>
    <w:rsid w:val="003111B9"/>
    <w:rsid w:val="003113C0"/>
    <w:rsid w:val="003113C1"/>
    <w:rsid w:val="0031149E"/>
    <w:rsid w:val="003114DA"/>
    <w:rsid w:val="003116FE"/>
    <w:rsid w:val="003117B0"/>
    <w:rsid w:val="00311826"/>
    <w:rsid w:val="003118F8"/>
    <w:rsid w:val="0031191D"/>
    <w:rsid w:val="003119E4"/>
    <w:rsid w:val="00311A69"/>
    <w:rsid w:val="00311ACB"/>
    <w:rsid w:val="00311BA5"/>
    <w:rsid w:val="00311D02"/>
    <w:rsid w:val="00311E5D"/>
    <w:rsid w:val="00312023"/>
    <w:rsid w:val="00312157"/>
    <w:rsid w:val="00312224"/>
    <w:rsid w:val="0031223C"/>
    <w:rsid w:val="003122C1"/>
    <w:rsid w:val="00312380"/>
    <w:rsid w:val="003123BA"/>
    <w:rsid w:val="00312449"/>
    <w:rsid w:val="00312484"/>
    <w:rsid w:val="003124F0"/>
    <w:rsid w:val="0031255A"/>
    <w:rsid w:val="003125D0"/>
    <w:rsid w:val="00312843"/>
    <w:rsid w:val="0031286F"/>
    <w:rsid w:val="00312873"/>
    <w:rsid w:val="003128AC"/>
    <w:rsid w:val="00312A14"/>
    <w:rsid w:val="00312A4F"/>
    <w:rsid w:val="00312A82"/>
    <w:rsid w:val="00312C7A"/>
    <w:rsid w:val="00312DB5"/>
    <w:rsid w:val="00312DFB"/>
    <w:rsid w:val="00312F0E"/>
    <w:rsid w:val="00312F88"/>
    <w:rsid w:val="00313008"/>
    <w:rsid w:val="00313207"/>
    <w:rsid w:val="00313558"/>
    <w:rsid w:val="00313566"/>
    <w:rsid w:val="00313757"/>
    <w:rsid w:val="003137F8"/>
    <w:rsid w:val="003138FC"/>
    <w:rsid w:val="00313974"/>
    <w:rsid w:val="00313A66"/>
    <w:rsid w:val="00313AFA"/>
    <w:rsid w:val="00313BEF"/>
    <w:rsid w:val="00313D5F"/>
    <w:rsid w:val="00313E73"/>
    <w:rsid w:val="00314168"/>
    <w:rsid w:val="00314170"/>
    <w:rsid w:val="003142C8"/>
    <w:rsid w:val="003145D3"/>
    <w:rsid w:val="00314729"/>
    <w:rsid w:val="003148FA"/>
    <w:rsid w:val="003150EB"/>
    <w:rsid w:val="0031511E"/>
    <w:rsid w:val="00315287"/>
    <w:rsid w:val="003154AD"/>
    <w:rsid w:val="003154DC"/>
    <w:rsid w:val="00315537"/>
    <w:rsid w:val="003156AC"/>
    <w:rsid w:val="00315977"/>
    <w:rsid w:val="00315A3A"/>
    <w:rsid w:val="00315A7B"/>
    <w:rsid w:val="00315A7C"/>
    <w:rsid w:val="00315BD6"/>
    <w:rsid w:val="00315C8F"/>
    <w:rsid w:val="00315CD4"/>
    <w:rsid w:val="00315E26"/>
    <w:rsid w:val="00316010"/>
    <w:rsid w:val="003160AB"/>
    <w:rsid w:val="003160DF"/>
    <w:rsid w:val="0031617A"/>
    <w:rsid w:val="0031618D"/>
    <w:rsid w:val="0031623B"/>
    <w:rsid w:val="00316321"/>
    <w:rsid w:val="0031647B"/>
    <w:rsid w:val="00316578"/>
    <w:rsid w:val="00316647"/>
    <w:rsid w:val="003166B0"/>
    <w:rsid w:val="0031678A"/>
    <w:rsid w:val="0031683F"/>
    <w:rsid w:val="003168B1"/>
    <w:rsid w:val="00316A9A"/>
    <w:rsid w:val="00316B26"/>
    <w:rsid w:val="00316DE7"/>
    <w:rsid w:val="00316EA3"/>
    <w:rsid w:val="00316EF6"/>
    <w:rsid w:val="003170F4"/>
    <w:rsid w:val="0031723A"/>
    <w:rsid w:val="003173B6"/>
    <w:rsid w:val="003177C4"/>
    <w:rsid w:val="00317E02"/>
    <w:rsid w:val="00317E3E"/>
    <w:rsid w:val="003200C4"/>
    <w:rsid w:val="00320195"/>
    <w:rsid w:val="003202D9"/>
    <w:rsid w:val="00320403"/>
    <w:rsid w:val="003204DE"/>
    <w:rsid w:val="0032069B"/>
    <w:rsid w:val="0032076D"/>
    <w:rsid w:val="00320856"/>
    <w:rsid w:val="003209CA"/>
    <w:rsid w:val="003209E8"/>
    <w:rsid w:val="00320B2E"/>
    <w:rsid w:val="00320BF0"/>
    <w:rsid w:val="00320CA0"/>
    <w:rsid w:val="00320D7E"/>
    <w:rsid w:val="00320FB9"/>
    <w:rsid w:val="00320FDE"/>
    <w:rsid w:val="0032102B"/>
    <w:rsid w:val="0032136B"/>
    <w:rsid w:val="003213D8"/>
    <w:rsid w:val="0032149B"/>
    <w:rsid w:val="0032167E"/>
    <w:rsid w:val="00321988"/>
    <w:rsid w:val="00321AD8"/>
    <w:rsid w:val="00321D04"/>
    <w:rsid w:val="00321F19"/>
    <w:rsid w:val="00322092"/>
    <w:rsid w:val="003220FC"/>
    <w:rsid w:val="00322503"/>
    <w:rsid w:val="0032259B"/>
    <w:rsid w:val="003225DC"/>
    <w:rsid w:val="00322A55"/>
    <w:rsid w:val="00322C20"/>
    <w:rsid w:val="00323100"/>
    <w:rsid w:val="00323471"/>
    <w:rsid w:val="00323496"/>
    <w:rsid w:val="00323624"/>
    <w:rsid w:val="003236B8"/>
    <w:rsid w:val="0032389B"/>
    <w:rsid w:val="00323919"/>
    <w:rsid w:val="00323A71"/>
    <w:rsid w:val="00323AE2"/>
    <w:rsid w:val="00323B8E"/>
    <w:rsid w:val="00323BB5"/>
    <w:rsid w:val="00323BD4"/>
    <w:rsid w:val="00323C30"/>
    <w:rsid w:val="00323CF5"/>
    <w:rsid w:val="00323D3E"/>
    <w:rsid w:val="00323F56"/>
    <w:rsid w:val="00323FA6"/>
    <w:rsid w:val="00324183"/>
    <w:rsid w:val="00324217"/>
    <w:rsid w:val="003242B0"/>
    <w:rsid w:val="003243AC"/>
    <w:rsid w:val="0032463F"/>
    <w:rsid w:val="003246B7"/>
    <w:rsid w:val="00324701"/>
    <w:rsid w:val="00324716"/>
    <w:rsid w:val="00324784"/>
    <w:rsid w:val="00324836"/>
    <w:rsid w:val="003248A0"/>
    <w:rsid w:val="003249C2"/>
    <w:rsid w:val="00324BC7"/>
    <w:rsid w:val="00324CBA"/>
    <w:rsid w:val="00324D04"/>
    <w:rsid w:val="00324D2C"/>
    <w:rsid w:val="00324DE5"/>
    <w:rsid w:val="00324FD2"/>
    <w:rsid w:val="003251FC"/>
    <w:rsid w:val="0032535E"/>
    <w:rsid w:val="003255BC"/>
    <w:rsid w:val="003256AE"/>
    <w:rsid w:val="003257BA"/>
    <w:rsid w:val="00325945"/>
    <w:rsid w:val="00325963"/>
    <w:rsid w:val="003259FB"/>
    <w:rsid w:val="00325B41"/>
    <w:rsid w:val="00325D8E"/>
    <w:rsid w:val="0032615A"/>
    <w:rsid w:val="003261A9"/>
    <w:rsid w:val="003261BE"/>
    <w:rsid w:val="00326210"/>
    <w:rsid w:val="00326289"/>
    <w:rsid w:val="0032635A"/>
    <w:rsid w:val="00326405"/>
    <w:rsid w:val="003264D2"/>
    <w:rsid w:val="00326537"/>
    <w:rsid w:val="0032684D"/>
    <w:rsid w:val="003269E3"/>
    <w:rsid w:val="00326A5D"/>
    <w:rsid w:val="00326B20"/>
    <w:rsid w:val="00326DCB"/>
    <w:rsid w:val="00326E8A"/>
    <w:rsid w:val="0032702E"/>
    <w:rsid w:val="00327153"/>
    <w:rsid w:val="0032719B"/>
    <w:rsid w:val="003275A8"/>
    <w:rsid w:val="003277BD"/>
    <w:rsid w:val="00327ACB"/>
    <w:rsid w:val="00327C27"/>
    <w:rsid w:val="00327E28"/>
    <w:rsid w:val="00327E7B"/>
    <w:rsid w:val="003302E9"/>
    <w:rsid w:val="003302FC"/>
    <w:rsid w:val="0033043B"/>
    <w:rsid w:val="0033045C"/>
    <w:rsid w:val="003304BF"/>
    <w:rsid w:val="0033058C"/>
    <w:rsid w:val="003307CC"/>
    <w:rsid w:val="0033094C"/>
    <w:rsid w:val="0033098F"/>
    <w:rsid w:val="003309AB"/>
    <w:rsid w:val="00330AB7"/>
    <w:rsid w:val="00330BFE"/>
    <w:rsid w:val="00330F02"/>
    <w:rsid w:val="00330F96"/>
    <w:rsid w:val="00331068"/>
    <w:rsid w:val="0033115C"/>
    <w:rsid w:val="003311FC"/>
    <w:rsid w:val="003312DB"/>
    <w:rsid w:val="0033139C"/>
    <w:rsid w:val="003314A5"/>
    <w:rsid w:val="003317C8"/>
    <w:rsid w:val="003318B8"/>
    <w:rsid w:val="003318D7"/>
    <w:rsid w:val="0033195F"/>
    <w:rsid w:val="00331AB6"/>
    <w:rsid w:val="00331B2F"/>
    <w:rsid w:val="00331B87"/>
    <w:rsid w:val="00331D24"/>
    <w:rsid w:val="00331D28"/>
    <w:rsid w:val="00331D7A"/>
    <w:rsid w:val="00331F01"/>
    <w:rsid w:val="00331FD7"/>
    <w:rsid w:val="00332570"/>
    <w:rsid w:val="003325A4"/>
    <w:rsid w:val="0033275E"/>
    <w:rsid w:val="003327B9"/>
    <w:rsid w:val="00332887"/>
    <w:rsid w:val="00332959"/>
    <w:rsid w:val="00332AA1"/>
    <w:rsid w:val="00332BD4"/>
    <w:rsid w:val="00332C26"/>
    <w:rsid w:val="0033330F"/>
    <w:rsid w:val="003333C1"/>
    <w:rsid w:val="0033363A"/>
    <w:rsid w:val="003336EF"/>
    <w:rsid w:val="0033372C"/>
    <w:rsid w:val="003337B4"/>
    <w:rsid w:val="00333944"/>
    <w:rsid w:val="00333B83"/>
    <w:rsid w:val="00333CE6"/>
    <w:rsid w:val="00333D2C"/>
    <w:rsid w:val="00333E4C"/>
    <w:rsid w:val="00333EDC"/>
    <w:rsid w:val="00334074"/>
    <w:rsid w:val="003342DB"/>
    <w:rsid w:val="00334300"/>
    <w:rsid w:val="003344AD"/>
    <w:rsid w:val="00334664"/>
    <w:rsid w:val="00334698"/>
    <w:rsid w:val="0033470F"/>
    <w:rsid w:val="00334915"/>
    <w:rsid w:val="00334962"/>
    <w:rsid w:val="00334965"/>
    <w:rsid w:val="00334A24"/>
    <w:rsid w:val="00334ACB"/>
    <w:rsid w:val="00334C23"/>
    <w:rsid w:val="00334E9E"/>
    <w:rsid w:val="00334EDC"/>
    <w:rsid w:val="00334FAD"/>
    <w:rsid w:val="0033509C"/>
    <w:rsid w:val="003350AF"/>
    <w:rsid w:val="003350B6"/>
    <w:rsid w:val="003350F6"/>
    <w:rsid w:val="003351CC"/>
    <w:rsid w:val="00335299"/>
    <w:rsid w:val="003352AD"/>
    <w:rsid w:val="0033542B"/>
    <w:rsid w:val="00335495"/>
    <w:rsid w:val="0033559C"/>
    <w:rsid w:val="00335686"/>
    <w:rsid w:val="0033573D"/>
    <w:rsid w:val="00335765"/>
    <w:rsid w:val="003357EC"/>
    <w:rsid w:val="00335A3B"/>
    <w:rsid w:val="00335CEC"/>
    <w:rsid w:val="00335E32"/>
    <w:rsid w:val="00336072"/>
    <w:rsid w:val="00336256"/>
    <w:rsid w:val="003363ED"/>
    <w:rsid w:val="00336568"/>
    <w:rsid w:val="003366DD"/>
    <w:rsid w:val="003367FB"/>
    <w:rsid w:val="00336800"/>
    <w:rsid w:val="003368FA"/>
    <w:rsid w:val="00336B0B"/>
    <w:rsid w:val="00336C9B"/>
    <w:rsid w:val="00336D08"/>
    <w:rsid w:val="00336D27"/>
    <w:rsid w:val="00336DF7"/>
    <w:rsid w:val="00337222"/>
    <w:rsid w:val="0033730E"/>
    <w:rsid w:val="0033750D"/>
    <w:rsid w:val="00337848"/>
    <w:rsid w:val="003379DC"/>
    <w:rsid w:val="00337C27"/>
    <w:rsid w:val="00337D91"/>
    <w:rsid w:val="00337E6E"/>
    <w:rsid w:val="00337F99"/>
    <w:rsid w:val="003400CE"/>
    <w:rsid w:val="003402A4"/>
    <w:rsid w:val="00340516"/>
    <w:rsid w:val="0034074D"/>
    <w:rsid w:val="0034084B"/>
    <w:rsid w:val="00340857"/>
    <w:rsid w:val="00340875"/>
    <w:rsid w:val="003408A1"/>
    <w:rsid w:val="003408C0"/>
    <w:rsid w:val="0034094C"/>
    <w:rsid w:val="00340A68"/>
    <w:rsid w:val="00340B58"/>
    <w:rsid w:val="00340C8B"/>
    <w:rsid w:val="00340C92"/>
    <w:rsid w:val="00340D7B"/>
    <w:rsid w:val="00340E85"/>
    <w:rsid w:val="00340EA0"/>
    <w:rsid w:val="00341005"/>
    <w:rsid w:val="00341031"/>
    <w:rsid w:val="0034105D"/>
    <w:rsid w:val="003411B9"/>
    <w:rsid w:val="003411DB"/>
    <w:rsid w:val="00341266"/>
    <w:rsid w:val="003414D1"/>
    <w:rsid w:val="003414FC"/>
    <w:rsid w:val="003415A8"/>
    <w:rsid w:val="003416D9"/>
    <w:rsid w:val="003419B1"/>
    <w:rsid w:val="00341CDC"/>
    <w:rsid w:val="00341CFF"/>
    <w:rsid w:val="00341D9A"/>
    <w:rsid w:val="00341F2A"/>
    <w:rsid w:val="0034200D"/>
    <w:rsid w:val="00342073"/>
    <w:rsid w:val="003424F1"/>
    <w:rsid w:val="00342809"/>
    <w:rsid w:val="00342971"/>
    <w:rsid w:val="003429C2"/>
    <w:rsid w:val="00342A20"/>
    <w:rsid w:val="00342B30"/>
    <w:rsid w:val="00342B39"/>
    <w:rsid w:val="00342B58"/>
    <w:rsid w:val="00342BE5"/>
    <w:rsid w:val="00342D35"/>
    <w:rsid w:val="00342DF9"/>
    <w:rsid w:val="00342E87"/>
    <w:rsid w:val="00342F33"/>
    <w:rsid w:val="0034301B"/>
    <w:rsid w:val="00343030"/>
    <w:rsid w:val="003430D5"/>
    <w:rsid w:val="003432CE"/>
    <w:rsid w:val="003434CC"/>
    <w:rsid w:val="00343557"/>
    <w:rsid w:val="003436FE"/>
    <w:rsid w:val="003438F5"/>
    <w:rsid w:val="00343A97"/>
    <w:rsid w:val="00343B4C"/>
    <w:rsid w:val="00343B5B"/>
    <w:rsid w:val="00343C72"/>
    <w:rsid w:val="00343CF2"/>
    <w:rsid w:val="00343D73"/>
    <w:rsid w:val="00343F52"/>
    <w:rsid w:val="00343F83"/>
    <w:rsid w:val="00344091"/>
    <w:rsid w:val="003440AC"/>
    <w:rsid w:val="00344183"/>
    <w:rsid w:val="003444B7"/>
    <w:rsid w:val="00344595"/>
    <w:rsid w:val="00344B02"/>
    <w:rsid w:val="00344BBC"/>
    <w:rsid w:val="00344BE0"/>
    <w:rsid w:val="00344D2C"/>
    <w:rsid w:val="00344DD3"/>
    <w:rsid w:val="00344E7D"/>
    <w:rsid w:val="00344F0E"/>
    <w:rsid w:val="00345067"/>
    <w:rsid w:val="003451E9"/>
    <w:rsid w:val="003453DF"/>
    <w:rsid w:val="003453F8"/>
    <w:rsid w:val="003455D3"/>
    <w:rsid w:val="003457C1"/>
    <w:rsid w:val="003458A6"/>
    <w:rsid w:val="00345AAC"/>
    <w:rsid w:val="00345DC0"/>
    <w:rsid w:val="00345EA5"/>
    <w:rsid w:val="00345F51"/>
    <w:rsid w:val="00345F8C"/>
    <w:rsid w:val="00346056"/>
    <w:rsid w:val="003461DE"/>
    <w:rsid w:val="00346249"/>
    <w:rsid w:val="00346275"/>
    <w:rsid w:val="0034632F"/>
    <w:rsid w:val="00346594"/>
    <w:rsid w:val="0034660E"/>
    <w:rsid w:val="003466A5"/>
    <w:rsid w:val="00346870"/>
    <w:rsid w:val="00346ADE"/>
    <w:rsid w:val="00346C3C"/>
    <w:rsid w:val="00346D2D"/>
    <w:rsid w:val="00346E3D"/>
    <w:rsid w:val="00346E61"/>
    <w:rsid w:val="00346E8B"/>
    <w:rsid w:val="00346F3C"/>
    <w:rsid w:val="00346FE4"/>
    <w:rsid w:val="003472C8"/>
    <w:rsid w:val="003472EB"/>
    <w:rsid w:val="003473E5"/>
    <w:rsid w:val="003476BE"/>
    <w:rsid w:val="0034786C"/>
    <w:rsid w:val="003478AB"/>
    <w:rsid w:val="00347A7F"/>
    <w:rsid w:val="00347B72"/>
    <w:rsid w:val="00347C74"/>
    <w:rsid w:val="00347D1E"/>
    <w:rsid w:val="00347E24"/>
    <w:rsid w:val="00347FE6"/>
    <w:rsid w:val="0035007D"/>
    <w:rsid w:val="0035020E"/>
    <w:rsid w:val="0035025A"/>
    <w:rsid w:val="00350287"/>
    <w:rsid w:val="00350301"/>
    <w:rsid w:val="003504B3"/>
    <w:rsid w:val="00350871"/>
    <w:rsid w:val="00350A63"/>
    <w:rsid w:val="00350B56"/>
    <w:rsid w:val="00350BB1"/>
    <w:rsid w:val="00350BDE"/>
    <w:rsid w:val="00350CA3"/>
    <w:rsid w:val="00350F8F"/>
    <w:rsid w:val="0035101C"/>
    <w:rsid w:val="00351035"/>
    <w:rsid w:val="003510C8"/>
    <w:rsid w:val="003512DE"/>
    <w:rsid w:val="003515CB"/>
    <w:rsid w:val="0035178E"/>
    <w:rsid w:val="003517D1"/>
    <w:rsid w:val="0035180A"/>
    <w:rsid w:val="0035190F"/>
    <w:rsid w:val="0035198E"/>
    <w:rsid w:val="00351AA7"/>
    <w:rsid w:val="00351B60"/>
    <w:rsid w:val="00351C21"/>
    <w:rsid w:val="00351C6A"/>
    <w:rsid w:val="00351C74"/>
    <w:rsid w:val="00351CAC"/>
    <w:rsid w:val="00351E09"/>
    <w:rsid w:val="00351ECE"/>
    <w:rsid w:val="00351FF6"/>
    <w:rsid w:val="00352120"/>
    <w:rsid w:val="0035214B"/>
    <w:rsid w:val="0035220F"/>
    <w:rsid w:val="0035231A"/>
    <w:rsid w:val="00352471"/>
    <w:rsid w:val="003524EA"/>
    <w:rsid w:val="003527AC"/>
    <w:rsid w:val="00352904"/>
    <w:rsid w:val="00352925"/>
    <w:rsid w:val="00352945"/>
    <w:rsid w:val="0035296F"/>
    <w:rsid w:val="00352A45"/>
    <w:rsid w:val="00352AED"/>
    <w:rsid w:val="00352AFC"/>
    <w:rsid w:val="00352B0E"/>
    <w:rsid w:val="00352C0A"/>
    <w:rsid w:val="00352C28"/>
    <w:rsid w:val="00352D0A"/>
    <w:rsid w:val="00352D4B"/>
    <w:rsid w:val="0035302F"/>
    <w:rsid w:val="0035319D"/>
    <w:rsid w:val="003531A6"/>
    <w:rsid w:val="00353227"/>
    <w:rsid w:val="003532E5"/>
    <w:rsid w:val="003533B1"/>
    <w:rsid w:val="0035344D"/>
    <w:rsid w:val="0035380E"/>
    <w:rsid w:val="003538B7"/>
    <w:rsid w:val="0035395E"/>
    <w:rsid w:val="00353A94"/>
    <w:rsid w:val="00353B27"/>
    <w:rsid w:val="00353BC0"/>
    <w:rsid w:val="00353CAD"/>
    <w:rsid w:val="00353DDB"/>
    <w:rsid w:val="00353F54"/>
    <w:rsid w:val="00353FE7"/>
    <w:rsid w:val="00353FFD"/>
    <w:rsid w:val="00354080"/>
    <w:rsid w:val="0035447C"/>
    <w:rsid w:val="003544BE"/>
    <w:rsid w:val="00354522"/>
    <w:rsid w:val="003546BA"/>
    <w:rsid w:val="003546D3"/>
    <w:rsid w:val="003547A4"/>
    <w:rsid w:val="00354D50"/>
    <w:rsid w:val="00354D6B"/>
    <w:rsid w:val="00355063"/>
    <w:rsid w:val="00355200"/>
    <w:rsid w:val="0035528D"/>
    <w:rsid w:val="0035543C"/>
    <w:rsid w:val="003554F1"/>
    <w:rsid w:val="003556C8"/>
    <w:rsid w:val="00355730"/>
    <w:rsid w:val="00355885"/>
    <w:rsid w:val="00355940"/>
    <w:rsid w:val="00355D71"/>
    <w:rsid w:val="00355DE1"/>
    <w:rsid w:val="00355ECB"/>
    <w:rsid w:val="00355FBF"/>
    <w:rsid w:val="003561BA"/>
    <w:rsid w:val="0035644C"/>
    <w:rsid w:val="00356643"/>
    <w:rsid w:val="00356BE1"/>
    <w:rsid w:val="00356C00"/>
    <w:rsid w:val="00356E6C"/>
    <w:rsid w:val="00356E81"/>
    <w:rsid w:val="0035714B"/>
    <w:rsid w:val="003571FB"/>
    <w:rsid w:val="003572B8"/>
    <w:rsid w:val="0035740F"/>
    <w:rsid w:val="00357414"/>
    <w:rsid w:val="0035749D"/>
    <w:rsid w:val="003574E2"/>
    <w:rsid w:val="00357586"/>
    <w:rsid w:val="003575A1"/>
    <w:rsid w:val="003575C3"/>
    <w:rsid w:val="00357799"/>
    <w:rsid w:val="003577D5"/>
    <w:rsid w:val="003579CC"/>
    <w:rsid w:val="003579FC"/>
    <w:rsid w:val="00357B8D"/>
    <w:rsid w:val="00357BBC"/>
    <w:rsid w:val="00357E11"/>
    <w:rsid w:val="00357EA1"/>
    <w:rsid w:val="0036004D"/>
    <w:rsid w:val="003600B3"/>
    <w:rsid w:val="003601B1"/>
    <w:rsid w:val="00360259"/>
    <w:rsid w:val="00360261"/>
    <w:rsid w:val="003602B0"/>
    <w:rsid w:val="00360348"/>
    <w:rsid w:val="0036043B"/>
    <w:rsid w:val="00360B10"/>
    <w:rsid w:val="00360B42"/>
    <w:rsid w:val="00360DB6"/>
    <w:rsid w:val="00361074"/>
    <w:rsid w:val="0036137E"/>
    <w:rsid w:val="003613A9"/>
    <w:rsid w:val="00361454"/>
    <w:rsid w:val="003614AA"/>
    <w:rsid w:val="00361812"/>
    <w:rsid w:val="00362392"/>
    <w:rsid w:val="00362428"/>
    <w:rsid w:val="00362432"/>
    <w:rsid w:val="00362848"/>
    <w:rsid w:val="00362873"/>
    <w:rsid w:val="00362B90"/>
    <w:rsid w:val="00362E8C"/>
    <w:rsid w:val="00362F11"/>
    <w:rsid w:val="00362FF8"/>
    <w:rsid w:val="003630C2"/>
    <w:rsid w:val="00363169"/>
    <w:rsid w:val="00363222"/>
    <w:rsid w:val="003632E4"/>
    <w:rsid w:val="00363441"/>
    <w:rsid w:val="0036385D"/>
    <w:rsid w:val="003638EC"/>
    <w:rsid w:val="003639E0"/>
    <w:rsid w:val="00363A7E"/>
    <w:rsid w:val="00363AC0"/>
    <w:rsid w:val="00363B2F"/>
    <w:rsid w:val="00363BC6"/>
    <w:rsid w:val="00363D73"/>
    <w:rsid w:val="00363F86"/>
    <w:rsid w:val="00364132"/>
    <w:rsid w:val="003643AB"/>
    <w:rsid w:val="003643E1"/>
    <w:rsid w:val="0036443B"/>
    <w:rsid w:val="00364452"/>
    <w:rsid w:val="00364776"/>
    <w:rsid w:val="00364982"/>
    <w:rsid w:val="0036499A"/>
    <w:rsid w:val="003649C5"/>
    <w:rsid w:val="00364A0F"/>
    <w:rsid w:val="00364AD5"/>
    <w:rsid w:val="00364B37"/>
    <w:rsid w:val="00364BC3"/>
    <w:rsid w:val="00364CF6"/>
    <w:rsid w:val="00364D34"/>
    <w:rsid w:val="00364E52"/>
    <w:rsid w:val="00364FB7"/>
    <w:rsid w:val="00365120"/>
    <w:rsid w:val="003653DB"/>
    <w:rsid w:val="00365614"/>
    <w:rsid w:val="0036582A"/>
    <w:rsid w:val="00365883"/>
    <w:rsid w:val="00365905"/>
    <w:rsid w:val="00365959"/>
    <w:rsid w:val="00365F72"/>
    <w:rsid w:val="0036603C"/>
    <w:rsid w:val="0036606C"/>
    <w:rsid w:val="00366109"/>
    <w:rsid w:val="003661AD"/>
    <w:rsid w:val="003661E3"/>
    <w:rsid w:val="003662F5"/>
    <w:rsid w:val="00366354"/>
    <w:rsid w:val="00366488"/>
    <w:rsid w:val="00366902"/>
    <w:rsid w:val="0036691F"/>
    <w:rsid w:val="00366965"/>
    <w:rsid w:val="003669F4"/>
    <w:rsid w:val="00366A50"/>
    <w:rsid w:val="00366BF7"/>
    <w:rsid w:val="00366D01"/>
    <w:rsid w:val="00366D8B"/>
    <w:rsid w:val="00366E17"/>
    <w:rsid w:val="00366FB9"/>
    <w:rsid w:val="00366FBA"/>
    <w:rsid w:val="00367055"/>
    <w:rsid w:val="00367142"/>
    <w:rsid w:val="00367197"/>
    <w:rsid w:val="00367242"/>
    <w:rsid w:val="00367322"/>
    <w:rsid w:val="003673F9"/>
    <w:rsid w:val="00367443"/>
    <w:rsid w:val="0036759C"/>
    <w:rsid w:val="00367639"/>
    <w:rsid w:val="00367902"/>
    <w:rsid w:val="003679B9"/>
    <w:rsid w:val="00367A74"/>
    <w:rsid w:val="00367C09"/>
    <w:rsid w:val="00367C6D"/>
    <w:rsid w:val="00367CE4"/>
    <w:rsid w:val="00367DC5"/>
    <w:rsid w:val="00367E46"/>
    <w:rsid w:val="00367F91"/>
    <w:rsid w:val="00367FA5"/>
    <w:rsid w:val="0037002A"/>
    <w:rsid w:val="003702BB"/>
    <w:rsid w:val="00370373"/>
    <w:rsid w:val="0037050A"/>
    <w:rsid w:val="00370762"/>
    <w:rsid w:val="003707F2"/>
    <w:rsid w:val="00370BD5"/>
    <w:rsid w:val="00370CCA"/>
    <w:rsid w:val="00371248"/>
    <w:rsid w:val="0037124C"/>
    <w:rsid w:val="003712E7"/>
    <w:rsid w:val="0037141D"/>
    <w:rsid w:val="00371590"/>
    <w:rsid w:val="00371923"/>
    <w:rsid w:val="00371938"/>
    <w:rsid w:val="00371A49"/>
    <w:rsid w:val="00371AD2"/>
    <w:rsid w:val="00371CE1"/>
    <w:rsid w:val="00371D7D"/>
    <w:rsid w:val="00371E0E"/>
    <w:rsid w:val="00371F88"/>
    <w:rsid w:val="00371F8A"/>
    <w:rsid w:val="0037214D"/>
    <w:rsid w:val="0037215B"/>
    <w:rsid w:val="00372188"/>
    <w:rsid w:val="003722CF"/>
    <w:rsid w:val="0037246B"/>
    <w:rsid w:val="00372716"/>
    <w:rsid w:val="00372851"/>
    <w:rsid w:val="0037291C"/>
    <w:rsid w:val="00372BAC"/>
    <w:rsid w:val="00372CA8"/>
    <w:rsid w:val="00372F9E"/>
    <w:rsid w:val="00373058"/>
    <w:rsid w:val="0037305D"/>
    <w:rsid w:val="003730B5"/>
    <w:rsid w:val="00373115"/>
    <w:rsid w:val="003731B0"/>
    <w:rsid w:val="003732FB"/>
    <w:rsid w:val="0037345C"/>
    <w:rsid w:val="00373473"/>
    <w:rsid w:val="00373602"/>
    <w:rsid w:val="003739B6"/>
    <w:rsid w:val="00373C0B"/>
    <w:rsid w:val="00373DAB"/>
    <w:rsid w:val="0037400E"/>
    <w:rsid w:val="00374214"/>
    <w:rsid w:val="00374284"/>
    <w:rsid w:val="0037433D"/>
    <w:rsid w:val="003746D4"/>
    <w:rsid w:val="003746F8"/>
    <w:rsid w:val="0037479E"/>
    <w:rsid w:val="003747EC"/>
    <w:rsid w:val="00374976"/>
    <w:rsid w:val="00374B42"/>
    <w:rsid w:val="00374DC0"/>
    <w:rsid w:val="00374DFF"/>
    <w:rsid w:val="00374E4E"/>
    <w:rsid w:val="00374EB2"/>
    <w:rsid w:val="00375034"/>
    <w:rsid w:val="003750CA"/>
    <w:rsid w:val="00375178"/>
    <w:rsid w:val="003751AB"/>
    <w:rsid w:val="003754EB"/>
    <w:rsid w:val="00375515"/>
    <w:rsid w:val="003758F1"/>
    <w:rsid w:val="00375998"/>
    <w:rsid w:val="00375A17"/>
    <w:rsid w:val="00375B01"/>
    <w:rsid w:val="00375BE6"/>
    <w:rsid w:val="00375CEA"/>
    <w:rsid w:val="00375CEE"/>
    <w:rsid w:val="00375D90"/>
    <w:rsid w:val="00375DEB"/>
    <w:rsid w:val="00375E34"/>
    <w:rsid w:val="00375FF6"/>
    <w:rsid w:val="003762C1"/>
    <w:rsid w:val="003762D2"/>
    <w:rsid w:val="00376316"/>
    <w:rsid w:val="00376463"/>
    <w:rsid w:val="0037683A"/>
    <w:rsid w:val="00376A05"/>
    <w:rsid w:val="00376A61"/>
    <w:rsid w:val="00376AC6"/>
    <w:rsid w:val="00376D67"/>
    <w:rsid w:val="00377354"/>
    <w:rsid w:val="003773DD"/>
    <w:rsid w:val="003773E8"/>
    <w:rsid w:val="0037740B"/>
    <w:rsid w:val="00377419"/>
    <w:rsid w:val="00377530"/>
    <w:rsid w:val="003775BE"/>
    <w:rsid w:val="00377669"/>
    <w:rsid w:val="0037778A"/>
    <w:rsid w:val="003777F9"/>
    <w:rsid w:val="00377894"/>
    <w:rsid w:val="003778FD"/>
    <w:rsid w:val="0037793D"/>
    <w:rsid w:val="00377A26"/>
    <w:rsid w:val="00377A69"/>
    <w:rsid w:val="00377AE6"/>
    <w:rsid w:val="00377D6F"/>
    <w:rsid w:val="00377E13"/>
    <w:rsid w:val="00377F8A"/>
    <w:rsid w:val="00377FB0"/>
    <w:rsid w:val="003802FE"/>
    <w:rsid w:val="00380394"/>
    <w:rsid w:val="00380796"/>
    <w:rsid w:val="00380C8F"/>
    <w:rsid w:val="00380D78"/>
    <w:rsid w:val="00381134"/>
    <w:rsid w:val="0038126F"/>
    <w:rsid w:val="003812E9"/>
    <w:rsid w:val="0038139C"/>
    <w:rsid w:val="003813D4"/>
    <w:rsid w:val="003815AF"/>
    <w:rsid w:val="00381678"/>
    <w:rsid w:val="00381711"/>
    <w:rsid w:val="00381A60"/>
    <w:rsid w:val="003820C9"/>
    <w:rsid w:val="00382118"/>
    <w:rsid w:val="0038225B"/>
    <w:rsid w:val="0038232C"/>
    <w:rsid w:val="0038246E"/>
    <w:rsid w:val="00382603"/>
    <w:rsid w:val="003826E1"/>
    <w:rsid w:val="0038277A"/>
    <w:rsid w:val="0038279B"/>
    <w:rsid w:val="003827F1"/>
    <w:rsid w:val="00382D3A"/>
    <w:rsid w:val="003830EF"/>
    <w:rsid w:val="003831B7"/>
    <w:rsid w:val="00383325"/>
    <w:rsid w:val="003833FB"/>
    <w:rsid w:val="003834B1"/>
    <w:rsid w:val="003834F0"/>
    <w:rsid w:val="00383940"/>
    <w:rsid w:val="00383952"/>
    <w:rsid w:val="00383972"/>
    <w:rsid w:val="00383976"/>
    <w:rsid w:val="0038399B"/>
    <w:rsid w:val="00383E02"/>
    <w:rsid w:val="0038401A"/>
    <w:rsid w:val="003840B8"/>
    <w:rsid w:val="003841D5"/>
    <w:rsid w:val="0038436C"/>
    <w:rsid w:val="0038449C"/>
    <w:rsid w:val="0038451E"/>
    <w:rsid w:val="003845AF"/>
    <w:rsid w:val="00384C8B"/>
    <w:rsid w:val="00385276"/>
    <w:rsid w:val="003853E6"/>
    <w:rsid w:val="003853F2"/>
    <w:rsid w:val="003856BE"/>
    <w:rsid w:val="003857B8"/>
    <w:rsid w:val="00385A0A"/>
    <w:rsid w:val="00385A8C"/>
    <w:rsid w:val="00385AB2"/>
    <w:rsid w:val="00385B4E"/>
    <w:rsid w:val="00385CB6"/>
    <w:rsid w:val="00385D3A"/>
    <w:rsid w:val="00385E1A"/>
    <w:rsid w:val="00385F7B"/>
    <w:rsid w:val="00385F83"/>
    <w:rsid w:val="00386226"/>
    <w:rsid w:val="0038628D"/>
    <w:rsid w:val="0038630F"/>
    <w:rsid w:val="003864FB"/>
    <w:rsid w:val="00386770"/>
    <w:rsid w:val="00386A3F"/>
    <w:rsid w:val="00386A46"/>
    <w:rsid w:val="00386A83"/>
    <w:rsid w:val="00386AFE"/>
    <w:rsid w:val="00386BC5"/>
    <w:rsid w:val="00386DD1"/>
    <w:rsid w:val="00386F4B"/>
    <w:rsid w:val="00387186"/>
    <w:rsid w:val="00387319"/>
    <w:rsid w:val="00387330"/>
    <w:rsid w:val="003873CD"/>
    <w:rsid w:val="003875BB"/>
    <w:rsid w:val="00387620"/>
    <w:rsid w:val="00387668"/>
    <w:rsid w:val="003876A5"/>
    <w:rsid w:val="0038780D"/>
    <w:rsid w:val="00387931"/>
    <w:rsid w:val="00387AFF"/>
    <w:rsid w:val="00387B74"/>
    <w:rsid w:val="00387B75"/>
    <w:rsid w:val="00387BFB"/>
    <w:rsid w:val="00387C73"/>
    <w:rsid w:val="00387C86"/>
    <w:rsid w:val="00387C8E"/>
    <w:rsid w:val="00387CE0"/>
    <w:rsid w:val="00387DB1"/>
    <w:rsid w:val="003902FC"/>
    <w:rsid w:val="0039036B"/>
    <w:rsid w:val="00390545"/>
    <w:rsid w:val="0039075A"/>
    <w:rsid w:val="00390A70"/>
    <w:rsid w:val="00390ACC"/>
    <w:rsid w:val="00390B66"/>
    <w:rsid w:val="00390FB3"/>
    <w:rsid w:val="00391048"/>
    <w:rsid w:val="00391089"/>
    <w:rsid w:val="00391595"/>
    <w:rsid w:val="003915E0"/>
    <w:rsid w:val="00391790"/>
    <w:rsid w:val="003917AD"/>
    <w:rsid w:val="003918B1"/>
    <w:rsid w:val="0039199E"/>
    <w:rsid w:val="00391AA4"/>
    <w:rsid w:val="00391B25"/>
    <w:rsid w:val="00391B62"/>
    <w:rsid w:val="00391C65"/>
    <w:rsid w:val="00391C86"/>
    <w:rsid w:val="00391DA1"/>
    <w:rsid w:val="00391E58"/>
    <w:rsid w:val="00391F05"/>
    <w:rsid w:val="0039203B"/>
    <w:rsid w:val="00392225"/>
    <w:rsid w:val="003923DA"/>
    <w:rsid w:val="003924AB"/>
    <w:rsid w:val="0039257F"/>
    <w:rsid w:val="0039258A"/>
    <w:rsid w:val="00392B00"/>
    <w:rsid w:val="00392B05"/>
    <w:rsid w:val="00392C8C"/>
    <w:rsid w:val="00392D26"/>
    <w:rsid w:val="00392DAE"/>
    <w:rsid w:val="00392E5B"/>
    <w:rsid w:val="00392E73"/>
    <w:rsid w:val="00392F3F"/>
    <w:rsid w:val="00393181"/>
    <w:rsid w:val="003931CA"/>
    <w:rsid w:val="00393238"/>
    <w:rsid w:val="0039324D"/>
    <w:rsid w:val="003932A9"/>
    <w:rsid w:val="003933CF"/>
    <w:rsid w:val="00393431"/>
    <w:rsid w:val="003936A1"/>
    <w:rsid w:val="0039373D"/>
    <w:rsid w:val="003937D3"/>
    <w:rsid w:val="0039380E"/>
    <w:rsid w:val="00393A3D"/>
    <w:rsid w:val="00393B69"/>
    <w:rsid w:val="00393BEB"/>
    <w:rsid w:val="00393D0E"/>
    <w:rsid w:val="00393D94"/>
    <w:rsid w:val="00393E5D"/>
    <w:rsid w:val="00394154"/>
    <w:rsid w:val="00394348"/>
    <w:rsid w:val="003943A6"/>
    <w:rsid w:val="003943F7"/>
    <w:rsid w:val="003945CF"/>
    <w:rsid w:val="003946C2"/>
    <w:rsid w:val="0039478A"/>
    <w:rsid w:val="00394794"/>
    <w:rsid w:val="003947F4"/>
    <w:rsid w:val="00394961"/>
    <w:rsid w:val="00394A21"/>
    <w:rsid w:val="00394A88"/>
    <w:rsid w:val="00394E7F"/>
    <w:rsid w:val="00394E8D"/>
    <w:rsid w:val="0039516F"/>
    <w:rsid w:val="00395173"/>
    <w:rsid w:val="00395569"/>
    <w:rsid w:val="00395814"/>
    <w:rsid w:val="00395849"/>
    <w:rsid w:val="00395864"/>
    <w:rsid w:val="003958CB"/>
    <w:rsid w:val="00395AF6"/>
    <w:rsid w:val="00395B7F"/>
    <w:rsid w:val="00395D13"/>
    <w:rsid w:val="00395DAF"/>
    <w:rsid w:val="00395DF9"/>
    <w:rsid w:val="00395F98"/>
    <w:rsid w:val="00395FB5"/>
    <w:rsid w:val="003960FB"/>
    <w:rsid w:val="0039613B"/>
    <w:rsid w:val="00396184"/>
    <w:rsid w:val="0039620B"/>
    <w:rsid w:val="0039624A"/>
    <w:rsid w:val="00396286"/>
    <w:rsid w:val="0039628C"/>
    <w:rsid w:val="003966CC"/>
    <w:rsid w:val="00396775"/>
    <w:rsid w:val="003967C1"/>
    <w:rsid w:val="00396933"/>
    <w:rsid w:val="003969A6"/>
    <w:rsid w:val="00396A1A"/>
    <w:rsid w:val="00396C61"/>
    <w:rsid w:val="00396C79"/>
    <w:rsid w:val="00396E4C"/>
    <w:rsid w:val="00396FE1"/>
    <w:rsid w:val="00397065"/>
    <w:rsid w:val="003970B8"/>
    <w:rsid w:val="00397304"/>
    <w:rsid w:val="003973DC"/>
    <w:rsid w:val="003974E0"/>
    <w:rsid w:val="00397676"/>
    <w:rsid w:val="0039779B"/>
    <w:rsid w:val="003978CA"/>
    <w:rsid w:val="00397965"/>
    <w:rsid w:val="00397BC9"/>
    <w:rsid w:val="00397C9E"/>
    <w:rsid w:val="00397E9D"/>
    <w:rsid w:val="00397EB5"/>
    <w:rsid w:val="003A000E"/>
    <w:rsid w:val="003A0028"/>
    <w:rsid w:val="003A0150"/>
    <w:rsid w:val="003A0165"/>
    <w:rsid w:val="003A01AA"/>
    <w:rsid w:val="003A01DD"/>
    <w:rsid w:val="003A0332"/>
    <w:rsid w:val="003A03CC"/>
    <w:rsid w:val="003A04F1"/>
    <w:rsid w:val="003A0628"/>
    <w:rsid w:val="003A06E2"/>
    <w:rsid w:val="003A076B"/>
    <w:rsid w:val="003A0A38"/>
    <w:rsid w:val="003A0A9F"/>
    <w:rsid w:val="003A0B79"/>
    <w:rsid w:val="003A0CE4"/>
    <w:rsid w:val="003A0E43"/>
    <w:rsid w:val="003A0FFB"/>
    <w:rsid w:val="003A1075"/>
    <w:rsid w:val="003A12C1"/>
    <w:rsid w:val="003A1766"/>
    <w:rsid w:val="003A1873"/>
    <w:rsid w:val="003A18C6"/>
    <w:rsid w:val="003A1938"/>
    <w:rsid w:val="003A1D19"/>
    <w:rsid w:val="003A1D73"/>
    <w:rsid w:val="003A1E72"/>
    <w:rsid w:val="003A1ECA"/>
    <w:rsid w:val="003A1EFA"/>
    <w:rsid w:val="003A1F0A"/>
    <w:rsid w:val="003A1F3D"/>
    <w:rsid w:val="003A2374"/>
    <w:rsid w:val="003A238D"/>
    <w:rsid w:val="003A246D"/>
    <w:rsid w:val="003A24E8"/>
    <w:rsid w:val="003A2524"/>
    <w:rsid w:val="003A26E0"/>
    <w:rsid w:val="003A287B"/>
    <w:rsid w:val="003A2A6D"/>
    <w:rsid w:val="003A2C5F"/>
    <w:rsid w:val="003A2E47"/>
    <w:rsid w:val="003A2F7E"/>
    <w:rsid w:val="003A3097"/>
    <w:rsid w:val="003A32AC"/>
    <w:rsid w:val="003A3450"/>
    <w:rsid w:val="003A3489"/>
    <w:rsid w:val="003A34CA"/>
    <w:rsid w:val="003A3510"/>
    <w:rsid w:val="003A35DF"/>
    <w:rsid w:val="003A37DB"/>
    <w:rsid w:val="003A3856"/>
    <w:rsid w:val="003A394B"/>
    <w:rsid w:val="003A39F7"/>
    <w:rsid w:val="003A3B22"/>
    <w:rsid w:val="003A3B83"/>
    <w:rsid w:val="003A3BF3"/>
    <w:rsid w:val="003A3C57"/>
    <w:rsid w:val="003A3E4B"/>
    <w:rsid w:val="003A3EC6"/>
    <w:rsid w:val="003A3F12"/>
    <w:rsid w:val="003A3F2C"/>
    <w:rsid w:val="003A401A"/>
    <w:rsid w:val="003A401E"/>
    <w:rsid w:val="003A40CA"/>
    <w:rsid w:val="003A41C7"/>
    <w:rsid w:val="003A4235"/>
    <w:rsid w:val="003A4236"/>
    <w:rsid w:val="003A4329"/>
    <w:rsid w:val="003A43E9"/>
    <w:rsid w:val="003A43EC"/>
    <w:rsid w:val="003A44D7"/>
    <w:rsid w:val="003A45B7"/>
    <w:rsid w:val="003A47C6"/>
    <w:rsid w:val="003A48E6"/>
    <w:rsid w:val="003A49F8"/>
    <w:rsid w:val="003A4A0F"/>
    <w:rsid w:val="003A4C7F"/>
    <w:rsid w:val="003A4DAD"/>
    <w:rsid w:val="003A4E62"/>
    <w:rsid w:val="003A4F35"/>
    <w:rsid w:val="003A5210"/>
    <w:rsid w:val="003A536A"/>
    <w:rsid w:val="003A53ED"/>
    <w:rsid w:val="003A5697"/>
    <w:rsid w:val="003A56F9"/>
    <w:rsid w:val="003A57B0"/>
    <w:rsid w:val="003A58F0"/>
    <w:rsid w:val="003A5B25"/>
    <w:rsid w:val="003A5C76"/>
    <w:rsid w:val="003A5D15"/>
    <w:rsid w:val="003A5D8F"/>
    <w:rsid w:val="003A5DF4"/>
    <w:rsid w:val="003A5F2E"/>
    <w:rsid w:val="003A61D0"/>
    <w:rsid w:val="003A6345"/>
    <w:rsid w:val="003A63D7"/>
    <w:rsid w:val="003A6443"/>
    <w:rsid w:val="003A6576"/>
    <w:rsid w:val="003A6615"/>
    <w:rsid w:val="003A67E4"/>
    <w:rsid w:val="003A68A3"/>
    <w:rsid w:val="003A691F"/>
    <w:rsid w:val="003A6A66"/>
    <w:rsid w:val="003A6AFA"/>
    <w:rsid w:val="003A6D15"/>
    <w:rsid w:val="003A7063"/>
    <w:rsid w:val="003A724A"/>
    <w:rsid w:val="003A73D1"/>
    <w:rsid w:val="003A749C"/>
    <w:rsid w:val="003A75B6"/>
    <w:rsid w:val="003A7951"/>
    <w:rsid w:val="003A7B19"/>
    <w:rsid w:val="003A7BFF"/>
    <w:rsid w:val="003A7E60"/>
    <w:rsid w:val="003B0096"/>
    <w:rsid w:val="003B01A4"/>
    <w:rsid w:val="003B01B9"/>
    <w:rsid w:val="003B042B"/>
    <w:rsid w:val="003B0712"/>
    <w:rsid w:val="003B0791"/>
    <w:rsid w:val="003B0BEB"/>
    <w:rsid w:val="003B0CA1"/>
    <w:rsid w:val="003B0DD0"/>
    <w:rsid w:val="003B0E18"/>
    <w:rsid w:val="003B0E3E"/>
    <w:rsid w:val="003B0F52"/>
    <w:rsid w:val="003B0F7E"/>
    <w:rsid w:val="003B1029"/>
    <w:rsid w:val="003B1085"/>
    <w:rsid w:val="003B10B9"/>
    <w:rsid w:val="003B1103"/>
    <w:rsid w:val="003B12F9"/>
    <w:rsid w:val="003B1505"/>
    <w:rsid w:val="003B15C5"/>
    <w:rsid w:val="003B179C"/>
    <w:rsid w:val="003B1978"/>
    <w:rsid w:val="003B1B2A"/>
    <w:rsid w:val="003B1C2F"/>
    <w:rsid w:val="003B1CB2"/>
    <w:rsid w:val="003B1CCD"/>
    <w:rsid w:val="003B209C"/>
    <w:rsid w:val="003B2242"/>
    <w:rsid w:val="003B22FF"/>
    <w:rsid w:val="003B2550"/>
    <w:rsid w:val="003B26F8"/>
    <w:rsid w:val="003B2881"/>
    <w:rsid w:val="003B2890"/>
    <w:rsid w:val="003B2A03"/>
    <w:rsid w:val="003B2C35"/>
    <w:rsid w:val="003B2C45"/>
    <w:rsid w:val="003B2C88"/>
    <w:rsid w:val="003B2DFD"/>
    <w:rsid w:val="003B2E5E"/>
    <w:rsid w:val="003B2F6F"/>
    <w:rsid w:val="003B2FA7"/>
    <w:rsid w:val="003B3096"/>
    <w:rsid w:val="003B3196"/>
    <w:rsid w:val="003B31FA"/>
    <w:rsid w:val="003B337B"/>
    <w:rsid w:val="003B3481"/>
    <w:rsid w:val="003B357E"/>
    <w:rsid w:val="003B388C"/>
    <w:rsid w:val="003B3905"/>
    <w:rsid w:val="003B3A38"/>
    <w:rsid w:val="003B3BFE"/>
    <w:rsid w:val="003B3C3F"/>
    <w:rsid w:val="003B3CA8"/>
    <w:rsid w:val="003B3D01"/>
    <w:rsid w:val="003B3DDB"/>
    <w:rsid w:val="003B3F7B"/>
    <w:rsid w:val="003B4058"/>
    <w:rsid w:val="003B409A"/>
    <w:rsid w:val="003B41DC"/>
    <w:rsid w:val="003B42DD"/>
    <w:rsid w:val="003B43B8"/>
    <w:rsid w:val="003B4506"/>
    <w:rsid w:val="003B477E"/>
    <w:rsid w:val="003B4C5E"/>
    <w:rsid w:val="003B4C70"/>
    <w:rsid w:val="003B4D85"/>
    <w:rsid w:val="003B4DAA"/>
    <w:rsid w:val="003B4DE5"/>
    <w:rsid w:val="003B4DF1"/>
    <w:rsid w:val="003B4E6F"/>
    <w:rsid w:val="003B4F01"/>
    <w:rsid w:val="003B4F33"/>
    <w:rsid w:val="003B517F"/>
    <w:rsid w:val="003B5268"/>
    <w:rsid w:val="003B52C5"/>
    <w:rsid w:val="003B52D9"/>
    <w:rsid w:val="003B54E4"/>
    <w:rsid w:val="003B5556"/>
    <w:rsid w:val="003B5618"/>
    <w:rsid w:val="003B58F7"/>
    <w:rsid w:val="003B59F3"/>
    <w:rsid w:val="003B5A6C"/>
    <w:rsid w:val="003B5EBF"/>
    <w:rsid w:val="003B5F7A"/>
    <w:rsid w:val="003B60CC"/>
    <w:rsid w:val="003B62D2"/>
    <w:rsid w:val="003B6389"/>
    <w:rsid w:val="003B6474"/>
    <w:rsid w:val="003B650D"/>
    <w:rsid w:val="003B655E"/>
    <w:rsid w:val="003B6887"/>
    <w:rsid w:val="003B6A14"/>
    <w:rsid w:val="003B6ABE"/>
    <w:rsid w:val="003B6B22"/>
    <w:rsid w:val="003B6BC5"/>
    <w:rsid w:val="003B6C67"/>
    <w:rsid w:val="003B6CA6"/>
    <w:rsid w:val="003B6CD8"/>
    <w:rsid w:val="003B6FCE"/>
    <w:rsid w:val="003B7342"/>
    <w:rsid w:val="003B7575"/>
    <w:rsid w:val="003B75AE"/>
    <w:rsid w:val="003B791E"/>
    <w:rsid w:val="003B7BA2"/>
    <w:rsid w:val="003B7CA9"/>
    <w:rsid w:val="003B7CF6"/>
    <w:rsid w:val="003B7DA7"/>
    <w:rsid w:val="003B7F41"/>
    <w:rsid w:val="003B7F57"/>
    <w:rsid w:val="003B7FFB"/>
    <w:rsid w:val="003C02E2"/>
    <w:rsid w:val="003C064B"/>
    <w:rsid w:val="003C07D8"/>
    <w:rsid w:val="003C080D"/>
    <w:rsid w:val="003C0818"/>
    <w:rsid w:val="003C0A5F"/>
    <w:rsid w:val="003C0D4E"/>
    <w:rsid w:val="003C0DE6"/>
    <w:rsid w:val="003C0E2A"/>
    <w:rsid w:val="003C106A"/>
    <w:rsid w:val="003C1075"/>
    <w:rsid w:val="003C1252"/>
    <w:rsid w:val="003C1532"/>
    <w:rsid w:val="003C16CE"/>
    <w:rsid w:val="003C16DA"/>
    <w:rsid w:val="003C18A3"/>
    <w:rsid w:val="003C18AD"/>
    <w:rsid w:val="003C1918"/>
    <w:rsid w:val="003C1A29"/>
    <w:rsid w:val="003C1AF3"/>
    <w:rsid w:val="003C1C5D"/>
    <w:rsid w:val="003C1CF2"/>
    <w:rsid w:val="003C1E46"/>
    <w:rsid w:val="003C1FD6"/>
    <w:rsid w:val="003C212B"/>
    <w:rsid w:val="003C217E"/>
    <w:rsid w:val="003C2216"/>
    <w:rsid w:val="003C22A3"/>
    <w:rsid w:val="003C22C6"/>
    <w:rsid w:val="003C23FE"/>
    <w:rsid w:val="003C24F2"/>
    <w:rsid w:val="003C29B4"/>
    <w:rsid w:val="003C29FF"/>
    <w:rsid w:val="003C2A08"/>
    <w:rsid w:val="003C2BE5"/>
    <w:rsid w:val="003C2C8E"/>
    <w:rsid w:val="003C2CEB"/>
    <w:rsid w:val="003C2D0F"/>
    <w:rsid w:val="003C2DA0"/>
    <w:rsid w:val="003C2E2F"/>
    <w:rsid w:val="003C30D4"/>
    <w:rsid w:val="003C33B9"/>
    <w:rsid w:val="003C3439"/>
    <w:rsid w:val="003C34A8"/>
    <w:rsid w:val="003C3519"/>
    <w:rsid w:val="003C36FF"/>
    <w:rsid w:val="003C3740"/>
    <w:rsid w:val="003C3852"/>
    <w:rsid w:val="003C3BAA"/>
    <w:rsid w:val="003C3C52"/>
    <w:rsid w:val="003C406F"/>
    <w:rsid w:val="003C4118"/>
    <w:rsid w:val="003C42C0"/>
    <w:rsid w:val="003C45D5"/>
    <w:rsid w:val="003C4654"/>
    <w:rsid w:val="003C47A2"/>
    <w:rsid w:val="003C4853"/>
    <w:rsid w:val="003C49E2"/>
    <w:rsid w:val="003C4C25"/>
    <w:rsid w:val="003C4C29"/>
    <w:rsid w:val="003C4DC2"/>
    <w:rsid w:val="003C4F82"/>
    <w:rsid w:val="003C4FB7"/>
    <w:rsid w:val="003C50AB"/>
    <w:rsid w:val="003C5162"/>
    <w:rsid w:val="003C53FA"/>
    <w:rsid w:val="003C5640"/>
    <w:rsid w:val="003C57EE"/>
    <w:rsid w:val="003C594A"/>
    <w:rsid w:val="003C598E"/>
    <w:rsid w:val="003C5A47"/>
    <w:rsid w:val="003C5A88"/>
    <w:rsid w:val="003C5B28"/>
    <w:rsid w:val="003C5C60"/>
    <w:rsid w:val="003C5E5A"/>
    <w:rsid w:val="003C5E5D"/>
    <w:rsid w:val="003C65CB"/>
    <w:rsid w:val="003C664B"/>
    <w:rsid w:val="003C6783"/>
    <w:rsid w:val="003C6A8A"/>
    <w:rsid w:val="003C6CEE"/>
    <w:rsid w:val="003C6E78"/>
    <w:rsid w:val="003C6F62"/>
    <w:rsid w:val="003C6FAF"/>
    <w:rsid w:val="003C73BC"/>
    <w:rsid w:val="003C75C0"/>
    <w:rsid w:val="003C77BC"/>
    <w:rsid w:val="003C7876"/>
    <w:rsid w:val="003C796C"/>
    <w:rsid w:val="003C7A6B"/>
    <w:rsid w:val="003C7DA9"/>
    <w:rsid w:val="003C7E05"/>
    <w:rsid w:val="003C7F22"/>
    <w:rsid w:val="003C7F97"/>
    <w:rsid w:val="003D0042"/>
    <w:rsid w:val="003D0149"/>
    <w:rsid w:val="003D018D"/>
    <w:rsid w:val="003D02AF"/>
    <w:rsid w:val="003D05B5"/>
    <w:rsid w:val="003D06D5"/>
    <w:rsid w:val="003D0700"/>
    <w:rsid w:val="003D073E"/>
    <w:rsid w:val="003D08C0"/>
    <w:rsid w:val="003D0B61"/>
    <w:rsid w:val="003D0C81"/>
    <w:rsid w:val="003D0F26"/>
    <w:rsid w:val="003D0F68"/>
    <w:rsid w:val="003D100C"/>
    <w:rsid w:val="003D10D2"/>
    <w:rsid w:val="003D11F1"/>
    <w:rsid w:val="003D122F"/>
    <w:rsid w:val="003D12C8"/>
    <w:rsid w:val="003D14C6"/>
    <w:rsid w:val="003D164B"/>
    <w:rsid w:val="003D1A65"/>
    <w:rsid w:val="003D1C67"/>
    <w:rsid w:val="003D1CAB"/>
    <w:rsid w:val="003D1CEE"/>
    <w:rsid w:val="003D1D65"/>
    <w:rsid w:val="003D1D79"/>
    <w:rsid w:val="003D1DF0"/>
    <w:rsid w:val="003D1E53"/>
    <w:rsid w:val="003D1E79"/>
    <w:rsid w:val="003D1EA2"/>
    <w:rsid w:val="003D1F17"/>
    <w:rsid w:val="003D2205"/>
    <w:rsid w:val="003D2389"/>
    <w:rsid w:val="003D24D2"/>
    <w:rsid w:val="003D2612"/>
    <w:rsid w:val="003D26E7"/>
    <w:rsid w:val="003D26E8"/>
    <w:rsid w:val="003D27BD"/>
    <w:rsid w:val="003D27E8"/>
    <w:rsid w:val="003D2811"/>
    <w:rsid w:val="003D2A52"/>
    <w:rsid w:val="003D2A5A"/>
    <w:rsid w:val="003D2AA1"/>
    <w:rsid w:val="003D2C5A"/>
    <w:rsid w:val="003D2CA6"/>
    <w:rsid w:val="003D2DA4"/>
    <w:rsid w:val="003D2F3C"/>
    <w:rsid w:val="003D30C4"/>
    <w:rsid w:val="003D31ED"/>
    <w:rsid w:val="003D334C"/>
    <w:rsid w:val="003D33C0"/>
    <w:rsid w:val="003D33DC"/>
    <w:rsid w:val="003D3446"/>
    <w:rsid w:val="003D3865"/>
    <w:rsid w:val="003D38B5"/>
    <w:rsid w:val="003D3902"/>
    <w:rsid w:val="003D3B1B"/>
    <w:rsid w:val="003D3BAC"/>
    <w:rsid w:val="003D3EA1"/>
    <w:rsid w:val="003D4055"/>
    <w:rsid w:val="003D406E"/>
    <w:rsid w:val="003D4400"/>
    <w:rsid w:val="003D45CF"/>
    <w:rsid w:val="003D488A"/>
    <w:rsid w:val="003D4907"/>
    <w:rsid w:val="003D4961"/>
    <w:rsid w:val="003D4A9A"/>
    <w:rsid w:val="003D4ED1"/>
    <w:rsid w:val="003D4F3F"/>
    <w:rsid w:val="003D5052"/>
    <w:rsid w:val="003D5224"/>
    <w:rsid w:val="003D550D"/>
    <w:rsid w:val="003D551A"/>
    <w:rsid w:val="003D560A"/>
    <w:rsid w:val="003D57C2"/>
    <w:rsid w:val="003D581B"/>
    <w:rsid w:val="003D5830"/>
    <w:rsid w:val="003D5A6A"/>
    <w:rsid w:val="003D5A96"/>
    <w:rsid w:val="003D5B3D"/>
    <w:rsid w:val="003D5BB0"/>
    <w:rsid w:val="003D5BD7"/>
    <w:rsid w:val="003D5DEF"/>
    <w:rsid w:val="003D5F76"/>
    <w:rsid w:val="003D6244"/>
    <w:rsid w:val="003D6476"/>
    <w:rsid w:val="003D6480"/>
    <w:rsid w:val="003D65EE"/>
    <w:rsid w:val="003D66D9"/>
    <w:rsid w:val="003D6B65"/>
    <w:rsid w:val="003D6B7C"/>
    <w:rsid w:val="003D6BE2"/>
    <w:rsid w:val="003D6DE2"/>
    <w:rsid w:val="003D6F86"/>
    <w:rsid w:val="003D6FD3"/>
    <w:rsid w:val="003D7007"/>
    <w:rsid w:val="003D7067"/>
    <w:rsid w:val="003D715A"/>
    <w:rsid w:val="003D71ED"/>
    <w:rsid w:val="003D7250"/>
    <w:rsid w:val="003D736A"/>
    <w:rsid w:val="003D736D"/>
    <w:rsid w:val="003D7462"/>
    <w:rsid w:val="003D750C"/>
    <w:rsid w:val="003D76F7"/>
    <w:rsid w:val="003D7A13"/>
    <w:rsid w:val="003D7BC9"/>
    <w:rsid w:val="003D7CAA"/>
    <w:rsid w:val="003D7F05"/>
    <w:rsid w:val="003D7FB0"/>
    <w:rsid w:val="003E039C"/>
    <w:rsid w:val="003E05B4"/>
    <w:rsid w:val="003E0697"/>
    <w:rsid w:val="003E06DC"/>
    <w:rsid w:val="003E0837"/>
    <w:rsid w:val="003E09EC"/>
    <w:rsid w:val="003E0D99"/>
    <w:rsid w:val="003E1080"/>
    <w:rsid w:val="003E108F"/>
    <w:rsid w:val="003E10CF"/>
    <w:rsid w:val="003E1215"/>
    <w:rsid w:val="003E1445"/>
    <w:rsid w:val="003E146F"/>
    <w:rsid w:val="003E15BE"/>
    <w:rsid w:val="003E173C"/>
    <w:rsid w:val="003E1974"/>
    <w:rsid w:val="003E1A7B"/>
    <w:rsid w:val="003E1AFB"/>
    <w:rsid w:val="003E1CDB"/>
    <w:rsid w:val="003E1D13"/>
    <w:rsid w:val="003E1D9E"/>
    <w:rsid w:val="003E1ED2"/>
    <w:rsid w:val="003E1FFD"/>
    <w:rsid w:val="003E20B4"/>
    <w:rsid w:val="003E211B"/>
    <w:rsid w:val="003E2258"/>
    <w:rsid w:val="003E2300"/>
    <w:rsid w:val="003E2451"/>
    <w:rsid w:val="003E245F"/>
    <w:rsid w:val="003E2522"/>
    <w:rsid w:val="003E2562"/>
    <w:rsid w:val="003E257B"/>
    <w:rsid w:val="003E258B"/>
    <w:rsid w:val="003E26F4"/>
    <w:rsid w:val="003E2784"/>
    <w:rsid w:val="003E28BD"/>
    <w:rsid w:val="003E294F"/>
    <w:rsid w:val="003E29C3"/>
    <w:rsid w:val="003E2A7A"/>
    <w:rsid w:val="003E2A7C"/>
    <w:rsid w:val="003E2BD8"/>
    <w:rsid w:val="003E2BFB"/>
    <w:rsid w:val="003E2D47"/>
    <w:rsid w:val="003E2E66"/>
    <w:rsid w:val="003E3636"/>
    <w:rsid w:val="003E3827"/>
    <w:rsid w:val="003E38C9"/>
    <w:rsid w:val="003E39AA"/>
    <w:rsid w:val="003E3A3E"/>
    <w:rsid w:val="003E3AE7"/>
    <w:rsid w:val="003E3C29"/>
    <w:rsid w:val="003E3CD6"/>
    <w:rsid w:val="003E3E45"/>
    <w:rsid w:val="003E4078"/>
    <w:rsid w:val="003E40C7"/>
    <w:rsid w:val="003E40F8"/>
    <w:rsid w:val="003E4186"/>
    <w:rsid w:val="003E418F"/>
    <w:rsid w:val="003E419D"/>
    <w:rsid w:val="003E42E8"/>
    <w:rsid w:val="003E435F"/>
    <w:rsid w:val="003E4444"/>
    <w:rsid w:val="003E44B8"/>
    <w:rsid w:val="003E4756"/>
    <w:rsid w:val="003E4820"/>
    <w:rsid w:val="003E482E"/>
    <w:rsid w:val="003E4983"/>
    <w:rsid w:val="003E4AEA"/>
    <w:rsid w:val="003E4B59"/>
    <w:rsid w:val="003E4CB0"/>
    <w:rsid w:val="003E4E03"/>
    <w:rsid w:val="003E4E40"/>
    <w:rsid w:val="003E4E5E"/>
    <w:rsid w:val="003E4FEA"/>
    <w:rsid w:val="003E516C"/>
    <w:rsid w:val="003E51D8"/>
    <w:rsid w:val="003E5458"/>
    <w:rsid w:val="003E54AB"/>
    <w:rsid w:val="003E5B21"/>
    <w:rsid w:val="003E5B78"/>
    <w:rsid w:val="003E5B80"/>
    <w:rsid w:val="003E5D2A"/>
    <w:rsid w:val="003E6066"/>
    <w:rsid w:val="003E60CA"/>
    <w:rsid w:val="003E617E"/>
    <w:rsid w:val="003E63BD"/>
    <w:rsid w:val="003E63CB"/>
    <w:rsid w:val="003E646A"/>
    <w:rsid w:val="003E654C"/>
    <w:rsid w:val="003E685A"/>
    <w:rsid w:val="003E6B4C"/>
    <w:rsid w:val="003E6DDE"/>
    <w:rsid w:val="003E6DE7"/>
    <w:rsid w:val="003E6E45"/>
    <w:rsid w:val="003E6EA7"/>
    <w:rsid w:val="003E7010"/>
    <w:rsid w:val="003E70ED"/>
    <w:rsid w:val="003E7433"/>
    <w:rsid w:val="003E7845"/>
    <w:rsid w:val="003E7892"/>
    <w:rsid w:val="003E7908"/>
    <w:rsid w:val="003E7972"/>
    <w:rsid w:val="003E79BE"/>
    <w:rsid w:val="003E7A16"/>
    <w:rsid w:val="003E7A46"/>
    <w:rsid w:val="003E7B27"/>
    <w:rsid w:val="003E7C15"/>
    <w:rsid w:val="003E7DC1"/>
    <w:rsid w:val="003E7E70"/>
    <w:rsid w:val="003E7F7E"/>
    <w:rsid w:val="003F00BD"/>
    <w:rsid w:val="003F012D"/>
    <w:rsid w:val="003F019C"/>
    <w:rsid w:val="003F01E6"/>
    <w:rsid w:val="003F048B"/>
    <w:rsid w:val="003F04DA"/>
    <w:rsid w:val="003F052B"/>
    <w:rsid w:val="003F065E"/>
    <w:rsid w:val="003F09B9"/>
    <w:rsid w:val="003F09EA"/>
    <w:rsid w:val="003F0C07"/>
    <w:rsid w:val="003F0C2C"/>
    <w:rsid w:val="003F114C"/>
    <w:rsid w:val="003F1509"/>
    <w:rsid w:val="003F1562"/>
    <w:rsid w:val="003F1786"/>
    <w:rsid w:val="003F17F5"/>
    <w:rsid w:val="003F1F45"/>
    <w:rsid w:val="003F2168"/>
    <w:rsid w:val="003F21B2"/>
    <w:rsid w:val="003F21C4"/>
    <w:rsid w:val="003F21CD"/>
    <w:rsid w:val="003F223F"/>
    <w:rsid w:val="003F2279"/>
    <w:rsid w:val="003F22C3"/>
    <w:rsid w:val="003F24E3"/>
    <w:rsid w:val="003F25A2"/>
    <w:rsid w:val="003F2605"/>
    <w:rsid w:val="003F2732"/>
    <w:rsid w:val="003F29D1"/>
    <w:rsid w:val="003F2A4E"/>
    <w:rsid w:val="003F2A9D"/>
    <w:rsid w:val="003F2DB8"/>
    <w:rsid w:val="003F2F29"/>
    <w:rsid w:val="003F3053"/>
    <w:rsid w:val="003F3128"/>
    <w:rsid w:val="003F317B"/>
    <w:rsid w:val="003F3253"/>
    <w:rsid w:val="003F35B7"/>
    <w:rsid w:val="003F375C"/>
    <w:rsid w:val="003F3823"/>
    <w:rsid w:val="003F386D"/>
    <w:rsid w:val="003F3942"/>
    <w:rsid w:val="003F39EB"/>
    <w:rsid w:val="003F3B2A"/>
    <w:rsid w:val="003F3C46"/>
    <w:rsid w:val="003F3CBD"/>
    <w:rsid w:val="003F3F31"/>
    <w:rsid w:val="003F41A7"/>
    <w:rsid w:val="003F45F8"/>
    <w:rsid w:val="003F49BA"/>
    <w:rsid w:val="003F4A49"/>
    <w:rsid w:val="003F4A9A"/>
    <w:rsid w:val="003F4B73"/>
    <w:rsid w:val="003F4C4F"/>
    <w:rsid w:val="003F4C54"/>
    <w:rsid w:val="003F4F63"/>
    <w:rsid w:val="003F513E"/>
    <w:rsid w:val="003F51C3"/>
    <w:rsid w:val="003F53A7"/>
    <w:rsid w:val="003F554A"/>
    <w:rsid w:val="003F5597"/>
    <w:rsid w:val="003F5760"/>
    <w:rsid w:val="003F57EA"/>
    <w:rsid w:val="003F5944"/>
    <w:rsid w:val="003F594E"/>
    <w:rsid w:val="003F5A37"/>
    <w:rsid w:val="003F5A54"/>
    <w:rsid w:val="003F5ADF"/>
    <w:rsid w:val="003F5B62"/>
    <w:rsid w:val="003F5BE3"/>
    <w:rsid w:val="003F5D7E"/>
    <w:rsid w:val="003F601C"/>
    <w:rsid w:val="003F6049"/>
    <w:rsid w:val="003F61C0"/>
    <w:rsid w:val="003F62D1"/>
    <w:rsid w:val="003F6496"/>
    <w:rsid w:val="003F6629"/>
    <w:rsid w:val="003F67F6"/>
    <w:rsid w:val="003F6960"/>
    <w:rsid w:val="003F697E"/>
    <w:rsid w:val="003F69EF"/>
    <w:rsid w:val="003F6BDF"/>
    <w:rsid w:val="003F6CC9"/>
    <w:rsid w:val="003F6D97"/>
    <w:rsid w:val="003F6E7C"/>
    <w:rsid w:val="003F6FF0"/>
    <w:rsid w:val="003F7115"/>
    <w:rsid w:val="003F7154"/>
    <w:rsid w:val="003F71EF"/>
    <w:rsid w:val="003F720C"/>
    <w:rsid w:val="003F729F"/>
    <w:rsid w:val="003F72FB"/>
    <w:rsid w:val="003F735E"/>
    <w:rsid w:val="003F74AD"/>
    <w:rsid w:val="003F760A"/>
    <w:rsid w:val="003F7773"/>
    <w:rsid w:val="003F7823"/>
    <w:rsid w:val="003F784B"/>
    <w:rsid w:val="003F7885"/>
    <w:rsid w:val="003F78F6"/>
    <w:rsid w:val="003F7921"/>
    <w:rsid w:val="003F7C3F"/>
    <w:rsid w:val="003F7D79"/>
    <w:rsid w:val="003F7DBF"/>
    <w:rsid w:val="003F7FAC"/>
    <w:rsid w:val="003F7FAF"/>
    <w:rsid w:val="003F7FD3"/>
    <w:rsid w:val="004003DA"/>
    <w:rsid w:val="004004CA"/>
    <w:rsid w:val="0040073D"/>
    <w:rsid w:val="004007F8"/>
    <w:rsid w:val="004008CF"/>
    <w:rsid w:val="00400C42"/>
    <w:rsid w:val="00400CDA"/>
    <w:rsid w:val="00400D73"/>
    <w:rsid w:val="00400DEE"/>
    <w:rsid w:val="00400F22"/>
    <w:rsid w:val="00400F74"/>
    <w:rsid w:val="00400F85"/>
    <w:rsid w:val="004010CA"/>
    <w:rsid w:val="00401491"/>
    <w:rsid w:val="0040159D"/>
    <w:rsid w:val="00401646"/>
    <w:rsid w:val="00401730"/>
    <w:rsid w:val="004017E4"/>
    <w:rsid w:val="0040182F"/>
    <w:rsid w:val="00401AAF"/>
    <w:rsid w:val="00401EDC"/>
    <w:rsid w:val="00401F8E"/>
    <w:rsid w:val="0040207B"/>
    <w:rsid w:val="00402152"/>
    <w:rsid w:val="00402255"/>
    <w:rsid w:val="004023D8"/>
    <w:rsid w:val="00402433"/>
    <w:rsid w:val="004025D8"/>
    <w:rsid w:val="004026A4"/>
    <w:rsid w:val="00402777"/>
    <w:rsid w:val="004027B2"/>
    <w:rsid w:val="004027C0"/>
    <w:rsid w:val="0040290D"/>
    <w:rsid w:val="00402A9F"/>
    <w:rsid w:val="00402AEA"/>
    <w:rsid w:val="00402B12"/>
    <w:rsid w:val="00402CAC"/>
    <w:rsid w:val="00402ED2"/>
    <w:rsid w:val="00402F08"/>
    <w:rsid w:val="00403169"/>
    <w:rsid w:val="00403280"/>
    <w:rsid w:val="004033DD"/>
    <w:rsid w:val="004035FC"/>
    <w:rsid w:val="0040389B"/>
    <w:rsid w:val="004038C9"/>
    <w:rsid w:val="004039A7"/>
    <w:rsid w:val="00403A1A"/>
    <w:rsid w:val="00403A78"/>
    <w:rsid w:val="00403AA3"/>
    <w:rsid w:val="00403B27"/>
    <w:rsid w:val="00403C8D"/>
    <w:rsid w:val="00403C9B"/>
    <w:rsid w:val="00403D1A"/>
    <w:rsid w:val="00403D3D"/>
    <w:rsid w:val="00403F00"/>
    <w:rsid w:val="00403FBE"/>
    <w:rsid w:val="004040A6"/>
    <w:rsid w:val="0040412D"/>
    <w:rsid w:val="004044FC"/>
    <w:rsid w:val="0040475E"/>
    <w:rsid w:val="00404A0D"/>
    <w:rsid w:val="00404A2D"/>
    <w:rsid w:val="00404AA4"/>
    <w:rsid w:val="00404AB0"/>
    <w:rsid w:val="004050E1"/>
    <w:rsid w:val="0040514B"/>
    <w:rsid w:val="004053A8"/>
    <w:rsid w:val="004053BC"/>
    <w:rsid w:val="00405431"/>
    <w:rsid w:val="004054D7"/>
    <w:rsid w:val="00405678"/>
    <w:rsid w:val="004056F7"/>
    <w:rsid w:val="004056F8"/>
    <w:rsid w:val="00405773"/>
    <w:rsid w:val="00405858"/>
    <w:rsid w:val="00405A11"/>
    <w:rsid w:val="00405B62"/>
    <w:rsid w:val="00405BE1"/>
    <w:rsid w:val="00405D67"/>
    <w:rsid w:val="00405F76"/>
    <w:rsid w:val="00405FE9"/>
    <w:rsid w:val="004060EF"/>
    <w:rsid w:val="004064A5"/>
    <w:rsid w:val="00406556"/>
    <w:rsid w:val="0040698D"/>
    <w:rsid w:val="00406B47"/>
    <w:rsid w:val="00406CE2"/>
    <w:rsid w:val="00406D93"/>
    <w:rsid w:val="00406E10"/>
    <w:rsid w:val="00406EAC"/>
    <w:rsid w:val="00406F9D"/>
    <w:rsid w:val="004070CA"/>
    <w:rsid w:val="00407168"/>
    <w:rsid w:val="0040727A"/>
    <w:rsid w:val="00407428"/>
    <w:rsid w:val="004074D1"/>
    <w:rsid w:val="00407517"/>
    <w:rsid w:val="00407659"/>
    <w:rsid w:val="00407850"/>
    <w:rsid w:val="00407873"/>
    <w:rsid w:val="004078A0"/>
    <w:rsid w:val="00407B63"/>
    <w:rsid w:val="00407F9E"/>
    <w:rsid w:val="00407FC6"/>
    <w:rsid w:val="00410028"/>
    <w:rsid w:val="0041035C"/>
    <w:rsid w:val="00410398"/>
    <w:rsid w:val="004103B7"/>
    <w:rsid w:val="0041054A"/>
    <w:rsid w:val="00410557"/>
    <w:rsid w:val="00410662"/>
    <w:rsid w:val="004109C7"/>
    <w:rsid w:val="00410BD7"/>
    <w:rsid w:val="00410C9B"/>
    <w:rsid w:val="00410CA7"/>
    <w:rsid w:val="00410D7C"/>
    <w:rsid w:val="00410DE7"/>
    <w:rsid w:val="004110C7"/>
    <w:rsid w:val="004111EF"/>
    <w:rsid w:val="004111F0"/>
    <w:rsid w:val="004111FD"/>
    <w:rsid w:val="004112EB"/>
    <w:rsid w:val="00411743"/>
    <w:rsid w:val="004119BF"/>
    <w:rsid w:val="00411BDF"/>
    <w:rsid w:val="00411D90"/>
    <w:rsid w:val="00411E19"/>
    <w:rsid w:val="00411FEE"/>
    <w:rsid w:val="00412314"/>
    <w:rsid w:val="0041250D"/>
    <w:rsid w:val="004128D4"/>
    <w:rsid w:val="004129AC"/>
    <w:rsid w:val="004129B7"/>
    <w:rsid w:val="00412A97"/>
    <w:rsid w:val="00412E70"/>
    <w:rsid w:val="00413087"/>
    <w:rsid w:val="004130F9"/>
    <w:rsid w:val="0041318A"/>
    <w:rsid w:val="004131B6"/>
    <w:rsid w:val="004136B6"/>
    <w:rsid w:val="0041370C"/>
    <w:rsid w:val="00413775"/>
    <w:rsid w:val="00413905"/>
    <w:rsid w:val="00413906"/>
    <w:rsid w:val="004139B8"/>
    <w:rsid w:val="00413A3B"/>
    <w:rsid w:val="00413C52"/>
    <w:rsid w:val="00413D97"/>
    <w:rsid w:val="00413DB3"/>
    <w:rsid w:val="00413FE8"/>
    <w:rsid w:val="0041405E"/>
    <w:rsid w:val="004140A6"/>
    <w:rsid w:val="00414108"/>
    <w:rsid w:val="0041414C"/>
    <w:rsid w:val="00414172"/>
    <w:rsid w:val="0041443C"/>
    <w:rsid w:val="00414670"/>
    <w:rsid w:val="004147D3"/>
    <w:rsid w:val="00414813"/>
    <w:rsid w:val="00414858"/>
    <w:rsid w:val="00414874"/>
    <w:rsid w:val="004149C6"/>
    <w:rsid w:val="004149C9"/>
    <w:rsid w:val="00414B65"/>
    <w:rsid w:val="00414EA9"/>
    <w:rsid w:val="00414F42"/>
    <w:rsid w:val="00415022"/>
    <w:rsid w:val="0041502F"/>
    <w:rsid w:val="0041516E"/>
    <w:rsid w:val="0041525E"/>
    <w:rsid w:val="0041528F"/>
    <w:rsid w:val="004152CE"/>
    <w:rsid w:val="004152EE"/>
    <w:rsid w:val="004153FD"/>
    <w:rsid w:val="0041562B"/>
    <w:rsid w:val="0041595D"/>
    <w:rsid w:val="00415A89"/>
    <w:rsid w:val="00415BE5"/>
    <w:rsid w:val="00415C9D"/>
    <w:rsid w:val="00415D7C"/>
    <w:rsid w:val="00415EB0"/>
    <w:rsid w:val="004160F5"/>
    <w:rsid w:val="00416136"/>
    <w:rsid w:val="0041614B"/>
    <w:rsid w:val="00416270"/>
    <w:rsid w:val="004164C6"/>
    <w:rsid w:val="004164DA"/>
    <w:rsid w:val="00416723"/>
    <w:rsid w:val="0041674F"/>
    <w:rsid w:val="004168BF"/>
    <w:rsid w:val="00416A6C"/>
    <w:rsid w:val="00416A9A"/>
    <w:rsid w:val="00416AAF"/>
    <w:rsid w:val="00416B34"/>
    <w:rsid w:val="00416C06"/>
    <w:rsid w:val="00416C84"/>
    <w:rsid w:val="00416CFE"/>
    <w:rsid w:val="00416E68"/>
    <w:rsid w:val="00416F20"/>
    <w:rsid w:val="00416FC2"/>
    <w:rsid w:val="004170F2"/>
    <w:rsid w:val="00417150"/>
    <w:rsid w:val="004171B8"/>
    <w:rsid w:val="004172AA"/>
    <w:rsid w:val="004176EF"/>
    <w:rsid w:val="0041773F"/>
    <w:rsid w:val="00417762"/>
    <w:rsid w:val="0041778B"/>
    <w:rsid w:val="004178C3"/>
    <w:rsid w:val="00417AD1"/>
    <w:rsid w:val="00417C8B"/>
    <w:rsid w:val="00420041"/>
    <w:rsid w:val="004201B7"/>
    <w:rsid w:val="00420375"/>
    <w:rsid w:val="004203C3"/>
    <w:rsid w:val="0042044C"/>
    <w:rsid w:val="004207F7"/>
    <w:rsid w:val="00420841"/>
    <w:rsid w:val="00420880"/>
    <w:rsid w:val="00420A34"/>
    <w:rsid w:val="00420AE9"/>
    <w:rsid w:val="00420D1F"/>
    <w:rsid w:val="00420DFF"/>
    <w:rsid w:val="00420EF4"/>
    <w:rsid w:val="00420FF6"/>
    <w:rsid w:val="004210D4"/>
    <w:rsid w:val="00421196"/>
    <w:rsid w:val="0042121A"/>
    <w:rsid w:val="00421255"/>
    <w:rsid w:val="0042136B"/>
    <w:rsid w:val="004214E2"/>
    <w:rsid w:val="0042158A"/>
    <w:rsid w:val="00421678"/>
    <w:rsid w:val="00421782"/>
    <w:rsid w:val="004218DD"/>
    <w:rsid w:val="00421927"/>
    <w:rsid w:val="004219BE"/>
    <w:rsid w:val="00421A9C"/>
    <w:rsid w:val="00421AD6"/>
    <w:rsid w:val="00421EE4"/>
    <w:rsid w:val="00422427"/>
    <w:rsid w:val="00422649"/>
    <w:rsid w:val="004226EC"/>
    <w:rsid w:val="00422794"/>
    <w:rsid w:val="0042282A"/>
    <w:rsid w:val="0042294E"/>
    <w:rsid w:val="004229D0"/>
    <w:rsid w:val="004229D5"/>
    <w:rsid w:val="00422B2D"/>
    <w:rsid w:val="00422B32"/>
    <w:rsid w:val="00422B4C"/>
    <w:rsid w:val="00422C0E"/>
    <w:rsid w:val="00422CC0"/>
    <w:rsid w:val="00422D5A"/>
    <w:rsid w:val="00422E66"/>
    <w:rsid w:val="00423104"/>
    <w:rsid w:val="004231AC"/>
    <w:rsid w:val="004233F8"/>
    <w:rsid w:val="0042345F"/>
    <w:rsid w:val="0042354E"/>
    <w:rsid w:val="00423B5F"/>
    <w:rsid w:val="00423C81"/>
    <w:rsid w:val="00423CAD"/>
    <w:rsid w:val="00423CBD"/>
    <w:rsid w:val="00423D3E"/>
    <w:rsid w:val="004245FB"/>
    <w:rsid w:val="004247E4"/>
    <w:rsid w:val="00424938"/>
    <w:rsid w:val="004249B2"/>
    <w:rsid w:val="004249DE"/>
    <w:rsid w:val="00424BFC"/>
    <w:rsid w:val="00424C49"/>
    <w:rsid w:val="00424EF0"/>
    <w:rsid w:val="00424F43"/>
    <w:rsid w:val="0042533F"/>
    <w:rsid w:val="00425347"/>
    <w:rsid w:val="004255A2"/>
    <w:rsid w:val="00425625"/>
    <w:rsid w:val="004256E2"/>
    <w:rsid w:val="00425848"/>
    <w:rsid w:val="00425A80"/>
    <w:rsid w:val="00425AD3"/>
    <w:rsid w:val="00425D7C"/>
    <w:rsid w:val="00425D83"/>
    <w:rsid w:val="00425E06"/>
    <w:rsid w:val="00425EDC"/>
    <w:rsid w:val="00425F14"/>
    <w:rsid w:val="00425FC0"/>
    <w:rsid w:val="00426092"/>
    <w:rsid w:val="00426337"/>
    <w:rsid w:val="0042640C"/>
    <w:rsid w:val="0042669F"/>
    <w:rsid w:val="0042680A"/>
    <w:rsid w:val="00426C63"/>
    <w:rsid w:val="00426F8C"/>
    <w:rsid w:val="004271F1"/>
    <w:rsid w:val="004273F1"/>
    <w:rsid w:val="00427414"/>
    <w:rsid w:val="00427AA9"/>
    <w:rsid w:val="00427C12"/>
    <w:rsid w:val="00427CF6"/>
    <w:rsid w:val="00427E0E"/>
    <w:rsid w:val="00427E1E"/>
    <w:rsid w:val="00427F97"/>
    <w:rsid w:val="004302A0"/>
    <w:rsid w:val="0043054B"/>
    <w:rsid w:val="00430570"/>
    <w:rsid w:val="00430812"/>
    <w:rsid w:val="00430900"/>
    <w:rsid w:val="00430D00"/>
    <w:rsid w:val="00430E4E"/>
    <w:rsid w:val="00431107"/>
    <w:rsid w:val="00431262"/>
    <w:rsid w:val="00431271"/>
    <w:rsid w:val="00431273"/>
    <w:rsid w:val="00431308"/>
    <w:rsid w:val="00431313"/>
    <w:rsid w:val="00431345"/>
    <w:rsid w:val="00431474"/>
    <w:rsid w:val="004315D2"/>
    <w:rsid w:val="00431910"/>
    <w:rsid w:val="00431AEA"/>
    <w:rsid w:val="00431B55"/>
    <w:rsid w:val="00431C85"/>
    <w:rsid w:val="00431E12"/>
    <w:rsid w:val="00431E13"/>
    <w:rsid w:val="00431ED7"/>
    <w:rsid w:val="00431FEF"/>
    <w:rsid w:val="0043202D"/>
    <w:rsid w:val="00432131"/>
    <w:rsid w:val="00432243"/>
    <w:rsid w:val="0043230D"/>
    <w:rsid w:val="004327EA"/>
    <w:rsid w:val="00432C84"/>
    <w:rsid w:val="004333A8"/>
    <w:rsid w:val="0043345C"/>
    <w:rsid w:val="00433630"/>
    <w:rsid w:val="00433702"/>
    <w:rsid w:val="0043376E"/>
    <w:rsid w:val="004338C4"/>
    <w:rsid w:val="004339CF"/>
    <w:rsid w:val="00433CD8"/>
    <w:rsid w:val="004340CD"/>
    <w:rsid w:val="004345A8"/>
    <w:rsid w:val="0043463B"/>
    <w:rsid w:val="0043464F"/>
    <w:rsid w:val="0043468F"/>
    <w:rsid w:val="00434927"/>
    <w:rsid w:val="00434936"/>
    <w:rsid w:val="004349AC"/>
    <w:rsid w:val="00434B3D"/>
    <w:rsid w:val="00434BB9"/>
    <w:rsid w:val="00434C79"/>
    <w:rsid w:val="00434C87"/>
    <w:rsid w:val="00434EB1"/>
    <w:rsid w:val="0043508B"/>
    <w:rsid w:val="004350F1"/>
    <w:rsid w:val="004354D9"/>
    <w:rsid w:val="00435847"/>
    <w:rsid w:val="004359DE"/>
    <w:rsid w:val="00435A77"/>
    <w:rsid w:val="00435B34"/>
    <w:rsid w:val="00435DA3"/>
    <w:rsid w:val="00435FD9"/>
    <w:rsid w:val="00436443"/>
    <w:rsid w:val="0043650D"/>
    <w:rsid w:val="0043683F"/>
    <w:rsid w:val="0043686E"/>
    <w:rsid w:val="00436943"/>
    <w:rsid w:val="00436DFE"/>
    <w:rsid w:val="00436E7B"/>
    <w:rsid w:val="00436E82"/>
    <w:rsid w:val="00436E9F"/>
    <w:rsid w:val="00436FCB"/>
    <w:rsid w:val="004370DB"/>
    <w:rsid w:val="004372AF"/>
    <w:rsid w:val="0043736B"/>
    <w:rsid w:val="00437579"/>
    <w:rsid w:val="00437657"/>
    <w:rsid w:val="00437786"/>
    <w:rsid w:val="004377F8"/>
    <w:rsid w:val="004378B7"/>
    <w:rsid w:val="004378C5"/>
    <w:rsid w:val="00437EEE"/>
    <w:rsid w:val="00437F47"/>
    <w:rsid w:val="00437F56"/>
    <w:rsid w:val="0044007F"/>
    <w:rsid w:val="00440088"/>
    <w:rsid w:val="00440364"/>
    <w:rsid w:val="00440422"/>
    <w:rsid w:val="004406DB"/>
    <w:rsid w:val="00440A32"/>
    <w:rsid w:val="00440BE4"/>
    <w:rsid w:val="00440CC1"/>
    <w:rsid w:val="00440F05"/>
    <w:rsid w:val="00440FDE"/>
    <w:rsid w:val="00441168"/>
    <w:rsid w:val="004411C8"/>
    <w:rsid w:val="004412CE"/>
    <w:rsid w:val="004413C9"/>
    <w:rsid w:val="00441436"/>
    <w:rsid w:val="00441444"/>
    <w:rsid w:val="00441AA1"/>
    <w:rsid w:val="00441BB5"/>
    <w:rsid w:val="00441D85"/>
    <w:rsid w:val="00441F27"/>
    <w:rsid w:val="00442063"/>
    <w:rsid w:val="0044210A"/>
    <w:rsid w:val="00442246"/>
    <w:rsid w:val="00442364"/>
    <w:rsid w:val="004423F6"/>
    <w:rsid w:val="00442432"/>
    <w:rsid w:val="004424E6"/>
    <w:rsid w:val="004424F8"/>
    <w:rsid w:val="0044259C"/>
    <w:rsid w:val="004425EA"/>
    <w:rsid w:val="004425EF"/>
    <w:rsid w:val="004428B9"/>
    <w:rsid w:val="004428D1"/>
    <w:rsid w:val="0044295A"/>
    <w:rsid w:val="00442999"/>
    <w:rsid w:val="004429CC"/>
    <w:rsid w:val="004429EB"/>
    <w:rsid w:val="00442BE5"/>
    <w:rsid w:val="00442CE2"/>
    <w:rsid w:val="00442CFD"/>
    <w:rsid w:val="00442DB9"/>
    <w:rsid w:val="00442E34"/>
    <w:rsid w:val="00442E92"/>
    <w:rsid w:val="00442FAF"/>
    <w:rsid w:val="004437CE"/>
    <w:rsid w:val="00443873"/>
    <w:rsid w:val="00443990"/>
    <w:rsid w:val="00443A60"/>
    <w:rsid w:val="00443D68"/>
    <w:rsid w:val="00443F51"/>
    <w:rsid w:val="0044431D"/>
    <w:rsid w:val="00444579"/>
    <w:rsid w:val="0044464A"/>
    <w:rsid w:val="004446FA"/>
    <w:rsid w:val="00444720"/>
    <w:rsid w:val="0044476B"/>
    <w:rsid w:val="004447A0"/>
    <w:rsid w:val="00444969"/>
    <w:rsid w:val="0044497E"/>
    <w:rsid w:val="00444988"/>
    <w:rsid w:val="00444A24"/>
    <w:rsid w:val="00444A66"/>
    <w:rsid w:val="00444E53"/>
    <w:rsid w:val="00444E82"/>
    <w:rsid w:val="004451C6"/>
    <w:rsid w:val="004451F3"/>
    <w:rsid w:val="00445200"/>
    <w:rsid w:val="0044536E"/>
    <w:rsid w:val="00445583"/>
    <w:rsid w:val="004456F8"/>
    <w:rsid w:val="0044571F"/>
    <w:rsid w:val="0044585C"/>
    <w:rsid w:val="0044586C"/>
    <w:rsid w:val="00445888"/>
    <w:rsid w:val="00445912"/>
    <w:rsid w:val="00445A5C"/>
    <w:rsid w:val="00445A83"/>
    <w:rsid w:val="00445B15"/>
    <w:rsid w:val="00445C2D"/>
    <w:rsid w:val="00445C6A"/>
    <w:rsid w:val="00445D45"/>
    <w:rsid w:val="00445D49"/>
    <w:rsid w:val="0044601C"/>
    <w:rsid w:val="004461E6"/>
    <w:rsid w:val="0044663A"/>
    <w:rsid w:val="004467F8"/>
    <w:rsid w:val="004468A4"/>
    <w:rsid w:val="004468A7"/>
    <w:rsid w:val="004469EA"/>
    <w:rsid w:val="00446B6E"/>
    <w:rsid w:val="00446CF1"/>
    <w:rsid w:val="00446DCC"/>
    <w:rsid w:val="00446E97"/>
    <w:rsid w:val="00446F19"/>
    <w:rsid w:val="00447075"/>
    <w:rsid w:val="00447203"/>
    <w:rsid w:val="0044722C"/>
    <w:rsid w:val="004473B9"/>
    <w:rsid w:val="00447413"/>
    <w:rsid w:val="00447626"/>
    <w:rsid w:val="00447701"/>
    <w:rsid w:val="00447756"/>
    <w:rsid w:val="00447917"/>
    <w:rsid w:val="00447A44"/>
    <w:rsid w:val="00447A66"/>
    <w:rsid w:val="00447B9B"/>
    <w:rsid w:val="00447DBD"/>
    <w:rsid w:val="00447E75"/>
    <w:rsid w:val="00447E99"/>
    <w:rsid w:val="00447F56"/>
    <w:rsid w:val="004501D9"/>
    <w:rsid w:val="00450255"/>
    <w:rsid w:val="00450293"/>
    <w:rsid w:val="00450316"/>
    <w:rsid w:val="00450748"/>
    <w:rsid w:val="00450781"/>
    <w:rsid w:val="00450CBE"/>
    <w:rsid w:val="00450DAC"/>
    <w:rsid w:val="00450E01"/>
    <w:rsid w:val="00450E5D"/>
    <w:rsid w:val="00450ECF"/>
    <w:rsid w:val="00450F81"/>
    <w:rsid w:val="00450FED"/>
    <w:rsid w:val="0045103D"/>
    <w:rsid w:val="0045128B"/>
    <w:rsid w:val="004512D2"/>
    <w:rsid w:val="004513CF"/>
    <w:rsid w:val="00451934"/>
    <w:rsid w:val="00451ACE"/>
    <w:rsid w:val="00451D06"/>
    <w:rsid w:val="00451E5A"/>
    <w:rsid w:val="00451FC2"/>
    <w:rsid w:val="00452060"/>
    <w:rsid w:val="004520C6"/>
    <w:rsid w:val="004521E3"/>
    <w:rsid w:val="0045224B"/>
    <w:rsid w:val="004522F7"/>
    <w:rsid w:val="004527C2"/>
    <w:rsid w:val="0045290E"/>
    <w:rsid w:val="00452C60"/>
    <w:rsid w:val="00452F00"/>
    <w:rsid w:val="00452F1E"/>
    <w:rsid w:val="00453147"/>
    <w:rsid w:val="0045336B"/>
    <w:rsid w:val="00453590"/>
    <w:rsid w:val="004535E3"/>
    <w:rsid w:val="0045378D"/>
    <w:rsid w:val="00453CD9"/>
    <w:rsid w:val="00453E1E"/>
    <w:rsid w:val="00453F2E"/>
    <w:rsid w:val="00453F9F"/>
    <w:rsid w:val="0045401C"/>
    <w:rsid w:val="0045406D"/>
    <w:rsid w:val="004542DB"/>
    <w:rsid w:val="004542F6"/>
    <w:rsid w:val="00454348"/>
    <w:rsid w:val="00454455"/>
    <w:rsid w:val="004545EE"/>
    <w:rsid w:val="004546B2"/>
    <w:rsid w:val="004546E6"/>
    <w:rsid w:val="00454779"/>
    <w:rsid w:val="00454AD2"/>
    <w:rsid w:val="00454AD8"/>
    <w:rsid w:val="00454D6F"/>
    <w:rsid w:val="00454EBA"/>
    <w:rsid w:val="00455131"/>
    <w:rsid w:val="0045548C"/>
    <w:rsid w:val="004554DC"/>
    <w:rsid w:val="00455598"/>
    <w:rsid w:val="004555C4"/>
    <w:rsid w:val="004555F0"/>
    <w:rsid w:val="0045561F"/>
    <w:rsid w:val="00455712"/>
    <w:rsid w:val="00455767"/>
    <w:rsid w:val="004557B7"/>
    <w:rsid w:val="004557E1"/>
    <w:rsid w:val="0045597B"/>
    <w:rsid w:val="00455D1F"/>
    <w:rsid w:val="00455D9F"/>
    <w:rsid w:val="00455EC0"/>
    <w:rsid w:val="0045606B"/>
    <w:rsid w:val="004560F4"/>
    <w:rsid w:val="004561EC"/>
    <w:rsid w:val="004564A9"/>
    <w:rsid w:val="00456747"/>
    <w:rsid w:val="0045692D"/>
    <w:rsid w:val="00456955"/>
    <w:rsid w:val="00456A07"/>
    <w:rsid w:val="00456ACB"/>
    <w:rsid w:val="00456B4D"/>
    <w:rsid w:val="00456B76"/>
    <w:rsid w:val="00456C71"/>
    <w:rsid w:val="00456CD0"/>
    <w:rsid w:val="00456D99"/>
    <w:rsid w:val="00456E73"/>
    <w:rsid w:val="00456E87"/>
    <w:rsid w:val="00456EA9"/>
    <w:rsid w:val="00456F83"/>
    <w:rsid w:val="00456F89"/>
    <w:rsid w:val="00457192"/>
    <w:rsid w:val="004572E2"/>
    <w:rsid w:val="004574D4"/>
    <w:rsid w:val="0045756C"/>
    <w:rsid w:val="0045759E"/>
    <w:rsid w:val="00457728"/>
    <w:rsid w:val="00457A82"/>
    <w:rsid w:val="00457B48"/>
    <w:rsid w:val="00457BC6"/>
    <w:rsid w:val="00457CA1"/>
    <w:rsid w:val="00457CF8"/>
    <w:rsid w:val="00457DAD"/>
    <w:rsid w:val="00457FB3"/>
    <w:rsid w:val="00460041"/>
    <w:rsid w:val="0046007C"/>
    <w:rsid w:val="0046012E"/>
    <w:rsid w:val="00460163"/>
    <w:rsid w:val="004602EA"/>
    <w:rsid w:val="00460341"/>
    <w:rsid w:val="0046056D"/>
    <w:rsid w:val="0046076D"/>
    <w:rsid w:val="00460867"/>
    <w:rsid w:val="004609B7"/>
    <w:rsid w:val="00460C17"/>
    <w:rsid w:val="00460D7E"/>
    <w:rsid w:val="00460F02"/>
    <w:rsid w:val="00461083"/>
    <w:rsid w:val="0046116D"/>
    <w:rsid w:val="0046136E"/>
    <w:rsid w:val="00461403"/>
    <w:rsid w:val="00461474"/>
    <w:rsid w:val="004614A9"/>
    <w:rsid w:val="0046155B"/>
    <w:rsid w:val="0046181F"/>
    <w:rsid w:val="00461B3F"/>
    <w:rsid w:val="00461C00"/>
    <w:rsid w:val="00461CE7"/>
    <w:rsid w:val="00461D11"/>
    <w:rsid w:val="00461E7D"/>
    <w:rsid w:val="00461EEB"/>
    <w:rsid w:val="00461F71"/>
    <w:rsid w:val="004621E5"/>
    <w:rsid w:val="004626BD"/>
    <w:rsid w:val="004626C6"/>
    <w:rsid w:val="004626DF"/>
    <w:rsid w:val="00462798"/>
    <w:rsid w:val="00462898"/>
    <w:rsid w:val="0046289D"/>
    <w:rsid w:val="004628F9"/>
    <w:rsid w:val="00462955"/>
    <w:rsid w:val="00462A9A"/>
    <w:rsid w:val="00462ACF"/>
    <w:rsid w:val="00462B2C"/>
    <w:rsid w:val="00462B5D"/>
    <w:rsid w:val="00462C98"/>
    <w:rsid w:val="00462CD7"/>
    <w:rsid w:val="00462D07"/>
    <w:rsid w:val="00462DC5"/>
    <w:rsid w:val="00462EFF"/>
    <w:rsid w:val="004631C7"/>
    <w:rsid w:val="004632D5"/>
    <w:rsid w:val="004632E1"/>
    <w:rsid w:val="0046332C"/>
    <w:rsid w:val="004633AF"/>
    <w:rsid w:val="004633C8"/>
    <w:rsid w:val="0046351A"/>
    <w:rsid w:val="0046353F"/>
    <w:rsid w:val="0046358A"/>
    <w:rsid w:val="00463678"/>
    <w:rsid w:val="004636AC"/>
    <w:rsid w:val="00463BA2"/>
    <w:rsid w:val="00463D45"/>
    <w:rsid w:val="00463F27"/>
    <w:rsid w:val="00463F78"/>
    <w:rsid w:val="0046405E"/>
    <w:rsid w:val="004642B8"/>
    <w:rsid w:val="00464691"/>
    <w:rsid w:val="004646F5"/>
    <w:rsid w:val="00464774"/>
    <w:rsid w:val="00464A4E"/>
    <w:rsid w:val="00464AC5"/>
    <w:rsid w:val="00464B9B"/>
    <w:rsid w:val="00464CD6"/>
    <w:rsid w:val="00465029"/>
    <w:rsid w:val="004650A2"/>
    <w:rsid w:val="004651BB"/>
    <w:rsid w:val="00465402"/>
    <w:rsid w:val="004654BE"/>
    <w:rsid w:val="004655CA"/>
    <w:rsid w:val="00465642"/>
    <w:rsid w:val="004656C7"/>
    <w:rsid w:val="0046573C"/>
    <w:rsid w:val="004657E2"/>
    <w:rsid w:val="00465AA9"/>
    <w:rsid w:val="00465B37"/>
    <w:rsid w:val="00465C4E"/>
    <w:rsid w:val="00465D79"/>
    <w:rsid w:val="00466213"/>
    <w:rsid w:val="00466538"/>
    <w:rsid w:val="0046685C"/>
    <w:rsid w:val="004668F1"/>
    <w:rsid w:val="00466937"/>
    <w:rsid w:val="00466C85"/>
    <w:rsid w:val="00466CEB"/>
    <w:rsid w:val="00466D8E"/>
    <w:rsid w:val="00466DFA"/>
    <w:rsid w:val="00466EDE"/>
    <w:rsid w:val="00466F14"/>
    <w:rsid w:val="004672F0"/>
    <w:rsid w:val="004674CD"/>
    <w:rsid w:val="0046752A"/>
    <w:rsid w:val="0046756E"/>
    <w:rsid w:val="00467752"/>
    <w:rsid w:val="004678F3"/>
    <w:rsid w:val="004679AC"/>
    <w:rsid w:val="00467A26"/>
    <w:rsid w:val="00467C6E"/>
    <w:rsid w:val="00467DE1"/>
    <w:rsid w:val="00470359"/>
    <w:rsid w:val="00470558"/>
    <w:rsid w:val="0047074A"/>
    <w:rsid w:val="0047082B"/>
    <w:rsid w:val="00470860"/>
    <w:rsid w:val="004708B1"/>
    <w:rsid w:val="00470925"/>
    <w:rsid w:val="00470931"/>
    <w:rsid w:val="00470C1E"/>
    <w:rsid w:val="00470C5A"/>
    <w:rsid w:val="00470C91"/>
    <w:rsid w:val="00470F20"/>
    <w:rsid w:val="00471178"/>
    <w:rsid w:val="00471325"/>
    <w:rsid w:val="004713EC"/>
    <w:rsid w:val="004715B9"/>
    <w:rsid w:val="004716F9"/>
    <w:rsid w:val="0047189B"/>
    <w:rsid w:val="00471922"/>
    <w:rsid w:val="00471BF1"/>
    <w:rsid w:val="00471DC4"/>
    <w:rsid w:val="00471DD2"/>
    <w:rsid w:val="00471E71"/>
    <w:rsid w:val="00471F40"/>
    <w:rsid w:val="00472188"/>
    <w:rsid w:val="0047231A"/>
    <w:rsid w:val="0047240B"/>
    <w:rsid w:val="004724C1"/>
    <w:rsid w:val="00472603"/>
    <w:rsid w:val="00472663"/>
    <w:rsid w:val="004726DD"/>
    <w:rsid w:val="0047273E"/>
    <w:rsid w:val="0047287E"/>
    <w:rsid w:val="004728BE"/>
    <w:rsid w:val="00472A6A"/>
    <w:rsid w:val="00472B5F"/>
    <w:rsid w:val="00472E86"/>
    <w:rsid w:val="00472EE0"/>
    <w:rsid w:val="00473052"/>
    <w:rsid w:val="00473231"/>
    <w:rsid w:val="004733D7"/>
    <w:rsid w:val="004733EA"/>
    <w:rsid w:val="004736F0"/>
    <w:rsid w:val="00473AF9"/>
    <w:rsid w:val="00473B13"/>
    <w:rsid w:val="00473C4F"/>
    <w:rsid w:val="00473D9A"/>
    <w:rsid w:val="00473F4D"/>
    <w:rsid w:val="00474006"/>
    <w:rsid w:val="004741E5"/>
    <w:rsid w:val="00474269"/>
    <w:rsid w:val="0047426C"/>
    <w:rsid w:val="00474524"/>
    <w:rsid w:val="004745C0"/>
    <w:rsid w:val="004747CC"/>
    <w:rsid w:val="00474847"/>
    <w:rsid w:val="00474898"/>
    <w:rsid w:val="00474B07"/>
    <w:rsid w:val="00474B09"/>
    <w:rsid w:val="00474C7D"/>
    <w:rsid w:val="00474D62"/>
    <w:rsid w:val="00474E12"/>
    <w:rsid w:val="00474F67"/>
    <w:rsid w:val="0047538A"/>
    <w:rsid w:val="00475548"/>
    <w:rsid w:val="0047557E"/>
    <w:rsid w:val="004756E0"/>
    <w:rsid w:val="00475725"/>
    <w:rsid w:val="004757FC"/>
    <w:rsid w:val="00475A24"/>
    <w:rsid w:val="00475AE2"/>
    <w:rsid w:val="00475BB5"/>
    <w:rsid w:val="00475BEB"/>
    <w:rsid w:val="00475DA4"/>
    <w:rsid w:val="00475DAA"/>
    <w:rsid w:val="0047601E"/>
    <w:rsid w:val="00476181"/>
    <w:rsid w:val="00476222"/>
    <w:rsid w:val="0047623F"/>
    <w:rsid w:val="00476343"/>
    <w:rsid w:val="00476796"/>
    <w:rsid w:val="004769E8"/>
    <w:rsid w:val="00476B20"/>
    <w:rsid w:val="00476C5B"/>
    <w:rsid w:val="00476E36"/>
    <w:rsid w:val="00476E3B"/>
    <w:rsid w:val="00476F52"/>
    <w:rsid w:val="0047738F"/>
    <w:rsid w:val="0047741E"/>
    <w:rsid w:val="0047744E"/>
    <w:rsid w:val="00477731"/>
    <w:rsid w:val="004777FE"/>
    <w:rsid w:val="004778C8"/>
    <w:rsid w:val="00477A62"/>
    <w:rsid w:val="00477B8E"/>
    <w:rsid w:val="00477C2E"/>
    <w:rsid w:val="00477CAC"/>
    <w:rsid w:val="00477D5D"/>
    <w:rsid w:val="00477F25"/>
    <w:rsid w:val="00477F3C"/>
    <w:rsid w:val="0048021D"/>
    <w:rsid w:val="0048043E"/>
    <w:rsid w:val="0048049B"/>
    <w:rsid w:val="00480841"/>
    <w:rsid w:val="0048093C"/>
    <w:rsid w:val="004809B2"/>
    <w:rsid w:val="00480BF2"/>
    <w:rsid w:val="00480C16"/>
    <w:rsid w:val="00480E15"/>
    <w:rsid w:val="00480E97"/>
    <w:rsid w:val="00480F8C"/>
    <w:rsid w:val="004811A4"/>
    <w:rsid w:val="00481535"/>
    <w:rsid w:val="004815CB"/>
    <w:rsid w:val="004815D9"/>
    <w:rsid w:val="0048162D"/>
    <w:rsid w:val="004816CC"/>
    <w:rsid w:val="004816DE"/>
    <w:rsid w:val="00481704"/>
    <w:rsid w:val="00481A2B"/>
    <w:rsid w:val="00481AA0"/>
    <w:rsid w:val="00481AA1"/>
    <w:rsid w:val="00481AF7"/>
    <w:rsid w:val="0048235C"/>
    <w:rsid w:val="00482444"/>
    <w:rsid w:val="004825A8"/>
    <w:rsid w:val="004825BE"/>
    <w:rsid w:val="0048272A"/>
    <w:rsid w:val="004827B2"/>
    <w:rsid w:val="004829F9"/>
    <w:rsid w:val="00482A9C"/>
    <w:rsid w:val="00482D13"/>
    <w:rsid w:val="00482DBD"/>
    <w:rsid w:val="0048321D"/>
    <w:rsid w:val="0048322F"/>
    <w:rsid w:val="0048327F"/>
    <w:rsid w:val="0048349A"/>
    <w:rsid w:val="0048356C"/>
    <w:rsid w:val="004835FC"/>
    <w:rsid w:val="0048371E"/>
    <w:rsid w:val="00483818"/>
    <w:rsid w:val="004838D5"/>
    <w:rsid w:val="00483DF4"/>
    <w:rsid w:val="00483F1A"/>
    <w:rsid w:val="004840CE"/>
    <w:rsid w:val="00484120"/>
    <w:rsid w:val="0048427D"/>
    <w:rsid w:val="004844C1"/>
    <w:rsid w:val="00484B48"/>
    <w:rsid w:val="00484CE2"/>
    <w:rsid w:val="00485078"/>
    <w:rsid w:val="0048509F"/>
    <w:rsid w:val="00485105"/>
    <w:rsid w:val="00485472"/>
    <w:rsid w:val="004857B5"/>
    <w:rsid w:val="0048581C"/>
    <w:rsid w:val="00485AF2"/>
    <w:rsid w:val="00485C4E"/>
    <w:rsid w:val="00485DC0"/>
    <w:rsid w:val="004860EF"/>
    <w:rsid w:val="00486272"/>
    <w:rsid w:val="00486434"/>
    <w:rsid w:val="004864B7"/>
    <w:rsid w:val="004864E7"/>
    <w:rsid w:val="004865A3"/>
    <w:rsid w:val="004865E5"/>
    <w:rsid w:val="0048662B"/>
    <w:rsid w:val="0048685A"/>
    <w:rsid w:val="00486A42"/>
    <w:rsid w:val="00486AC5"/>
    <w:rsid w:val="00486C19"/>
    <w:rsid w:val="00486D2D"/>
    <w:rsid w:val="00486D44"/>
    <w:rsid w:val="00486F98"/>
    <w:rsid w:val="00487145"/>
    <w:rsid w:val="004872F0"/>
    <w:rsid w:val="00487380"/>
    <w:rsid w:val="004873D8"/>
    <w:rsid w:val="00487411"/>
    <w:rsid w:val="00487553"/>
    <w:rsid w:val="004875E1"/>
    <w:rsid w:val="00487653"/>
    <w:rsid w:val="00487697"/>
    <w:rsid w:val="0048772C"/>
    <w:rsid w:val="004877CB"/>
    <w:rsid w:val="0048789B"/>
    <w:rsid w:val="00487C79"/>
    <w:rsid w:val="00487D34"/>
    <w:rsid w:val="00487F13"/>
    <w:rsid w:val="00490083"/>
    <w:rsid w:val="004900E3"/>
    <w:rsid w:val="0049013A"/>
    <w:rsid w:val="00490210"/>
    <w:rsid w:val="0049043E"/>
    <w:rsid w:val="00490451"/>
    <w:rsid w:val="00490563"/>
    <w:rsid w:val="00490575"/>
    <w:rsid w:val="0049087E"/>
    <w:rsid w:val="004908DF"/>
    <w:rsid w:val="00490B68"/>
    <w:rsid w:val="00490E2F"/>
    <w:rsid w:val="00490ED8"/>
    <w:rsid w:val="00490F87"/>
    <w:rsid w:val="004912FC"/>
    <w:rsid w:val="004913A1"/>
    <w:rsid w:val="004915D8"/>
    <w:rsid w:val="0049178E"/>
    <w:rsid w:val="004918EC"/>
    <w:rsid w:val="00491907"/>
    <w:rsid w:val="00491995"/>
    <w:rsid w:val="00491B96"/>
    <w:rsid w:val="00491BDA"/>
    <w:rsid w:val="00491DD1"/>
    <w:rsid w:val="00491E00"/>
    <w:rsid w:val="00491E4B"/>
    <w:rsid w:val="00491FDC"/>
    <w:rsid w:val="0049206F"/>
    <w:rsid w:val="00492311"/>
    <w:rsid w:val="004923BB"/>
    <w:rsid w:val="00492547"/>
    <w:rsid w:val="00492682"/>
    <w:rsid w:val="004927D5"/>
    <w:rsid w:val="00492C3C"/>
    <w:rsid w:val="00493118"/>
    <w:rsid w:val="0049316F"/>
    <w:rsid w:val="004932AA"/>
    <w:rsid w:val="004932B4"/>
    <w:rsid w:val="004933AE"/>
    <w:rsid w:val="00493696"/>
    <w:rsid w:val="00493835"/>
    <w:rsid w:val="0049394E"/>
    <w:rsid w:val="00493C51"/>
    <w:rsid w:val="00493E84"/>
    <w:rsid w:val="004941E9"/>
    <w:rsid w:val="00494208"/>
    <w:rsid w:val="00494318"/>
    <w:rsid w:val="00494538"/>
    <w:rsid w:val="004946EB"/>
    <w:rsid w:val="00494824"/>
    <w:rsid w:val="00494AC7"/>
    <w:rsid w:val="00494AD3"/>
    <w:rsid w:val="00494CA3"/>
    <w:rsid w:val="00494D9A"/>
    <w:rsid w:val="00494DC9"/>
    <w:rsid w:val="00494E9A"/>
    <w:rsid w:val="00494E9F"/>
    <w:rsid w:val="00494EA8"/>
    <w:rsid w:val="00494EDF"/>
    <w:rsid w:val="00494F6A"/>
    <w:rsid w:val="004951A1"/>
    <w:rsid w:val="004951D2"/>
    <w:rsid w:val="004951D9"/>
    <w:rsid w:val="0049522F"/>
    <w:rsid w:val="004953A2"/>
    <w:rsid w:val="004955C4"/>
    <w:rsid w:val="00495603"/>
    <w:rsid w:val="0049565B"/>
    <w:rsid w:val="0049587F"/>
    <w:rsid w:val="00495911"/>
    <w:rsid w:val="00495960"/>
    <w:rsid w:val="0049598C"/>
    <w:rsid w:val="004959C2"/>
    <w:rsid w:val="004959D0"/>
    <w:rsid w:val="00495A0C"/>
    <w:rsid w:val="00495CDF"/>
    <w:rsid w:val="00495EAF"/>
    <w:rsid w:val="00495EB9"/>
    <w:rsid w:val="00495F03"/>
    <w:rsid w:val="00495F96"/>
    <w:rsid w:val="00495FD8"/>
    <w:rsid w:val="00495FEE"/>
    <w:rsid w:val="00496014"/>
    <w:rsid w:val="004961D3"/>
    <w:rsid w:val="004961E9"/>
    <w:rsid w:val="004962F6"/>
    <w:rsid w:val="00496387"/>
    <w:rsid w:val="00496426"/>
    <w:rsid w:val="00496474"/>
    <w:rsid w:val="004964C3"/>
    <w:rsid w:val="00496534"/>
    <w:rsid w:val="004965E5"/>
    <w:rsid w:val="00496691"/>
    <w:rsid w:val="00496898"/>
    <w:rsid w:val="00496A84"/>
    <w:rsid w:val="00496A96"/>
    <w:rsid w:val="00496C15"/>
    <w:rsid w:val="00496CFC"/>
    <w:rsid w:val="00496D54"/>
    <w:rsid w:val="00497091"/>
    <w:rsid w:val="004970A9"/>
    <w:rsid w:val="0049733D"/>
    <w:rsid w:val="004973CD"/>
    <w:rsid w:val="00497433"/>
    <w:rsid w:val="00497647"/>
    <w:rsid w:val="004976C8"/>
    <w:rsid w:val="004977C2"/>
    <w:rsid w:val="00497B76"/>
    <w:rsid w:val="00497BB1"/>
    <w:rsid w:val="00497C27"/>
    <w:rsid w:val="00497C59"/>
    <w:rsid w:val="00497C6A"/>
    <w:rsid w:val="00497DD9"/>
    <w:rsid w:val="00497FD7"/>
    <w:rsid w:val="00497FF8"/>
    <w:rsid w:val="004A0024"/>
    <w:rsid w:val="004A034A"/>
    <w:rsid w:val="004A0469"/>
    <w:rsid w:val="004A04DD"/>
    <w:rsid w:val="004A0543"/>
    <w:rsid w:val="004A08DE"/>
    <w:rsid w:val="004A094E"/>
    <w:rsid w:val="004A0961"/>
    <w:rsid w:val="004A0BF7"/>
    <w:rsid w:val="004A0D15"/>
    <w:rsid w:val="004A0DBB"/>
    <w:rsid w:val="004A0E66"/>
    <w:rsid w:val="004A0FE6"/>
    <w:rsid w:val="004A1045"/>
    <w:rsid w:val="004A1117"/>
    <w:rsid w:val="004A1145"/>
    <w:rsid w:val="004A11C7"/>
    <w:rsid w:val="004A18B7"/>
    <w:rsid w:val="004A1975"/>
    <w:rsid w:val="004A1B1C"/>
    <w:rsid w:val="004A1BC9"/>
    <w:rsid w:val="004A1BCF"/>
    <w:rsid w:val="004A1C25"/>
    <w:rsid w:val="004A1CAA"/>
    <w:rsid w:val="004A1CB6"/>
    <w:rsid w:val="004A1D1D"/>
    <w:rsid w:val="004A1D4B"/>
    <w:rsid w:val="004A1E26"/>
    <w:rsid w:val="004A1E5C"/>
    <w:rsid w:val="004A20D5"/>
    <w:rsid w:val="004A217F"/>
    <w:rsid w:val="004A218B"/>
    <w:rsid w:val="004A222B"/>
    <w:rsid w:val="004A2395"/>
    <w:rsid w:val="004A249D"/>
    <w:rsid w:val="004A24DA"/>
    <w:rsid w:val="004A269D"/>
    <w:rsid w:val="004A2706"/>
    <w:rsid w:val="004A2756"/>
    <w:rsid w:val="004A2840"/>
    <w:rsid w:val="004A2869"/>
    <w:rsid w:val="004A2981"/>
    <w:rsid w:val="004A29E9"/>
    <w:rsid w:val="004A2AD2"/>
    <w:rsid w:val="004A2B78"/>
    <w:rsid w:val="004A2D00"/>
    <w:rsid w:val="004A2D34"/>
    <w:rsid w:val="004A2F81"/>
    <w:rsid w:val="004A3097"/>
    <w:rsid w:val="004A3465"/>
    <w:rsid w:val="004A3494"/>
    <w:rsid w:val="004A34DF"/>
    <w:rsid w:val="004A3587"/>
    <w:rsid w:val="004A3643"/>
    <w:rsid w:val="004A3729"/>
    <w:rsid w:val="004A38EF"/>
    <w:rsid w:val="004A3B11"/>
    <w:rsid w:val="004A3B6C"/>
    <w:rsid w:val="004A3BF1"/>
    <w:rsid w:val="004A3BFB"/>
    <w:rsid w:val="004A3E06"/>
    <w:rsid w:val="004A400E"/>
    <w:rsid w:val="004A4017"/>
    <w:rsid w:val="004A40EA"/>
    <w:rsid w:val="004A41A2"/>
    <w:rsid w:val="004A42E0"/>
    <w:rsid w:val="004A4364"/>
    <w:rsid w:val="004A443B"/>
    <w:rsid w:val="004A4509"/>
    <w:rsid w:val="004A4534"/>
    <w:rsid w:val="004A464E"/>
    <w:rsid w:val="004A46DD"/>
    <w:rsid w:val="004A4749"/>
    <w:rsid w:val="004A47B2"/>
    <w:rsid w:val="004A4803"/>
    <w:rsid w:val="004A4806"/>
    <w:rsid w:val="004A4907"/>
    <w:rsid w:val="004A49D9"/>
    <w:rsid w:val="004A4A00"/>
    <w:rsid w:val="004A4A10"/>
    <w:rsid w:val="004A4B84"/>
    <w:rsid w:val="004A4BDE"/>
    <w:rsid w:val="004A4EE3"/>
    <w:rsid w:val="004A51BE"/>
    <w:rsid w:val="004A52FB"/>
    <w:rsid w:val="004A54F1"/>
    <w:rsid w:val="004A563E"/>
    <w:rsid w:val="004A56DF"/>
    <w:rsid w:val="004A5763"/>
    <w:rsid w:val="004A5785"/>
    <w:rsid w:val="004A57C2"/>
    <w:rsid w:val="004A5851"/>
    <w:rsid w:val="004A5A90"/>
    <w:rsid w:val="004A5B5E"/>
    <w:rsid w:val="004A5CCF"/>
    <w:rsid w:val="004A5ED9"/>
    <w:rsid w:val="004A6117"/>
    <w:rsid w:val="004A6342"/>
    <w:rsid w:val="004A6531"/>
    <w:rsid w:val="004A6563"/>
    <w:rsid w:val="004A65E4"/>
    <w:rsid w:val="004A6937"/>
    <w:rsid w:val="004A69CB"/>
    <w:rsid w:val="004A6AE5"/>
    <w:rsid w:val="004A6C14"/>
    <w:rsid w:val="004A6C3B"/>
    <w:rsid w:val="004A7034"/>
    <w:rsid w:val="004A723A"/>
    <w:rsid w:val="004A74AD"/>
    <w:rsid w:val="004A74FE"/>
    <w:rsid w:val="004A7745"/>
    <w:rsid w:val="004A7B8D"/>
    <w:rsid w:val="004A7C07"/>
    <w:rsid w:val="004A7D0D"/>
    <w:rsid w:val="004A7DCC"/>
    <w:rsid w:val="004A7E8F"/>
    <w:rsid w:val="004A7EB0"/>
    <w:rsid w:val="004A7F24"/>
    <w:rsid w:val="004B00FE"/>
    <w:rsid w:val="004B0137"/>
    <w:rsid w:val="004B01EC"/>
    <w:rsid w:val="004B022C"/>
    <w:rsid w:val="004B02A7"/>
    <w:rsid w:val="004B02D2"/>
    <w:rsid w:val="004B02F9"/>
    <w:rsid w:val="004B0375"/>
    <w:rsid w:val="004B0385"/>
    <w:rsid w:val="004B055E"/>
    <w:rsid w:val="004B08A5"/>
    <w:rsid w:val="004B094F"/>
    <w:rsid w:val="004B0A45"/>
    <w:rsid w:val="004B0B7D"/>
    <w:rsid w:val="004B0BCE"/>
    <w:rsid w:val="004B0C10"/>
    <w:rsid w:val="004B0C33"/>
    <w:rsid w:val="004B0E6A"/>
    <w:rsid w:val="004B0F1B"/>
    <w:rsid w:val="004B0FBB"/>
    <w:rsid w:val="004B0FDD"/>
    <w:rsid w:val="004B1074"/>
    <w:rsid w:val="004B12A4"/>
    <w:rsid w:val="004B12A8"/>
    <w:rsid w:val="004B1447"/>
    <w:rsid w:val="004B1458"/>
    <w:rsid w:val="004B149C"/>
    <w:rsid w:val="004B16C7"/>
    <w:rsid w:val="004B16E4"/>
    <w:rsid w:val="004B172B"/>
    <w:rsid w:val="004B1C54"/>
    <w:rsid w:val="004B1D89"/>
    <w:rsid w:val="004B1E0B"/>
    <w:rsid w:val="004B1F41"/>
    <w:rsid w:val="004B1FF5"/>
    <w:rsid w:val="004B20A6"/>
    <w:rsid w:val="004B22CA"/>
    <w:rsid w:val="004B262B"/>
    <w:rsid w:val="004B27C4"/>
    <w:rsid w:val="004B2910"/>
    <w:rsid w:val="004B2B33"/>
    <w:rsid w:val="004B2B7D"/>
    <w:rsid w:val="004B2C7D"/>
    <w:rsid w:val="004B2CC9"/>
    <w:rsid w:val="004B2D32"/>
    <w:rsid w:val="004B2DC0"/>
    <w:rsid w:val="004B2F76"/>
    <w:rsid w:val="004B2FEF"/>
    <w:rsid w:val="004B30B0"/>
    <w:rsid w:val="004B347A"/>
    <w:rsid w:val="004B35F9"/>
    <w:rsid w:val="004B363D"/>
    <w:rsid w:val="004B36F7"/>
    <w:rsid w:val="004B38E6"/>
    <w:rsid w:val="004B3AA5"/>
    <w:rsid w:val="004B3B6B"/>
    <w:rsid w:val="004B3BE1"/>
    <w:rsid w:val="004B3C4D"/>
    <w:rsid w:val="004B3C82"/>
    <w:rsid w:val="004B3FA3"/>
    <w:rsid w:val="004B457F"/>
    <w:rsid w:val="004B4644"/>
    <w:rsid w:val="004B4856"/>
    <w:rsid w:val="004B49FA"/>
    <w:rsid w:val="004B4B63"/>
    <w:rsid w:val="004B4C4C"/>
    <w:rsid w:val="004B4E06"/>
    <w:rsid w:val="004B4EB1"/>
    <w:rsid w:val="004B50DC"/>
    <w:rsid w:val="004B5145"/>
    <w:rsid w:val="004B5149"/>
    <w:rsid w:val="004B51A2"/>
    <w:rsid w:val="004B548A"/>
    <w:rsid w:val="004B5756"/>
    <w:rsid w:val="004B587F"/>
    <w:rsid w:val="004B5936"/>
    <w:rsid w:val="004B5947"/>
    <w:rsid w:val="004B595D"/>
    <w:rsid w:val="004B5A0C"/>
    <w:rsid w:val="004B5AB7"/>
    <w:rsid w:val="004B5AEB"/>
    <w:rsid w:val="004B5BA9"/>
    <w:rsid w:val="004B5BB8"/>
    <w:rsid w:val="004B5BCD"/>
    <w:rsid w:val="004B5C45"/>
    <w:rsid w:val="004B5DD3"/>
    <w:rsid w:val="004B5EAA"/>
    <w:rsid w:val="004B5EAF"/>
    <w:rsid w:val="004B600D"/>
    <w:rsid w:val="004B60A8"/>
    <w:rsid w:val="004B6128"/>
    <w:rsid w:val="004B62F6"/>
    <w:rsid w:val="004B6411"/>
    <w:rsid w:val="004B6474"/>
    <w:rsid w:val="004B6598"/>
    <w:rsid w:val="004B6690"/>
    <w:rsid w:val="004B66DF"/>
    <w:rsid w:val="004B67D4"/>
    <w:rsid w:val="004B6B1E"/>
    <w:rsid w:val="004B6C83"/>
    <w:rsid w:val="004B6D04"/>
    <w:rsid w:val="004B706F"/>
    <w:rsid w:val="004B70A9"/>
    <w:rsid w:val="004B715B"/>
    <w:rsid w:val="004B7428"/>
    <w:rsid w:val="004B75C5"/>
    <w:rsid w:val="004B7821"/>
    <w:rsid w:val="004B78BC"/>
    <w:rsid w:val="004B7943"/>
    <w:rsid w:val="004B79D9"/>
    <w:rsid w:val="004B7B38"/>
    <w:rsid w:val="004B7C4B"/>
    <w:rsid w:val="004B7CDD"/>
    <w:rsid w:val="004C006C"/>
    <w:rsid w:val="004C007A"/>
    <w:rsid w:val="004C01AC"/>
    <w:rsid w:val="004C02C1"/>
    <w:rsid w:val="004C030D"/>
    <w:rsid w:val="004C042D"/>
    <w:rsid w:val="004C04E2"/>
    <w:rsid w:val="004C064E"/>
    <w:rsid w:val="004C07DB"/>
    <w:rsid w:val="004C07E3"/>
    <w:rsid w:val="004C0835"/>
    <w:rsid w:val="004C0851"/>
    <w:rsid w:val="004C097F"/>
    <w:rsid w:val="004C0A25"/>
    <w:rsid w:val="004C0DBC"/>
    <w:rsid w:val="004C10AD"/>
    <w:rsid w:val="004C1149"/>
    <w:rsid w:val="004C1356"/>
    <w:rsid w:val="004C135B"/>
    <w:rsid w:val="004C13F7"/>
    <w:rsid w:val="004C1460"/>
    <w:rsid w:val="004C14F4"/>
    <w:rsid w:val="004C18D7"/>
    <w:rsid w:val="004C19F4"/>
    <w:rsid w:val="004C1A96"/>
    <w:rsid w:val="004C1B44"/>
    <w:rsid w:val="004C1B75"/>
    <w:rsid w:val="004C1B99"/>
    <w:rsid w:val="004C1BDC"/>
    <w:rsid w:val="004C1FEA"/>
    <w:rsid w:val="004C202A"/>
    <w:rsid w:val="004C2092"/>
    <w:rsid w:val="004C22BD"/>
    <w:rsid w:val="004C2393"/>
    <w:rsid w:val="004C24E4"/>
    <w:rsid w:val="004C29C7"/>
    <w:rsid w:val="004C2A02"/>
    <w:rsid w:val="004C2AFF"/>
    <w:rsid w:val="004C2B9A"/>
    <w:rsid w:val="004C2BB3"/>
    <w:rsid w:val="004C2C03"/>
    <w:rsid w:val="004C2C22"/>
    <w:rsid w:val="004C2E70"/>
    <w:rsid w:val="004C354A"/>
    <w:rsid w:val="004C3571"/>
    <w:rsid w:val="004C359E"/>
    <w:rsid w:val="004C35BD"/>
    <w:rsid w:val="004C35CC"/>
    <w:rsid w:val="004C35E8"/>
    <w:rsid w:val="004C3729"/>
    <w:rsid w:val="004C394C"/>
    <w:rsid w:val="004C3AFC"/>
    <w:rsid w:val="004C3C00"/>
    <w:rsid w:val="004C3C77"/>
    <w:rsid w:val="004C3D49"/>
    <w:rsid w:val="004C3E7B"/>
    <w:rsid w:val="004C3EF4"/>
    <w:rsid w:val="004C400E"/>
    <w:rsid w:val="004C4013"/>
    <w:rsid w:val="004C40BC"/>
    <w:rsid w:val="004C42D8"/>
    <w:rsid w:val="004C432E"/>
    <w:rsid w:val="004C442F"/>
    <w:rsid w:val="004C44AB"/>
    <w:rsid w:val="004C4586"/>
    <w:rsid w:val="004C4A53"/>
    <w:rsid w:val="004C4A85"/>
    <w:rsid w:val="004C4D79"/>
    <w:rsid w:val="004C4DC9"/>
    <w:rsid w:val="004C4F8A"/>
    <w:rsid w:val="004C51E6"/>
    <w:rsid w:val="004C5281"/>
    <w:rsid w:val="004C5321"/>
    <w:rsid w:val="004C534A"/>
    <w:rsid w:val="004C5452"/>
    <w:rsid w:val="004C547C"/>
    <w:rsid w:val="004C5583"/>
    <w:rsid w:val="004C564D"/>
    <w:rsid w:val="004C576F"/>
    <w:rsid w:val="004C5863"/>
    <w:rsid w:val="004C5A00"/>
    <w:rsid w:val="004C5ABE"/>
    <w:rsid w:val="004C5C05"/>
    <w:rsid w:val="004C5C2D"/>
    <w:rsid w:val="004C5D4F"/>
    <w:rsid w:val="004C5D5D"/>
    <w:rsid w:val="004C5DC7"/>
    <w:rsid w:val="004C5FAF"/>
    <w:rsid w:val="004C616B"/>
    <w:rsid w:val="004C6233"/>
    <w:rsid w:val="004C6447"/>
    <w:rsid w:val="004C64C1"/>
    <w:rsid w:val="004C64E2"/>
    <w:rsid w:val="004C67CD"/>
    <w:rsid w:val="004C680A"/>
    <w:rsid w:val="004C6AAF"/>
    <w:rsid w:val="004C6B00"/>
    <w:rsid w:val="004C6BF8"/>
    <w:rsid w:val="004C6C88"/>
    <w:rsid w:val="004C6D27"/>
    <w:rsid w:val="004C704E"/>
    <w:rsid w:val="004C744F"/>
    <w:rsid w:val="004C7542"/>
    <w:rsid w:val="004C7695"/>
    <w:rsid w:val="004C772E"/>
    <w:rsid w:val="004C775B"/>
    <w:rsid w:val="004C78D3"/>
    <w:rsid w:val="004C78F1"/>
    <w:rsid w:val="004C7A88"/>
    <w:rsid w:val="004C7ADD"/>
    <w:rsid w:val="004C7B71"/>
    <w:rsid w:val="004C7D7E"/>
    <w:rsid w:val="004C7EA7"/>
    <w:rsid w:val="004C7F88"/>
    <w:rsid w:val="004D0153"/>
    <w:rsid w:val="004D01A7"/>
    <w:rsid w:val="004D03D3"/>
    <w:rsid w:val="004D0416"/>
    <w:rsid w:val="004D0501"/>
    <w:rsid w:val="004D0727"/>
    <w:rsid w:val="004D072E"/>
    <w:rsid w:val="004D075E"/>
    <w:rsid w:val="004D082D"/>
    <w:rsid w:val="004D0946"/>
    <w:rsid w:val="004D0A7D"/>
    <w:rsid w:val="004D0F93"/>
    <w:rsid w:val="004D1078"/>
    <w:rsid w:val="004D10A6"/>
    <w:rsid w:val="004D12D4"/>
    <w:rsid w:val="004D169B"/>
    <w:rsid w:val="004D16D3"/>
    <w:rsid w:val="004D17CB"/>
    <w:rsid w:val="004D19AA"/>
    <w:rsid w:val="004D1A92"/>
    <w:rsid w:val="004D1B58"/>
    <w:rsid w:val="004D1B5D"/>
    <w:rsid w:val="004D1C5A"/>
    <w:rsid w:val="004D1CA9"/>
    <w:rsid w:val="004D1CEC"/>
    <w:rsid w:val="004D1FCB"/>
    <w:rsid w:val="004D211A"/>
    <w:rsid w:val="004D2164"/>
    <w:rsid w:val="004D224F"/>
    <w:rsid w:val="004D22C3"/>
    <w:rsid w:val="004D22F3"/>
    <w:rsid w:val="004D231C"/>
    <w:rsid w:val="004D2491"/>
    <w:rsid w:val="004D25C3"/>
    <w:rsid w:val="004D2781"/>
    <w:rsid w:val="004D29CB"/>
    <w:rsid w:val="004D2EC9"/>
    <w:rsid w:val="004D308B"/>
    <w:rsid w:val="004D3177"/>
    <w:rsid w:val="004D32FC"/>
    <w:rsid w:val="004D370D"/>
    <w:rsid w:val="004D37F3"/>
    <w:rsid w:val="004D3852"/>
    <w:rsid w:val="004D3D25"/>
    <w:rsid w:val="004D3F18"/>
    <w:rsid w:val="004D3FC7"/>
    <w:rsid w:val="004D4222"/>
    <w:rsid w:val="004D442F"/>
    <w:rsid w:val="004D4586"/>
    <w:rsid w:val="004D46AF"/>
    <w:rsid w:val="004D46B1"/>
    <w:rsid w:val="004D46D4"/>
    <w:rsid w:val="004D47A5"/>
    <w:rsid w:val="004D47AC"/>
    <w:rsid w:val="004D4809"/>
    <w:rsid w:val="004D495B"/>
    <w:rsid w:val="004D4B1C"/>
    <w:rsid w:val="004D4CDF"/>
    <w:rsid w:val="004D4D06"/>
    <w:rsid w:val="004D4E60"/>
    <w:rsid w:val="004D4EE9"/>
    <w:rsid w:val="004D4FAC"/>
    <w:rsid w:val="004D4FCC"/>
    <w:rsid w:val="004D507E"/>
    <w:rsid w:val="004D50D6"/>
    <w:rsid w:val="004D530C"/>
    <w:rsid w:val="004D5320"/>
    <w:rsid w:val="004D534D"/>
    <w:rsid w:val="004D5532"/>
    <w:rsid w:val="004D584D"/>
    <w:rsid w:val="004D58A1"/>
    <w:rsid w:val="004D5A48"/>
    <w:rsid w:val="004D5A89"/>
    <w:rsid w:val="004D5AFE"/>
    <w:rsid w:val="004D5B68"/>
    <w:rsid w:val="004D5CAB"/>
    <w:rsid w:val="004D5D69"/>
    <w:rsid w:val="004D5DC7"/>
    <w:rsid w:val="004D6106"/>
    <w:rsid w:val="004D610D"/>
    <w:rsid w:val="004D61A9"/>
    <w:rsid w:val="004D65E3"/>
    <w:rsid w:val="004D662D"/>
    <w:rsid w:val="004D663B"/>
    <w:rsid w:val="004D66D7"/>
    <w:rsid w:val="004D67B5"/>
    <w:rsid w:val="004D6A06"/>
    <w:rsid w:val="004D6A09"/>
    <w:rsid w:val="004D6ABD"/>
    <w:rsid w:val="004D6C81"/>
    <w:rsid w:val="004D6D4E"/>
    <w:rsid w:val="004D6D8E"/>
    <w:rsid w:val="004D6D8F"/>
    <w:rsid w:val="004D70BF"/>
    <w:rsid w:val="004D71FE"/>
    <w:rsid w:val="004D735F"/>
    <w:rsid w:val="004D73C5"/>
    <w:rsid w:val="004D75D3"/>
    <w:rsid w:val="004D76FF"/>
    <w:rsid w:val="004D7846"/>
    <w:rsid w:val="004D78FB"/>
    <w:rsid w:val="004D792E"/>
    <w:rsid w:val="004D7946"/>
    <w:rsid w:val="004D79CC"/>
    <w:rsid w:val="004D79E7"/>
    <w:rsid w:val="004D7A1D"/>
    <w:rsid w:val="004D7AC6"/>
    <w:rsid w:val="004D7AEC"/>
    <w:rsid w:val="004D7B4D"/>
    <w:rsid w:val="004D7CB7"/>
    <w:rsid w:val="004E00DB"/>
    <w:rsid w:val="004E0184"/>
    <w:rsid w:val="004E04FF"/>
    <w:rsid w:val="004E0588"/>
    <w:rsid w:val="004E05DD"/>
    <w:rsid w:val="004E06C7"/>
    <w:rsid w:val="004E0794"/>
    <w:rsid w:val="004E0854"/>
    <w:rsid w:val="004E0975"/>
    <w:rsid w:val="004E098F"/>
    <w:rsid w:val="004E09F4"/>
    <w:rsid w:val="004E0E0F"/>
    <w:rsid w:val="004E1130"/>
    <w:rsid w:val="004E1182"/>
    <w:rsid w:val="004E1228"/>
    <w:rsid w:val="004E129D"/>
    <w:rsid w:val="004E1324"/>
    <w:rsid w:val="004E1445"/>
    <w:rsid w:val="004E14BB"/>
    <w:rsid w:val="004E1598"/>
    <w:rsid w:val="004E160D"/>
    <w:rsid w:val="004E1675"/>
    <w:rsid w:val="004E1B91"/>
    <w:rsid w:val="004E1C26"/>
    <w:rsid w:val="004E1E4F"/>
    <w:rsid w:val="004E1F44"/>
    <w:rsid w:val="004E214F"/>
    <w:rsid w:val="004E238C"/>
    <w:rsid w:val="004E26A2"/>
    <w:rsid w:val="004E26C2"/>
    <w:rsid w:val="004E2772"/>
    <w:rsid w:val="004E27DC"/>
    <w:rsid w:val="004E2B62"/>
    <w:rsid w:val="004E2BB7"/>
    <w:rsid w:val="004E2C30"/>
    <w:rsid w:val="004E2DC0"/>
    <w:rsid w:val="004E325C"/>
    <w:rsid w:val="004E32E4"/>
    <w:rsid w:val="004E33FB"/>
    <w:rsid w:val="004E3539"/>
    <w:rsid w:val="004E37CA"/>
    <w:rsid w:val="004E3808"/>
    <w:rsid w:val="004E38A0"/>
    <w:rsid w:val="004E3A22"/>
    <w:rsid w:val="004E3AE7"/>
    <w:rsid w:val="004E3B54"/>
    <w:rsid w:val="004E3D3D"/>
    <w:rsid w:val="004E3F0D"/>
    <w:rsid w:val="004E40D7"/>
    <w:rsid w:val="004E4223"/>
    <w:rsid w:val="004E430A"/>
    <w:rsid w:val="004E43F8"/>
    <w:rsid w:val="004E4579"/>
    <w:rsid w:val="004E45E9"/>
    <w:rsid w:val="004E4B8D"/>
    <w:rsid w:val="004E4B9E"/>
    <w:rsid w:val="004E4BCC"/>
    <w:rsid w:val="004E4CB7"/>
    <w:rsid w:val="004E4CCD"/>
    <w:rsid w:val="004E4CD6"/>
    <w:rsid w:val="004E4DEA"/>
    <w:rsid w:val="004E4F07"/>
    <w:rsid w:val="004E5021"/>
    <w:rsid w:val="004E52BE"/>
    <w:rsid w:val="004E53E6"/>
    <w:rsid w:val="004E53F5"/>
    <w:rsid w:val="004E56F8"/>
    <w:rsid w:val="004E5940"/>
    <w:rsid w:val="004E5B1C"/>
    <w:rsid w:val="004E5C2A"/>
    <w:rsid w:val="004E5CFE"/>
    <w:rsid w:val="004E5D32"/>
    <w:rsid w:val="004E5F55"/>
    <w:rsid w:val="004E63D3"/>
    <w:rsid w:val="004E63D7"/>
    <w:rsid w:val="004E6442"/>
    <w:rsid w:val="004E6499"/>
    <w:rsid w:val="004E654B"/>
    <w:rsid w:val="004E6576"/>
    <w:rsid w:val="004E6826"/>
    <w:rsid w:val="004E682D"/>
    <w:rsid w:val="004E6999"/>
    <w:rsid w:val="004E6AD5"/>
    <w:rsid w:val="004E6B18"/>
    <w:rsid w:val="004E6C41"/>
    <w:rsid w:val="004E6DAB"/>
    <w:rsid w:val="004E6E1E"/>
    <w:rsid w:val="004E6FD5"/>
    <w:rsid w:val="004E7069"/>
    <w:rsid w:val="004E70F6"/>
    <w:rsid w:val="004E7290"/>
    <w:rsid w:val="004E73DC"/>
    <w:rsid w:val="004E743B"/>
    <w:rsid w:val="004E7461"/>
    <w:rsid w:val="004E7623"/>
    <w:rsid w:val="004E76C3"/>
    <w:rsid w:val="004E799C"/>
    <w:rsid w:val="004E7AC5"/>
    <w:rsid w:val="004E7B93"/>
    <w:rsid w:val="004E7C00"/>
    <w:rsid w:val="004E7C46"/>
    <w:rsid w:val="004E7D5D"/>
    <w:rsid w:val="004F0043"/>
    <w:rsid w:val="004F018C"/>
    <w:rsid w:val="004F0310"/>
    <w:rsid w:val="004F03C7"/>
    <w:rsid w:val="004F047A"/>
    <w:rsid w:val="004F053F"/>
    <w:rsid w:val="004F063A"/>
    <w:rsid w:val="004F06B8"/>
    <w:rsid w:val="004F0877"/>
    <w:rsid w:val="004F0938"/>
    <w:rsid w:val="004F098D"/>
    <w:rsid w:val="004F0A47"/>
    <w:rsid w:val="004F0BEC"/>
    <w:rsid w:val="004F0C19"/>
    <w:rsid w:val="004F0C9C"/>
    <w:rsid w:val="004F0D17"/>
    <w:rsid w:val="004F0DC4"/>
    <w:rsid w:val="004F0E5B"/>
    <w:rsid w:val="004F0F56"/>
    <w:rsid w:val="004F1244"/>
    <w:rsid w:val="004F1293"/>
    <w:rsid w:val="004F12E3"/>
    <w:rsid w:val="004F149D"/>
    <w:rsid w:val="004F1591"/>
    <w:rsid w:val="004F163A"/>
    <w:rsid w:val="004F16F8"/>
    <w:rsid w:val="004F1A6F"/>
    <w:rsid w:val="004F1CD6"/>
    <w:rsid w:val="004F1D5D"/>
    <w:rsid w:val="004F1F5F"/>
    <w:rsid w:val="004F2246"/>
    <w:rsid w:val="004F228E"/>
    <w:rsid w:val="004F232C"/>
    <w:rsid w:val="004F23EC"/>
    <w:rsid w:val="004F2479"/>
    <w:rsid w:val="004F24E3"/>
    <w:rsid w:val="004F2554"/>
    <w:rsid w:val="004F273D"/>
    <w:rsid w:val="004F27A6"/>
    <w:rsid w:val="004F27AF"/>
    <w:rsid w:val="004F27DD"/>
    <w:rsid w:val="004F2800"/>
    <w:rsid w:val="004F28AE"/>
    <w:rsid w:val="004F2A52"/>
    <w:rsid w:val="004F2B61"/>
    <w:rsid w:val="004F2B77"/>
    <w:rsid w:val="004F2CC8"/>
    <w:rsid w:val="004F2F62"/>
    <w:rsid w:val="004F2F86"/>
    <w:rsid w:val="004F3040"/>
    <w:rsid w:val="004F3074"/>
    <w:rsid w:val="004F318F"/>
    <w:rsid w:val="004F326A"/>
    <w:rsid w:val="004F3300"/>
    <w:rsid w:val="004F33D5"/>
    <w:rsid w:val="004F3521"/>
    <w:rsid w:val="004F3634"/>
    <w:rsid w:val="004F36DE"/>
    <w:rsid w:val="004F36E4"/>
    <w:rsid w:val="004F37F6"/>
    <w:rsid w:val="004F3885"/>
    <w:rsid w:val="004F3AB5"/>
    <w:rsid w:val="004F3C2B"/>
    <w:rsid w:val="004F3DA1"/>
    <w:rsid w:val="004F3E19"/>
    <w:rsid w:val="004F3F40"/>
    <w:rsid w:val="004F3F7C"/>
    <w:rsid w:val="004F3F9F"/>
    <w:rsid w:val="004F4069"/>
    <w:rsid w:val="004F40DD"/>
    <w:rsid w:val="004F41B6"/>
    <w:rsid w:val="004F4571"/>
    <w:rsid w:val="004F46F8"/>
    <w:rsid w:val="004F4992"/>
    <w:rsid w:val="004F4A09"/>
    <w:rsid w:val="004F4BC3"/>
    <w:rsid w:val="004F4BE5"/>
    <w:rsid w:val="004F4C33"/>
    <w:rsid w:val="004F4C60"/>
    <w:rsid w:val="004F4F36"/>
    <w:rsid w:val="004F4FD0"/>
    <w:rsid w:val="004F5114"/>
    <w:rsid w:val="004F5160"/>
    <w:rsid w:val="004F546D"/>
    <w:rsid w:val="004F5644"/>
    <w:rsid w:val="004F581C"/>
    <w:rsid w:val="004F5B87"/>
    <w:rsid w:val="004F5CC3"/>
    <w:rsid w:val="004F60FE"/>
    <w:rsid w:val="004F615F"/>
    <w:rsid w:val="004F6171"/>
    <w:rsid w:val="004F6296"/>
    <w:rsid w:val="004F63BC"/>
    <w:rsid w:val="004F641B"/>
    <w:rsid w:val="004F6711"/>
    <w:rsid w:val="004F6763"/>
    <w:rsid w:val="004F6777"/>
    <w:rsid w:val="004F686F"/>
    <w:rsid w:val="004F68AB"/>
    <w:rsid w:val="004F6B72"/>
    <w:rsid w:val="004F6C96"/>
    <w:rsid w:val="004F6D34"/>
    <w:rsid w:val="004F6DB9"/>
    <w:rsid w:val="004F6F33"/>
    <w:rsid w:val="004F6F6A"/>
    <w:rsid w:val="004F6F6B"/>
    <w:rsid w:val="004F7107"/>
    <w:rsid w:val="004F7305"/>
    <w:rsid w:val="004F7453"/>
    <w:rsid w:val="004F75AB"/>
    <w:rsid w:val="004F7681"/>
    <w:rsid w:val="004F770C"/>
    <w:rsid w:val="004F7A55"/>
    <w:rsid w:val="004F7C4D"/>
    <w:rsid w:val="004F7E66"/>
    <w:rsid w:val="004F7F41"/>
    <w:rsid w:val="00500370"/>
    <w:rsid w:val="00500405"/>
    <w:rsid w:val="00500505"/>
    <w:rsid w:val="0050062E"/>
    <w:rsid w:val="00500652"/>
    <w:rsid w:val="005006F7"/>
    <w:rsid w:val="005008F3"/>
    <w:rsid w:val="00500A91"/>
    <w:rsid w:val="00500C6B"/>
    <w:rsid w:val="0050158F"/>
    <w:rsid w:val="005015EE"/>
    <w:rsid w:val="0050173F"/>
    <w:rsid w:val="00501983"/>
    <w:rsid w:val="00501B14"/>
    <w:rsid w:val="00502094"/>
    <w:rsid w:val="005021CF"/>
    <w:rsid w:val="00502267"/>
    <w:rsid w:val="00502476"/>
    <w:rsid w:val="005025A0"/>
    <w:rsid w:val="00502605"/>
    <w:rsid w:val="0050260D"/>
    <w:rsid w:val="00502750"/>
    <w:rsid w:val="0050283F"/>
    <w:rsid w:val="005029A4"/>
    <w:rsid w:val="005029A9"/>
    <w:rsid w:val="005029DA"/>
    <w:rsid w:val="00502C1D"/>
    <w:rsid w:val="005032D8"/>
    <w:rsid w:val="00503590"/>
    <w:rsid w:val="005035FC"/>
    <w:rsid w:val="005037C3"/>
    <w:rsid w:val="00503841"/>
    <w:rsid w:val="00503A07"/>
    <w:rsid w:val="00503BAC"/>
    <w:rsid w:val="00503CFF"/>
    <w:rsid w:val="00503D19"/>
    <w:rsid w:val="00503D51"/>
    <w:rsid w:val="00503DF9"/>
    <w:rsid w:val="00503E2A"/>
    <w:rsid w:val="00503F18"/>
    <w:rsid w:val="00503FE2"/>
    <w:rsid w:val="00504066"/>
    <w:rsid w:val="005040FC"/>
    <w:rsid w:val="00504126"/>
    <w:rsid w:val="00504238"/>
    <w:rsid w:val="0050444A"/>
    <w:rsid w:val="0050450B"/>
    <w:rsid w:val="00504813"/>
    <w:rsid w:val="00504821"/>
    <w:rsid w:val="0050489F"/>
    <w:rsid w:val="00504B52"/>
    <w:rsid w:val="00504B84"/>
    <w:rsid w:val="00504DA0"/>
    <w:rsid w:val="00504DA1"/>
    <w:rsid w:val="00504F55"/>
    <w:rsid w:val="00505273"/>
    <w:rsid w:val="00505289"/>
    <w:rsid w:val="00505344"/>
    <w:rsid w:val="0050542D"/>
    <w:rsid w:val="00505433"/>
    <w:rsid w:val="00505712"/>
    <w:rsid w:val="00505840"/>
    <w:rsid w:val="005059F2"/>
    <w:rsid w:val="00505A0A"/>
    <w:rsid w:val="00505D2F"/>
    <w:rsid w:val="00505E88"/>
    <w:rsid w:val="00505F3C"/>
    <w:rsid w:val="00505F40"/>
    <w:rsid w:val="00505FF6"/>
    <w:rsid w:val="005060B6"/>
    <w:rsid w:val="0050622F"/>
    <w:rsid w:val="00506314"/>
    <w:rsid w:val="0050634A"/>
    <w:rsid w:val="0050637B"/>
    <w:rsid w:val="0050648D"/>
    <w:rsid w:val="005064ED"/>
    <w:rsid w:val="005065AC"/>
    <w:rsid w:val="0050667A"/>
    <w:rsid w:val="0050667F"/>
    <w:rsid w:val="005067DA"/>
    <w:rsid w:val="00506806"/>
    <w:rsid w:val="005068C8"/>
    <w:rsid w:val="005068FE"/>
    <w:rsid w:val="00506A39"/>
    <w:rsid w:val="00506A49"/>
    <w:rsid w:val="00506AD7"/>
    <w:rsid w:val="00506B13"/>
    <w:rsid w:val="00506B2B"/>
    <w:rsid w:val="00506B5D"/>
    <w:rsid w:val="00506CBE"/>
    <w:rsid w:val="00506D64"/>
    <w:rsid w:val="00506D7C"/>
    <w:rsid w:val="00507129"/>
    <w:rsid w:val="0050712E"/>
    <w:rsid w:val="005071EC"/>
    <w:rsid w:val="00507239"/>
    <w:rsid w:val="00507349"/>
    <w:rsid w:val="00507379"/>
    <w:rsid w:val="005073B4"/>
    <w:rsid w:val="0050740C"/>
    <w:rsid w:val="00507658"/>
    <w:rsid w:val="0050766F"/>
    <w:rsid w:val="00507680"/>
    <w:rsid w:val="005076C8"/>
    <w:rsid w:val="0050790C"/>
    <w:rsid w:val="00507B57"/>
    <w:rsid w:val="00507BEF"/>
    <w:rsid w:val="00507D43"/>
    <w:rsid w:val="00507DC4"/>
    <w:rsid w:val="00507E51"/>
    <w:rsid w:val="005102FA"/>
    <w:rsid w:val="00510343"/>
    <w:rsid w:val="00510658"/>
    <w:rsid w:val="0051066B"/>
    <w:rsid w:val="005107B5"/>
    <w:rsid w:val="005108AE"/>
    <w:rsid w:val="005108C9"/>
    <w:rsid w:val="00510BA5"/>
    <w:rsid w:val="00510BCB"/>
    <w:rsid w:val="00510C15"/>
    <w:rsid w:val="00510EA8"/>
    <w:rsid w:val="00510FFD"/>
    <w:rsid w:val="00511080"/>
    <w:rsid w:val="0051111F"/>
    <w:rsid w:val="00511311"/>
    <w:rsid w:val="0051146C"/>
    <w:rsid w:val="00511611"/>
    <w:rsid w:val="005116F8"/>
    <w:rsid w:val="0051172F"/>
    <w:rsid w:val="00511901"/>
    <w:rsid w:val="00511A7B"/>
    <w:rsid w:val="00511AD5"/>
    <w:rsid w:val="00511AF2"/>
    <w:rsid w:val="00511C26"/>
    <w:rsid w:val="00511C83"/>
    <w:rsid w:val="00511CEA"/>
    <w:rsid w:val="00511D7D"/>
    <w:rsid w:val="00512015"/>
    <w:rsid w:val="00512356"/>
    <w:rsid w:val="00512406"/>
    <w:rsid w:val="005126A1"/>
    <w:rsid w:val="005126D0"/>
    <w:rsid w:val="00512749"/>
    <w:rsid w:val="00512782"/>
    <w:rsid w:val="0051295C"/>
    <w:rsid w:val="00512AF8"/>
    <w:rsid w:val="00512B75"/>
    <w:rsid w:val="00512BD5"/>
    <w:rsid w:val="00512C77"/>
    <w:rsid w:val="00512D2D"/>
    <w:rsid w:val="00512F23"/>
    <w:rsid w:val="00512FF2"/>
    <w:rsid w:val="00513095"/>
    <w:rsid w:val="005132B1"/>
    <w:rsid w:val="0051334C"/>
    <w:rsid w:val="005134C1"/>
    <w:rsid w:val="005134D2"/>
    <w:rsid w:val="00513626"/>
    <w:rsid w:val="00513660"/>
    <w:rsid w:val="00513854"/>
    <w:rsid w:val="005138B8"/>
    <w:rsid w:val="005138CE"/>
    <w:rsid w:val="00513975"/>
    <w:rsid w:val="00513A80"/>
    <w:rsid w:val="00513AEB"/>
    <w:rsid w:val="00513CAC"/>
    <w:rsid w:val="00513CD2"/>
    <w:rsid w:val="00513E0E"/>
    <w:rsid w:val="00513EE9"/>
    <w:rsid w:val="00513F22"/>
    <w:rsid w:val="00513FCB"/>
    <w:rsid w:val="005140D4"/>
    <w:rsid w:val="00514196"/>
    <w:rsid w:val="0051419B"/>
    <w:rsid w:val="00514260"/>
    <w:rsid w:val="005142F9"/>
    <w:rsid w:val="00514655"/>
    <w:rsid w:val="00514778"/>
    <w:rsid w:val="005147BC"/>
    <w:rsid w:val="005147D5"/>
    <w:rsid w:val="0051498E"/>
    <w:rsid w:val="00514AB6"/>
    <w:rsid w:val="00515152"/>
    <w:rsid w:val="005151DB"/>
    <w:rsid w:val="00515265"/>
    <w:rsid w:val="005153AD"/>
    <w:rsid w:val="005153C6"/>
    <w:rsid w:val="005155FF"/>
    <w:rsid w:val="00515A9E"/>
    <w:rsid w:val="00515AD1"/>
    <w:rsid w:val="00515CA0"/>
    <w:rsid w:val="00515E48"/>
    <w:rsid w:val="00515E9B"/>
    <w:rsid w:val="00515FD4"/>
    <w:rsid w:val="00516028"/>
    <w:rsid w:val="0051622A"/>
    <w:rsid w:val="005164CC"/>
    <w:rsid w:val="00516760"/>
    <w:rsid w:val="005168F1"/>
    <w:rsid w:val="0051692A"/>
    <w:rsid w:val="00516935"/>
    <w:rsid w:val="00516BB3"/>
    <w:rsid w:val="00516C0C"/>
    <w:rsid w:val="00516C0F"/>
    <w:rsid w:val="00516C8E"/>
    <w:rsid w:val="00516D33"/>
    <w:rsid w:val="00516DFE"/>
    <w:rsid w:val="00516F54"/>
    <w:rsid w:val="00516FD1"/>
    <w:rsid w:val="00516FF9"/>
    <w:rsid w:val="00517002"/>
    <w:rsid w:val="00517102"/>
    <w:rsid w:val="00517160"/>
    <w:rsid w:val="0051735F"/>
    <w:rsid w:val="005174CC"/>
    <w:rsid w:val="005174F2"/>
    <w:rsid w:val="00517705"/>
    <w:rsid w:val="0051781E"/>
    <w:rsid w:val="00517AB0"/>
    <w:rsid w:val="00517C33"/>
    <w:rsid w:val="0052001E"/>
    <w:rsid w:val="00520073"/>
    <w:rsid w:val="00520089"/>
    <w:rsid w:val="005200BE"/>
    <w:rsid w:val="005202D9"/>
    <w:rsid w:val="005203F2"/>
    <w:rsid w:val="00520613"/>
    <w:rsid w:val="0052068E"/>
    <w:rsid w:val="0052073D"/>
    <w:rsid w:val="00520827"/>
    <w:rsid w:val="00520B42"/>
    <w:rsid w:val="00520B71"/>
    <w:rsid w:val="00520D80"/>
    <w:rsid w:val="00520F56"/>
    <w:rsid w:val="00520F91"/>
    <w:rsid w:val="00520FBD"/>
    <w:rsid w:val="005213A3"/>
    <w:rsid w:val="0052144D"/>
    <w:rsid w:val="00521605"/>
    <w:rsid w:val="0052178C"/>
    <w:rsid w:val="005218EB"/>
    <w:rsid w:val="0052194C"/>
    <w:rsid w:val="005219C3"/>
    <w:rsid w:val="00521B2C"/>
    <w:rsid w:val="00521B9C"/>
    <w:rsid w:val="00521C56"/>
    <w:rsid w:val="00521D7B"/>
    <w:rsid w:val="00521E31"/>
    <w:rsid w:val="005221AC"/>
    <w:rsid w:val="005222B0"/>
    <w:rsid w:val="00522434"/>
    <w:rsid w:val="005225C8"/>
    <w:rsid w:val="005226A6"/>
    <w:rsid w:val="005226B3"/>
    <w:rsid w:val="00522707"/>
    <w:rsid w:val="005227AC"/>
    <w:rsid w:val="005228FC"/>
    <w:rsid w:val="00522924"/>
    <w:rsid w:val="005229D8"/>
    <w:rsid w:val="00522A05"/>
    <w:rsid w:val="00522A5A"/>
    <w:rsid w:val="00522B21"/>
    <w:rsid w:val="00522B5B"/>
    <w:rsid w:val="00522BAD"/>
    <w:rsid w:val="00522E57"/>
    <w:rsid w:val="00522F8B"/>
    <w:rsid w:val="00523136"/>
    <w:rsid w:val="00523169"/>
    <w:rsid w:val="00523185"/>
    <w:rsid w:val="005231BD"/>
    <w:rsid w:val="00523255"/>
    <w:rsid w:val="0052334B"/>
    <w:rsid w:val="00523592"/>
    <w:rsid w:val="00523659"/>
    <w:rsid w:val="005236D0"/>
    <w:rsid w:val="00523740"/>
    <w:rsid w:val="0052378E"/>
    <w:rsid w:val="0052394B"/>
    <w:rsid w:val="00523BB8"/>
    <w:rsid w:val="00523CFD"/>
    <w:rsid w:val="00523D59"/>
    <w:rsid w:val="00523E43"/>
    <w:rsid w:val="00523FDD"/>
    <w:rsid w:val="005244B3"/>
    <w:rsid w:val="005245C9"/>
    <w:rsid w:val="005248D9"/>
    <w:rsid w:val="00524AC3"/>
    <w:rsid w:val="00524B14"/>
    <w:rsid w:val="00524EDB"/>
    <w:rsid w:val="00524F6B"/>
    <w:rsid w:val="0052501B"/>
    <w:rsid w:val="0052501D"/>
    <w:rsid w:val="005250EA"/>
    <w:rsid w:val="00525342"/>
    <w:rsid w:val="00525393"/>
    <w:rsid w:val="00525449"/>
    <w:rsid w:val="005255FF"/>
    <w:rsid w:val="00525604"/>
    <w:rsid w:val="00525724"/>
    <w:rsid w:val="00525A81"/>
    <w:rsid w:val="00525C85"/>
    <w:rsid w:val="00525E39"/>
    <w:rsid w:val="00525ED9"/>
    <w:rsid w:val="00525F5D"/>
    <w:rsid w:val="005262D9"/>
    <w:rsid w:val="0052634A"/>
    <w:rsid w:val="00526360"/>
    <w:rsid w:val="00526536"/>
    <w:rsid w:val="0052655B"/>
    <w:rsid w:val="00526593"/>
    <w:rsid w:val="00526642"/>
    <w:rsid w:val="00526743"/>
    <w:rsid w:val="00526949"/>
    <w:rsid w:val="005269AC"/>
    <w:rsid w:val="00526BC9"/>
    <w:rsid w:val="00526C78"/>
    <w:rsid w:val="00526D02"/>
    <w:rsid w:val="00526E79"/>
    <w:rsid w:val="00527052"/>
    <w:rsid w:val="00527076"/>
    <w:rsid w:val="005272A6"/>
    <w:rsid w:val="00527451"/>
    <w:rsid w:val="005278D6"/>
    <w:rsid w:val="00527B49"/>
    <w:rsid w:val="00527B82"/>
    <w:rsid w:val="00527DD9"/>
    <w:rsid w:val="00527EBA"/>
    <w:rsid w:val="00527FAD"/>
    <w:rsid w:val="0052B87E"/>
    <w:rsid w:val="00530169"/>
    <w:rsid w:val="00530197"/>
    <w:rsid w:val="00530322"/>
    <w:rsid w:val="0053055B"/>
    <w:rsid w:val="0053092D"/>
    <w:rsid w:val="00530A0D"/>
    <w:rsid w:val="00530B43"/>
    <w:rsid w:val="00531087"/>
    <w:rsid w:val="005310CF"/>
    <w:rsid w:val="00531159"/>
    <w:rsid w:val="00531332"/>
    <w:rsid w:val="0053137E"/>
    <w:rsid w:val="00531409"/>
    <w:rsid w:val="00531652"/>
    <w:rsid w:val="00531661"/>
    <w:rsid w:val="0053166F"/>
    <w:rsid w:val="005316E8"/>
    <w:rsid w:val="00531824"/>
    <w:rsid w:val="005318C1"/>
    <w:rsid w:val="00531947"/>
    <w:rsid w:val="00531C50"/>
    <w:rsid w:val="00531C54"/>
    <w:rsid w:val="00531DB7"/>
    <w:rsid w:val="00531EC0"/>
    <w:rsid w:val="005320EB"/>
    <w:rsid w:val="00532526"/>
    <w:rsid w:val="00532597"/>
    <w:rsid w:val="005326C1"/>
    <w:rsid w:val="005327DC"/>
    <w:rsid w:val="00532A38"/>
    <w:rsid w:val="00532CDF"/>
    <w:rsid w:val="00532D1D"/>
    <w:rsid w:val="00533009"/>
    <w:rsid w:val="0053339E"/>
    <w:rsid w:val="0053346B"/>
    <w:rsid w:val="005336ED"/>
    <w:rsid w:val="005337DD"/>
    <w:rsid w:val="00533843"/>
    <w:rsid w:val="00533BAD"/>
    <w:rsid w:val="00533C46"/>
    <w:rsid w:val="0053405C"/>
    <w:rsid w:val="00534281"/>
    <w:rsid w:val="00534382"/>
    <w:rsid w:val="005343A2"/>
    <w:rsid w:val="0053442E"/>
    <w:rsid w:val="0053447B"/>
    <w:rsid w:val="005344EC"/>
    <w:rsid w:val="00534818"/>
    <w:rsid w:val="00534869"/>
    <w:rsid w:val="0053488C"/>
    <w:rsid w:val="00534AC0"/>
    <w:rsid w:val="00534C5D"/>
    <w:rsid w:val="00534EBE"/>
    <w:rsid w:val="00534F9A"/>
    <w:rsid w:val="0053517D"/>
    <w:rsid w:val="00535475"/>
    <w:rsid w:val="00535510"/>
    <w:rsid w:val="005356BF"/>
    <w:rsid w:val="005358CE"/>
    <w:rsid w:val="00535973"/>
    <w:rsid w:val="005359DC"/>
    <w:rsid w:val="00535A9F"/>
    <w:rsid w:val="00535ABE"/>
    <w:rsid w:val="00535CA7"/>
    <w:rsid w:val="00535CE8"/>
    <w:rsid w:val="00535E1B"/>
    <w:rsid w:val="00535FB2"/>
    <w:rsid w:val="0053608B"/>
    <w:rsid w:val="0053610D"/>
    <w:rsid w:val="00536159"/>
    <w:rsid w:val="00536181"/>
    <w:rsid w:val="00536405"/>
    <w:rsid w:val="00536753"/>
    <w:rsid w:val="005367C7"/>
    <w:rsid w:val="005367D2"/>
    <w:rsid w:val="00536813"/>
    <w:rsid w:val="005368A3"/>
    <w:rsid w:val="00536AC7"/>
    <w:rsid w:val="00536C47"/>
    <w:rsid w:val="00536CDF"/>
    <w:rsid w:val="00536CE1"/>
    <w:rsid w:val="00537134"/>
    <w:rsid w:val="00537214"/>
    <w:rsid w:val="0053725E"/>
    <w:rsid w:val="00537284"/>
    <w:rsid w:val="00537411"/>
    <w:rsid w:val="005374C5"/>
    <w:rsid w:val="00537722"/>
    <w:rsid w:val="0053777B"/>
    <w:rsid w:val="005377C5"/>
    <w:rsid w:val="005378CA"/>
    <w:rsid w:val="005379CF"/>
    <w:rsid w:val="00537A1D"/>
    <w:rsid w:val="00537A53"/>
    <w:rsid w:val="00537A54"/>
    <w:rsid w:val="00537CA6"/>
    <w:rsid w:val="00537DB9"/>
    <w:rsid w:val="00537DFA"/>
    <w:rsid w:val="00537E48"/>
    <w:rsid w:val="00537E70"/>
    <w:rsid w:val="00537ED1"/>
    <w:rsid w:val="00537F1F"/>
    <w:rsid w:val="00540099"/>
    <w:rsid w:val="005400F5"/>
    <w:rsid w:val="00540205"/>
    <w:rsid w:val="0054028B"/>
    <w:rsid w:val="005402C3"/>
    <w:rsid w:val="00540884"/>
    <w:rsid w:val="00540976"/>
    <w:rsid w:val="00540AFC"/>
    <w:rsid w:val="00540BA1"/>
    <w:rsid w:val="00540BC7"/>
    <w:rsid w:val="00540CC3"/>
    <w:rsid w:val="00540D29"/>
    <w:rsid w:val="00540F82"/>
    <w:rsid w:val="00541192"/>
    <w:rsid w:val="005411A7"/>
    <w:rsid w:val="0054120A"/>
    <w:rsid w:val="00541276"/>
    <w:rsid w:val="00541342"/>
    <w:rsid w:val="005416C4"/>
    <w:rsid w:val="0054170F"/>
    <w:rsid w:val="0054176A"/>
    <w:rsid w:val="00541775"/>
    <w:rsid w:val="00541932"/>
    <w:rsid w:val="00541A41"/>
    <w:rsid w:val="00541B8D"/>
    <w:rsid w:val="00541BC9"/>
    <w:rsid w:val="00541C2D"/>
    <w:rsid w:val="00541DAA"/>
    <w:rsid w:val="00541E34"/>
    <w:rsid w:val="00541F2C"/>
    <w:rsid w:val="00541FA5"/>
    <w:rsid w:val="00542151"/>
    <w:rsid w:val="005421FB"/>
    <w:rsid w:val="00542447"/>
    <w:rsid w:val="00542498"/>
    <w:rsid w:val="0054276A"/>
    <w:rsid w:val="005427E8"/>
    <w:rsid w:val="00542911"/>
    <w:rsid w:val="00542956"/>
    <w:rsid w:val="00542980"/>
    <w:rsid w:val="00542AC0"/>
    <w:rsid w:val="00542D61"/>
    <w:rsid w:val="00542DA1"/>
    <w:rsid w:val="00542DB4"/>
    <w:rsid w:val="0054309F"/>
    <w:rsid w:val="00543284"/>
    <w:rsid w:val="005432DE"/>
    <w:rsid w:val="0054344E"/>
    <w:rsid w:val="0054345B"/>
    <w:rsid w:val="0054357B"/>
    <w:rsid w:val="0054358C"/>
    <w:rsid w:val="00543A48"/>
    <w:rsid w:val="00543CAE"/>
    <w:rsid w:val="00543EA2"/>
    <w:rsid w:val="00543EB7"/>
    <w:rsid w:val="00543EC4"/>
    <w:rsid w:val="00543F19"/>
    <w:rsid w:val="00543F5D"/>
    <w:rsid w:val="00544194"/>
    <w:rsid w:val="005442B8"/>
    <w:rsid w:val="00544326"/>
    <w:rsid w:val="005443F9"/>
    <w:rsid w:val="00544544"/>
    <w:rsid w:val="00544740"/>
    <w:rsid w:val="0054478E"/>
    <w:rsid w:val="005447DF"/>
    <w:rsid w:val="005449A7"/>
    <w:rsid w:val="005449C6"/>
    <w:rsid w:val="00544BF9"/>
    <w:rsid w:val="00544DF9"/>
    <w:rsid w:val="00544E34"/>
    <w:rsid w:val="00544EE6"/>
    <w:rsid w:val="005450A4"/>
    <w:rsid w:val="005450FF"/>
    <w:rsid w:val="00545117"/>
    <w:rsid w:val="005451BA"/>
    <w:rsid w:val="005451CF"/>
    <w:rsid w:val="00545271"/>
    <w:rsid w:val="005452EA"/>
    <w:rsid w:val="00545337"/>
    <w:rsid w:val="00545450"/>
    <w:rsid w:val="00545461"/>
    <w:rsid w:val="00545493"/>
    <w:rsid w:val="0054567E"/>
    <w:rsid w:val="0054572D"/>
    <w:rsid w:val="005457D2"/>
    <w:rsid w:val="005457EF"/>
    <w:rsid w:val="00545AAD"/>
    <w:rsid w:val="00545B55"/>
    <w:rsid w:val="00545C82"/>
    <w:rsid w:val="00545DB9"/>
    <w:rsid w:val="00545EAC"/>
    <w:rsid w:val="00545F62"/>
    <w:rsid w:val="00545FED"/>
    <w:rsid w:val="00546215"/>
    <w:rsid w:val="00546241"/>
    <w:rsid w:val="00546280"/>
    <w:rsid w:val="00546317"/>
    <w:rsid w:val="005463DC"/>
    <w:rsid w:val="005464D9"/>
    <w:rsid w:val="0054652F"/>
    <w:rsid w:val="00546585"/>
    <w:rsid w:val="00546803"/>
    <w:rsid w:val="00546A39"/>
    <w:rsid w:val="00546A95"/>
    <w:rsid w:val="00546CE7"/>
    <w:rsid w:val="00546D24"/>
    <w:rsid w:val="00546E05"/>
    <w:rsid w:val="00546ED9"/>
    <w:rsid w:val="00546F49"/>
    <w:rsid w:val="00547034"/>
    <w:rsid w:val="005471C3"/>
    <w:rsid w:val="005472DB"/>
    <w:rsid w:val="005473B1"/>
    <w:rsid w:val="005474A0"/>
    <w:rsid w:val="00547695"/>
    <w:rsid w:val="005479B4"/>
    <w:rsid w:val="00547B3D"/>
    <w:rsid w:val="00547EAB"/>
    <w:rsid w:val="00547FF8"/>
    <w:rsid w:val="005500DF"/>
    <w:rsid w:val="0055020A"/>
    <w:rsid w:val="005503E2"/>
    <w:rsid w:val="0055062A"/>
    <w:rsid w:val="00550702"/>
    <w:rsid w:val="005508DF"/>
    <w:rsid w:val="00550B84"/>
    <w:rsid w:val="00550C0C"/>
    <w:rsid w:val="00550CAD"/>
    <w:rsid w:val="00550E1A"/>
    <w:rsid w:val="00550EEA"/>
    <w:rsid w:val="0055107C"/>
    <w:rsid w:val="005510AC"/>
    <w:rsid w:val="00551292"/>
    <w:rsid w:val="005512B5"/>
    <w:rsid w:val="005513C1"/>
    <w:rsid w:val="00551727"/>
    <w:rsid w:val="00551787"/>
    <w:rsid w:val="00551A58"/>
    <w:rsid w:val="00551AF0"/>
    <w:rsid w:val="00551B82"/>
    <w:rsid w:val="00551C2C"/>
    <w:rsid w:val="00551CB7"/>
    <w:rsid w:val="00551F5D"/>
    <w:rsid w:val="00551F74"/>
    <w:rsid w:val="00551FFB"/>
    <w:rsid w:val="00552134"/>
    <w:rsid w:val="00552291"/>
    <w:rsid w:val="0055232F"/>
    <w:rsid w:val="00552384"/>
    <w:rsid w:val="0055251F"/>
    <w:rsid w:val="0055274C"/>
    <w:rsid w:val="0055283D"/>
    <w:rsid w:val="00552AF6"/>
    <w:rsid w:val="00552CD4"/>
    <w:rsid w:val="00552D02"/>
    <w:rsid w:val="00552F85"/>
    <w:rsid w:val="0055304E"/>
    <w:rsid w:val="005530A5"/>
    <w:rsid w:val="005530DA"/>
    <w:rsid w:val="0055312A"/>
    <w:rsid w:val="005531A4"/>
    <w:rsid w:val="0055337B"/>
    <w:rsid w:val="005534CA"/>
    <w:rsid w:val="00553514"/>
    <w:rsid w:val="0055352D"/>
    <w:rsid w:val="00553700"/>
    <w:rsid w:val="00553724"/>
    <w:rsid w:val="00553747"/>
    <w:rsid w:val="005539A2"/>
    <w:rsid w:val="00553CFC"/>
    <w:rsid w:val="00553D2C"/>
    <w:rsid w:val="00554016"/>
    <w:rsid w:val="00554084"/>
    <w:rsid w:val="005541D9"/>
    <w:rsid w:val="005545DC"/>
    <w:rsid w:val="00554793"/>
    <w:rsid w:val="00554C76"/>
    <w:rsid w:val="00554E62"/>
    <w:rsid w:val="00554EE2"/>
    <w:rsid w:val="0055505C"/>
    <w:rsid w:val="0055513D"/>
    <w:rsid w:val="0055516C"/>
    <w:rsid w:val="00555263"/>
    <w:rsid w:val="005557A4"/>
    <w:rsid w:val="0055597A"/>
    <w:rsid w:val="00555A38"/>
    <w:rsid w:val="00555BE2"/>
    <w:rsid w:val="00555FB3"/>
    <w:rsid w:val="0055613C"/>
    <w:rsid w:val="005561FF"/>
    <w:rsid w:val="00556302"/>
    <w:rsid w:val="00556624"/>
    <w:rsid w:val="0055672E"/>
    <w:rsid w:val="005567B6"/>
    <w:rsid w:val="00556867"/>
    <w:rsid w:val="00556A66"/>
    <w:rsid w:val="00556A7E"/>
    <w:rsid w:val="00556B4D"/>
    <w:rsid w:val="00556D5F"/>
    <w:rsid w:val="00556F18"/>
    <w:rsid w:val="00556F93"/>
    <w:rsid w:val="0055713D"/>
    <w:rsid w:val="005571F2"/>
    <w:rsid w:val="005571FB"/>
    <w:rsid w:val="005573E2"/>
    <w:rsid w:val="005574D3"/>
    <w:rsid w:val="00557555"/>
    <w:rsid w:val="0055761A"/>
    <w:rsid w:val="005576D3"/>
    <w:rsid w:val="00557904"/>
    <w:rsid w:val="00557974"/>
    <w:rsid w:val="00557B0F"/>
    <w:rsid w:val="00557B6E"/>
    <w:rsid w:val="00557FAB"/>
    <w:rsid w:val="00557FB1"/>
    <w:rsid w:val="005600F8"/>
    <w:rsid w:val="0056021C"/>
    <w:rsid w:val="0056030F"/>
    <w:rsid w:val="005604FF"/>
    <w:rsid w:val="005605AA"/>
    <w:rsid w:val="00560652"/>
    <w:rsid w:val="0056074F"/>
    <w:rsid w:val="005609B6"/>
    <w:rsid w:val="00560A12"/>
    <w:rsid w:val="00560AF2"/>
    <w:rsid w:val="00560C79"/>
    <w:rsid w:val="00560CAF"/>
    <w:rsid w:val="00560D74"/>
    <w:rsid w:val="00560DAF"/>
    <w:rsid w:val="005610AE"/>
    <w:rsid w:val="005610E2"/>
    <w:rsid w:val="0056133E"/>
    <w:rsid w:val="00561342"/>
    <w:rsid w:val="00561476"/>
    <w:rsid w:val="00561579"/>
    <w:rsid w:val="005617A0"/>
    <w:rsid w:val="005617F5"/>
    <w:rsid w:val="00561827"/>
    <w:rsid w:val="005618EF"/>
    <w:rsid w:val="00561972"/>
    <w:rsid w:val="005619E0"/>
    <w:rsid w:val="00561B62"/>
    <w:rsid w:val="00561B66"/>
    <w:rsid w:val="00561E9B"/>
    <w:rsid w:val="00561F92"/>
    <w:rsid w:val="0056206F"/>
    <w:rsid w:val="005620EC"/>
    <w:rsid w:val="00562230"/>
    <w:rsid w:val="0056238B"/>
    <w:rsid w:val="005623AC"/>
    <w:rsid w:val="00562478"/>
    <w:rsid w:val="0056273D"/>
    <w:rsid w:val="0056299F"/>
    <w:rsid w:val="00562A55"/>
    <w:rsid w:val="00562E84"/>
    <w:rsid w:val="00562F36"/>
    <w:rsid w:val="00563185"/>
    <w:rsid w:val="005631FC"/>
    <w:rsid w:val="00563385"/>
    <w:rsid w:val="0056346F"/>
    <w:rsid w:val="005635C5"/>
    <w:rsid w:val="005635FF"/>
    <w:rsid w:val="00563712"/>
    <w:rsid w:val="005637F3"/>
    <w:rsid w:val="00563A85"/>
    <w:rsid w:val="00563AC2"/>
    <w:rsid w:val="00563AD2"/>
    <w:rsid w:val="00563C57"/>
    <w:rsid w:val="00563E0C"/>
    <w:rsid w:val="00563EF0"/>
    <w:rsid w:val="00564157"/>
    <w:rsid w:val="00564299"/>
    <w:rsid w:val="005642CF"/>
    <w:rsid w:val="0056433A"/>
    <w:rsid w:val="0056439A"/>
    <w:rsid w:val="005644D0"/>
    <w:rsid w:val="005644F9"/>
    <w:rsid w:val="00564639"/>
    <w:rsid w:val="00564873"/>
    <w:rsid w:val="00564B0C"/>
    <w:rsid w:val="00564DEC"/>
    <w:rsid w:val="00564E36"/>
    <w:rsid w:val="00564EF0"/>
    <w:rsid w:val="005650BD"/>
    <w:rsid w:val="0056512E"/>
    <w:rsid w:val="0056515C"/>
    <w:rsid w:val="00565180"/>
    <w:rsid w:val="005653E8"/>
    <w:rsid w:val="0056546E"/>
    <w:rsid w:val="00565491"/>
    <w:rsid w:val="005654C8"/>
    <w:rsid w:val="00565527"/>
    <w:rsid w:val="005657E6"/>
    <w:rsid w:val="005658A3"/>
    <w:rsid w:val="00565CF6"/>
    <w:rsid w:val="00565E1A"/>
    <w:rsid w:val="00565E9A"/>
    <w:rsid w:val="00566386"/>
    <w:rsid w:val="005666B4"/>
    <w:rsid w:val="00566A3D"/>
    <w:rsid w:val="00566AB7"/>
    <w:rsid w:val="00566AC7"/>
    <w:rsid w:val="00566D54"/>
    <w:rsid w:val="00566D58"/>
    <w:rsid w:val="005670A6"/>
    <w:rsid w:val="0056723C"/>
    <w:rsid w:val="0056729A"/>
    <w:rsid w:val="005672F7"/>
    <w:rsid w:val="0056730D"/>
    <w:rsid w:val="00567551"/>
    <w:rsid w:val="005675F7"/>
    <w:rsid w:val="0056780E"/>
    <w:rsid w:val="005679CE"/>
    <w:rsid w:val="00567A73"/>
    <w:rsid w:val="00567C4A"/>
    <w:rsid w:val="00567D1E"/>
    <w:rsid w:val="00570108"/>
    <w:rsid w:val="00570477"/>
    <w:rsid w:val="0057064D"/>
    <w:rsid w:val="005706B6"/>
    <w:rsid w:val="00570701"/>
    <w:rsid w:val="00570739"/>
    <w:rsid w:val="00570773"/>
    <w:rsid w:val="005707A5"/>
    <w:rsid w:val="0057082F"/>
    <w:rsid w:val="00570856"/>
    <w:rsid w:val="00570A92"/>
    <w:rsid w:val="00570C2E"/>
    <w:rsid w:val="00570DCA"/>
    <w:rsid w:val="00570E60"/>
    <w:rsid w:val="00570E90"/>
    <w:rsid w:val="00570FA1"/>
    <w:rsid w:val="00571383"/>
    <w:rsid w:val="00571689"/>
    <w:rsid w:val="005716DC"/>
    <w:rsid w:val="00571763"/>
    <w:rsid w:val="005717DF"/>
    <w:rsid w:val="0057183B"/>
    <w:rsid w:val="0057186A"/>
    <w:rsid w:val="00571A71"/>
    <w:rsid w:val="00571A7F"/>
    <w:rsid w:val="00571B32"/>
    <w:rsid w:val="00571C83"/>
    <w:rsid w:val="00571FCA"/>
    <w:rsid w:val="0057209B"/>
    <w:rsid w:val="00572287"/>
    <w:rsid w:val="0057229A"/>
    <w:rsid w:val="00572654"/>
    <w:rsid w:val="00572693"/>
    <w:rsid w:val="005726EE"/>
    <w:rsid w:val="005727D8"/>
    <w:rsid w:val="0057287C"/>
    <w:rsid w:val="005728C0"/>
    <w:rsid w:val="005729BA"/>
    <w:rsid w:val="00572BA3"/>
    <w:rsid w:val="00572BBC"/>
    <w:rsid w:val="00572DF3"/>
    <w:rsid w:val="005732B8"/>
    <w:rsid w:val="005732BD"/>
    <w:rsid w:val="005732E5"/>
    <w:rsid w:val="005732EB"/>
    <w:rsid w:val="0057359C"/>
    <w:rsid w:val="005739E9"/>
    <w:rsid w:val="00573FE4"/>
    <w:rsid w:val="005740E3"/>
    <w:rsid w:val="0057475C"/>
    <w:rsid w:val="005747C6"/>
    <w:rsid w:val="0057481C"/>
    <w:rsid w:val="0057496A"/>
    <w:rsid w:val="00574A52"/>
    <w:rsid w:val="00574DD7"/>
    <w:rsid w:val="00574E3B"/>
    <w:rsid w:val="00574EB8"/>
    <w:rsid w:val="00574FD7"/>
    <w:rsid w:val="00574FF8"/>
    <w:rsid w:val="005751C2"/>
    <w:rsid w:val="0057547F"/>
    <w:rsid w:val="0057549B"/>
    <w:rsid w:val="0057568F"/>
    <w:rsid w:val="00575731"/>
    <w:rsid w:val="0057599A"/>
    <w:rsid w:val="00575A47"/>
    <w:rsid w:val="00575BE6"/>
    <w:rsid w:val="00575D06"/>
    <w:rsid w:val="00575E58"/>
    <w:rsid w:val="00575E66"/>
    <w:rsid w:val="00575E79"/>
    <w:rsid w:val="00575EA9"/>
    <w:rsid w:val="00575ECD"/>
    <w:rsid w:val="00575F29"/>
    <w:rsid w:val="00575F2B"/>
    <w:rsid w:val="00575F7E"/>
    <w:rsid w:val="005761C0"/>
    <w:rsid w:val="00576222"/>
    <w:rsid w:val="005762A6"/>
    <w:rsid w:val="005762C3"/>
    <w:rsid w:val="0057644D"/>
    <w:rsid w:val="005765B6"/>
    <w:rsid w:val="005765FB"/>
    <w:rsid w:val="005767B2"/>
    <w:rsid w:val="00576893"/>
    <w:rsid w:val="005768A8"/>
    <w:rsid w:val="00576A2C"/>
    <w:rsid w:val="00576BDD"/>
    <w:rsid w:val="00576EDA"/>
    <w:rsid w:val="00576F51"/>
    <w:rsid w:val="005771FE"/>
    <w:rsid w:val="005772C7"/>
    <w:rsid w:val="00577319"/>
    <w:rsid w:val="0057751E"/>
    <w:rsid w:val="00577659"/>
    <w:rsid w:val="005776C2"/>
    <w:rsid w:val="00577A00"/>
    <w:rsid w:val="00577B4F"/>
    <w:rsid w:val="00577C05"/>
    <w:rsid w:val="00577EE5"/>
    <w:rsid w:val="00577FBA"/>
    <w:rsid w:val="005800C6"/>
    <w:rsid w:val="00580169"/>
    <w:rsid w:val="005801EA"/>
    <w:rsid w:val="005803A1"/>
    <w:rsid w:val="0058049D"/>
    <w:rsid w:val="0058052E"/>
    <w:rsid w:val="00580722"/>
    <w:rsid w:val="00580B45"/>
    <w:rsid w:val="00580C03"/>
    <w:rsid w:val="00580DAA"/>
    <w:rsid w:val="00580DBA"/>
    <w:rsid w:val="00580EDE"/>
    <w:rsid w:val="00580F4C"/>
    <w:rsid w:val="00580F58"/>
    <w:rsid w:val="00580F9B"/>
    <w:rsid w:val="005810D1"/>
    <w:rsid w:val="00581155"/>
    <w:rsid w:val="00581242"/>
    <w:rsid w:val="0058125C"/>
    <w:rsid w:val="00581431"/>
    <w:rsid w:val="00581567"/>
    <w:rsid w:val="00581707"/>
    <w:rsid w:val="0058173B"/>
    <w:rsid w:val="005818B2"/>
    <w:rsid w:val="00581AC3"/>
    <w:rsid w:val="00581B6F"/>
    <w:rsid w:val="00581BDA"/>
    <w:rsid w:val="00581C61"/>
    <w:rsid w:val="00581D8B"/>
    <w:rsid w:val="00582243"/>
    <w:rsid w:val="00582425"/>
    <w:rsid w:val="00582566"/>
    <w:rsid w:val="005825B1"/>
    <w:rsid w:val="00582601"/>
    <w:rsid w:val="00582779"/>
    <w:rsid w:val="0058280A"/>
    <w:rsid w:val="0058283C"/>
    <w:rsid w:val="0058296E"/>
    <w:rsid w:val="00582989"/>
    <w:rsid w:val="00582B1C"/>
    <w:rsid w:val="00582DC2"/>
    <w:rsid w:val="00582EF4"/>
    <w:rsid w:val="00582F10"/>
    <w:rsid w:val="005831DA"/>
    <w:rsid w:val="005832D1"/>
    <w:rsid w:val="00583346"/>
    <w:rsid w:val="00583A1B"/>
    <w:rsid w:val="00583AEF"/>
    <w:rsid w:val="00583BB2"/>
    <w:rsid w:val="00583E1F"/>
    <w:rsid w:val="00583F65"/>
    <w:rsid w:val="00583FCD"/>
    <w:rsid w:val="005842D2"/>
    <w:rsid w:val="0058455D"/>
    <w:rsid w:val="005846DE"/>
    <w:rsid w:val="00584732"/>
    <w:rsid w:val="00584894"/>
    <w:rsid w:val="005849B1"/>
    <w:rsid w:val="005849D9"/>
    <w:rsid w:val="00584A3B"/>
    <w:rsid w:val="00584BBB"/>
    <w:rsid w:val="00585157"/>
    <w:rsid w:val="0058535D"/>
    <w:rsid w:val="00585513"/>
    <w:rsid w:val="00585563"/>
    <w:rsid w:val="0058558A"/>
    <w:rsid w:val="00585807"/>
    <w:rsid w:val="005859D2"/>
    <w:rsid w:val="00585A0A"/>
    <w:rsid w:val="00585A3C"/>
    <w:rsid w:val="00585A97"/>
    <w:rsid w:val="00585B30"/>
    <w:rsid w:val="00585D83"/>
    <w:rsid w:val="00585D87"/>
    <w:rsid w:val="00585E62"/>
    <w:rsid w:val="00585E96"/>
    <w:rsid w:val="00586136"/>
    <w:rsid w:val="005862F7"/>
    <w:rsid w:val="00586349"/>
    <w:rsid w:val="00586551"/>
    <w:rsid w:val="00586576"/>
    <w:rsid w:val="00586837"/>
    <w:rsid w:val="005868F1"/>
    <w:rsid w:val="00586945"/>
    <w:rsid w:val="005869D0"/>
    <w:rsid w:val="00586ADF"/>
    <w:rsid w:val="00587005"/>
    <w:rsid w:val="0058716D"/>
    <w:rsid w:val="005872CA"/>
    <w:rsid w:val="005874A5"/>
    <w:rsid w:val="0058767A"/>
    <w:rsid w:val="0058778B"/>
    <w:rsid w:val="005877AC"/>
    <w:rsid w:val="00587947"/>
    <w:rsid w:val="00587C38"/>
    <w:rsid w:val="00587E16"/>
    <w:rsid w:val="00587E68"/>
    <w:rsid w:val="0059002A"/>
    <w:rsid w:val="00590077"/>
    <w:rsid w:val="00590145"/>
    <w:rsid w:val="005903DF"/>
    <w:rsid w:val="0059063C"/>
    <w:rsid w:val="00590680"/>
    <w:rsid w:val="00590689"/>
    <w:rsid w:val="005906A1"/>
    <w:rsid w:val="005906EA"/>
    <w:rsid w:val="00590750"/>
    <w:rsid w:val="005907E9"/>
    <w:rsid w:val="00590845"/>
    <w:rsid w:val="00590886"/>
    <w:rsid w:val="00590896"/>
    <w:rsid w:val="00590A2D"/>
    <w:rsid w:val="00590A58"/>
    <w:rsid w:val="00590AD8"/>
    <w:rsid w:val="00590C10"/>
    <w:rsid w:val="00590CE4"/>
    <w:rsid w:val="00590D07"/>
    <w:rsid w:val="00590DFD"/>
    <w:rsid w:val="00590EAC"/>
    <w:rsid w:val="005910FF"/>
    <w:rsid w:val="005911B4"/>
    <w:rsid w:val="00591385"/>
    <w:rsid w:val="005913CA"/>
    <w:rsid w:val="005913EE"/>
    <w:rsid w:val="005914B3"/>
    <w:rsid w:val="005914E9"/>
    <w:rsid w:val="005916C7"/>
    <w:rsid w:val="00591774"/>
    <w:rsid w:val="00591863"/>
    <w:rsid w:val="0059189B"/>
    <w:rsid w:val="005918B0"/>
    <w:rsid w:val="0059195B"/>
    <w:rsid w:val="00591B8B"/>
    <w:rsid w:val="00591C62"/>
    <w:rsid w:val="00591D7C"/>
    <w:rsid w:val="00591F43"/>
    <w:rsid w:val="00591FE0"/>
    <w:rsid w:val="005921F1"/>
    <w:rsid w:val="00592411"/>
    <w:rsid w:val="005924D4"/>
    <w:rsid w:val="00592630"/>
    <w:rsid w:val="00592824"/>
    <w:rsid w:val="005928BE"/>
    <w:rsid w:val="00592A6B"/>
    <w:rsid w:val="00592B90"/>
    <w:rsid w:val="00592F0F"/>
    <w:rsid w:val="00592F68"/>
    <w:rsid w:val="005930AB"/>
    <w:rsid w:val="00593A09"/>
    <w:rsid w:val="00593BBE"/>
    <w:rsid w:val="00593CDC"/>
    <w:rsid w:val="00593CEF"/>
    <w:rsid w:val="00593D69"/>
    <w:rsid w:val="00593D9E"/>
    <w:rsid w:val="00593E58"/>
    <w:rsid w:val="00593F91"/>
    <w:rsid w:val="00593FE6"/>
    <w:rsid w:val="00594168"/>
    <w:rsid w:val="005941EC"/>
    <w:rsid w:val="00594234"/>
    <w:rsid w:val="0059432B"/>
    <w:rsid w:val="00594802"/>
    <w:rsid w:val="005949AD"/>
    <w:rsid w:val="00594B85"/>
    <w:rsid w:val="00594BFE"/>
    <w:rsid w:val="00594C50"/>
    <w:rsid w:val="00594EEA"/>
    <w:rsid w:val="00594FDC"/>
    <w:rsid w:val="0059509A"/>
    <w:rsid w:val="0059509F"/>
    <w:rsid w:val="005954D6"/>
    <w:rsid w:val="005956FA"/>
    <w:rsid w:val="0059588B"/>
    <w:rsid w:val="0059599A"/>
    <w:rsid w:val="00595A9A"/>
    <w:rsid w:val="0059614C"/>
    <w:rsid w:val="0059629D"/>
    <w:rsid w:val="005963E6"/>
    <w:rsid w:val="00596636"/>
    <w:rsid w:val="005966A8"/>
    <w:rsid w:val="005966E5"/>
    <w:rsid w:val="00596714"/>
    <w:rsid w:val="00596923"/>
    <w:rsid w:val="00596BC4"/>
    <w:rsid w:val="00596BFD"/>
    <w:rsid w:val="00596C55"/>
    <w:rsid w:val="00596D0C"/>
    <w:rsid w:val="00596EC4"/>
    <w:rsid w:val="00596FA2"/>
    <w:rsid w:val="00597055"/>
    <w:rsid w:val="00597263"/>
    <w:rsid w:val="00597611"/>
    <w:rsid w:val="005976BC"/>
    <w:rsid w:val="0059770B"/>
    <w:rsid w:val="00597845"/>
    <w:rsid w:val="00597C92"/>
    <w:rsid w:val="00597E0E"/>
    <w:rsid w:val="00597EA2"/>
    <w:rsid w:val="00597F89"/>
    <w:rsid w:val="005A02A6"/>
    <w:rsid w:val="005A02BF"/>
    <w:rsid w:val="005A0368"/>
    <w:rsid w:val="005A03F0"/>
    <w:rsid w:val="005A0572"/>
    <w:rsid w:val="005A059C"/>
    <w:rsid w:val="005A06F3"/>
    <w:rsid w:val="005A07D4"/>
    <w:rsid w:val="005A088B"/>
    <w:rsid w:val="005A08D1"/>
    <w:rsid w:val="005A0AF7"/>
    <w:rsid w:val="005A0B1A"/>
    <w:rsid w:val="005A0E1A"/>
    <w:rsid w:val="005A1054"/>
    <w:rsid w:val="005A112D"/>
    <w:rsid w:val="005A1986"/>
    <w:rsid w:val="005A1A8C"/>
    <w:rsid w:val="005A1B09"/>
    <w:rsid w:val="005A1B6C"/>
    <w:rsid w:val="005A1BCC"/>
    <w:rsid w:val="005A1D2E"/>
    <w:rsid w:val="005A2180"/>
    <w:rsid w:val="005A237F"/>
    <w:rsid w:val="005A2474"/>
    <w:rsid w:val="005A252C"/>
    <w:rsid w:val="005A26C5"/>
    <w:rsid w:val="005A2713"/>
    <w:rsid w:val="005A28E3"/>
    <w:rsid w:val="005A299B"/>
    <w:rsid w:val="005A29F2"/>
    <w:rsid w:val="005A2CB4"/>
    <w:rsid w:val="005A2CDD"/>
    <w:rsid w:val="005A2E43"/>
    <w:rsid w:val="005A2EA9"/>
    <w:rsid w:val="005A2F7A"/>
    <w:rsid w:val="005A2FA9"/>
    <w:rsid w:val="005A2FE5"/>
    <w:rsid w:val="005A307E"/>
    <w:rsid w:val="005A3229"/>
    <w:rsid w:val="005A32C3"/>
    <w:rsid w:val="005A341A"/>
    <w:rsid w:val="005A3454"/>
    <w:rsid w:val="005A34AF"/>
    <w:rsid w:val="005A35CA"/>
    <w:rsid w:val="005A381E"/>
    <w:rsid w:val="005A3853"/>
    <w:rsid w:val="005A38C8"/>
    <w:rsid w:val="005A3B63"/>
    <w:rsid w:val="005A3C37"/>
    <w:rsid w:val="005A3DE0"/>
    <w:rsid w:val="005A409C"/>
    <w:rsid w:val="005A409F"/>
    <w:rsid w:val="005A42AB"/>
    <w:rsid w:val="005A43E7"/>
    <w:rsid w:val="005A453A"/>
    <w:rsid w:val="005A4733"/>
    <w:rsid w:val="005A4858"/>
    <w:rsid w:val="005A4B26"/>
    <w:rsid w:val="005A4B74"/>
    <w:rsid w:val="005A4BCA"/>
    <w:rsid w:val="005A4BED"/>
    <w:rsid w:val="005A4CAF"/>
    <w:rsid w:val="005A4DEE"/>
    <w:rsid w:val="005A4FDB"/>
    <w:rsid w:val="005A514C"/>
    <w:rsid w:val="005A533F"/>
    <w:rsid w:val="005A55B7"/>
    <w:rsid w:val="005A567E"/>
    <w:rsid w:val="005A5A5A"/>
    <w:rsid w:val="005A5B16"/>
    <w:rsid w:val="005A5D07"/>
    <w:rsid w:val="005A5FF9"/>
    <w:rsid w:val="005A6078"/>
    <w:rsid w:val="005A620C"/>
    <w:rsid w:val="005A6436"/>
    <w:rsid w:val="005A65ED"/>
    <w:rsid w:val="005A66D1"/>
    <w:rsid w:val="005A674C"/>
    <w:rsid w:val="005A6B08"/>
    <w:rsid w:val="005A6BE7"/>
    <w:rsid w:val="005A6C25"/>
    <w:rsid w:val="005A6E07"/>
    <w:rsid w:val="005A6EDE"/>
    <w:rsid w:val="005A6F65"/>
    <w:rsid w:val="005A6F8C"/>
    <w:rsid w:val="005A716B"/>
    <w:rsid w:val="005A734C"/>
    <w:rsid w:val="005A73AC"/>
    <w:rsid w:val="005A7562"/>
    <w:rsid w:val="005A78DB"/>
    <w:rsid w:val="005A796A"/>
    <w:rsid w:val="005A7AB2"/>
    <w:rsid w:val="005A7B25"/>
    <w:rsid w:val="005A7C7E"/>
    <w:rsid w:val="005A7E7D"/>
    <w:rsid w:val="005A7F2F"/>
    <w:rsid w:val="005B0237"/>
    <w:rsid w:val="005B0360"/>
    <w:rsid w:val="005B0510"/>
    <w:rsid w:val="005B0619"/>
    <w:rsid w:val="005B0734"/>
    <w:rsid w:val="005B0994"/>
    <w:rsid w:val="005B0CE3"/>
    <w:rsid w:val="005B0D68"/>
    <w:rsid w:val="005B0E7E"/>
    <w:rsid w:val="005B0EF3"/>
    <w:rsid w:val="005B0F34"/>
    <w:rsid w:val="005B0FA6"/>
    <w:rsid w:val="005B10D4"/>
    <w:rsid w:val="005B12F9"/>
    <w:rsid w:val="005B1331"/>
    <w:rsid w:val="005B14F9"/>
    <w:rsid w:val="005B1752"/>
    <w:rsid w:val="005B17F2"/>
    <w:rsid w:val="005B19E9"/>
    <w:rsid w:val="005B1B9F"/>
    <w:rsid w:val="005B1D18"/>
    <w:rsid w:val="005B20BA"/>
    <w:rsid w:val="005B210B"/>
    <w:rsid w:val="005B2288"/>
    <w:rsid w:val="005B229A"/>
    <w:rsid w:val="005B2305"/>
    <w:rsid w:val="005B2332"/>
    <w:rsid w:val="005B23FE"/>
    <w:rsid w:val="005B2591"/>
    <w:rsid w:val="005B2677"/>
    <w:rsid w:val="005B26C0"/>
    <w:rsid w:val="005B26F1"/>
    <w:rsid w:val="005B275F"/>
    <w:rsid w:val="005B278F"/>
    <w:rsid w:val="005B27B1"/>
    <w:rsid w:val="005B294A"/>
    <w:rsid w:val="005B294F"/>
    <w:rsid w:val="005B2AD0"/>
    <w:rsid w:val="005B2B4D"/>
    <w:rsid w:val="005B3006"/>
    <w:rsid w:val="005B3080"/>
    <w:rsid w:val="005B3272"/>
    <w:rsid w:val="005B3482"/>
    <w:rsid w:val="005B348B"/>
    <w:rsid w:val="005B3548"/>
    <w:rsid w:val="005B3737"/>
    <w:rsid w:val="005B374D"/>
    <w:rsid w:val="005B3911"/>
    <w:rsid w:val="005B39E1"/>
    <w:rsid w:val="005B39EA"/>
    <w:rsid w:val="005B3C55"/>
    <w:rsid w:val="005B3C81"/>
    <w:rsid w:val="005B3C85"/>
    <w:rsid w:val="005B3CDB"/>
    <w:rsid w:val="005B3F0F"/>
    <w:rsid w:val="005B3F2B"/>
    <w:rsid w:val="005B403A"/>
    <w:rsid w:val="005B408A"/>
    <w:rsid w:val="005B4182"/>
    <w:rsid w:val="005B4282"/>
    <w:rsid w:val="005B42C4"/>
    <w:rsid w:val="005B42E8"/>
    <w:rsid w:val="005B4349"/>
    <w:rsid w:val="005B4583"/>
    <w:rsid w:val="005B47A1"/>
    <w:rsid w:val="005B4A11"/>
    <w:rsid w:val="005B4A1A"/>
    <w:rsid w:val="005B4AFA"/>
    <w:rsid w:val="005B4DD4"/>
    <w:rsid w:val="005B4EBC"/>
    <w:rsid w:val="005B4EE9"/>
    <w:rsid w:val="005B5055"/>
    <w:rsid w:val="005B5162"/>
    <w:rsid w:val="005B5555"/>
    <w:rsid w:val="005B55D5"/>
    <w:rsid w:val="005B58C7"/>
    <w:rsid w:val="005B5A1B"/>
    <w:rsid w:val="005B5F0E"/>
    <w:rsid w:val="005B6062"/>
    <w:rsid w:val="005B60D3"/>
    <w:rsid w:val="005B622B"/>
    <w:rsid w:val="005B62EB"/>
    <w:rsid w:val="005B64DF"/>
    <w:rsid w:val="005B67DD"/>
    <w:rsid w:val="005B68E0"/>
    <w:rsid w:val="005B6A71"/>
    <w:rsid w:val="005B6B71"/>
    <w:rsid w:val="005B6C1D"/>
    <w:rsid w:val="005B70DA"/>
    <w:rsid w:val="005B7286"/>
    <w:rsid w:val="005B7319"/>
    <w:rsid w:val="005B76B5"/>
    <w:rsid w:val="005B7745"/>
    <w:rsid w:val="005B78C5"/>
    <w:rsid w:val="005B7901"/>
    <w:rsid w:val="005B7A77"/>
    <w:rsid w:val="005B7AD7"/>
    <w:rsid w:val="005B7AFB"/>
    <w:rsid w:val="005B7B28"/>
    <w:rsid w:val="005B7C7E"/>
    <w:rsid w:val="005B7D80"/>
    <w:rsid w:val="005B7E2A"/>
    <w:rsid w:val="005B7FB9"/>
    <w:rsid w:val="005C015F"/>
    <w:rsid w:val="005C0217"/>
    <w:rsid w:val="005C02D0"/>
    <w:rsid w:val="005C0372"/>
    <w:rsid w:val="005C039D"/>
    <w:rsid w:val="005C099C"/>
    <w:rsid w:val="005C0A64"/>
    <w:rsid w:val="005C0FD7"/>
    <w:rsid w:val="005C0FFE"/>
    <w:rsid w:val="005C106E"/>
    <w:rsid w:val="005C10AA"/>
    <w:rsid w:val="005C114B"/>
    <w:rsid w:val="005C11F0"/>
    <w:rsid w:val="005C12E1"/>
    <w:rsid w:val="005C1533"/>
    <w:rsid w:val="005C161D"/>
    <w:rsid w:val="005C1F23"/>
    <w:rsid w:val="005C2047"/>
    <w:rsid w:val="005C2129"/>
    <w:rsid w:val="005C22F4"/>
    <w:rsid w:val="005C23CC"/>
    <w:rsid w:val="005C2495"/>
    <w:rsid w:val="005C2577"/>
    <w:rsid w:val="005C25B5"/>
    <w:rsid w:val="005C2656"/>
    <w:rsid w:val="005C2707"/>
    <w:rsid w:val="005C298D"/>
    <w:rsid w:val="005C29AE"/>
    <w:rsid w:val="005C2BB1"/>
    <w:rsid w:val="005C2E41"/>
    <w:rsid w:val="005C2EDB"/>
    <w:rsid w:val="005C2F22"/>
    <w:rsid w:val="005C3099"/>
    <w:rsid w:val="005C30B1"/>
    <w:rsid w:val="005C30B3"/>
    <w:rsid w:val="005C31BB"/>
    <w:rsid w:val="005C33E6"/>
    <w:rsid w:val="005C343D"/>
    <w:rsid w:val="005C3587"/>
    <w:rsid w:val="005C369E"/>
    <w:rsid w:val="005C36C0"/>
    <w:rsid w:val="005C3753"/>
    <w:rsid w:val="005C38F9"/>
    <w:rsid w:val="005C392A"/>
    <w:rsid w:val="005C3963"/>
    <w:rsid w:val="005C397E"/>
    <w:rsid w:val="005C39EA"/>
    <w:rsid w:val="005C3B7A"/>
    <w:rsid w:val="005C3D08"/>
    <w:rsid w:val="005C3D31"/>
    <w:rsid w:val="005C3D8C"/>
    <w:rsid w:val="005C3E1A"/>
    <w:rsid w:val="005C3F36"/>
    <w:rsid w:val="005C3F6B"/>
    <w:rsid w:val="005C403C"/>
    <w:rsid w:val="005C40BC"/>
    <w:rsid w:val="005C41D4"/>
    <w:rsid w:val="005C4204"/>
    <w:rsid w:val="005C4335"/>
    <w:rsid w:val="005C45BB"/>
    <w:rsid w:val="005C460E"/>
    <w:rsid w:val="005C4660"/>
    <w:rsid w:val="005C478E"/>
    <w:rsid w:val="005C4A6C"/>
    <w:rsid w:val="005C4B26"/>
    <w:rsid w:val="005C4B5C"/>
    <w:rsid w:val="005C4CEB"/>
    <w:rsid w:val="005C4E29"/>
    <w:rsid w:val="005C4E34"/>
    <w:rsid w:val="005C5123"/>
    <w:rsid w:val="005C515E"/>
    <w:rsid w:val="005C52A8"/>
    <w:rsid w:val="005C542D"/>
    <w:rsid w:val="005C549B"/>
    <w:rsid w:val="005C55B2"/>
    <w:rsid w:val="005C5681"/>
    <w:rsid w:val="005C5846"/>
    <w:rsid w:val="005C59C9"/>
    <w:rsid w:val="005C59EE"/>
    <w:rsid w:val="005C59F4"/>
    <w:rsid w:val="005C5AB3"/>
    <w:rsid w:val="005C5B07"/>
    <w:rsid w:val="005C5B9D"/>
    <w:rsid w:val="005C5C57"/>
    <w:rsid w:val="005C5C7C"/>
    <w:rsid w:val="005C5E3D"/>
    <w:rsid w:val="005C608D"/>
    <w:rsid w:val="005C6114"/>
    <w:rsid w:val="005C6327"/>
    <w:rsid w:val="005C65DB"/>
    <w:rsid w:val="005C6782"/>
    <w:rsid w:val="005C67E9"/>
    <w:rsid w:val="005C6810"/>
    <w:rsid w:val="005C68D6"/>
    <w:rsid w:val="005C6A6D"/>
    <w:rsid w:val="005C6AE0"/>
    <w:rsid w:val="005C6B2C"/>
    <w:rsid w:val="005C6CA6"/>
    <w:rsid w:val="005C6E0B"/>
    <w:rsid w:val="005C6E4F"/>
    <w:rsid w:val="005C6ED7"/>
    <w:rsid w:val="005C7129"/>
    <w:rsid w:val="005C72CC"/>
    <w:rsid w:val="005C78B2"/>
    <w:rsid w:val="005C7951"/>
    <w:rsid w:val="005C7B95"/>
    <w:rsid w:val="005C7B9D"/>
    <w:rsid w:val="005C7C9F"/>
    <w:rsid w:val="005C7CC1"/>
    <w:rsid w:val="005C7D9A"/>
    <w:rsid w:val="005C7E80"/>
    <w:rsid w:val="005C7F47"/>
    <w:rsid w:val="005D0035"/>
    <w:rsid w:val="005D00D1"/>
    <w:rsid w:val="005D0259"/>
    <w:rsid w:val="005D02E0"/>
    <w:rsid w:val="005D02F4"/>
    <w:rsid w:val="005D0647"/>
    <w:rsid w:val="005D0721"/>
    <w:rsid w:val="005D0741"/>
    <w:rsid w:val="005D079A"/>
    <w:rsid w:val="005D0A6E"/>
    <w:rsid w:val="005D0B70"/>
    <w:rsid w:val="005D0C06"/>
    <w:rsid w:val="005D0D2C"/>
    <w:rsid w:val="005D0D61"/>
    <w:rsid w:val="005D0E6F"/>
    <w:rsid w:val="005D0F4E"/>
    <w:rsid w:val="005D1094"/>
    <w:rsid w:val="005D128B"/>
    <w:rsid w:val="005D14CA"/>
    <w:rsid w:val="005D156F"/>
    <w:rsid w:val="005D175F"/>
    <w:rsid w:val="005D18CF"/>
    <w:rsid w:val="005D18D6"/>
    <w:rsid w:val="005D1A90"/>
    <w:rsid w:val="005D1B22"/>
    <w:rsid w:val="005D1B48"/>
    <w:rsid w:val="005D1C84"/>
    <w:rsid w:val="005D1C96"/>
    <w:rsid w:val="005D1F38"/>
    <w:rsid w:val="005D207E"/>
    <w:rsid w:val="005D2101"/>
    <w:rsid w:val="005D2416"/>
    <w:rsid w:val="005D277D"/>
    <w:rsid w:val="005D2A48"/>
    <w:rsid w:val="005D2C5B"/>
    <w:rsid w:val="005D2CEE"/>
    <w:rsid w:val="005D2D1F"/>
    <w:rsid w:val="005D2EC2"/>
    <w:rsid w:val="005D31A2"/>
    <w:rsid w:val="005D350E"/>
    <w:rsid w:val="005D361E"/>
    <w:rsid w:val="005D3914"/>
    <w:rsid w:val="005D3961"/>
    <w:rsid w:val="005D3C63"/>
    <w:rsid w:val="005D3D64"/>
    <w:rsid w:val="005D3E04"/>
    <w:rsid w:val="005D3F9D"/>
    <w:rsid w:val="005D40CB"/>
    <w:rsid w:val="005D40FE"/>
    <w:rsid w:val="005D4205"/>
    <w:rsid w:val="005D4264"/>
    <w:rsid w:val="005D42FF"/>
    <w:rsid w:val="005D4308"/>
    <w:rsid w:val="005D432E"/>
    <w:rsid w:val="005D451F"/>
    <w:rsid w:val="005D4520"/>
    <w:rsid w:val="005D4545"/>
    <w:rsid w:val="005D4A75"/>
    <w:rsid w:val="005D4AEB"/>
    <w:rsid w:val="005D4D81"/>
    <w:rsid w:val="005D4DD1"/>
    <w:rsid w:val="005D4E0A"/>
    <w:rsid w:val="005D4F01"/>
    <w:rsid w:val="005D4F25"/>
    <w:rsid w:val="005D515B"/>
    <w:rsid w:val="005D5314"/>
    <w:rsid w:val="005D538A"/>
    <w:rsid w:val="005D56EB"/>
    <w:rsid w:val="005D57E0"/>
    <w:rsid w:val="005D5899"/>
    <w:rsid w:val="005D5A58"/>
    <w:rsid w:val="005D5B67"/>
    <w:rsid w:val="005D5DB2"/>
    <w:rsid w:val="005D5F4A"/>
    <w:rsid w:val="005D5FF9"/>
    <w:rsid w:val="005D631F"/>
    <w:rsid w:val="005D63C8"/>
    <w:rsid w:val="005D6465"/>
    <w:rsid w:val="005D64E7"/>
    <w:rsid w:val="005D6629"/>
    <w:rsid w:val="005D66D2"/>
    <w:rsid w:val="005D672D"/>
    <w:rsid w:val="005D676A"/>
    <w:rsid w:val="005D687E"/>
    <w:rsid w:val="005D6941"/>
    <w:rsid w:val="005D6BB7"/>
    <w:rsid w:val="005D6BC9"/>
    <w:rsid w:val="005D745B"/>
    <w:rsid w:val="005D74C9"/>
    <w:rsid w:val="005D7548"/>
    <w:rsid w:val="005D7595"/>
    <w:rsid w:val="005D760D"/>
    <w:rsid w:val="005D7699"/>
    <w:rsid w:val="005D76BD"/>
    <w:rsid w:val="005D76C2"/>
    <w:rsid w:val="005D7B95"/>
    <w:rsid w:val="005D7BAA"/>
    <w:rsid w:val="005D7BFF"/>
    <w:rsid w:val="005D7D7A"/>
    <w:rsid w:val="005D7F62"/>
    <w:rsid w:val="005E01BE"/>
    <w:rsid w:val="005E01D5"/>
    <w:rsid w:val="005E05FC"/>
    <w:rsid w:val="005E067D"/>
    <w:rsid w:val="005E06D4"/>
    <w:rsid w:val="005E075A"/>
    <w:rsid w:val="005E0946"/>
    <w:rsid w:val="005E09F8"/>
    <w:rsid w:val="005E0BED"/>
    <w:rsid w:val="005E0D74"/>
    <w:rsid w:val="005E0D96"/>
    <w:rsid w:val="005E0E7F"/>
    <w:rsid w:val="005E0EF6"/>
    <w:rsid w:val="005E0F1E"/>
    <w:rsid w:val="005E0F80"/>
    <w:rsid w:val="005E1104"/>
    <w:rsid w:val="005E136B"/>
    <w:rsid w:val="005E13DD"/>
    <w:rsid w:val="005E152F"/>
    <w:rsid w:val="005E15BE"/>
    <w:rsid w:val="005E1654"/>
    <w:rsid w:val="005E1673"/>
    <w:rsid w:val="005E1694"/>
    <w:rsid w:val="005E1867"/>
    <w:rsid w:val="005E1A47"/>
    <w:rsid w:val="005E1B87"/>
    <w:rsid w:val="005E1BD1"/>
    <w:rsid w:val="005E1D8D"/>
    <w:rsid w:val="005E1D9E"/>
    <w:rsid w:val="005E1DB7"/>
    <w:rsid w:val="005E1F10"/>
    <w:rsid w:val="005E1F8F"/>
    <w:rsid w:val="005E2183"/>
    <w:rsid w:val="005E21E6"/>
    <w:rsid w:val="005E2244"/>
    <w:rsid w:val="005E22B2"/>
    <w:rsid w:val="005E22BC"/>
    <w:rsid w:val="005E22C6"/>
    <w:rsid w:val="005E2307"/>
    <w:rsid w:val="005E2521"/>
    <w:rsid w:val="005E2542"/>
    <w:rsid w:val="005E258E"/>
    <w:rsid w:val="005E25AC"/>
    <w:rsid w:val="005E26B3"/>
    <w:rsid w:val="005E27DB"/>
    <w:rsid w:val="005E289C"/>
    <w:rsid w:val="005E2A25"/>
    <w:rsid w:val="005E2A32"/>
    <w:rsid w:val="005E2B1D"/>
    <w:rsid w:val="005E2C46"/>
    <w:rsid w:val="005E2C84"/>
    <w:rsid w:val="005E2D44"/>
    <w:rsid w:val="005E2D6D"/>
    <w:rsid w:val="005E2DF8"/>
    <w:rsid w:val="005E31D0"/>
    <w:rsid w:val="005E3221"/>
    <w:rsid w:val="005E323B"/>
    <w:rsid w:val="005E3331"/>
    <w:rsid w:val="005E335D"/>
    <w:rsid w:val="005E3367"/>
    <w:rsid w:val="005E34ED"/>
    <w:rsid w:val="005E360F"/>
    <w:rsid w:val="005E37EC"/>
    <w:rsid w:val="005E39CA"/>
    <w:rsid w:val="005E3ACA"/>
    <w:rsid w:val="005E3C01"/>
    <w:rsid w:val="005E3F66"/>
    <w:rsid w:val="005E40BB"/>
    <w:rsid w:val="005E4195"/>
    <w:rsid w:val="005E41A0"/>
    <w:rsid w:val="005E4210"/>
    <w:rsid w:val="005E436E"/>
    <w:rsid w:val="005E453E"/>
    <w:rsid w:val="005E495E"/>
    <w:rsid w:val="005E4981"/>
    <w:rsid w:val="005E4B9A"/>
    <w:rsid w:val="005E4C4C"/>
    <w:rsid w:val="005E4D16"/>
    <w:rsid w:val="005E4D67"/>
    <w:rsid w:val="005E4DA7"/>
    <w:rsid w:val="005E4FFF"/>
    <w:rsid w:val="005E5158"/>
    <w:rsid w:val="005E51BB"/>
    <w:rsid w:val="005E5301"/>
    <w:rsid w:val="005E5426"/>
    <w:rsid w:val="005E542B"/>
    <w:rsid w:val="005E55BF"/>
    <w:rsid w:val="005E5624"/>
    <w:rsid w:val="005E5628"/>
    <w:rsid w:val="005E5630"/>
    <w:rsid w:val="005E565D"/>
    <w:rsid w:val="005E5678"/>
    <w:rsid w:val="005E58E0"/>
    <w:rsid w:val="005E5947"/>
    <w:rsid w:val="005E5A58"/>
    <w:rsid w:val="005E5A5C"/>
    <w:rsid w:val="005E5A74"/>
    <w:rsid w:val="005E5C14"/>
    <w:rsid w:val="005E5C25"/>
    <w:rsid w:val="005E5C40"/>
    <w:rsid w:val="005E5CD7"/>
    <w:rsid w:val="005E5D8E"/>
    <w:rsid w:val="005E5FFC"/>
    <w:rsid w:val="005E6299"/>
    <w:rsid w:val="005E6442"/>
    <w:rsid w:val="005E6461"/>
    <w:rsid w:val="005E64CF"/>
    <w:rsid w:val="005E6718"/>
    <w:rsid w:val="005E6753"/>
    <w:rsid w:val="005E6811"/>
    <w:rsid w:val="005E6D36"/>
    <w:rsid w:val="005E6E72"/>
    <w:rsid w:val="005E6E8A"/>
    <w:rsid w:val="005E734E"/>
    <w:rsid w:val="005E736B"/>
    <w:rsid w:val="005E738B"/>
    <w:rsid w:val="005E7414"/>
    <w:rsid w:val="005E7473"/>
    <w:rsid w:val="005E755A"/>
    <w:rsid w:val="005E7965"/>
    <w:rsid w:val="005E7C04"/>
    <w:rsid w:val="005E7C1A"/>
    <w:rsid w:val="005E7C4B"/>
    <w:rsid w:val="005E7CFA"/>
    <w:rsid w:val="005E7D96"/>
    <w:rsid w:val="005E7DFA"/>
    <w:rsid w:val="005E7E4D"/>
    <w:rsid w:val="005E7E89"/>
    <w:rsid w:val="005E7FF2"/>
    <w:rsid w:val="005F015C"/>
    <w:rsid w:val="005F0226"/>
    <w:rsid w:val="005F02D4"/>
    <w:rsid w:val="005F0805"/>
    <w:rsid w:val="005F0992"/>
    <w:rsid w:val="005F0AB7"/>
    <w:rsid w:val="005F0AC4"/>
    <w:rsid w:val="005F0BE1"/>
    <w:rsid w:val="005F13F7"/>
    <w:rsid w:val="005F149E"/>
    <w:rsid w:val="005F1777"/>
    <w:rsid w:val="005F1E20"/>
    <w:rsid w:val="005F1E64"/>
    <w:rsid w:val="005F1ECE"/>
    <w:rsid w:val="005F25F8"/>
    <w:rsid w:val="005F2704"/>
    <w:rsid w:val="005F27CE"/>
    <w:rsid w:val="005F27F8"/>
    <w:rsid w:val="005F2911"/>
    <w:rsid w:val="005F29BA"/>
    <w:rsid w:val="005F29D1"/>
    <w:rsid w:val="005F2A6A"/>
    <w:rsid w:val="005F2CB9"/>
    <w:rsid w:val="005F2F29"/>
    <w:rsid w:val="005F2FC1"/>
    <w:rsid w:val="005F3201"/>
    <w:rsid w:val="005F3256"/>
    <w:rsid w:val="005F32A3"/>
    <w:rsid w:val="005F352E"/>
    <w:rsid w:val="005F3597"/>
    <w:rsid w:val="005F36E6"/>
    <w:rsid w:val="005F3800"/>
    <w:rsid w:val="005F383E"/>
    <w:rsid w:val="005F3845"/>
    <w:rsid w:val="005F3965"/>
    <w:rsid w:val="005F3ADD"/>
    <w:rsid w:val="005F3B39"/>
    <w:rsid w:val="005F3C72"/>
    <w:rsid w:val="005F3C79"/>
    <w:rsid w:val="005F3CFB"/>
    <w:rsid w:val="005F3D08"/>
    <w:rsid w:val="005F3D16"/>
    <w:rsid w:val="005F3D5F"/>
    <w:rsid w:val="005F3E26"/>
    <w:rsid w:val="005F3F3F"/>
    <w:rsid w:val="005F4093"/>
    <w:rsid w:val="005F425F"/>
    <w:rsid w:val="005F42B1"/>
    <w:rsid w:val="005F44CF"/>
    <w:rsid w:val="005F459C"/>
    <w:rsid w:val="005F45B7"/>
    <w:rsid w:val="005F4640"/>
    <w:rsid w:val="005F4699"/>
    <w:rsid w:val="005F4A17"/>
    <w:rsid w:val="005F4AD9"/>
    <w:rsid w:val="005F4BA2"/>
    <w:rsid w:val="005F4BD9"/>
    <w:rsid w:val="005F4E7A"/>
    <w:rsid w:val="005F4EC2"/>
    <w:rsid w:val="005F4F90"/>
    <w:rsid w:val="005F4FA1"/>
    <w:rsid w:val="005F50B4"/>
    <w:rsid w:val="005F5110"/>
    <w:rsid w:val="005F5143"/>
    <w:rsid w:val="005F526F"/>
    <w:rsid w:val="005F5790"/>
    <w:rsid w:val="005F57A1"/>
    <w:rsid w:val="005F57FC"/>
    <w:rsid w:val="005F5AAD"/>
    <w:rsid w:val="005F5AB7"/>
    <w:rsid w:val="005F5AE5"/>
    <w:rsid w:val="005F5BBE"/>
    <w:rsid w:val="005F5BFA"/>
    <w:rsid w:val="005F5D5F"/>
    <w:rsid w:val="005F5D6F"/>
    <w:rsid w:val="005F5F6F"/>
    <w:rsid w:val="005F5FB7"/>
    <w:rsid w:val="005F618C"/>
    <w:rsid w:val="005F6518"/>
    <w:rsid w:val="005F654B"/>
    <w:rsid w:val="005F6604"/>
    <w:rsid w:val="005F663D"/>
    <w:rsid w:val="005F6897"/>
    <w:rsid w:val="005F6C74"/>
    <w:rsid w:val="005F6DD9"/>
    <w:rsid w:val="005F7009"/>
    <w:rsid w:val="005F70D4"/>
    <w:rsid w:val="005F731A"/>
    <w:rsid w:val="005F73F8"/>
    <w:rsid w:val="005F74DC"/>
    <w:rsid w:val="005F75FD"/>
    <w:rsid w:val="005F7683"/>
    <w:rsid w:val="00600136"/>
    <w:rsid w:val="006001FA"/>
    <w:rsid w:val="0060031F"/>
    <w:rsid w:val="006003A9"/>
    <w:rsid w:val="006005C9"/>
    <w:rsid w:val="006006AB"/>
    <w:rsid w:val="006007F5"/>
    <w:rsid w:val="00600953"/>
    <w:rsid w:val="00600B35"/>
    <w:rsid w:val="00600C61"/>
    <w:rsid w:val="00600D32"/>
    <w:rsid w:val="00600D4A"/>
    <w:rsid w:val="0060117A"/>
    <w:rsid w:val="006011B0"/>
    <w:rsid w:val="006011F0"/>
    <w:rsid w:val="00601425"/>
    <w:rsid w:val="0060169F"/>
    <w:rsid w:val="006019B5"/>
    <w:rsid w:val="00601A09"/>
    <w:rsid w:val="00601A54"/>
    <w:rsid w:val="00601B45"/>
    <w:rsid w:val="00601C3D"/>
    <w:rsid w:val="00601C4B"/>
    <w:rsid w:val="00601C72"/>
    <w:rsid w:val="00601D15"/>
    <w:rsid w:val="00601D7C"/>
    <w:rsid w:val="00601E82"/>
    <w:rsid w:val="00601ED8"/>
    <w:rsid w:val="00601FAA"/>
    <w:rsid w:val="006020DE"/>
    <w:rsid w:val="006021B9"/>
    <w:rsid w:val="006021F2"/>
    <w:rsid w:val="0060224B"/>
    <w:rsid w:val="006022FD"/>
    <w:rsid w:val="00602594"/>
    <w:rsid w:val="0060279E"/>
    <w:rsid w:val="00602911"/>
    <w:rsid w:val="00602972"/>
    <w:rsid w:val="006029B4"/>
    <w:rsid w:val="00602B00"/>
    <w:rsid w:val="00602B5B"/>
    <w:rsid w:val="00602B75"/>
    <w:rsid w:val="00602BD2"/>
    <w:rsid w:val="00602C3C"/>
    <w:rsid w:val="00602DF3"/>
    <w:rsid w:val="00602E23"/>
    <w:rsid w:val="0060307B"/>
    <w:rsid w:val="00603089"/>
    <w:rsid w:val="006030DB"/>
    <w:rsid w:val="00603347"/>
    <w:rsid w:val="00603766"/>
    <w:rsid w:val="00603B27"/>
    <w:rsid w:val="00603C7B"/>
    <w:rsid w:val="00603D3D"/>
    <w:rsid w:val="00603D3E"/>
    <w:rsid w:val="00603DB2"/>
    <w:rsid w:val="00603DB4"/>
    <w:rsid w:val="0060419F"/>
    <w:rsid w:val="00604214"/>
    <w:rsid w:val="00604404"/>
    <w:rsid w:val="00604906"/>
    <w:rsid w:val="00604936"/>
    <w:rsid w:val="00604A04"/>
    <w:rsid w:val="00604A4C"/>
    <w:rsid w:val="00604AF7"/>
    <w:rsid w:val="00604C7B"/>
    <w:rsid w:val="00604D87"/>
    <w:rsid w:val="00604EAC"/>
    <w:rsid w:val="006051B3"/>
    <w:rsid w:val="006051D7"/>
    <w:rsid w:val="006054B9"/>
    <w:rsid w:val="0060567C"/>
    <w:rsid w:val="006056D8"/>
    <w:rsid w:val="006056D9"/>
    <w:rsid w:val="00605790"/>
    <w:rsid w:val="0060591A"/>
    <w:rsid w:val="00605BC9"/>
    <w:rsid w:val="00605C56"/>
    <w:rsid w:val="00605C8B"/>
    <w:rsid w:val="00605CEC"/>
    <w:rsid w:val="00605D1F"/>
    <w:rsid w:val="00605E74"/>
    <w:rsid w:val="0060625F"/>
    <w:rsid w:val="0060634B"/>
    <w:rsid w:val="006063F8"/>
    <w:rsid w:val="0060645D"/>
    <w:rsid w:val="00606543"/>
    <w:rsid w:val="00606607"/>
    <w:rsid w:val="0060675D"/>
    <w:rsid w:val="006067F7"/>
    <w:rsid w:val="006068F3"/>
    <w:rsid w:val="0060692E"/>
    <w:rsid w:val="00606C01"/>
    <w:rsid w:val="00606C5B"/>
    <w:rsid w:val="00606F18"/>
    <w:rsid w:val="00606F35"/>
    <w:rsid w:val="00606F76"/>
    <w:rsid w:val="0060716F"/>
    <w:rsid w:val="0060731E"/>
    <w:rsid w:val="0060735F"/>
    <w:rsid w:val="006073B5"/>
    <w:rsid w:val="0060742D"/>
    <w:rsid w:val="00607451"/>
    <w:rsid w:val="006074E2"/>
    <w:rsid w:val="00607574"/>
    <w:rsid w:val="0060779F"/>
    <w:rsid w:val="00607844"/>
    <w:rsid w:val="006078A7"/>
    <w:rsid w:val="00607973"/>
    <w:rsid w:val="006079BF"/>
    <w:rsid w:val="006079F8"/>
    <w:rsid w:val="00607A4B"/>
    <w:rsid w:val="00607CAD"/>
    <w:rsid w:val="00607E33"/>
    <w:rsid w:val="00607FE7"/>
    <w:rsid w:val="00610059"/>
    <w:rsid w:val="006100A1"/>
    <w:rsid w:val="0061047C"/>
    <w:rsid w:val="006105CA"/>
    <w:rsid w:val="00610618"/>
    <w:rsid w:val="006108F0"/>
    <w:rsid w:val="0061093C"/>
    <w:rsid w:val="00610B2F"/>
    <w:rsid w:val="00610B6F"/>
    <w:rsid w:val="00610CDB"/>
    <w:rsid w:val="00610D7F"/>
    <w:rsid w:val="00611154"/>
    <w:rsid w:val="0061131D"/>
    <w:rsid w:val="006113C0"/>
    <w:rsid w:val="006114C0"/>
    <w:rsid w:val="006114CB"/>
    <w:rsid w:val="006115D2"/>
    <w:rsid w:val="00611714"/>
    <w:rsid w:val="006118B0"/>
    <w:rsid w:val="00611943"/>
    <w:rsid w:val="00611C05"/>
    <w:rsid w:val="00611C78"/>
    <w:rsid w:val="00611DD7"/>
    <w:rsid w:val="00611EC6"/>
    <w:rsid w:val="00611F33"/>
    <w:rsid w:val="00611F60"/>
    <w:rsid w:val="00611FAE"/>
    <w:rsid w:val="006120DB"/>
    <w:rsid w:val="0061237B"/>
    <w:rsid w:val="00612432"/>
    <w:rsid w:val="0061246D"/>
    <w:rsid w:val="0061253E"/>
    <w:rsid w:val="00612609"/>
    <w:rsid w:val="00612705"/>
    <w:rsid w:val="0061296A"/>
    <w:rsid w:val="00612B2D"/>
    <w:rsid w:val="00612E68"/>
    <w:rsid w:val="00612F2D"/>
    <w:rsid w:val="00612F61"/>
    <w:rsid w:val="00613242"/>
    <w:rsid w:val="0061324C"/>
    <w:rsid w:val="006132AA"/>
    <w:rsid w:val="006133E2"/>
    <w:rsid w:val="006137ED"/>
    <w:rsid w:val="006139F7"/>
    <w:rsid w:val="00613AFE"/>
    <w:rsid w:val="00613BDE"/>
    <w:rsid w:val="00613D96"/>
    <w:rsid w:val="00613E28"/>
    <w:rsid w:val="00613E66"/>
    <w:rsid w:val="00613FA1"/>
    <w:rsid w:val="00614350"/>
    <w:rsid w:val="00614372"/>
    <w:rsid w:val="0061451D"/>
    <w:rsid w:val="00614639"/>
    <w:rsid w:val="0061470F"/>
    <w:rsid w:val="00614964"/>
    <w:rsid w:val="00614B78"/>
    <w:rsid w:val="00614C78"/>
    <w:rsid w:val="00614D1E"/>
    <w:rsid w:val="00614D7C"/>
    <w:rsid w:val="00614EEC"/>
    <w:rsid w:val="00614F4B"/>
    <w:rsid w:val="00615023"/>
    <w:rsid w:val="00615049"/>
    <w:rsid w:val="006150FF"/>
    <w:rsid w:val="006154CD"/>
    <w:rsid w:val="006157A9"/>
    <w:rsid w:val="006159BA"/>
    <w:rsid w:val="0061608B"/>
    <w:rsid w:val="006160AE"/>
    <w:rsid w:val="0061676D"/>
    <w:rsid w:val="00616B27"/>
    <w:rsid w:val="00616F25"/>
    <w:rsid w:val="00616FDF"/>
    <w:rsid w:val="0061710A"/>
    <w:rsid w:val="00617262"/>
    <w:rsid w:val="00617315"/>
    <w:rsid w:val="0061758D"/>
    <w:rsid w:val="00617DEA"/>
    <w:rsid w:val="0062007E"/>
    <w:rsid w:val="00620117"/>
    <w:rsid w:val="00620341"/>
    <w:rsid w:val="006203B1"/>
    <w:rsid w:val="006203DC"/>
    <w:rsid w:val="00620498"/>
    <w:rsid w:val="006204E6"/>
    <w:rsid w:val="00620538"/>
    <w:rsid w:val="00620720"/>
    <w:rsid w:val="00620898"/>
    <w:rsid w:val="00620A3A"/>
    <w:rsid w:val="00620BBF"/>
    <w:rsid w:val="00620D0E"/>
    <w:rsid w:val="0062118E"/>
    <w:rsid w:val="0062120D"/>
    <w:rsid w:val="00621368"/>
    <w:rsid w:val="006215E2"/>
    <w:rsid w:val="00621753"/>
    <w:rsid w:val="00621880"/>
    <w:rsid w:val="0062189B"/>
    <w:rsid w:val="0062191B"/>
    <w:rsid w:val="00621A97"/>
    <w:rsid w:val="00621BC4"/>
    <w:rsid w:val="00621C0A"/>
    <w:rsid w:val="00621D77"/>
    <w:rsid w:val="00621DC8"/>
    <w:rsid w:val="00621F88"/>
    <w:rsid w:val="006220FA"/>
    <w:rsid w:val="00622103"/>
    <w:rsid w:val="00622166"/>
    <w:rsid w:val="006227F4"/>
    <w:rsid w:val="006229C0"/>
    <w:rsid w:val="00622A01"/>
    <w:rsid w:val="00622A82"/>
    <w:rsid w:val="00622BE9"/>
    <w:rsid w:val="00622E1C"/>
    <w:rsid w:val="00622E5C"/>
    <w:rsid w:val="0062327C"/>
    <w:rsid w:val="0062329C"/>
    <w:rsid w:val="006232FD"/>
    <w:rsid w:val="006234A0"/>
    <w:rsid w:val="0062379E"/>
    <w:rsid w:val="00623892"/>
    <w:rsid w:val="006238D4"/>
    <w:rsid w:val="00623921"/>
    <w:rsid w:val="00623943"/>
    <w:rsid w:val="00623A79"/>
    <w:rsid w:val="00623BF8"/>
    <w:rsid w:val="00623C4C"/>
    <w:rsid w:val="00623D40"/>
    <w:rsid w:val="0062406C"/>
    <w:rsid w:val="0062417E"/>
    <w:rsid w:val="006244DF"/>
    <w:rsid w:val="00624509"/>
    <w:rsid w:val="006245FD"/>
    <w:rsid w:val="0062470F"/>
    <w:rsid w:val="0062494C"/>
    <w:rsid w:val="00624C05"/>
    <w:rsid w:val="00624CA0"/>
    <w:rsid w:val="00624D0C"/>
    <w:rsid w:val="00624D22"/>
    <w:rsid w:val="00624DC8"/>
    <w:rsid w:val="00624E54"/>
    <w:rsid w:val="00624F75"/>
    <w:rsid w:val="00625038"/>
    <w:rsid w:val="006250E1"/>
    <w:rsid w:val="0062525B"/>
    <w:rsid w:val="00625378"/>
    <w:rsid w:val="00625BF9"/>
    <w:rsid w:val="00625C7C"/>
    <w:rsid w:val="00625CDF"/>
    <w:rsid w:val="00625E0D"/>
    <w:rsid w:val="00626022"/>
    <w:rsid w:val="006260A4"/>
    <w:rsid w:val="00626189"/>
    <w:rsid w:val="00626202"/>
    <w:rsid w:val="00626347"/>
    <w:rsid w:val="00626481"/>
    <w:rsid w:val="006264D5"/>
    <w:rsid w:val="00626540"/>
    <w:rsid w:val="0062671E"/>
    <w:rsid w:val="00626748"/>
    <w:rsid w:val="00626781"/>
    <w:rsid w:val="00626799"/>
    <w:rsid w:val="00626914"/>
    <w:rsid w:val="00626A8E"/>
    <w:rsid w:val="00626F18"/>
    <w:rsid w:val="006270E4"/>
    <w:rsid w:val="0062718F"/>
    <w:rsid w:val="0062725E"/>
    <w:rsid w:val="006273CB"/>
    <w:rsid w:val="006273D7"/>
    <w:rsid w:val="00627718"/>
    <w:rsid w:val="006277EB"/>
    <w:rsid w:val="00627837"/>
    <w:rsid w:val="0062788B"/>
    <w:rsid w:val="00627962"/>
    <w:rsid w:val="006279A9"/>
    <w:rsid w:val="00627B0E"/>
    <w:rsid w:val="00627B96"/>
    <w:rsid w:val="00627DF1"/>
    <w:rsid w:val="006302FF"/>
    <w:rsid w:val="006304BC"/>
    <w:rsid w:val="006304D0"/>
    <w:rsid w:val="0063058B"/>
    <w:rsid w:val="0063068C"/>
    <w:rsid w:val="00630760"/>
    <w:rsid w:val="0063082A"/>
    <w:rsid w:val="00630ADC"/>
    <w:rsid w:val="00630C00"/>
    <w:rsid w:val="00630EF0"/>
    <w:rsid w:val="006310A8"/>
    <w:rsid w:val="00631123"/>
    <w:rsid w:val="0063112C"/>
    <w:rsid w:val="006311BB"/>
    <w:rsid w:val="00631352"/>
    <w:rsid w:val="006317BA"/>
    <w:rsid w:val="006317EE"/>
    <w:rsid w:val="006319FD"/>
    <w:rsid w:val="00631A13"/>
    <w:rsid w:val="00631A28"/>
    <w:rsid w:val="00631C07"/>
    <w:rsid w:val="00631DEE"/>
    <w:rsid w:val="00631EF7"/>
    <w:rsid w:val="0063203F"/>
    <w:rsid w:val="00632092"/>
    <w:rsid w:val="00632108"/>
    <w:rsid w:val="006323A1"/>
    <w:rsid w:val="006323B8"/>
    <w:rsid w:val="00632986"/>
    <w:rsid w:val="00632997"/>
    <w:rsid w:val="00632D42"/>
    <w:rsid w:val="00632DF4"/>
    <w:rsid w:val="00632E77"/>
    <w:rsid w:val="00632E8A"/>
    <w:rsid w:val="00632FA4"/>
    <w:rsid w:val="00632FB7"/>
    <w:rsid w:val="00632FF0"/>
    <w:rsid w:val="00633143"/>
    <w:rsid w:val="00633419"/>
    <w:rsid w:val="00633621"/>
    <w:rsid w:val="00633660"/>
    <w:rsid w:val="00633693"/>
    <w:rsid w:val="006337DC"/>
    <w:rsid w:val="006337EB"/>
    <w:rsid w:val="00633898"/>
    <w:rsid w:val="006338C5"/>
    <w:rsid w:val="00633933"/>
    <w:rsid w:val="006339C5"/>
    <w:rsid w:val="00633D50"/>
    <w:rsid w:val="00633DBD"/>
    <w:rsid w:val="00633DE5"/>
    <w:rsid w:val="0063402D"/>
    <w:rsid w:val="0063403D"/>
    <w:rsid w:val="00634203"/>
    <w:rsid w:val="00634258"/>
    <w:rsid w:val="006342D1"/>
    <w:rsid w:val="0063447E"/>
    <w:rsid w:val="006344EB"/>
    <w:rsid w:val="00634DDA"/>
    <w:rsid w:val="00634F7A"/>
    <w:rsid w:val="006350A9"/>
    <w:rsid w:val="006350E8"/>
    <w:rsid w:val="00635137"/>
    <w:rsid w:val="00635182"/>
    <w:rsid w:val="006352A5"/>
    <w:rsid w:val="006353ED"/>
    <w:rsid w:val="006354E5"/>
    <w:rsid w:val="00635750"/>
    <w:rsid w:val="00635772"/>
    <w:rsid w:val="00635A85"/>
    <w:rsid w:val="00635AB3"/>
    <w:rsid w:val="00635B53"/>
    <w:rsid w:val="00635CDE"/>
    <w:rsid w:val="00635D18"/>
    <w:rsid w:val="00635F96"/>
    <w:rsid w:val="0063609F"/>
    <w:rsid w:val="00636170"/>
    <w:rsid w:val="00636348"/>
    <w:rsid w:val="0063635B"/>
    <w:rsid w:val="0063671D"/>
    <w:rsid w:val="00636732"/>
    <w:rsid w:val="006367FC"/>
    <w:rsid w:val="00636883"/>
    <w:rsid w:val="00636949"/>
    <w:rsid w:val="0063696A"/>
    <w:rsid w:val="006369A4"/>
    <w:rsid w:val="006369E4"/>
    <w:rsid w:val="00636A87"/>
    <w:rsid w:val="00636ADA"/>
    <w:rsid w:val="00636CA5"/>
    <w:rsid w:val="00636CD9"/>
    <w:rsid w:val="00636E6A"/>
    <w:rsid w:val="00636FDC"/>
    <w:rsid w:val="0063720C"/>
    <w:rsid w:val="00637588"/>
    <w:rsid w:val="0063758B"/>
    <w:rsid w:val="006375F5"/>
    <w:rsid w:val="0063761F"/>
    <w:rsid w:val="00637889"/>
    <w:rsid w:val="00637A67"/>
    <w:rsid w:val="00637B7F"/>
    <w:rsid w:val="00637C04"/>
    <w:rsid w:val="00637C07"/>
    <w:rsid w:val="00637CE3"/>
    <w:rsid w:val="0064014D"/>
    <w:rsid w:val="00640164"/>
    <w:rsid w:val="00640181"/>
    <w:rsid w:val="006404B2"/>
    <w:rsid w:val="00640519"/>
    <w:rsid w:val="00640614"/>
    <w:rsid w:val="0064073C"/>
    <w:rsid w:val="006408E1"/>
    <w:rsid w:val="006409FD"/>
    <w:rsid w:val="00640C30"/>
    <w:rsid w:val="00640F10"/>
    <w:rsid w:val="00640F1C"/>
    <w:rsid w:val="006411C7"/>
    <w:rsid w:val="00641213"/>
    <w:rsid w:val="006412C7"/>
    <w:rsid w:val="00641333"/>
    <w:rsid w:val="006413E5"/>
    <w:rsid w:val="006415AD"/>
    <w:rsid w:val="0064163D"/>
    <w:rsid w:val="00641734"/>
    <w:rsid w:val="00641B03"/>
    <w:rsid w:val="00641C33"/>
    <w:rsid w:val="00641C48"/>
    <w:rsid w:val="00641CF1"/>
    <w:rsid w:val="00641D90"/>
    <w:rsid w:val="00641F5B"/>
    <w:rsid w:val="00641FCC"/>
    <w:rsid w:val="00642059"/>
    <w:rsid w:val="006420A0"/>
    <w:rsid w:val="006420A7"/>
    <w:rsid w:val="006422CD"/>
    <w:rsid w:val="00642371"/>
    <w:rsid w:val="006423E9"/>
    <w:rsid w:val="0064246E"/>
    <w:rsid w:val="0064253E"/>
    <w:rsid w:val="0064254F"/>
    <w:rsid w:val="006425E2"/>
    <w:rsid w:val="006428A2"/>
    <w:rsid w:val="00642929"/>
    <w:rsid w:val="00642982"/>
    <w:rsid w:val="006429E5"/>
    <w:rsid w:val="00642A42"/>
    <w:rsid w:val="00642B19"/>
    <w:rsid w:val="00642CBE"/>
    <w:rsid w:val="00642E2D"/>
    <w:rsid w:val="00642F2B"/>
    <w:rsid w:val="00642F8B"/>
    <w:rsid w:val="00642FBA"/>
    <w:rsid w:val="00642FD1"/>
    <w:rsid w:val="00643061"/>
    <w:rsid w:val="006430C8"/>
    <w:rsid w:val="0064346F"/>
    <w:rsid w:val="00643809"/>
    <w:rsid w:val="006438FA"/>
    <w:rsid w:val="006439F7"/>
    <w:rsid w:val="00643A2D"/>
    <w:rsid w:val="00643A56"/>
    <w:rsid w:val="00643D8E"/>
    <w:rsid w:val="00643F24"/>
    <w:rsid w:val="0064437D"/>
    <w:rsid w:val="0064447F"/>
    <w:rsid w:val="00644742"/>
    <w:rsid w:val="0064477D"/>
    <w:rsid w:val="00644AD4"/>
    <w:rsid w:val="00644CCB"/>
    <w:rsid w:val="00644DF9"/>
    <w:rsid w:val="006450B2"/>
    <w:rsid w:val="006450B6"/>
    <w:rsid w:val="006451CA"/>
    <w:rsid w:val="0064523D"/>
    <w:rsid w:val="00645261"/>
    <w:rsid w:val="0064528C"/>
    <w:rsid w:val="006454CB"/>
    <w:rsid w:val="006454FD"/>
    <w:rsid w:val="006459F4"/>
    <w:rsid w:val="00645BA3"/>
    <w:rsid w:val="00645C16"/>
    <w:rsid w:val="00645C5F"/>
    <w:rsid w:val="00645CDA"/>
    <w:rsid w:val="00645D56"/>
    <w:rsid w:val="00645E37"/>
    <w:rsid w:val="00645F59"/>
    <w:rsid w:val="006460D5"/>
    <w:rsid w:val="006461BA"/>
    <w:rsid w:val="006462AA"/>
    <w:rsid w:val="006463A5"/>
    <w:rsid w:val="0064650F"/>
    <w:rsid w:val="00646542"/>
    <w:rsid w:val="00646564"/>
    <w:rsid w:val="00646610"/>
    <w:rsid w:val="00646671"/>
    <w:rsid w:val="0064699E"/>
    <w:rsid w:val="00646BF3"/>
    <w:rsid w:val="00646CF3"/>
    <w:rsid w:val="00647009"/>
    <w:rsid w:val="00647311"/>
    <w:rsid w:val="00647340"/>
    <w:rsid w:val="00647414"/>
    <w:rsid w:val="00647558"/>
    <w:rsid w:val="0064755F"/>
    <w:rsid w:val="0064756F"/>
    <w:rsid w:val="00647668"/>
    <w:rsid w:val="006476DC"/>
    <w:rsid w:val="006479FB"/>
    <w:rsid w:val="00647A46"/>
    <w:rsid w:val="00647AD1"/>
    <w:rsid w:val="00647B2F"/>
    <w:rsid w:val="00647C1A"/>
    <w:rsid w:val="0065003F"/>
    <w:rsid w:val="00650174"/>
    <w:rsid w:val="006501D8"/>
    <w:rsid w:val="006502F2"/>
    <w:rsid w:val="0065033D"/>
    <w:rsid w:val="00650948"/>
    <w:rsid w:val="00650A31"/>
    <w:rsid w:val="00650A42"/>
    <w:rsid w:val="00650A4D"/>
    <w:rsid w:val="00650D0C"/>
    <w:rsid w:val="00650DB3"/>
    <w:rsid w:val="00650EF4"/>
    <w:rsid w:val="00650FD4"/>
    <w:rsid w:val="00651399"/>
    <w:rsid w:val="006513AC"/>
    <w:rsid w:val="0065142B"/>
    <w:rsid w:val="00651526"/>
    <w:rsid w:val="0065177C"/>
    <w:rsid w:val="006517C9"/>
    <w:rsid w:val="00651868"/>
    <w:rsid w:val="00651934"/>
    <w:rsid w:val="00651A9A"/>
    <w:rsid w:val="00651B26"/>
    <w:rsid w:val="00651BAF"/>
    <w:rsid w:val="00651F6C"/>
    <w:rsid w:val="00652163"/>
    <w:rsid w:val="00652207"/>
    <w:rsid w:val="00652211"/>
    <w:rsid w:val="00652297"/>
    <w:rsid w:val="006522EC"/>
    <w:rsid w:val="00652319"/>
    <w:rsid w:val="006523CF"/>
    <w:rsid w:val="0065295F"/>
    <w:rsid w:val="00652980"/>
    <w:rsid w:val="00652E2E"/>
    <w:rsid w:val="00652E74"/>
    <w:rsid w:val="006530D0"/>
    <w:rsid w:val="006532BA"/>
    <w:rsid w:val="006532E3"/>
    <w:rsid w:val="0065355C"/>
    <w:rsid w:val="006535E8"/>
    <w:rsid w:val="006536EF"/>
    <w:rsid w:val="00653718"/>
    <w:rsid w:val="006537A1"/>
    <w:rsid w:val="00653B7D"/>
    <w:rsid w:val="00653CED"/>
    <w:rsid w:val="00653DCB"/>
    <w:rsid w:val="00653E34"/>
    <w:rsid w:val="00653E69"/>
    <w:rsid w:val="00653E80"/>
    <w:rsid w:val="00653E8B"/>
    <w:rsid w:val="00653F91"/>
    <w:rsid w:val="00653FB5"/>
    <w:rsid w:val="006541A4"/>
    <w:rsid w:val="006541FA"/>
    <w:rsid w:val="0065420C"/>
    <w:rsid w:val="00654263"/>
    <w:rsid w:val="00654311"/>
    <w:rsid w:val="00654485"/>
    <w:rsid w:val="006544B3"/>
    <w:rsid w:val="006545C1"/>
    <w:rsid w:val="006546C6"/>
    <w:rsid w:val="006547B2"/>
    <w:rsid w:val="0065497E"/>
    <w:rsid w:val="00654A02"/>
    <w:rsid w:val="00654A15"/>
    <w:rsid w:val="00654B3A"/>
    <w:rsid w:val="00654D98"/>
    <w:rsid w:val="00654E1E"/>
    <w:rsid w:val="006550C5"/>
    <w:rsid w:val="006555FE"/>
    <w:rsid w:val="0065560E"/>
    <w:rsid w:val="00655843"/>
    <w:rsid w:val="00655A9A"/>
    <w:rsid w:val="00655BBC"/>
    <w:rsid w:val="00655D2E"/>
    <w:rsid w:val="00655D45"/>
    <w:rsid w:val="00655DB0"/>
    <w:rsid w:val="00655F18"/>
    <w:rsid w:val="00655F4B"/>
    <w:rsid w:val="00655F7C"/>
    <w:rsid w:val="00656012"/>
    <w:rsid w:val="006560AF"/>
    <w:rsid w:val="00656104"/>
    <w:rsid w:val="0065617C"/>
    <w:rsid w:val="0065618C"/>
    <w:rsid w:val="006561AB"/>
    <w:rsid w:val="00656275"/>
    <w:rsid w:val="0065633F"/>
    <w:rsid w:val="006563B6"/>
    <w:rsid w:val="0065648C"/>
    <w:rsid w:val="006565EC"/>
    <w:rsid w:val="006566CC"/>
    <w:rsid w:val="00656876"/>
    <w:rsid w:val="006568EA"/>
    <w:rsid w:val="00656A6C"/>
    <w:rsid w:val="00656D63"/>
    <w:rsid w:val="00656F01"/>
    <w:rsid w:val="00656F70"/>
    <w:rsid w:val="00656F77"/>
    <w:rsid w:val="00657020"/>
    <w:rsid w:val="00657067"/>
    <w:rsid w:val="00657142"/>
    <w:rsid w:val="0065735B"/>
    <w:rsid w:val="006578A6"/>
    <w:rsid w:val="006578A8"/>
    <w:rsid w:val="006579E9"/>
    <w:rsid w:val="00657BCD"/>
    <w:rsid w:val="00657F14"/>
    <w:rsid w:val="00660020"/>
    <w:rsid w:val="006600BB"/>
    <w:rsid w:val="00660182"/>
    <w:rsid w:val="006602EB"/>
    <w:rsid w:val="0066051C"/>
    <w:rsid w:val="006606AC"/>
    <w:rsid w:val="00660703"/>
    <w:rsid w:val="006607A9"/>
    <w:rsid w:val="00660828"/>
    <w:rsid w:val="006608D6"/>
    <w:rsid w:val="00660A64"/>
    <w:rsid w:val="00660B5B"/>
    <w:rsid w:val="00660BEA"/>
    <w:rsid w:val="00660BFD"/>
    <w:rsid w:val="00660EF1"/>
    <w:rsid w:val="006611F5"/>
    <w:rsid w:val="00661252"/>
    <w:rsid w:val="006612D5"/>
    <w:rsid w:val="00661301"/>
    <w:rsid w:val="0066136C"/>
    <w:rsid w:val="0066145A"/>
    <w:rsid w:val="00661496"/>
    <w:rsid w:val="006615BB"/>
    <w:rsid w:val="0066179C"/>
    <w:rsid w:val="006617CE"/>
    <w:rsid w:val="006619EF"/>
    <w:rsid w:val="00661A24"/>
    <w:rsid w:val="00661ACE"/>
    <w:rsid w:val="00661B40"/>
    <w:rsid w:val="00661E02"/>
    <w:rsid w:val="00661E8B"/>
    <w:rsid w:val="00661ED6"/>
    <w:rsid w:val="00661F2C"/>
    <w:rsid w:val="00661F54"/>
    <w:rsid w:val="00661FCC"/>
    <w:rsid w:val="00662166"/>
    <w:rsid w:val="0066227D"/>
    <w:rsid w:val="0066243E"/>
    <w:rsid w:val="00662488"/>
    <w:rsid w:val="0066276A"/>
    <w:rsid w:val="0066299F"/>
    <w:rsid w:val="00662A3B"/>
    <w:rsid w:val="00662A42"/>
    <w:rsid w:val="00662B6D"/>
    <w:rsid w:val="00662B8B"/>
    <w:rsid w:val="00662E4D"/>
    <w:rsid w:val="00662ED4"/>
    <w:rsid w:val="0066302A"/>
    <w:rsid w:val="006633F7"/>
    <w:rsid w:val="00663661"/>
    <w:rsid w:val="00663680"/>
    <w:rsid w:val="006636CB"/>
    <w:rsid w:val="006638B8"/>
    <w:rsid w:val="00663A90"/>
    <w:rsid w:val="00663ACA"/>
    <w:rsid w:val="00663B55"/>
    <w:rsid w:val="00663DD2"/>
    <w:rsid w:val="00663E59"/>
    <w:rsid w:val="006640B6"/>
    <w:rsid w:val="0066415E"/>
    <w:rsid w:val="00664307"/>
    <w:rsid w:val="00664535"/>
    <w:rsid w:val="006645A6"/>
    <w:rsid w:val="006645E1"/>
    <w:rsid w:val="0066463F"/>
    <w:rsid w:val="0066468A"/>
    <w:rsid w:val="006646F0"/>
    <w:rsid w:val="006647C4"/>
    <w:rsid w:val="0066491D"/>
    <w:rsid w:val="00664AC7"/>
    <w:rsid w:val="00664C3C"/>
    <w:rsid w:val="00664CAD"/>
    <w:rsid w:val="00664D4E"/>
    <w:rsid w:val="00664D51"/>
    <w:rsid w:val="00664DCD"/>
    <w:rsid w:val="00664E87"/>
    <w:rsid w:val="00664FD7"/>
    <w:rsid w:val="006650A6"/>
    <w:rsid w:val="0066510A"/>
    <w:rsid w:val="006651E0"/>
    <w:rsid w:val="00665247"/>
    <w:rsid w:val="006653CF"/>
    <w:rsid w:val="0066548A"/>
    <w:rsid w:val="006655DB"/>
    <w:rsid w:val="00665636"/>
    <w:rsid w:val="00665784"/>
    <w:rsid w:val="0066588F"/>
    <w:rsid w:val="00665960"/>
    <w:rsid w:val="00665B2A"/>
    <w:rsid w:val="00665DC6"/>
    <w:rsid w:val="006660DA"/>
    <w:rsid w:val="006662C1"/>
    <w:rsid w:val="0066632F"/>
    <w:rsid w:val="006664CB"/>
    <w:rsid w:val="006664F1"/>
    <w:rsid w:val="006665E9"/>
    <w:rsid w:val="006666D3"/>
    <w:rsid w:val="00666876"/>
    <w:rsid w:val="00666898"/>
    <w:rsid w:val="006668DE"/>
    <w:rsid w:val="006669F2"/>
    <w:rsid w:val="00666B60"/>
    <w:rsid w:val="00666CB1"/>
    <w:rsid w:val="00666DB5"/>
    <w:rsid w:val="006672DB"/>
    <w:rsid w:val="006672E5"/>
    <w:rsid w:val="00667455"/>
    <w:rsid w:val="006674D3"/>
    <w:rsid w:val="00667524"/>
    <w:rsid w:val="0066752A"/>
    <w:rsid w:val="00667691"/>
    <w:rsid w:val="0066777F"/>
    <w:rsid w:val="006679DD"/>
    <w:rsid w:val="00667AA1"/>
    <w:rsid w:val="00667B70"/>
    <w:rsid w:val="00667B92"/>
    <w:rsid w:val="00667C56"/>
    <w:rsid w:val="00667C88"/>
    <w:rsid w:val="00670260"/>
    <w:rsid w:val="0067042C"/>
    <w:rsid w:val="006704D6"/>
    <w:rsid w:val="006705A1"/>
    <w:rsid w:val="006706C5"/>
    <w:rsid w:val="006706D6"/>
    <w:rsid w:val="006707A3"/>
    <w:rsid w:val="00670971"/>
    <w:rsid w:val="006709A9"/>
    <w:rsid w:val="006709BA"/>
    <w:rsid w:val="006709D1"/>
    <w:rsid w:val="00670A3D"/>
    <w:rsid w:val="00670A99"/>
    <w:rsid w:val="00670AB4"/>
    <w:rsid w:val="00670AFA"/>
    <w:rsid w:val="00670CF4"/>
    <w:rsid w:val="00670F6C"/>
    <w:rsid w:val="00670FE8"/>
    <w:rsid w:val="0067143A"/>
    <w:rsid w:val="006715CC"/>
    <w:rsid w:val="006718A5"/>
    <w:rsid w:val="00671A27"/>
    <w:rsid w:val="00671C29"/>
    <w:rsid w:val="00671DA8"/>
    <w:rsid w:val="00671DB3"/>
    <w:rsid w:val="006720DD"/>
    <w:rsid w:val="00672216"/>
    <w:rsid w:val="0067229A"/>
    <w:rsid w:val="00672396"/>
    <w:rsid w:val="006725BB"/>
    <w:rsid w:val="0067270D"/>
    <w:rsid w:val="00672848"/>
    <w:rsid w:val="006730BE"/>
    <w:rsid w:val="006731EA"/>
    <w:rsid w:val="00673337"/>
    <w:rsid w:val="0067349D"/>
    <w:rsid w:val="006735CC"/>
    <w:rsid w:val="006737C2"/>
    <w:rsid w:val="00673833"/>
    <w:rsid w:val="00673A37"/>
    <w:rsid w:val="00673C4D"/>
    <w:rsid w:val="00673E13"/>
    <w:rsid w:val="00673EC1"/>
    <w:rsid w:val="00673F07"/>
    <w:rsid w:val="0067410E"/>
    <w:rsid w:val="00674157"/>
    <w:rsid w:val="0067421A"/>
    <w:rsid w:val="00674283"/>
    <w:rsid w:val="0067443C"/>
    <w:rsid w:val="00674514"/>
    <w:rsid w:val="00674524"/>
    <w:rsid w:val="0067479D"/>
    <w:rsid w:val="00674BBC"/>
    <w:rsid w:val="00674D43"/>
    <w:rsid w:val="00674D65"/>
    <w:rsid w:val="00674E13"/>
    <w:rsid w:val="00674E1A"/>
    <w:rsid w:val="0067504A"/>
    <w:rsid w:val="0067518C"/>
    <w:rsid w:val="006755E3"/>
    <w:rsid w:val="00675724"/>
    <w:rsid w:val="006758CB"/>
    <w:rsid w:val="00675CE1"/>
    <w:rsid w:val="00676272"/>
    <w:rsid w:val="0067629F"/>
    <w:rsid w:val="00676360"/>
    <w:rsid w:val="006764BB"/>
    <w:rsid w:val="00676541"/>
    <w:rsid w:val="00676576"/>
    <w:rsid w:val="0067674F"/>
    <w:rsid w:val="00676A02"/>
    <w:rsid w:val="00676A95"/>
    <w:rsid w:val="00676B7A"/>
    <w:rsid w:val="00676B84"/>
    <w:rsid w:val="00676E5A"/>
    <w:rsid w:val="00676F20"/>
    <w:rsid w:val="00676F23"/>
    <w:rsid w:val="00677032"/>
    <w:rsid w:val="006770E8"/>
    <w:rsid w:val="00677247"/>
    <w:rsid w:val="006772E5"/>
    <w:rsid w:val="0067735D"/>
    <w:rsid w:val="00677582"/>
    <w:rsid w:val="00677671"/>
    <w:rsid w:val="006777CE"/>
    <w:rsid w:val="006778BD"/>
    <w:rsid w:val="00677973"/>
    <w:rsid w:val="0067797E"/>
    <w:rsid w:val="00677B61"/>
    <w:rsid w:val="00677BE1"/>
    <w:rsid w:val="00677C2B"/>
    <w:rsid w:val="00677D7B"/>
    <w:rsid w:val="00677ED0"/>
    <w:rsid w:val="00677EE3"/>
    <w:rsid w:val="006800C8"/>
    <w:rsid w:val="006802B4"/>
    <w:rsid w:val="0068036E"/>
    <w:rsid w:val="0068049B"/>
    <w:rsid w:val="0068050D"/>
    <w:rsid w:val="00680552"/>
    <w:rsid w:val="0068087C"/>
    <w:rsid w:val="00680990"/>
    <w:rsid w:val="006809A5"/>
    <w:rsid w:val="00680A3B"/>
    <w:rsid w:val="00680C2A"/>
    <w:rsid w:val="00680D3B"/>
    <w:rsid w:val="00680E19"/>
    <w:rsid w:val="00680E67"/>
    <w:rsid w:val="00680F18"/>
    <w:rsid w:val="006811F5"/>
    <w:rsid w:val="00681237"/>
    <w:rsid w:val="0068126A"/>
    <w:rsid w:val="00681309"/>
    <w:rsid w:val="00681351"/>
    <w:rsid w:val="00681352"/>
    <w:rsid w:val="0068135B"/>
    <w:rsid w:val="0068157D"/>
    <w:rsid w:val="006815F2"/>
    <w:rsid w:val="0068177A"/>
    <w:rsid w:val="00681B31"/>
    <w:rsid w:val="00681B44"/>
    <w:rsid w:val="00681C4F"/>
    <w:rsid w:val="00681F1A"/>
    <w:rsid w:val="006820FF"/>
    <w:rsid w:val="00682294"/>
    <w:rsid w:val="00682347"/>
    <w:rsid w:val="0068255D"/>
    <w:rsid w:val="00682608"/>
    <w:rsid w:val="0068260F"/>
    <w:rsid w:val="0068271B"/>
    <w:rsid w:val="006829D9"/>
    <w:rsid w:val="00682C35"/>
    <w:rsid w:val="00682CC7"/>
    <w:rsid w:val="00682D51"/>
    <w:rsid w:val="00682ECD"/>
    <w:rsid w:val="00682F7E"/>
    <w:rsid w:val="00683064"/>
    <w:rsid w:val="006830A6"/>
    <w:rsid w:val="00683115"/>
    <w:rsid w:val="0068328E"/>
    <w:rsid w:val="0068331E"/>
    <w:rsid w:val="0068345B"/>
    <w:rsid w:val="006837B6"/>
    <w:rsid w:val="006837D2"/>
    <w:rsid w:val="00683881"/>
    <w:rsid w:val="006838A8"/>
    <w:rsid w:val="0068396D"/>
    <w:rsid w:val="0068397F"/>
    <w:rsid w:val="00683A6A"/>
    <w:rsid w:val="00683AB4"/>
    <w:rsid w:val="00683CE5"/>
    <w:rsid w:val="00683D40"/>
    <w:rsid w:val="00683EE6"/>
    <w:rsid w:val="00683FAB"/>
    <w:rsid w:val="00683FC1"/>
    <w:rsid w:val="00684285"/>
    <w:rsid w:val="0068433F"/>
    <w:rsid w:val="006845B8"/>
    <w:rsid w:val="00684896"/>
    <w:rsid w:val="00684961"/>
    <w:rsid w:val="00684AA9"/>
    <w:rsid w:val="00684AD7"/>
    <w:rsid w:val="00684C80"/>
    <w:rsid w:val="00684C9E"/>
    <w:rsid w:val="00684D76"/>
    <w:rsid w:val="00684E1A"/>
    <w:rsid w:val="006851D9"/>
    <w:rsid w:val="00685360"/>
    <w:rsid w:val="00685607"/>
    <w:rsid w:val="00685614"/>
    <w:rsid w:val="006856F9"/>
    <w:rsid w:val="0068595B"/>
    <w:rsid w:val="00685978"/>
    <w:rsid w:val="0068597B"/>
    <w:rsid w:val="00685B4D"/>
    <w:rsid w:val="00685BB6"/>
    <w:rsid w:val="00685CE9"/>
    <w:rsid w:val="00686502"/>
    <w:rsid w:val="00686576"/>
    <w:rsid w:val="006867D6"/>
    <w:rsid w:val="00686817"/>
    <w:rsid w:val="006868A2"/>
    <w:rsid w:val="00686944"/>
    <w:rsid w:val="00686A3F"/>
    <w:rsid w:val="00686A9D"/>
    <w:rsid w:val="00686C5D"/>
    <w:rsid w:val="00686F3C"/>
    <w:rsid w:val="00686FC9"/>
    <w:rsid w:val="00687153"/>
    <w:rsid w:val="00687162"/>
    <w:rsid w:val="006873AD"/>
    <w:rsid w:val="0068752A"/>
    <w:rsid w:val="0068756C"/>
    <w:rsid w:val="0068768F"/>
    <w:rsid w:val="006876C7"/>
    <w:rsid w:val="006876D5"/>
    <w:rsid w:val="006878D1"/>
    <w:rsid w:val="006879C3"/>
    <w:rsid w:val="00687ABD"/>
    <w:rsid w:val="00687B70"/>
    <w:rsid w:val="00687B8D"/>
    <w:rsid w:val="00687E13"/>
    <w:rsid w:val="00690021"/>
    <w:rsid w:val="006900A4"/>
    <w:rsid w:val="00690194"/>
    <w:rsid w:val="006901E1"/>
    <w:rsid w:val="00690284"/>
    <w:rsid w:val="006904D1"/>
    <w:rsid w:val="006906C3"/>
    <w:rsid w:val="00690837"/>
    <w:rsid w:val="00690945"/>
    <w:rsid w:val="00690B11"/>
    <w:rsid w:val="00690CE1"/>
    <w:rsid w:val="00690EAC"/>
    <w:rsid w:val="006912F5"/>
    <w:rsid w:val="006915B1"/>
    <w:rsid w:val="0069166A"/>
    <w:rsid w:val="0069174B"/>
    <w:rsid w:val="006917A0"/>
    <w:rsid w:val="00691838"/>
    <w:rsid w:val="006919EA"/>
    <w:rsid w:val="00691BC2"/>
    <w:rsid w:val="00691CD9"/>
    <w:rsid w:val="00691D5D"/>
    <w:rsid w:val="00691DB9"/>
    <w:rsid w:val="00692053"/>
    <w:rsid w:val="0069230D"/>
    <w:rsid w:val="00692427"/>
    <w:rsid w:val="0069243D"/>
    <w:rsid w:val="006924F8"/>
    <w:rsid w:val="00692545"/>
    <w:rsid w:val="00692743"/>
    <w:rsid w:val="00692AD2"/>
    <w:rsid w:val="00692B8B"/>
    <w:rsid w:val="00692BA3"/>
    <w:rsid w:val="006930CA"/>
    <w:rsid w:val="006931D9"/>
    <w:rsid w:val="0069324C"/>
    <w:rsid w:val="006933F4"/>
    <w:rsid w:val="0069351C"/>
    <w:rsid w:val="00693623"/>
    <w:rsid w:val="00693D57"/>
    <w:rsid w:val="00693FA0"/>
    <w:rsid w:val="006940E7"/>
    <w:rsid w:val="00694153"/>
    <w:rsid w:val="006942D8"/>
    <w:rsid w:val="006944C5"/>
    <w:rsid w:val="0069462D"/>
    <w:rsid w:val="00694673"/>
    <w:rsid w:val="006947B5"/>
    <w:rsid w:val="0069483F"/>
    <w:rsid w:val="006948D3"/>
    <w:rsid w:val="00694931"/>
    <w:rsid w:val="00694BCB"/>
    <w:rsid w:val="00694DF2"/>
    <w:rsid w:val="006951A6"/>
    <w:rsid w:val="006951FD"/>
    <w:rsid w:val="006952D2"/>
    <w:rsid w:val="006953B5"/>
    <w:rsid w:val="006959C4"/>
    <w:rsid w:val="006959D7"/>
    <w:rsid w:val="00695D0A"/>
    <w:rsid w:val="00695FC8"/>
    <w:rsid w:val="00696151"/>
    <w:rsid w:val="00696484"/>
    <w:rsid w:val="006964D8"/>
    <w:rsid w:val="006966A3"/>
    <w:rsid w:val="006968B5"/>
    <w:rsid w:val="006968E2"/>
    <w:rsid w:val="00696910"/>
    <w:rsid w:val="0069695F"/>
    <w:rsid w:val="00696A7B"/>
    <w:rsid w:val="00696C28"/>
    <w:rsid w:val="00696F1E"/>
    <w:rsid w:val="00696F5E"/>
    <w:rsid w:val="006971C1"/>
    <w:rsid w:val="00697203"/>
    <w:rsid w:val="006972F0"/>
    <w:rsid w:val="0069730C"/>
    <w:rsid w:val="00697475"/>
    <w:rsid w:val="00697804"/>
    <w:rsid w:val="006978BC"/>
    <w:rsid w:val="00697B61"/>
    <w:rsid w:val="00697D27"/>
    <w:rsid w:val="00697E63"/>
    <w:rsid w:val="00697F21"/>
    <w:rsid w:val="00697FD4"/>
    <w:rsid w:val="006A011B"/>
    <w:rsid w:val="006A01F3"/>
    <w:rsid w:val="006A021B"/>
    <w:rsid w:val="006A02A3"/>
    <w:rsid w:val="006A0407"/>
    <w:rsid w:val="006A06FE"/>
    <w:rsid w:val="006A07F4"/>
    <w:rsid w:val="006A0896"/>
    <w:rsid w:val="006A08B9"/>
    <w:rsid w:val="006A09EF"/>
    <w:rsid w:val="006A0AE5"/>
    <w:rsid w:val="006A0C57"/>
    <w:rsid w:val="006A0CCD"/>
    <w:rsid w:val="006A0E60"/>
    <w:rsid w:val="006A0F72"/>
    <w:rsid w:val="006A0FF6"/>
    <w:rsid w:val="006A1173"/>
    <w:rsid w:val="006A11CB"/>
    <w:rsid w:val="006A1571"/>
    <w:rsid w:val="006A1731"/>
    <w:rsid w:val="006A1804"/>
    <w:rsid w:val="006A1C67"/>
    <w:rsid w:val="006A1CA5"/>
    <w:rsid w:val="006A1CB7"/>
    <w:rsid w:val="006A1CCB"/>
    <w:rsid w:val="006A1ECC"/>
    <w:rsid w:val="006A1ECD"/>
    <w:rsid w:val="006A1FC3"/>
    <w:rsid w:val="006A20C7"/>
    <w:rsid w:val="006A230D"/>
    <w:rsid w:val="006A24CD"/>
    <w:rsid w:val="006A2680"/>
    <w:rsid w:val="006A26C2"/>
    <w:rsid w:val="006A27B6"/>
    <w:rsid w:val="006A27E0"/>
    <w:rsid w:val="006A28CA"/>
    <w:rsid w:val="006A2947"/>
    <w:rsid w:val="006A29DD"/>
    <w:rsid w:val="006A2A5A"/>
    <w:rsid w:val="006A2A99"/>
    <w:rsid w:val="006A2B1A"/>
    <w:rsid w:val="006A2C2E"/>
    <w:rsid w:val="006A2D35"/>
    <w:rsid w:val="006A31B9"/>
    <w:rsid w:val="006A31F6"/>
    <w:rsid w:val="006A320A"/>
    <w:rsid w:val="006A332C"/>
    <w:rsid w:val="006A35A7"/>
    <w:rsid w:val="006A35F2"/>
    <w:rsid w:val="006A37E8"/>
    <w:rsid w:val="006A3851"/>
    <w:rsid w:val="006A3A62"/>
    <w:rsid w:val="006A3B7B"/>
    <w:rsid w:val="006A3C0F"/>
    <w:rsid w:val="006A3C40"/>
    <w:rsid w:val="006A3DBB"/>
    <w:rsid w:val="006A3E30"/>
    <w:rsid w:val="006A40CC"/>
    <w:rsid w:val="006A4128"/>
    <w:rsid w:val="006A4208"/>
    <w:rsid w:val="006A4694"/>
    <w:rsid w:val="006A46B5"/>
    <w:rsid w:val="006A46D9"/>
    <w:rsid w:val="006A46F3"/>
    <w:rsid w:val="006A47F4"/>
    <w:rsid w:val="006A48CF"/>
    <w:rsid w:val="006A49A2"/>
    <w:rsid w:val="006A4BD9"/>
    <w:rsid w:val="006A4D1E"/>
    <w:rsid w:val="006A4D82"/>
    <w:rsid w:val="006A4E59"/>
    <w:rsid w:val="006A506A"/>
    <w:rsid w:val="006A5131"/>
    <w:rsid w:val="006A51FD"/>
    <w:rsid w:val="006A52D4"/>
    <w:rsid w:val="006A5465"/>
    <w:rsid w:val="006A54C6"/>
    <w:rsid w:val="006A54D9"/>
    <w:rsid w:val="006A574D"/>
    <w:rsid w:val="006A5B59"/>
    <w:rsid w:val="006A5C03"/>
    <w:rsid w:val="006A5D1C"/>
    <w:rsid w:val="006A5D2D"/>
    <w:rsid w:val="006A5F88"/>
    <w:rsid w:val="006A605B"/>
    <w:rsid w:val="006A6293"/>
    <w:rsid w:val="006A6549"/>
    <w:rsid w:val="006A65DD"/>
    <w:rsid w:val="006A668B"/>
    <w:rsid w:val="006A68A7"/>
    <w:rsid w:val="006A68CC"/>
    <w:rsid w:val="006A695F"/>
    <w:rsid w:val="006A6983"/>
    <w:rsid w:val="006A69C5"/>
    <w:rsid w:val="006A6A66"/>
    <w:rsid w:val="006A6A93"/>
    <w:rsid w:val="006A6C88"/>
    <w:rsid w:val="006A6CB6"/>
    <w:rsid w:val="006A6CE7"/>
    <w:rsid w:val="006A6E1F"/>
    <w:rsid w:val="006A6ED7"/>
    <w:rsid w:val="006A72CC"/>
    <w:rsid w:val="006A7331"/>
    <w:rsid w:val="006A745C"/>
    <w:rsid w:val="006A75C4"/>
    <w:rsid w:val="006A7632"/>
    <w:rsid w:val="006A7710"/>
    <w:rsid w:val="006A793C"/>
    <w:rsid w:val="006A7B69"/>
    <w:rsid w:val="006A7C64"/>
    <w:rsid w:val="006A7CB2"/>
    <w:rsid w:val="006A7D8C"/>
    <w:rsid w:val="006A7E1F"/>
    <w:rsid w:val="006A7F1E"/>
    <w:rsid w:val="006B00F5"/>
    <w:rsid w:val="006B0254"/>
    <w:rsid w:val="006B0788"/>
    <w:rsid w:val="006B085A"/>
    <w:rsid w:val="006B0899"/>
    <w:rsid w:val="006B0949"/>
    <w:rsid w:val="006B09F2"/>
    <w:rsid w:val="006B0A4A"/>
    <w:rsid w:val="006B0B0E"/>
    <w:rsid w:val="006B0B60"/>
    <w:rsid w:val="006B0C5D"/>
    <w:rsid w:val="006B0EC9"/>
    <w:rsid w:val="006B0F6E"/>
    <w:rsid w:val="006B1002"/>
    <w:rsid w:val="006B1213"/>
    <w:rsid w:val="006B13CD"/>
    <w:rsid w:val="006B13FB"/>
    <w:rsid w:val="006B1502"/>
    <w:rsid w:val="006B16FF"/>
    <w:rsid w:val="006B17CE"/>
    <w:rsid w:val="006B189D"/>
    <w:rsid w:val="006B1AAE"/>
    <w:rsid w:val="006B1B4E"/>
    <w:rsid w:val="006B1D61"/>
    <w:rsid w:val="006B1D86"/>
    <w:rsid w:val="006B1EBF"/>
    <w:rsid w:val="006B1FB7"/>
    <w:rsid w:val="006B210C"/>
    <w:rsid w:val="006B2354"/>
    <w:rsid w:val="006B243D"/>
    <w:rsid w:val="006B2463"/>
    <w:rsid w:val="006B2866"/>
    <w:rsid w:val="006B2888"/>
    <w:rsid w:val="006B2A06"/>
    <w:rsid w:val="006B2D0D"/>
    <w:rsid w:val="006B2D60"/>
    <w:rsid w:val="006B2D75"/>
    <w:rsid w:val="006B2FC0"/>
    <w:rsid w:val="006B30C6"/>
    <w:rsid w:val="006B312C"/>
    <w:rsid w:val="006B3150"/>
    <w:rsid w:val="006B3243"/>
    <w:rsid w:val="006B35B0"/>
    <w:rsid w:val="006B3668"/>
    <w:rsid w:val="006B386B"/>
    <w:rsid w:val="006B38A3"/>
    <w:rsid w:val="006B3988"/>
    <w:rsid w:val="006B39FB"/>
    <w:rsid w:val="006B3C02"/>
    <w:rsid w:val="006B3DED"/>
    <w:rsid w:val="006B3E19"/>
    <w:rsid w:val="006B3E94"/>
    <w:rsid w:val="006B40DB"/>
    <w:rsid w:val="006B4103"/>
    <w:rsid w:val="006B4244"/>
    <w:rsid w:val="006B42AC"/>
    <w:rsid w:val="006B4527"/>
    <w:rsid w:val="006B495D"/>
    <w:rsid w:val="006B4964"/>
    <w:rsid w:val="006B4B19"/>
    <w:rsid w:val="006B4BE4"/>
    <w:rsid w:val="006B4C8C"/>
    <w:rsid w:val="006B4EA8"/>
    <w:rsid w:val="006B4EF1"/>
    <w:rsid w:val="006B5168"/>
    <w:rsid w:val="006B5179"/>
    <w:rsid w:val="006B5656"/>
    <w:rsid w:val="006B5984"/>
    <w:rsid w:val="006B5A72"/>
    <w:rsid w:val="006B5C39"/>
    <w:rsid w:val="006B5C66"/>
    <w:rsid w:val="006B5CA1"/>
    <w:rsid w:val="006B5DB2"/>
    <w:rsid w:val="006B5E41"/>
    <w:rsid w:val="006B5E5E"/>
    <w:rsid w:val="006B6032"/>
    <w:rsid w:val="006B60A7"/>
    <w:rsid w:val="006B636E"/>
    <w:rsid w:val="006B6797"/>
    <w:rsid w:val="006B6846"/>
    <w:rsid w:val="006B6BC1"/>
    <w:rsid w:val="006B6C46"/>
    <w:rsid w:val="006B6DEE"/>
    <w:rsid w:val="006B6F2C"/>
    <w:rsid w:val="006B71D2"/>
    <w:rsid w:val="006B72B8"/>
    <w:rsid w:val="006B73D2"/>
    <w:rsid w:val="006B740F"/>
    <w:rsid w:val="006B762F"/>
    <w:rsid w:val="006B76A0"/>
    <w:rsid w:val="006B78D7"/>
    <w:rsid w:val="006B7905"/>
    <w:rsid w:val="006B7924"/>
    <w:rsid w:val="006B7A67"/>
    <w:rsid w:val="006B7A8F"/>
    <w:rsid w:val="006B7AC9"/>
    <w:rsid w:val="006B7AE8"/>
    <w:rsid w:val="006B7B32"/>
    <w:rsid w:val="006B7C33"/>
    <w:rsid w:val="006B7D97"/>
    <w:rsid w:val="006B7E32"/>
    <w:rsid w:val="006B7E64"/>
    <w:rsid w:val="006C000D"/>
    <w:rsid w:val="006C00E6"/>
    <w:rsid w:val="006C05A5"/>
    <w:rsid w:val="006C067B"/>
    <w:rsid w:val="006C06FD"/>
    <w:rsid w:val="006C0716"/>
    <w:rsid w:val="006C073E"/>
    <w:rsid w:val="006C0BC0"/>
    <w:rsid w:val="006C0D02"/>
    <w:rsid w:val="006C0D5C"/>
    <w:rsid w:val="006C1012"/>
    <w:rsid w:val="006C1047"/>
    <w:rsid w:val="006C111B"/>
    <w:rsid w:val="006C11FC"/>
    <w:rsid w:val="006C12FD"/>
    <w:rsid w:val="006C14C3"/>
    <w:rsid w:val="006C16C9"/>
    <w:rsid w:val="006C170F"/>
    <w:rsid w:val="006C1BD3"/>
    <w:rsid w:val="006C1C2E"/>
    <w:rsid w:val="006C1C66"/>
    <w:rsid w:val="006C1CF1"/>
    <w:rsid w:val="006C1ED4"/>
    <w:rsid w:val="006C2255"/>
    <w:rsid w:val="006C233B"/>
    <w:rsid w:val="006C2368"/>
    <w:rsid w:val="006C23EF"/>
    <w:rsid w:val="006C2577"/>
    <w:rsid w:val="006C25A5"/>
    <w:rsid w:val="006C267F"/>
    <w:rsid w:val="006C2873"/>
    <w:rsid w:val="006C2901"/>
    <w:rsid w:val="006C2A02"/>
    <w:rsid w:val="006C2B0B"/>
    <w:rsid w:val="006C2CFB"/>
    <w:rsid w:val="006C2D12"/>
    <w:rsid w:val="006C2DB7"/>
    <w:rsid w:val="006C2F68"/>
    <w:rsid w:val="006C2FF1"/>
    <w:rsid w:val="006C30F5"/>
    <w:rsid w:val="006C31B5"/>
    <w:rsid w:val="006C31DA"/>
    <w:rsid w:val="006C31FF"/>
    <w:rsid w:val="006C339A"/>
    <w:rsid w:val="006C3527"/>
    <w:rsid w:val="006C3591"/>
    <w:rsid w:val="006C3882"/>
    <w:rsid w:val="006C38F9"/>
    <w:rsid w:val="006C3A09"/>
    <w:rsid w:val="006C40BD"/>
    <w:rsid w:val="006C4104"/>
    <w:rsid w:val="006C41A3"/>
    <w:rsid w:val="006C4322"/>
    <w:rsid w:val="006C4425"/>
    <w:rsid w:val="006C4567"/>
    <w:rsid w:val="006C45E6"/>
    <w:rsid w:val="006C47D8"/>
    <w:rsid w:val="006C47E3"/>
    <w:rsid w:val="006C480D"/>
    <w:rsid w:val="006C48CF"/>
    <w:rsid w:val="006C4A02"/>
    <w:rsid w:val="006C4C2F"/>
    <w:rsid w:val="006C4CCE"/>
    <w:rsid w:val="006C4E03"/>
    <w:rsid w:val="006C4E5F"/>
    <w:rsid w:val="006C4F51"/>
    <w:rsid w:val="006C4F6F"/>
    <w:rsid w:val="006C4FD1"/>
    <w:rsid w:val="006C50AF"/>
    <w:rsid w:val="006C532E"/>
    <w:rsid w:val="006C56D1"/>
    <w:rsid w:val="006C57E6"/>
    <w:rsid w:val="006C5816"/>
    <w:rsid w:val="006C59C4"/>
    <w:rsid w:val="006C59E1"/>
    <w:rsid w:val="006C5AB7"/>
    <w:rsid w:val="006C5EF3"/>
    <w:rsid w:val="006C5F47"/>
    <w:rsid w:val="006C5FFB"/>
    <w:rsid w:val="006C60CC"/>
    <w:rsid w:val="006C612F"/>
    <w:rsid w:val="006C6348"/>
    <w:rsid w:val="006C6537"/>
    <w:rsid w:val="006C65BA"/>
    <w:rsid w:val="006C68E7"/>
    <w:rsid w:val="006C68ED"/>
    <w:rsid w:val="006C69B6"/>
    <w:rsid w:val="006C6B9A"/>
    <w:rsid w:val="006C6CBD"/>
    <w:rsid w:val="006C6F7D"/>
    <w:rsid w:val="006C708D"/>
    <w:rsid w:val="006C7367"/>
    <w:rsid w:val="006C73A4"/>
    <w:rsid w:val="006C74A8"/>
    <w:rsid w:val="006C74C1"/>
    <w:rsid w:val="006C7685"/>
    <w:rsid w:val="006C771B"/>
    <w:rsid w:val="006C7738"/>
    <w:rsid w:val="006C77A7"/>
    <w:rsid w:val="006C7956"/>
    <w:rsid w:val="006C79F7"/>
    <w:rsid w:val="006C7A91"/>
    <w:rsid w:val="006C7B1A"/>
    <w:rsid w:val="006C7B8C"/>
    <w:rsid w:val="006C7DB5"/>
    <w:rsid w:val="006C7DDE"/>
    <w:rsid w:val="006C7FE1"/>
    <w:rsid w:val="006D00BE"/>
    <w:rsid w:val="006D00F4"/>
    <w:rsid w:val="006D0579"/>
    <w:rsid w:val="006D0774"/>
    <w:rsid w:val="006D0839"/>
    <w:rsid w:val="006D09B3"/>
    <w:rsid w:val="006D0A4C"/>
    <w:rsid w:val="006D0B6E"/>
    <w:rsid w:val="006D0C34"/>
    <w:rsid w:val="006D0D5A"/>
    <w:rsid w:val="006D0ED1"/>
    <w:rsid w:val="006D10D8"/>
    <w:rsid w:val="006D1760"/>
    <w:rsid w:val="006D17BC"/>
    <w:rsid w:val="006D1833"/>
    <w:rsid w:val="006D1850"/>
    <w:rsid w:val="006D190C"/>
    <w:rsid w:val="006D1954"/>
    <w:rsid w:val="006D1970"/>
    <w:rsid w:val="006D1DA4"/>
    <w:rsid w:val="006D221F"/>
    <w:rsid w:val="006D2335"/>
    <w:rsid w:val="006D2513"/>
    <w:rsid w:val="006D258F"/>
    <w:rsid w:val="006D2A44"/>
    <w:rsid w:val="006D2C01"/>
    <w:rsid w:val="006D2E65"/>
    <w:rsid w:val="006D2E8F"/>
    <w:rsid w:val="006D2F40"/>
    <w:rsid w:val="006D319F"/>
    <w:rsid w:val="006D3221"/>
    <w:rsid w:val="006D323F"/>
    <w:rsid w:val="006D336B"/>
    <w:rsid w:val="006D3552"/>
    <w:rsid w:val="006D3B45"/>
    <w:rsid w:val="006D3D53"/>
    <w:rsid w:val="006D3DA9"/>
    <w:rsid w:val="006D40BF"/>
    <w:rsid w:val="006D4142"/>
    <w:rsid w:val="006D4343"/>
    <w:rsid w:val="006D4423"/>
    <w:rsid w:val="006D448A"/>
    <w:rsid w:val="006D4661"/>
    <w:rsid w:val="006D46CC"/>
    <w:rsid w:val="006D4AAC"/>
    <w:rsid w:val="006D4BAF"/>
    <w:rsid w:val="006D4CA9"/>
    <w:rsid w:val="006D4D7B"/>
    <w:rsid w:val="006D4F6C"/>
    <w:rsid w:val="006D5248"/>
    <w:rsid w:val="006D5323"/>
    <w:rsid w:val="006D5365"/>
    <w:rsid w:val="006D53C5"/>
    <w:rsid w:val="006D55C3"/>
    <w:rsid w:val="006D5AE5"/>
    <w:rsid w:val="006D5C23"/>
    <w:rsid w:val="006D5DA2"/>
    <w:rsid w:val="006D5E0A"/>
    <w:rsid w:val="006D5F2C"/>
    <w:rsid w:val="006D6399"/>
    <w:rsid w:val="006D63B1"/>
    <w:rsid w:val="006D6503"/>
    <w:rsid w:val="006D654E"/>
    <w:rsid w:val="006D65DB"/>
    <w:rsid w:val="006D6642"/>
    <w:rsid w:val="006D66DD"/>
    <w:rsid w:val="006D66FB"/>
    <w:rsid w:val="006D68A2"/>
    <w:rsid w:val="006D68F6"/>
    <w:rsid w:val="006D6946"/>
    <w:rsid w:val="006D6A13"/>
    <w:rsid w:val="006D6DBB"/>
    <w:rsid w:val="006D6DF4"/>
    <w:rsid w:val="006D7047"/>
    <w:rsid w:val="006D718D"/>
    <w:rsid w:val="006D7212"/>
    <w:rsid w:val="006D7290"/>
    <w:rsid w:val="006D729B"/>
    <w:rsid w:val="006D734F"/>
    <w:rsid w:val="006D73CC"/>
    <w:rsid w:val="006D75BD"/>
    <w:rsid w:val="006D7610"/>
    <w:rsid w:val="006D76AA"/>
    <w:rsid w:val="006D787E"/>
    <w:rsid w:val="006D79D8"/>
    <w:rsid w:val="006D7C74"/>
    <w:rsid w:val="006D7CD2"/>
    <w:rsid w:val="006D7D83"/>
    <w:rsid w:val="006D7E4F"/>
    <w:rsid w:val="006D7F14"/>
    <w:rsid w:val="006E00C0"/>
    <w:rsid w:val="006E012A"/>
    <w:rsid w:val="006E012D"/>
    <w:rsid w:val="006E017C"/>
    <w:rsid w:val="006E024D"/>
    <w:rsid w:val="006E028C"/>
    <w:rsid w:val="006E0702"/>
    <w:rsid w:val="006E0866"/>
    <w:rsid w:val="006E0AB4"/>
    <w:rsid w:val="006E0B4D"/>
    <w:rsid w:val="006E0BDA"/>
    <w:rsid w:val="006E0BDC"/>
    <w:rsid w:val="006E0ECC"/>
    <w:rsid w:val="006E14C0"/>
    <w:rsid w:val="006E1554"/>
    <w:rsid w:val="006E1619"/>
    <w:rsid w:val="006E1C64"/>
    <w:rsid w:val="006E1D47"/>
    <w:rsid w:val="006E1F16"/>
    <w:rsid w:val="006E1FB5"/>
    <w:rsid w:val="006E2221"/>
    <w:rsid w:val="006E2233"/>
    <w:rsid w:val="006E23C3"/>
    <w:rsid w:val="006E2619"/>
    <w:rsid w:val="006E278F"/>
    <w:rsid w:val="006E2810"/>
    <w:rsid w:val="006E29E4"/>
    <w:rsid w:val="006E2A48"/>
    <w:rsid w:val="006E2A79"/>
    <w:rsid w:val="006E2D14"/>
    <w:rsid w:val="006E2D48"/>
    <w:rsid w:val="006E2E9F"/>
    <w:rsid w:val="006E2ED7"/>
    <w:rsid w:val="006E2ED8"/>
    <w:rsid w:val="006E312B"/>
    <w:rsid w:val="006E3C02"/>
    <w:rsid w:val="006E3CC7"/>
    <w:rsid w:val="006E3D73"/>
    <w:rsid w:val="006E3D77"/>
    <w:rsid w:val="006E3E32"/>
    <w:rsid w:val="006E3FBB"/>
    <w:rsid w:val="006E410D"/>
    <w:rsid w:val="006E4231"/>
    <w:rsid w:val="006E4246"/>
    <w:rsid w:val="006E42B8"/>
    <w:rsid w:val="006E4306"/>
    <w:rsid w:val="006E4333"/>
    <w:rsid w:val="006E435D"/>
    <w:rsid w:val="006E4509"/>
    <w:rsid w:val="006E4637"/>
    <w:rsid w:val="006E4753"/>
    <w:rsid w:val="006E4993"/>
    <w:rsid w:val="006E49EB"/>
    <w:rsid w:val="006E4A1C"/>
    <w:rsid w:val="006E4BF5"/>
    <w:rsid w:val="006E4C90"/>
    <w:rsid w:val="006E4EE7"/>
    <w:rsid w:val="006E50A9"/>
    <w:rsid w:val="006E52B6"/>
    <w:rsid w:val="006E5313"/>
    <w:rsid w:val="006E55D2"/>
    <w:rsid w:val="006E566B"/>
    <w:rsid w:val="006E5990"/>
    <w:rsid w:val="006E5BFA"/>
    <w:rsid w:val="006E5D32"/>
    <w:rsid w:val="006E5DC7"/>
    <w:rsid w:val="006E5E82"/>
    <w:rsid w:val="006E5F24"/>
    <w:rsid w:val="006E5FCF"/>
    <w:rsid w:val="006E60F3"/>
    <w:rsid w:val="006E6103"/>
    <w:rsid w:val="006E61D1"/>
    <w:rsid w:val="006E652A"/>
    <w:rsid w:val="006E6544"/>
    <w:rsid w:val="006E6671"/>
    <w:rsid w:val="006E6982"/>
    <w:rsid w:val="006E69DD"/>
    <w:rsid w:val="006E6A3C"/>
    <w:rsid w:val="006E6E94"/>
    <w:rsid w:val="006E701A"/>
    <w:rsid w:val="006E7199"/>
    <w:rsid w:val="006E7274"/>
    <w:rsid w:val="006E731B"/>
    <w:rsid w:val="006E7336"/>
    <w:rsid w:val="006E734E"/>
    <w:rsid w:val="006E761B"/>
    <w:rsid w:val="006E7786"/>
    <w:rsid w:val="006E788B"/>
    <w:rsid w:val="006F04FA"/>
    <w:rsid w:val="006F0531"/>
    <w:rsid w:val="006F05C5"/>
    <w:rsid w:val="006F0626"/>
    <w:rsid w:val="006F06E0"/>
    <w:rsid w:val="006F08BA"/>
    <w:rsid w:val="006F08DC"/>
    <w:rsid w:val="006F0AF1"/>
    <w:rsid w:val="006F0C06"/>
    <w:rsid w:val="006F0C59"/>
    <w:rsid w:val="006F0CED"/>
    <w:rsid w:val="006F0D63"/>
    <w:rsid w:val="006F0D87"/>
    <w:rsid w:val="006F0EA3"/>
    <w:rsid w:val="006F0F94"/>
    <w:rsid w:val="006F0FD6"/>
    <w:rsid w:val="006F123D"/>
    <w:rsid w:val="006F1891"/>
    <w:rsid w:val="006F18AD"/>
    <w:rsid w:val="006F1D90"/>
    <w:rsid w:val="006F1DC1"/>
    <w:rsid w:val="006F21A0"/>
    <w:rsid w:val="006F221B"/>
    <w:rsid w:val="006F2518"/>
    <w:rsid w:val="006F26B7"/>
    <w:rsid w:val="006F28B8"/>
    <w:rsid w:val="006F2AE0"/>
    <w:rsid w:val="006F2B1D"/>
    <w:rsid w:val="006F2B32"/>
    <w:rsid w:val="006F2CD4"/>
    <w:rsid w:val="006F2CDB"/>
    <w:rsid w:val="006F2F19"/>
    <w:rsid w:val="006F317C"/>
    <w:rsid w:val="006F340B"/>
    <w:rsid w:val="006F3448"/>
    <w:rsid w:val="006F344F"/>
    <w:rsid w:val="006F374C"/>
    <w:rsid w:val="006F377C"/>
    <w:rsid w:val="006F3790"/>
    <w:rsid w:val="006F3853"/>
    <w:rsid w:val="006F396E"/>
    <w:rsid w:val="006F3B77"/>
    <w:rsid w:val="006F3C3C"/>
    <w:rsid w:val="006F3D5B"/>
    <w:rsid w:val="006F3FD0"/>
    <w:rsid w:val="006F3FFC"/>
    <w:rsid w:val="006F40F8"/>
    <w:rsid w:val="006F41C5"/>
    <w:rsid w:val="006F42A4"/>
    <w:rsid w:val="006F4477"/>
    <w:rsid w:val="006F4523"/>
    <w:rsid w:val="006F457A"/>
    <w:rsid w:val="006F48DA"/>
    <w:rsid w:val="006F494F"/>
    <w:rsid w:val="006F4A28"/>
    <w:rsid w:val="006F4A5E"/>
    <w:rsid w:val="006F4AD6"/>
    <w:rsid w:val="006F4B5F"/>
    <w:rsid w:val="006F4CC9"/>
    <w:rsid w:val="006F5052"/>
    <w:rsid w:val="006F50A0"/>
    <w:rsid w:val="006F5206"/>
    <w:rsid w:val="006F520B"/>
    <w:rsid w:val="006F5336"/>
    <w:rsid w:val="006F53C8"/>
    <w:rsid w:val="006F55F4"/>
    <w:rsid w:val="006F55F7"/>
    <w:rsid w:val="006F5641"/>
    <w:rsid w:val="006F57AC"/>
    <w:rsid w:val="006F587B"/>
    <w:rsid w:val="006F5985"/>
    <w:rsid w:val="006F5AC8"/>
    <w:rsid w:val="006F5AF3"/>
    <w:rsid w:val="006F5B41"/>
    <w:rsid w:val="006F5BFD"/>
    <w:rsid w:val="006F5CC9"/>
    <w:rsid w:val="006F5DA7"/>
    <w:rsid w:val="006F5F39"/>
    <w:rsid w:val="006F60CF"/>
    <w:rsid w:val="006F62E2"/>
    <w:rsid w:val="006F6371"/>
    <w:rsid w:val="006F6428"/>
    <w:rsid w:val="006F64EA"/>
    <w:rsid w:val="006F655A"/>
    <w:rsid w:val="006F6690"/>
    <w:rsid w:val="006F696E"/>
    <w:rsid w:val="006F699E"/>
    <w:rsid w:val="006F6B6E"/>
    <w:rsid w:val="006F6D28"/>
    <w:rsid w:val="006F6F10"/>
    <w:rsid w:val="006F6FDC"/>
    <w:rsid w:val="006F721B"/>
    <w:rsid w:val="006F731F"/>
    <w:rsid w:val="006F7356"/>
    <w:rsid w:val="006F74B1"/>
    <w:rsid w:val="006F74FE"/>
    <w:rsid w:val="006F7F06"/>
    <w:rsid w:val="007000AB"/>
    <w:rsid w:val="0070035C"/>
    <w:rsid w:val="0070047E"/>
    <w:rsid w:val="007004D0"/>
    <w:rsid w:val="0070085C"/>
    <w:rsid w:val="0070094A"/>
    <w:rsid w:val="00700951"/>
    <w:rsid w:val="007009EF"/>
    <w:rsid w:val="00700A31"/>
    <w:rsid w:val="00700B4A"/>
    <w:rsid w:val="00700CE6"/>
    <w:rsid w:val="00700DD1"/>
    <w:rsid w:val="00700E49"/>
    <w:rsid w:val="00700E77"/>
    <w:rsid w:val="00700F10"/>
    <w:rsid w:val="00700F6A"/>
    <w:rsid w:val="00700F93"/>
    <w:rsid w:val="0070114D"/>
    <w:rsid w:val="00701153"/>
    <w:rsid w:val="007011AE"/>
    <w:rsid w:val="0070142D"/>
    <w:rsid w:val="00701480"/>
    <w:rsid w:val="0070155C"/>
    <w:rsid w:val="00701759"/>
    <w:rsid w:val="007017A6"/>
    <w:rsid w:val="007017B1"/>
    <w:rsid w:val="00701834"/>
    <w:rsid w:val="00701896"/>
    <w:rsid w:val="00701A47"/>
    <w:rsid w:val="00701C5E"/>
    <w:rsid w:val="00701C8E"/>
    <w:rsid w:val="00701D53"/>
    <w:rsid w:val="00701E1F"/>
    <w:rsid w:val="00701F25"/>
    <w:rsid w:val="00701F80"/>
    <w:rsid w:val="007025EC"/>
    <w:rsid w:val="007026E5"/>
    <w:rsid w:val="0070272D"/>
    <w:rsid w:val="00702842"/>
    <w:rsid w:val="0070289F"/>
    <w:rsid w:val="00702A4D"/>
    <w:rsid w:val="00702AA8"/>
    <w:rsid w:val="00702B9B"/>
    <w:rsid w:val="00702BA5"/>
    <w:rsid w:val="00702D35"/>
    <w:rsid w:val="00702F0F"/>
    <w:rsid w:val="00702F9E"/>
    <w:rsid w:val="0070301B"/>
    <w:rsid w:val="0070335E"/>
    <w:rsid w:val="00703405"/>
    <w:rsid w:val="00703409"/>
    <w:rsid w:val="00703532"/>
    <w:rsid w:val="0070361E"/>
    <w:rsid w:val="00703644"/>
    <w:rsid w:val="00703730"/>
    <w:rsid w:val="00703805"/>
    <w:rsid w:val="007038B5"/>
    <w:rsid w:val="007039C7"/>
    <w:rsid w:val="00703B35"/>
    <w:rsid w:val="00703E7D"/>
    <w:rsid w:val="0070405B"/>
    <w:rsid w:val="0070407E"/>
    <w:rsid w:val="007041E0"/>
    <w:rsid w:val="0070428E"/>
    <w:rsid w:val="0070438F"/>
    <w:rsid w:val="007043A2"/>
    <w:rsid w:val="00704412"/>
    <w:rsid w:val="007045D9"/>
    <w:rsid w:val="00704638"/>
    <w:rsid w:val="00704721"/>
    <w:rsid w:val="0070475A"/>
    <w:rsid w:val="007047D3"/>
    <w:rsid w:val="00704AA7"/>
    <w:rsid w:val="00704BB4"/>
    <w:rsid w:val="00704C1C"/>
    <w:rsid w:val="00704D8D"/>
    <w:rsid w:val="00704E2E"/>
    <w:rsid w:val="00704EC2"/>
    <w:rsid w:val="0070511A"/>
    <w:rsid w:val="00705232"/>
    <w:rsid w:val="0070534D"/>
    <w:rsid w:val="0070551B"/>
    <w:rsid w:val="00705588"/>
    <w:rsid w:val="00705636"/>
    <w:rsid w:val="00705864"/>
    <w:rsid w:val="007058A8"/>
    <w:rsid w:val="00705B4C"/>
    <w:rsid w:val="00705BBD"/>
    <w:rsid w:val="00705C66"/>
    <w:rsid w:val="00705CC0"/>
    <w:rsid w:val="00705DE6"/>
    <w:rsid w:val="00705E68"/>
    <w:rsid w:val="00706096"/>
    <w:rsid w:val="0070634E"/>
    <w:rsid w:val="00706379"/>
    <w:rsid w:val="0070648F"/>
    <w:rsid w:val="00706491"/>
    <w:rsid w:val="00706555"/>
    <w:rsid w:val="0070664C"/>
    <w:rsid w:val="0070674C"/>
    <w:rsid w:val="007068B3"/>
    <w:rsid w:val="00706980"/>
    <w:rsid w:val="00706AE1"/>
    <w:rsid w:val="00706D07"/>
    <w:rsid w:val="00706E21"/>
    <w:rsid w:val="00707071"/>
    <w:rsid w:val="0070725C"/>
    <w:rsid w:val="007072FC"/>
    <w:rsid w:val="0070747F"/>
    <w:rsid w:val="007074D1"/>
    <w:rsid w:val="00707662"/>
    <w:rsid w:val="00707754"/>
    <w:rsid w:val="007077F3"/>
    <w:rsid w:val="00707C45"/>
    <w:rsid w:val="00707D3D"/>
    <w:rsid w:val="00707E1D"/>
    <w:rsid w:val="00707F8C"/>
    <w:rsid w:val="007101BE"/>
    <w:rsid w:val="0071046F"/>
    <w:rsid w:val="00710501"/>
    <w:rsid w:val="0071052F"/>
    <w:rsid w:val="007105E0"/>
    <w:rsid w:val="007106C6"/>
    <w:rsid w:val="007107B9"/>
    <w:rsid w:val="00710995"/>
    <w:rsid w:val="00710A0D"/>
    <w:rsid w:val="00710A86"/>
    <w:rsid w:val="00710D85"/>
    <w:rsid w:val="00710D8A"/>
    <w:rsid w:val="00710EB6"/>
    <w:rsid w:val="00710F6B"/>
    <w:rsid w:val="00711083"/>
    <w:rsid w:val="007110A1"/>
    <w:rsid w:val="00711128"/>
    <w:rsid w:val="0071116F"/>
    <w:rsid w:val="007112EB"/>
    <w:rsid w:val="007112F0"/>
    <w:rsid w:val="007113B1"/>
    <w:rsid w:val="0071145F"/>
    <w:rsid w:val="0071172C"/>
    <w:rsid w:val="0071183D"/>
    <w:rsid w:val="00711BAD"/>
    <w:rsid w:val="00711BFB"/>
    <w:rsid w:val="00711F18"/>
    <w:rsid w:val="0071215B"/>
    <w:rsid w:val="007123F0"/>
    <w:rsid w:val="007123F4"/>
    <w:rsid w:val="00712422"/>
    <w:rsid w:val="00712431"/>
    <w:rsid w:val="00712577"/>
    <w:rsid w:val="007125D5"/>
    <w:rsid w:val="00712648"/>
    <w:rsid w:val="0071291D"/>
    <w:rsid w:val="00712B27"/>
    <w:rsid w:val="00712E02"/>
    <w:rsid w:val="00712E6F"/>
    <w:rsid w:val="00712F5A"/>
    <w:rsid w:val="007130F0"/>
    <w:rsid w:val="00713286"/>
    <w:rsid w:val="007134A2"/>
    <w:rsid w:val="0071367F"/>
    <w:rsid w:val="00713711"/>
    <w:rsid w:val="00713730"/>
    <w:rsid w:val="0071379F"/>
    <w:rsid w:val="00713B89"/>
    <w:rsid w:val="00713C9B"/>
    <w:rsid w:val="00713CA4"/>
    <w:rsid w:val="00713DE0"/>
    <w:rsid w:val="00713E6E"/>
    <w:rsid w:val="007141FD"/>
    <w:rsid w:val="0071436D"/>
    <w:rsid w:val="00714397"/>
    <w:rsid w:val="00714549"/>
    <w:rsid w:val="00714732"/>
    <w:rsid w:val="0071477C"/>
    <w:rsid w:val="007147B5"/>
    <w:rsid w:val="00714AF2"/>
    <w:rsid w:val="00714B55"/>
    <w:rsid w:val="00715012"/>
    <w:rsid w:val="00715067"/>
    <w:rsid w:val="007150A9"/>
    <w:rsid w:val="00715164"/>
    <w:rsid w:val="0071550D"/>
    <w:rsid w:val="0071558D"/>
    <w:rsid w:val="00715712"/>
    <w:rsid w:val="007158B1"/>
    <w:rsid w:val="007159BC"/>
    <w:rsid w:val="00715B1A"/>
    <w:rsid w:val="00715C21"/>
    <w:rsid w:val="00715C5B"/>
    <w:rsid w:val="00715DAB"/>
    <w:rsid w:val="00715E07"/>
    <w:rsid w:val="00716103"/>
    <w:rsid w:val="007161AA"/>
    <w:rsid w:val="0071629B"/>
    <w:rsid w:val="007164D8"/>
    <w:rsid w:val="00716502"/>
    <w:rsid w:val="007165DD"/>
    <w:rsid w:val="00716A0A"/>
    <w:rsid w:val="00716AD4"/>
    <w:rsid w:val="00716AD7"/>
    <w:rsid w:val="00716AE0"/>
    <w:rsid w:val="00716B3A"/>
    <w:rsid w:val="00716B98"/>
    <w:rsid w:val="00716FBB"/>
    <w:rsid w:val="0071712E"/>
    <w:rsid w:val="00717188"/>
    <w:rsid w:val="00717226"/>
    <w:rsid w:val="007172B7"/>
    <w:rsid w:val="0071735D"/>
    <w:rsid w:val="00717367"/>
    <w:rsid w:val="00717397"/>
    <w:rsid w:val="00717519"/>
    <w:rsid w:val="007175D8"/>
    <w:rsid w:val="0071764C"/>
    <w:rsid w:val="00717652"/>
    <w:rsid w:val="0071784C"/>
    <w:rsid w:val="0071786E"/>
    <w:rsid w:val="00717956"/>
    <w:rsid w:val="007179FC"/>
    <w:rsid w:val="00717A1F"/>
    <w:rsid w:val="00717AC0"/>
    <w:rsid w:val="00717BA0"/>
    <w:rsid w:val="00717D19"/>
    <w:rsid w:val="00717D25"/>
    <w:rsid w:val="00717E9F"/>
    <w:rsid w:val="00717F99"/>
    <w:rsid w:val="007204DF"/>
    <w:rsid w:val="007206CF"/>
    <w:rsid w:val="007207E2"/>
    <w:rsid w:val="0072085D"/>
    <w:rsid w:val="00720982"/>
    <w:rsid w:val="00720AC4"/>
    <w:rsid w:val="00720C8F"/>
    <w:rsid w:val="00721138"/>
    <w:rsid w:val="00721499"/>
    <w:rsid w:val="0072184D"/>
    <w:rsid w:val="00721877"/>
    <w:rsid w:val="007218EA"/>
    <w:rsid w:val="00721A35"/>
    <w:rsid w:val="00721AA1"/>
    <w:rsid w:val="00721C62"/>
    <w:rsid w:val="00721CD1"/>
    <w:rsid w:val="00721D90"/>
    <w:rsid w:val="00721F87"/>
    <w:rsid w:val="00722304"/>
    <w:rsid w:val="0072231E"/>
    <w:rsid w:val="007224C9"/>
    <w:rsid w:val="007224EE"/>
    <w:rsid w:val="00722739"/>
    <w:rsid w:val="007228F0"/>
    <w:rsid w:val="007229F6"/>
    <w:rsid w:val="00722A16"/>
    <w:rsid w:val="00722AE8"/>
    <w:rsid w:val="00722B5E"/>
    <w:rsid w:val="00722D73"/>
    <w:rsid w:val="00722EAC"/>
    <w:rsid w:val="00722F98"/>
    <w:rsid w:val="00723092"/>
    <w:rsid w:val="0072314B"/>
    <w:rsid w:val="007231D5"/>
    <w:rsid w:val="0072322A"/>
    <w:rsid w:val="0072358F"/>
    <w:rsid w:val="007235AE"/>
    <w:rsid w:val="0072374F"/>
    <w:rsid w:val="00723768"/>
    <w:rsid w:val="0072396C"/>
    <w:rsid w:val="007239A2"/>
    <w:rsid w:val="00723AA3"/>
    <w:rsid w:val="00723DBC"/>
    <w:rsid w:val="00723F6E"/>
    <w:rsid w:val="0072401C"/>
    <w:rsid w:val="007240D4"/>
    <w:rsid w:val="0072431C"/>
    <w:rsid w:val="00724335"/>
    <w:rsid w:val="007246B9"/>
    <w:rsid w:val="0072472C"/>
    <w:rsid w:val="0072474D"/>
    <w:rsid w:val="00724788"/>
    <w:rsid w:val="00724AFB"/>
    <w:rsid w:val="00724B34"/>
    <w:rsid w:val="00724B90"/>
    <w:rsid w:val="00725155"/>
    <w:rsid w:val="0072529E"/>
    <w:rsid w:val="00725397"/>
    <w:rsid w:val="007254C1"/>
    <w:rsid w:val="007256BB"/>
    <w:rsid w:val="007257B3"/>
    <w:rsid w:val="007257E1"/>
    <w:rsid w:val="007257E9"/>
    <w:rsid w:val="007258FC"/>
    <w:rsid w:val="00725B68"/>
    <w:rsid w:val="00725BFA"/>
    <w:rsid w:val="00725CD6"/>
    <w:rsid w:val="00725D05"/>
    <w:rsid w:val="00725D0E"/>
    <w:rsid w:val="00725F69"/>
    <w:rsid w:val="0072607A"/>
    <w:rsid w:val="0072629F"/>
    <w:rsid w:val="007264AB"/>
    <w:rsid w:val="00726721"/>
    <w:rsid w:val="007269FB"/>
    <w:rsid w:val="00726BCB"/>
    <w:rsid w:val="00726C3F"/>
    <w:rsid w:val="00726CCE"/>
    <w:rsid w:val="00726F35"/>
    <w:rsid w:val="00726FBF"/>
    <w:rsid w:val="00727064"/>
    <w:rsid w:val="00727069"/>
    <w:rsid w:val="00727113"/>
    <w:rsid w:val="0072711B"/>
    <w:rsid w:val="00727219"/>
    <w:rsid w:val="00727509"/>
    <w:rsid w:val="0072762E"/>
    <w:rsid w:val="0072765C"/>
    <w:rsid w:val="00727949"/>
    <w:rsid w:val="007279D2"/>
    <w:rsid w:val="00727D04"/>
    <w:rsid w:val="00727F87"/>
    <w:rsid w:val="00727FB6"/>
    <w:rsid w:val="00727FF4"/>
    <w:rsid w:val="007300C5"/>
    <w:rsid w:val="00730160"/>
    <w:rsid w:val="007306D8"/>
    <w:rsid w:val="00730728"/>
    <w:rsid w:val="007307E5"/>
    <w:rsid w:val="0073094E"/>
    <w:rsid w:val="00730A2B"/>
    <w:rsid w:val="00730A7C"/>
    <w:rsid w:val="00730BE2"/>
    <w:rsid w:val="00730F70"/>
    <w:rsid w:val="00730F97"/>
    <w:rsid w:val="00730FA8"/>
    <w:rsid w:val="0073121A"/>
    <w:rsid w:val="007312B9"/>
    <w:rsid w:val="007312C2"/>
    <w:rsid w:val="0073140E"/>
    <w:rsid w:val="0073165A"/>
    <w:rsid w:val="007316C6"/>
    <w:rsid w:val="00731711"/>
    <w:rsid w:val="00731864"/>
    <w:rsid w:val="007318FF"/>
    <w:rsid w:val="00731930"/>
    <w:rsid w:val="00731B09"/>
    <w:rsid w:val="00731C1B"/>
    <w:rsid w:val="00731DA6"/>
    <w:rsid w:val="00731DAC"/>
    <w:rsid w:val="00731DD5"/>
    <w:rsid w:val="00731EED"/>
    <w:rsid w:val="00731F56"/>
    <w:rsid w:val="00731FE0"/>
    <w:rsid w:val="0073209E"/>
    <w:rsid w:val="007320F3"/>
    <w:rsid w:val="00732100"/>
    <w:rsid w:val="00732264"/>
    <w:rsid w:val="0073272C"/>
    <w:rsid w:val="007329AC"/>
    <w:rsid w:val="00732D4A"/>
    <w:rsid w:val="00732E17"/>
    <w:rsid w:val="00732FFA"/>
    <w:rsid w:val="0073309D"/>
    <w:rsid w:val="0073312D"/>
    <w:rsid w:val="007334BC"/>
    <w:rsid w:val="007335A4"/>
    <w:rsid w:val="0073367E"/>
    <w:rsid w:val="007337AD"/>
    <w:rsid w:val="007337D9"/>
    <w:rsid w:val="0073388E"/>
    <w:rsid w:val="00733937"/>
    <w:rsid w:val="00733BE7"/>
    <w:rsid w:val="00733D97"/>
    <w:rsid w:val="00733FDF"/>
    <w:rsid w:val="007343FA"/>
    <w:rsid w:val="00734519"/>
    <w:rsid w:val="0073462B"/>
    <w:rsid w:val="00734748"/>
    <w:rsid w:val="00734774"/>
    <w:rsid w:val="0073477B"/>
    <w:rsid w:val="00734B52"/>
    <w:rsid w:val="00734C7C"/>
    <w:rsid w:val="00734D9D"/>
    <w:rsid w:val="00734DDD"/>
    <w:rsid w:val="00734E0B"/>
    <w:rsid w:val="00734E7C"/>
    <w:rsid w:val="00734E8F"/>
    <w:rsid w:val="00734EE9"/>
    <w:rsid w:val="00735213"/>
    <w:rsid w:val="0073547E"/>
    <w:rsid w:val="00735565"/>
    <w:rsid w:val="0073565D"/>
    <w:rsid w:val="0073574C"/>
    <w:rsid w:val="00735919"/>
    <w:rsid w:val="0073592E"/>
    <w:rsid w:val="00735AE3"/>
    <w:rsid w:val="00735E18"/>
    <w:rsid w:val="00735F61"/>
    <w:rsid w:val="00736130"/>
    <w:rsid w:val="00736185"/>
    <w:rsid w:val="007362B7"/>
    <w:rsid w:val="007364FF"/>
    <w:rsid w:val="00736585"/>
    <w:rsid w:val="00736738"/>
    <w:rsid w:val="007368B6"/>
    <w:rsid w:val="00736CA2"/>
    <w:rsid w:val="00736D56"/>
    <w:rsid w:val="00736DB1"/>
    <w:rsid w:val="00736DF4"/>
    <w:rsid w:val="00736E2B"/>
    <w:rsid w:val="0073700D"/>
    <w:rsid w:val="00737041"/>
    <w:rsid w:val="007372C4"/>
    <w:rsid w:val="0073746B"/>
    <w:rsid w:val="00737551"/>
    <w:rsid w:val="00737567"/>
    <w:rsid w:val="007375C6"/>
    <w:rsid w:val="007378BD"/>
    <w:rsid w:val="007378DD"/>
    <w:rsid w:val="00737913"/>
    <w:rsid w:val="0073794E"/>
    <w:rsid w:val="00737B88"/>
    <w:rsid w:val="00737B8A"/>
    <w:rsid w:val="00737BA2"/>
    <w:rsid w:val="00737C56"/>
    <w:rsid w:val="00737D34"/>
    <w:rsid w:val="00737F56"/>
    <w:rsid w:val="007400B7"/>
    <w:rsid w:val="00740307"/>
    <w:rsid w:val="0074043D"/>
    <w:rsid w:val="007404DE"/>
    <w:rsid w:val="00740525"/>
    <w:rsid w:val="00740713"/>
    <w:rsid w:val="00740907"/>
    <w:rsid w:val="00740B45"/>
    <w:rsid w:val="00740B72"/>
    <w:rsid w:val="00740B90"/>
    <w:rsid w:val="00740B9B"/>
    <w:rsid w:val="00740C4D"/>
    <w:rsid w:val="00740C68"/>
    <w:rsid w:val="00740C70"/>
    <w:rsid w:val="00740CA2"/>
    <w:rsid w:val="00740E06"/>
    <w:rsid w:val="00740EFF"/>
    <w:rsid w:val="00740F4E"/>
    <w:rsid w:val="00740FF5"/>
    <w:rsid w:val="007410CF"/>
    <w:rsid w:val="007411FC"/>
    <w:rsid w:val="00741200"/>
    <w:rsid w:val="007413F8"/>
    <w:rsid w:val="007414D3"/>
    <w:rsid w:val="0074156E"/>
    <w:rsid w:val="00741579"/>
    <w:rsid w:val="0074157C"/>
    <w:rsid w:val="007417A3"/>
    <w:rsid w:val="007417BD"/>
    <w:rsid w:val="007417F1"/>
    <w:rsid w:val="00741B23"/>
    <w:rsid w:val="00741C68"/>
    <w:rsid w:val="00741D63"/>
    <w:rsid w:val="00741D68"/>
    <w:rsid w:val="00741E3D"/>
    <w:rsid w:val="007420D9"/>
    <w:rsid w:val="0074235B"/>
    <w:rsid w:val="007424FC"/>
    <w:rsid w:val="007426BF"/>
    <w:rsid w:val="00742AAA"/>
    <w:rsid w:val="00742D56"/>
    <w:rsid w:val="00742EA5"/>
    <w:rsid w:val="00742FB5"/>
    <w:rsid w:val="0074312C"/>
    <w:rsid w:val="0074320F"/>
    <w:rsid w:val="0074326E"/>
    <w:rsid w:val="00743573"/>
    <w:rsid w:val="007435CE"/>
    <w:rsid w:val="00743696"/>
    <w:rsid w:val="007436AE"/>
    <w:rsid w:val="00743830"/>
    <w:rsid w:val="007439D8"/>
    <w:rsid w:val="00743B24"/>
    <w:rsid w:val="00743B2E"/>
    <w:rsid w:val="00743C83"/>
    <w:rsid w:val="00743D6D"/>
    <w:rsid w:val="00743DC4"/>
    <w:rsid w:val="00743FF3"/>
    <w:rsid w:val="00744036"/>
    <w:rsid w:val="00744236"/>
    <w:rsid w:val="0074476D"/>
    <w:rsid w:val="00744A18"/>
    <w:rsid w:val="00744BB0"/>
    <w:rsid w:val="00744BBB"/>
    <w:rsid w:val="00744CAF"/>
    <w:rsid w:val="00744DAB"/>
    <w:rsid w:val="00744E04"/>
    <w:rsid w:val="00744E4C"/>
    <w:rsid w:val="00744FE2"/>
    <w:rsid w:val="0074506B"/>
    <w:rsid w:val="007451BC"/>
    <w:rsid w:val="0074525E"/>
    <w:rsid w:val="007452C6"/>
    <w:rsid w:val="00745378"/>
    <w:rsid w:val="00745670"/>
    <w:rsid w:val="00745744"/>
    <w:rsid w:val="00745815"/>
    <w:rsid w:val="007458A6"/>
    <w:rsid w:val="00745943"/>
    <w:rsid w:val="00745958"/>
    <w:rsid w:val="00745AC0"/>
    <w:rsid w:val="00745BED"/>
    <w:rsid w:val="00745CE6"/>
    <w:rsid w:val="00745D15"/>
    <w:rsid w:val="00745DFF"/>
    <w:rsid w:val="00745E02"/>
    <w:rsid w:val="00745E68"/>
    <w:rsid w:val="007462F2"/>
    <w:rsid w:val="007463B0"/>
    <w:rsid w:val="00746490"/>
    <w:rsid w:val="007465CB"/>
    <w:rsid w:val="007469D4"/>
    <w:rsid w:val="007469FC"/>
    <w:rsid w:val="00746ACE"/>
    <w:rsid w:val="00746CDA"/>
    <w:rsid w:val="00746DF8"/>
    <w:rsid w:val="00746E42"/>
    <w:rsid w:val="00746F47"/>
    <w:rsid w:val="00746FB9"/>
    <w:rsid w:val="00746FF4"/>
    <w:rsid w:val="00747472"/>
    <w:rsid w:val="00747571"/>
    <w:rsid w:val="0074777F"/>
    <w:rsid w:val="007477D6"/>
    <w:rsid w:val="0074781A"/>
    <w:rsid w:val="007478D8"/>
    <w:rsid w:val="007479C1"/>
    <w:rsid w:val="00747AED"/>
    <w:rsid w:val="00747D43"/>
    <w:rsid w:val="00747DEE"/>
    <w:rsid w:val="00747EB1"/>
    <w:rsid w:val="007500B0"/>
    <w:rsid w:val="00750136"/>
    <w:rsid w:val="0075015D"/>
    <w:rsid w:val="0075019B"/>
    <w:rsid w:val="00750593"/>
    <w:rsid w:val="007505CF"/>
    <w:rsid w:val="00750AFC"/>
    <w:rsid w:val="00750B39"/>
    <w:rsid w:val="00750D1D"/>
    <w:rsid w:val="00750F2C"/>
    <w:rsid w:val="00750FC1"/>
    <w:rsid w:val="00751211"/>
    <w:rsid w:val="0075123F"/>
    <w:rsid w:val="007512E7"/>
    <w:rsid w:val="00751409"/>
    <w:rsid w:val="00751429"/>
    <w:rsid w:val="0075172E"/>
    <w:rsid w:val="00751950"/>
    <w:rsid w:val="00751A33"/>
    <w:rsid w:val="00751B19"/>
    <w:rsid w:val="00751B4A"/>
    <w:rsid w:val="00751BFF"/>
    <w:rsid w:val="00751C6B"/>
    <w:rsid w:val="00751C80"/>
    <w:rsid w:val="00751CE8"/>
    <w:rsid w:val="00751ECA"/>
    <w:rsid w:val="00751ED2"/>
    <w:rsid w:val="00751FB2"/>
    <w:rsid w:val="007521C5"/>
    <w:rsid w:val="00752344"/>
    <w:rsid w:val="00752397"/>
    <w:rsid w:val="00752434"/>
    <w:rsid w:val="007525BF"/>
    <w:rsid w:val="007528C3"/>
    <w:rsid w:val="007529F3"/>
    <w:rsid w:val="00752C2E"/>
    <w:rsid w:val="00752D25"/>
    <w:rsid w:val="00752E13"/>
    <w:rsid w:val="00752E74"/>
    <w:rsid w:val="007530BA"/>
    <w:rsid w:val="007531C3"/>
    <w:rsid w:val="00753352"/>
    <w:rsid w:val="00753366"/>
    <w:rsid w:val="007533F7"/>
    <w:rsid w:val="007535DA"/>
    <w:rsid w:val="0075389C"/>
    <w:rsid w:val="00753973"/>
    <w:rsid w:val="00753A83"/>
    <w:rsid w:val="00753D65"/>
    <w:rsid w:val="00753FDC"/>
    <w:rsid w:val="00754002"/>
    <w:rsid w:val="007540D6"/>
    <w:rsid w:val="007541D8"/>
    <w:rsid w:val="00754298"/>
    <w:rsid w:val="0075435F"/>
    <w:rsid w:val="00754466"/>
    <w:rsid w:val="007544A5"/>
    <w:rsid w:val="007544A8"/>
    <w:rsid w:val="00754514"/>
    <w:rsid w:val="007545C8"/>
    <w:rsid w:val="00754738"/>
    <w:rsid w:val="00754771"/>
    <w:rsid w:val="00754853"/>
    <w:rsid w:val="007548DF"/>
    <w:rsid w:val="00754968"/>
    <w:rsid w:val="007549FF"/>
    <w:rsid w:val="00754A36"/>
    <w:rsid w:val="00754A82"/>
    <w:rsid w:val="00754B0C"/>
    <w:rsid w:val="00754BB1"/>
    <w:rsid w:val="00754BBE"/>
    <w:rsid w:val="00754E0F"/>
    <w:rsid w:val="00754E56"/>
    <w:rsid w:val="00754F35"/>
    <w:rsid w:val="00755094"/>
    <w:rsid w:val="00755427"/>
    <w:rsid w:val="0075545D"/>
    <w:rsid w:val="007554B6"/>
    <w:rsid w:val="007555E6"/>
    <w:rsid w:val="007556B1"/>
    <w:rsid w:val="00755900"/>
    <w:rsid w:val="00755944"/>
    <w:rsid w:val="00755AE1"/>
    <w:rsid w:val="00755D2E"/>
    <w:rsid w:val="00755FD9"/>
    <w:rsid w:val="0075607F"/>
    <w:rsid w:val="007560BC"/>
    <w:rsid w:val="007560D3"/>
    <w:rsid w:val="007562B2"/>
    <w:rsid w:val="00756346"/>
    <w:rsid w:val="007563F1"/>
    <w:rsid w:val="0075643C"/>
    <w:rsid w:val="00756516"/>
    <w:rsid w:val="0075666B"/>
    <w:rsid w:val="00756872"/>
    <w:rsid w:val="007568CD"/>
    <w:rsid w:val="00756B57"/>
    <w:rsid w:val="00756BF1"/>
    <w:rsid w:val="00756D83"/>
    <w:rsid w:val="00756D94"/>
    <w:rsid w:val="00756D95"/>
    <w:rsid w:val="00756DDF"/>
    <w:rsid w:val="0075717B"/>
    <w:rsid w:val="00757228"/>
    <w:rsid w:val="00757253"/>
    <w:rsid w:val="007572A6"/>
    <w:rsid w:val="0075746E"/>
    <w:rsid w:val="0075750A"/>
    <w:rsid w:val="00757541"/>
    <w:rsid w:val="00757785"/>
    <w:rsid w:val="0075784F"/>
    <w:rsid w:val="00757AC6"/>
    <w:rsid w:val="00757D9F"/>
    <w:rsid w:val="00757DF9"/>
    <w:rsid w:val="00757DFA"/>
    <w:rsid w:val="00757FB3"/>
    <w:rsid w:val="007604A6"/>
    <w:rsid w:val="007604F8"/>
    <w:rsid w:val="00760737"/>
    <w:rsid w:val="00760788"/>
    <w:rsid w:val="007608D7"/>
    <w:rsid w:val="00760AD8"/>
    <w:rsid w:val="00760EDF"/>
    <w:rsid w:val="0076110A"/>
    <w:rsid w:val="00761143"/>
    <w:rsid w:val="00761308"/>
    <w:rsid w:val="0076130D"/>
    <w:rsid w:val="007616E7"/>
    <w:rsid w:val="0076184A"/>
    <w:rsid w:val="00761CC2"/>
    <w:rsid w:val="00761DB1"/>
    <w:rsid w:val="00761DB8"/>
    <w:rsid w:val="00761E8C"/>
    <w:rsid w:val="00761EEC"/>
    <w:rsid w:val="007620C1"/>
    <w:rsid w:val="007621DA"/>
    <w:rsid w:val="007621F8"/>
    <w:rsid w:val="0076222A"/>
    <w:rsid w:val="007624C1"/>
    <w:rsid w:val="007624C2"/>
    <w:rsid w:val="0076258A"/>
    <w:rsid w:val="007625C2"/>
    <w:rsid w:val="0076295D"/>
    <w:rsid w:val="00762A59"/>
    <w:rsid w:val="00762BC2"/>
    <w:rsid w:val="00762D02"/>
    <w:rsid w:val="00762DE7"/>
    <w:rsid w:val="00762E54"/>
    <w:rsid w:val="00762F23"/>
    <w:rsid w:val="00762FDB"/>
    <w:rsid w:val="007631B6"/>
    <w:rsid w:val="00763494"/>
    <w:rsid w:val="0076360D"/>
    <w:rsid w:val="00763A94"/>
    <w:rsid w:val="00763B2E"/>
    <w:rsid w:val="00763C82"/>
    <w:rsid w:val="00763E30"/>
    <w:rsid w:val="00764260"/>
    <w:rsid w:val="00764291"/>
    <w:rsid w:val="007642E6"/>
    <w:rsid w:val="007643F5"/>
    <w:rsid w:val="007643FB"/>
    <w:rsid w:val="007644AB"/>
    <w:rsid w:val="007644AD"/>
    <w:rsid w:val="00764668"/>
    <w:rsid w:val="00764705"/>
    <w:rsid w:val="0076471A"/>
    <w:rsid w:val="007648DC"/>
    <w:rsid w:val="00764953"/>
    <w:rsid w:val="0076498C"/>
    <w:rsid w:val="00764990"/>
    <w:rsid w:val="00764B0C"/>
    <w:rsid w:val="00764B70"/>
    <w:rsid w:val="00764BFA"/>
    <w:rsid w:val="00764DC1"/>
    <w:rsid w:val="00764DDC"/>
    <w:rsid w:val="00765156"/>
    <w:rsid w:val="00765217"/>
    <w:rsid w:val="0076521F"/>
    <w:rsid w:val="00765276"/>
    <w:rsid w:val="007653B4"/>
    <w:rsid w:val="007653FB"/>
    <w:rsid w:val="00765750"/>
    <w:rsid w:val="0076580D"/>
    <w:rsid w:val="00765B72"/>
    <w:rsid w:val="00765D7C"/>
    <w:rsid w:val="00765DF6"/>
    <w:rsid w:val="00765E19"/>
    <w:rsid w:val="00765E34"/>
    <w:rsid w:val="00765EA5"/>
    <w:rsid w:val="0076602C"/>
    <w:rsid w:val="0076625B"/>
    <w:rsid w:val="007662F1"/>
    <w:rsid w:val="007666F1"/>
    <w:rsid w:val="00766701"/>
    <w:rsid w:val="0076677C"/>
    <w:rsid w:val="00766944"/>
    <w:rsid w:val="00766D4E"/>
    <w:rsid w:val="00766FE8"/>
    <w:rsid w:val="00767079"/>
    <w:rsid w:val="007670B8"/>
    <w:rsid w:val="007671F5"/>
    <w:rsid w:val="0076726E"/>
    <w:rsid w:val="007672AD"/>
    <w:rsid w:val="0076742D"/>
    <w:rsid w:val="007674D9"/>
    <w:rsid w:val="0076755C"/>
    <w:rsid w:val="007675E9"/>
    <w:rsid w:val="00767A7E"/>
    <w:rsid w:val="00767BE4"/>
    <w:rsid w:val="00767D48"/>
    <w:rsid w:val="00767EB3"/>
    <w:rsid w:val="00767ED8"/>
    <w:rsid w:val="00767F22"/>
    <w:rsid w:val="00767F32"/>
    <w:rsid w:val="007700D9"/>
    <w:rsid w:val="00770376"/>
    <w:rsid w:val="0077038B"/>
    <w:rsid w:val="00770567"/>
    <w:rsid w:val="0077064B"/>
    <w:rsid w:val="007706C1"/>
    <w:rsid w:val="00770872"/>
    <w:rsid w:val="00770B7D"/>
    <w:rsid w:val="00770BBE"/>
    <w:rsid w:val="00770C4A"/>
    <w:rsid w:val="00770CCE"/>
    <w:rsid w:val="00770DC0"/>
    <w:rsid w:val="00770E18"/>
    <w:rsid w:val="00770E35"/>
    <w:rsid w:val="00770E67"/>
    <w:rsid w:val="00770FF5"/>
    <w:rsid w:val="00771050"/>
    <w:rsid w:val="0077108E"/>
    <w:rsid w:val="007710BD"/>
    <w:rsid w:val="00771216"/>
    <w:rsid w:val="007712C5"/>
    <w:rsid w:val="007714FF"/>
    <w:rsid w:val="007717FE"/>
    <w:rsid w:val="007719C1"/>
    <w:rsid w:val="00771A7D"/>
    <w:rsid w:val="00771AD1"/>
    <w:rsid w:val="00771BF5"/>
    <w:rsid w:val="00771BFF"/>
    <w:rsid w:val="00771C7B"/>
    <w:rsid w:val="00771CB6"/>
    <w:rsid w:val="00771CF0"/>
    <w:rsid w:val="00771D4E"/>
    <w:rsid w:val="00771D56"/>
    <w:rsid w:val="00771D9F"/>
    <w:rsid w:val="00771DB1"/>
    <w:rsid w:val="00771DE7"/>
    <w:rsid w:val="00771F12"/>
    <w:rsid w:val="00771F5B"/>
    <w:rsid w:val="00771FCA"/>
    <w:rsid w:val="007720F2"/>
    <w:rsid w:val="00772160"/>
    <w:rsid w:val="00772224"/>
    <w:rsid w:val="007723D4"/>
    <w:rsid w:val="007724F6"/>
    <w:rsid w:val="0077255E"/>
    <w:rsid w:val="007725C6"/>
    <w:rsid w:val="0077269C"/>
    <w:rsid w:val="007726B4"/>
    <w:rsid w:val="00772942"/>
    <w:rsid w:val="00772995"/>
    <w:rsid w:val="007729B0"/>
    <w:rsid w:val="00772B8E"/>
    <w:rsid w:val="00772CD1"/>
    <w:rsid w:val="00772F5C"/>
    <w:rsid w:val="00773039"/>
    <w:rsid w:val="00773069"/>
    <w:rsid w:val="0077322C"/>
    <w:rsid w:val="00773248"/>
    <w:rsid w:val="007733AE"/>
    <w:rsid w:val="007737A7"/>
    <w:rsid w:val="00773AD5"/>
    <w:rsid w:val="00773AE3"/>
    <w:rsid w:val="00773B8F"/>
    <w:rsid w:val="00773C4C"/>
    <w:rsid w:val="00774054"/>
    <w:rsid w:val="0077424D"/>
    <w:rsid w:val="00774367"/>
    <w:rsid w:val="00774395"/>
    <w:rsid w:val="007743E2"/>
    <w:rsid w:val="007746C0"/>
    <w:rsid w:val="0077477C"/>
    <w:rsid w:val="007747B9"/>
    <w:rsid w:val="00774992"/>
    <w:rsid w:val="00774BAC"/>
    <w:rsid w:val="00774CB7"/>
    <w:rsid w:val="00774CC5"/>
    <w:rsid w:val="00774D9C"/>
    <w:rsid w:val="00774E0E"/>
    <w:rsid w:val="00774E1F"/>
    <w:rsid w:val="00774E93"/>
    <w:rsid w:val="00774EA4"/>
    <w:rsid w:val="00774F0E"/>
    <w:rsid w:val="00774F8E"/>
    <w:rsid w:val="007750DE"/>
    <w:rsid w:val="0077526B"/>
    <w:rsid w:val="007752F5"/>
    <w:rsid w:val="0077547D"/>
    <w:rsid w:val="00775716"/>
    <w:rsid w:val="0077580D"/>
    <w:rsid w:val="00775AB3"/>
    <w:rsid w:val="00775BC9"/>
    <w:rsid w:val="00775FE1"/>
    <w:rsid w:val="0077620D"/>
    <w:rsid w:val="00776488"/>
    <w:rsid w:val="0077669A"/>
    <w:rsid w:val="007767BE"/>
    <w:rsid w:val="007767CB"/>
    <w:rsid w:val="00776938"/>
    <w:rsid w:val="0077698B"/>
    <w:rsid w:val="007769B6"/>
    <w:rsid w:val="007769D3"/>
    <w:rsid w:val="00776A03"/>
    <w:rsid w:val="00776A90"/>
    <w:rsid w:val="00776D58"/>
    <w:rsid w:val="00776DB7"/>
    <w:rsid w:val="00777407"/>
    <w:rsid w:val="0077756A"/>
    <w:rsid w:val="00777597"/>
    <w:rsid w:val="00777ABF"/>
    <w:rsid w:val="00777BB7"/>
    <w:rsid w:val="00777CD4"/>
    <w:rsid w:val="00777EB4"/>
    <w:rsid w:val="00777EBD"/>
    <w:rsid w:val="00777F3A"/>
    <w:rsid w:val="00777FBF"/>
    <w:rsid w:val="00777FF0"/>
    <w:rsid w:val="007800D4"/>
    <w:rsid w:val="007800FA"/>
    <w:rsid w:val="0078042D"/>
    <w:rsid w:val="00780476"/>
    <w:rsid w:val="0078047D"/>
    <w:rsid w:val="00780550"/>
    <w:rsid w:val="007806C9"/>
    <w:rsid w:val="007806D2"/>
    <w:rsid w:val="00780706"/>
    <w:rsid w:val="00780711"/>
    <w:rsid w:val="00780719"/>
    <w:rsid w:val="00780B24"/>
    <w:rsid w:val="00780B7D"/>
    <w:rsid w:val="00780BD0"/>
    <w:rsid w:val="00780C2C"/>
    <w:rsid w:val="00780C9B"/>
    <w:rsid w:val="00780DEA"/>
    <w:rsid w:val="00780EA9"/>
    <w:rsid w:val="00780F3D"/>
    <w:rsid w:val="00780FC6"/>
    <w:rsid w:val="00780FCF"/>
    <w:rsid w:val="00780FDE"/>
    <w:rsid w:val="00781093"/>
    <w:rsid w:val="007811E2"/>
    <w:rsid w:val="0078151D"/>
    <w:rsid w:val="00781585"/>
    <w:rsid w:val="00781639"/>
    <w:rsid w:val="007818CE"/>
    <w:rsid w:val="00781923"/>
    <w:rsid w:val="007819B1"/>
    <w:rsid w:val="007819D9"/>
    <w:rsid w:val="00781B97"/>
    <w:rsid w:val="00781EB5"/>
    <w:rsid w:val="00781EE0"/>
    <w:rsid w:val="00781F0D"/>
    <w:rsid w:val="00781F32"/>
    <w:rsid w:val="00781F47"/>
    <w:rsid w:val="007820D3"/>
    <w:rsid w:val="007820D5"/>
    <w:rsid w:val="00782218"/>
    <w:rsid w:val="007822AD"/>
    <w:rsid w:val="00782337"/>
    <w:rsid w:val="00782434"/>
    <w:rsid w:val="007824C1"/>
    <w:rsid w:val="0078252D"/>
    <w:rsid w:val="0078274B"/>
    <w:rsid w:val="007828BC"/>
    <w:rsid w:val="007829EE"/>
    <w:rsid w:val="00782C5A"/>
    <w:rsid w:val="00782DA6"/>
    <w:rsid w:val="00782E20"/>
    <w:rsid w:val="00782E63"/>
    <w:rsid w:val="00782FB5"/>
    <w:rsid w:val="007832D5"/>
    <w:rsid w:val="00783367"/>
    <w:rsid w:val="0078344A"/>
    <w:rsid w:val="00783687"/>
    <w:rsid w:val="00783836"/>
    <w:rsid w:val="00783B65"/>
    <w:rsid w:val="00783B7A"/>
    <w:rsid w:val="00783E77"/>
    <w:rsid w:val="00784278"/>
    <w:rsid w:val="007842A8"/>
    <w:rsid w:val="007844AB"/>
    <w:rsid w:val="00784561"/>
    <w:rsid w:val="007846CB"/>
    <w:rsid w:val="00784B43"/>
    <w:rsid w:val="00784BD3"/>
    <w:rsid w:val="00784C8D"/>
    <w:rsid w:val="00784CAB"/>
    <w:rsid w:val="00784D66"/>
    <w:rsid w:val="00784DD3"/>
    <w:rsid w:val="0078503F"/>
    <w:rsid w:val="00785090"/>
    <w:rsid w:val="00785262"/>
    <w:rsid w:val="007852A8"/>
    <w:rsid w:val="00785804"/>
    <w:rsid w:val="007858C5"/>
    <w:rsid w:val="00785C27"/>
    <w:rsid w:val="00785DDE"/>
    <w:rsid w:val="00786518"/>
    <w:rsid w:val="007865C4"/>
    <w:rsid w:val="00786764"/>
    <w:rsid w:val="007868BA"/>
    <w:rsid w:val="00786984"/>
    <w:rsid w:val="007869F4"/>
    <w:rsid w:val="00786B82"/>
    <w:rsid w:val="00786D2A"/>
    <w:rsid w:val="00786F74"/>
    <w:rsid w:val="0078706C"/>
    <w:rsid w:val="007872BD"/>
    <w:rsid w:val="007874B2"/>
    <w:rsid w:val="007874D4"/>
    <w:rsid w:val="007875A2"/>
    <w:rsid w:val="00787762"/>
    <w:rsid w:val="007878EE"/>
    <w:rsid w:val="00787944"/>
    <w:rsid w:val="0078796B"/>
    <w:rsid w:val="007879EA"/>
    <w:rsid w:val="00787A06"/>
    <w:rsid w:val="00787A4C"/>
    <w:rsid w:val="00787A87"/>
    <w:rsid w:val="00787C36"/>
    <w:rsid w:val="00787C79"/>
    <w:rsid w:val="00787D23"/>
    <w:rsid w:val="00787DA9"/>
    <w:rsid w:val="00787DAF"/>
    <w:rsid w:val="00790061"/>
    <w:rsid w:val="00790163"/>
    <w:rsid w:val="00790325"/>
    <w:rsid w:val="0079038B"/>
    <w:rsid w:val="007906DD"/>
    <w:rsid w:val="007906EC"/>
    <w:rsid w:val="00790718"/>
    <w:rsid w:val="00790726"/>
    <w:rsid w:val="00790921"/>
    <w:rsid w:val="00790A3E"/>
    <w:rsid w:val="00790A48"/>
    <w:rsid w:val="00790D64"/>
    <w:rsid w:val="00790EEA"/>
    <w:rsid w:val="00790F39"/>
    <w:rsid w:val="00791199"/>
    <w:rsid w:val="007912F4"/>
    <w:rsid w:val="0079147B"/>
    <w:rsid w:val="007914B0"/>
    <w:rsid w:val="0079165B"/>
    <w:rsid w:val="007917B7"/>
    <w:rsid w:val="007917F8"/>
    <w:rsid w:val="00791B3C"/>
    <w:rsid w:val="00791BAE"/>
    <w:rsid w:val="00791DBC"/>
    <w:rsid w:val="00792124"/>
    <w:rsid w:val="0079221B"/>
    <w:rsid w:val="00792268"/>
    <w:rsid w:val="00792506"/>
    <w:rsid w:val="0079261D"/>
    <w:rsid w:val="00792632"/>
    <w:rsid w:val="007926B8"/>
    <w:rsid w:val="007926D6"/>
    <w:rsid w:val="007928D5"/>
    <w:rsid w:val="00792968"/>
    <w:rsid w:val="00792C83"/>
    <w:rsid w:val="00793362"/>
    <w:rsid w:val="0079369C"/>
    <w:rsid w:val="007937C0"/>
    <w:rsid w:val="00793925"/>
    <w:rsid w:val="00793A44"/>
    <w:rsid w:val="00793AB6"/>
    <w:rsid w:val="00793C19"/>
    <w:rsid w:val="00793E45"/>
    <w:rsid w:val="00793F63"/>
    <w:rsid w:val="00793F9B"/>
    <w:rsid w:val="00794120"/>
    <w:rsid w:val="007942B5"/>
    <w:rsid w:val="00794359"/>
    <w:rsid w:val="007943D9"/>
    <w:rsid w:val="00794603"/>
    <w:rsid w:val="0079483E"/>
    <w:rsid w:val="007948C8"/>
    <w:rsid w:val="00794BDD"/>
    <w:rsid w:val="00794EF9"/>
    <w:rsid w:val="00794FB0"/>
    <w:rsid w:val="00794FB2"/>
    <w:rsid w:val="00795123"/>
    <w:rsid w:val="0079513D"/>
    <w:rsid w:val="00795222"/>
    <w:rsid w:val="00795279"/>
    <w:rsid w:val="00795330"/>
    <w:rsid w:val="007953D8"/>
    <w:rsid w:val="007955F6"/>
    <w:rsid w:val="00795799"/>
    <w:rsid w:val="00795886"/>
    <w:rsid w:val="00795986"/>
    <w:rsid w:val="00795DDF"/>
    <w:rsid w:val="00795EF4"/>
    <w:rsid w:val="00795F55"/>
    <w:rsid w:val="00796149"/>
    <w:rsid w:val="007963C7"/>
    <w:rsid w:val="007964D6"/>
    <w:rsid w:val="007965A9"/>
    <w:rsid w:val="007965D7"/>
    <w:rsid w:val="007968A5"/>
    <w:rsid w:val="00796A38"/>
    <w:rsid w:val="00796B21"/>
    <w:rsid w:val="0079729B"/>
    <w:rsid w:val="0079744D"/>
    <w:rsid w:val="007974D3"/>
    <w:rsid w:val="00797ACF"/>
    <w:rsid w:val="00797BB2"/>
    <w:rsid w:val="00797CCC"/>
    <w:rsid w:val="007A004C"/>
    <w:rsid w:val="007A00B2"/>
    <w:rsid w:val="007A01FE"/>
    <w:rsid w:val="007A03B9"/>
    <w:rsid w:val="007A05F0"/>
    <w:rsid w:val="007A06B9"/>
    <w:rsid w:val="007A082D"/>
    <w:rsid w:val="007A0B0F"/>
    <w:rsid w:val="007A0B28"/>
    <w:rsid w:val="007A0C8A"/>
    <w:rsid w:val="007A0D58"/>
    <w:rsid w:val="007A0DCD"/>
    <w:rsid w:val="007A0F86"/>
    <w:rsid w:val="007A124F"/>
    <w:rsid w:val="007A12B7"/>
    <w:rsid w:val="007A1349"/>
    <w:rsid w:val="007A15F7"/>
    <w:rsid w:val="007A1848"/>
    <w:rsid w:val="007A18CD"/>
    <w:rsid w:val="007A1B5D"/>
    <w:rsid w:val="007A1C82"/>
    <w:rsid w:val="007A1DDD"/>
    <w:rsid w:val="007A1E5A"/>
    <w:rsid w:val="007A2036"/>
    <w:rsid w:val="007A21B7"/>
    <w:rsid w:val="007A2637"/>
    <w:rsid w:val="007A2A04"/>
    <w:rsid w:val="007A2ACD"/>
    <w:rsid w:val="007A2B41"/>
    <w:rsid w:val="007A2C8C"/>
    <w:rsid w:val="007A2D90"/>
    <w:rsid w:val="007A31A9"/>
    <w:rsid w:val="007A3263"/>
    <w:rsid w:val="007A34C3"/>
    <w:rsid w:val="007A3507"/>
    <w:rsid w:val="007A3544"/>
    <w:rsid w:val="007A3698"/>
    <w:rsid w:val="007A37C5"/>
    <w:rsid w:val="007A37E0"/>
    <w:rsid w:val="007A3892"/>
    <w:rsid w:val="007A3956"/>
    <w:rsid w:val="007A395E"/>
    <w:rsid w:val="007A397A"/>
    <w:rsid w:val="007A39D0"/>
    <w:rsid w:val="007A39E0"/>
    <w:rsid w:val="007A39F3"/>
    <w:rsid w:val="007A3B22"/>
    <w:rsid w:val="007A3E7A"/>
    <w:rsid w:val="007A4006"/>
    <w:rsid w:val="007A4184"/>
    <w:rsid w:val="007A4316"/>
    <w:rsid w:val="007A4345"/>
    <w:rsid w:val="007A43A0"/>
    <w:rsid w:val="007A45F4"/>
    <w:rsid w:val="007A4649"/>
    <w:rsid w:val="007A4690"/>
    <w:rsid w:val="007A4725"/>
    <w:rsid w:val="007A4899"/>
    <w:rsid w:val="007A4BF2"/>
    <w:rsid w:val="007A4CDD"/>
    <w:rsid w:val="007A4F2A"/>
    <w:rsid w:val="007A4F3C"/>
    <w:rsid w:val="007A51EC"/>
    <w:rsid w:val="007A5494"/>
    <w:rsid w:val="007A58F4"/>
    <w:rsid w:val="007A596D"/>
    <w:rsid w:val="007A5980"/>
    <w:rsid w:val="007A599A"/>
    <w:rsid w:val="007A5AC0"/>
    <w:rsid w:val="007A5CD7"/>
    <w:rsid w:val="007A5D35"/>
    <w:rsid w:val="007A5D4F"/>
    <w:rsid w:val="007A5EA6"/>
    <w:rsid w:val="007A5EAA"/>
    <w:rsid w:val="007A5EC9"/>
    <w:rsid w:val="007A5FAC"/>
    <w:rsid w:val="007A6047"/>
    <w:rsid w:val="007A620E"/>
    <w:rsid w:val="007A645B"/>
    <w:rsid w:val="007A65CE"/>
    <w:rsid w:val="007A668E"/>
    <w:rsid w:val="007A66EA"/>
    <w:rsid w:val="007A6954"/>
    <w:rsid w:val="007A6B79"/>
    <w:rsid w:val="007A6D00"/>
    <w:rsid w:val="007A6D2F"/>
    <w:rsid w:val="007A6D8E"/>
    <w:rsid w:val="007A6EEF"/>
    <w:rsid w:val="007A6F20"/>
    <w:rsid w:val="007A71F0"/>
    <w:rsid w:val="007A72A0"/>
    <w:rsid w:val="007A7345"/>
    <w:rsid w:val="007A7416"/>
    <w:rsid w:val="007A75D9"/>
    <w:rsid w:val="007A7638"/>
    <w:rsid w:val="007A790B"/>
    <w:rsid w:val="007A79E6"/>
    <w:rsid w:val="007A7D2C"/>
    <w:rsid w:val="007B0025"/>
    <w:rsid w:val="007B00CF"/>
    <w:rsid w:val="007B0225"/>
    <w:rsid w:val="007B03C5"/>
    <w:rsid w:val="007B04BE"/>
    <w:rsid w:val="007B04C2"/>
    <w:rsid w:val="007B0693"/>
    <w:rsid w:val="007B0787"/>
    <w:rsid w:val="007B0C98"/>
    <w:rsid w:val="007B0E38"/>
    <w:rsid w:val="007B0E54"/>
    <w:rsid w:val="007B11BF"/>
    <w:rsid w:val="007B1237"/>
    <w:rsid w:val="007B12E7"/>
    <w:rsid w:val="007B152A"/>
    <w:rsid w:val="007B1591"/>
    <w:rsid w:val="007B15B4"/>
    <w:rsid w:val="007B1722"/>
    <w:rsid w:val="007B17CB"/>
    <w:rsid w:val="007B1804"/>
    <w:rsid w:val="007B1B12"/>
    <w:rsid w:val="007B1BD6"/>
    <w:rsid w:val="007B21A1"/>
    <w:rsid w:val="007B220E"/>
    <w:rsid w:val="007B223F"/>
    <w:rsid w:val="007B22E6"/>
    <w:rsid w:val="007B2491"/>
    <w:rsid w:val="007B2500"/>
    <w:rsid w:val="007B28C8"/>
    <w:rsid w:val="007B290E"/>
    <w:rsid w:val="007B29A0"/>
    <w:rsid w:val="007B29BE"/>
    <w:rsid w:val="007B2B2E"/>
    <w:rsid w:val="007B2DF3"/>
    <w:rsid w:val="007B2FEF"/>
    <w:rsid w:val="007B324A"/>
    <w:rsid w:val="007B325A"/>
    <w:rsid w:val="007B36A1"/>
    <w:rsid w:val="007B36A6"/>
    <w:rsid w:val="007B36F9"/>
    <w:rsid w:val="007B37F8"/>
    <w:rsid w:val="007B382F"/>
    <w:rsid w:val="007B3905"/>
    <w:rsid w:val="007B3AA8"/>
    <w:rsid w:val="007B3C4E"/>
    <w:rsid w:val="007B3FE9"/>
    <w:rsid w:val="007B41DA"/>
    <w:rsid w:val="007B41F4"/>
    <w:rsid w:val="007B420C"/>
    <w:rsid w:val="007B4215"/>
    <w:rsid w:val="007B42D5"/>
    <w:rsid w:val="007B43DE"/>
    <w:rsid w:val="007B4417"/>
    <w:rsid w:val="007B45E9"/>
    <w:rsid w:val="007B4647"/>
    <w:rsid w:val="007B47BF"/>
    <w:rsid w:val="007B47EF"/>
    <w:rsid w:val="007B4A3D"/>
    <w:rsid w:val="007B4A8A"/>
    <w:rsid w:val="007B4B96"/>
    <w:rsid w:val="007B4C05"/>
    <w:rsid w:val="007B4C6C"/>
    <w:rsid w:val="007B4D26"/>
    <w:rsid w:val="007B4EAE"/>
    <w:rsid w:val="007B4F25"/>
    <w:rsid w:val="007B4FF3"/>
    <w:rsid w:val="007B504E"/>
    <w:rsid w:val="007B5090"/>
    <w:rsid w:val="007B51A8"/>
    <w:rsid w:val="007B51D4"/>
    <w:rsid w:val="007B51EB"/>
    <w:rsid w:val="007B5229"/>
    <w:rsid w:val="007B5296"/>
    <w:rsid w:val="007B5397"/>
    <w:rsid w:val="007B5412"/>
    <w:rsid w:val="007B5447"/>
    <w:rsid w:val="007B56A4"/>
    <w:rsid w:val="007B57BE"/>
    <w:rsid w:val="007B59AD"/>
    <w:rsid w:val="007B5A61"/>
    <w:rsid w:val="007B5B85"/>
    <w:rsid w:val="007B64FB"/>
    <w:rsid w:val="007B66D8"/>
    <w:rsid w:val="007B67F4"/>
    <w:rsid w:val="007B6865"/>
    <w:rsid w:val="007B68F3"/>
    <w:rsid w:val="007B6AA3"/>
    <w:rsid w:val="007B6B12"/>
    <w:rsid w:val="007B6B63"/>
    <w:rsid w:val="007B6DB5"/>
    <w:rsid w:val="007B6ECC"/>
    <w:rsid w:val="007B6F1A"/>
    <w:rsid w:val="007B70D0"/>
    <w:rsid w:val="007B70FF"/>
    <w:rsid w:val="007B7193"/>
    <w:rsid w:val="007B7345"/>
    <w:rsid w:val="007B78F1"/>
    <w:rsid w:val="007B7922"/>
    <w:rsid w:val="007B7963"/>
    <w:rsid w:val="007B7A0B"/>
    <w:rsid w:val="007B7B1C"/>
    <w:rsid w:val="007B7C83"/>
    <w:rsid w:val="007B7C88"/>
    <w:rsid w:val="007B7CFA"/>
    <w:rsid w:val="007B7D77"/>
    <w:rsid w:val="007B7F17"/>
    <w:rsid w:val="007C0085"/>
    <w:rsid w:val="007C00DD"/>
    <w:rsid w:val="007C01A3"/>
    <w:rsid w:val="007C01F0"/>
    <w:rsid w:val="007C0362"/>
    <w:rsid w:val="007C03AB"/>
    <w:rsid w:val="007C0416"/>
    <w:rsid w:val="007C0426"/>
    <w:rsid w:val="007C05FD"/>
    <w:rsid w:val="007C0720"/>
    <w:rsid w:val="007C0726"/>
    <w:rsid w:val="007C08BA"/>
    <w:rsid w:val="007C09EB"/>
    <w:rsid w:val="007C0B5E"/>
    <w:rsid w:val="007C1354"/>
    <w:rsid w:val="007C139E"/>
    <w:rsid w:val="007C1419"/>
    <w:rsid w:val="007C1449"/>
    <w:rsid w:val="007C1499"/>
    <w:rsid w:val="007C1594"/>
    <w:rsid w:val="007C15B0"/>
    <w:rsid w:val="007C1AC5"/>
    <w:rsid w:val="007C1D50"/>
    <w:rsid w:val="007C2013"/>
    <w:rsid w:val="007C20A0"/>
    <w:rsid w:val="007C216F"/>
    <w:rsid w:val="007C22CC"/>
    <w:rsid w:val="007C23C4"/>
    <w:rsid w:val="007C2466"/>
    <w:rsid w:val="007C2559"/>
    <w:rsid w:val="007C257F"/>
    <w:rsid w:val="007C26E1"/>
    <w:rsid w:val="007C292E"/>
    <w:rsid w:val="007C2B05"/>
    <w:rsid w:val="007C2B39"/>
    <w:rsid w:val="007C2B93"/>
    <w:rsid w:val="007C2BA2"/>
    <w:rsid w:val="007C2BF1"/>
    <w:rsid w:val="007C2D56"/>
    <w:rsid w:val="007C2D6F"/>
    <w:rsid w:val="007C2E67"/>
    <w:rsid w:val="007C2EAF"/>
    <w:rsid w:val="007C2F58"/>
    <w:rsid w:val="007C3000"/>
    <w:rsid w:val="007C305D"/>
    <w:rsid w:val="007C313C"/>
    <w:rsid w:val="007C3178"/>
    <w:rsid w:val="007C33BB"/>
    <w:rsid w:val="007C36BF"/>
    <w:rsid w:val="007C39F0"/>
    <w:rsid w:val="007C3B31"/>
    <w:rsid w:val="007C3C09"/>
    <w:rsid w:val="007C3CF8"/>
    <w:rsid w:val="007C3D3A"/>
    <w:rsid w:val="007C3E1E"/>
    <w:rsid w:val="007C3E8B"/>
    <w:rsid w:val="007C4106"/>
    <w:rsid w:val="007C4235"/>
    <w:rsid w:val="007C4371"/>
    <w:rsid w:val="007C441B"/>
    <w:rsid w:val="007C4466"/>
    <w:rsid w:val="007C448C"/>
    <w:rsid w:val="007C44C6"/>
    <w:rsid w:val="007C4510"/>
    <w:rsid w:val="007C4581"/>
    <w:rsid w:val="007C4611"/>
    <w:rsid w:val="007C47EC"/>
    <w:rsid w:val="007C481A"/>
    <w:rsid w:val="007C4869"/>
    <w:rsid w:val="007C491D"/>
    <w:rsid w:val="007C4999"/>
    <w:rsid w:val="007C4A92"/>
    <w:rsid w:val="007C4D8A"/>
    <w:rsid w:val="007C4E31"/>
    <w:rsid w:val="007C54EA"/>
    <w:rsid w:val="007C5645"/>
    <w:rsid w:val="007C5732"/>
    <w:rsid w:val="007C58C9"/>
    <w:rsid w:val="007C5929"/>
    <w:rsid w:val="007C5A20"/>
    <w:rsid w:val="007C5BEE"/>
    <w:rsid w:val="007C5CB8"/>
    <w:rsid w:val="007C5CC6"/>
    <w:rsid w:val="007C5CCA"/>
    <w:rsid w:val="007C5CE3"/>
    <w:rsid w:val="007C5DC7"/>
    <w:rsid w:val="007C5DF1"/>
    <w:rsid w:val="007C5E77"/>
    <w:rsid w:val="007C5F3E"/>
    <w:rsid w:val="007C5F81"/>
    <w:rsid w:val="007C6381"/>
    <w:rsid w:val="007C63B0"/>
    <w:rsid w:val="007C64A5"/>
    <w:rsid w:val="007C64EB"/>
    <w:rsid w:val="007C65C4"/>
    <w:rsid w:val="007C664B"/>
    <w:rsid w:val="007C674A"/>
    <w:rsid w:val="007C6940"/>
    <w:rsid w:val="007C69B9"/>
    <w:rsid w:val="007C6D0B"/>
    <w:rsid w:val="007C6D3C"/>
    <w:rsid w:val="007C6D45"/>
    <w:rsid w:val="007C6EF0"/>
    <w:rsid w:val="007C7023"/>
    <w:rsid w:val="007C710A"/>
    <w:rsid w:val="007C717D"/>
    <w:rsid w:val="007C7296"/>
    <w:rsid w:val="007C7338"/>
    <w:rsid w:val="007C73EC"/>
    <w:rsid w:val="007C74AB"/>
    <w:rsid w:val="007C7574"/>
    <w:rsid w:val="007C763C"/>
    <w:rsid w:val="007C768E"/>
    <w:rsid w:val="007C778C"/>
    <w:rsid w:val="007C7834"/>
    <w:rsid w:val="007C79C7"/>
    <w:rsid w:val="007C7B70"/>
    <w:rsid w:val="007C7B87"/>
    <w:rsid w:val="007C7C09"/>
    <w:rsid w:val="007C7D56"/>
    <w:rsid w:val="007C7F65"/>
    <w:rsid w:val="007C7FEE"/>
    <w:rsid w:val="007D016F"/>
    <w:rsid w:val="007D01FA"/>
    <w:rsid w:val="007D03D9"/>
    <w:rsid w:val="007D03EC"/>
    <w:rsid w:val="007D098F"/>
    <w:rsid w:val="007D0B31"/>
    <w:rsid w:val="007D0C42"/>
    <w:rsid w:val="007D0FE5"/>
    <w:rsid w:val="007D0FE8"/>
    <w:rsid w:val="007D1058"/>
    <w:rsid w:val="007D1071"/>
    <w:rsid w:val="007D110C"/>
    <w:rsid w:val="007D1304"/>
    <w:rsid w:val="007D14B2"/>
    <w:rsid w:val="007D17B4"/>
    <w:rsid w:val="007D17DB"/>
    <w:rsid w:val="007D193D"/>
    <w:rsid w:val="007D19E4"/>
    <w:rsid w:val="007D1B28"/>
    <w:rsid w:val="007D1B96"/>
    <w:rsid w:val="007D1CD6"/>
    <w:rsid w:val="007D1E74"/>
    <w:rsid w:val="007D1F46"/>
    <w:rsid w:val="007D20A7"/>
    <w:rsid w:val="007D2381"/>
    <w:rsid w:val="007D23FD"/>
    <w:rsid w:val="007D2484"/>
    <w:rsid w:val="007D2562"/>
    <w:rsid w:val="007D25E1"/>
    <w:rsid w:val="007D269B"/>
    <w:rsid w:val="007D26EA"/>
    <w:rsid w:val="007D2815"/>
    <w:rsid w:val="007D2904"/>
    <w:rsid w:val="007D2980"/>
    <w:rsid w:val="007D2CEB"/>
    <w:rsid w:val="007D2D2B"/>
    <w:rsid w:val="007D2D63"/>
    <w:rsid w:val="007D2DD3"/>
    <w:rsid w:val="007D2E07"/>
    <w:rsid w:val="007D2E59"/>
    <w:rsid w:val="007D2EB7"/>
    <w:rsid w:val="007D2F73"/>
    <w:rsid w:val="007D3093"/>
    <w:rsid w:val="007D3150"/>
    <w:rsid w:val="007D335A"/>
    <w:rsid w:val="007D3565"/>
    <w:rsid w:val="007D3697"/>
    <w:rsid w:val="007D3785"/>
    <w:rsid w:val="007D3790"/>
    <w:rsid w:val="007D3843"/>
    <w:rsid w:val="007D3854"/>
    <w:rsid w:val="007D386C"/>
    <w:rsid w:val="007D393C"/>
    <w:rsid w:val="007D3C01"/>
    <w:rsid w:val="007D3C1D"/>
    <w:rsid w:val="007D3C80"/>
    <w:rsid w:val="007D3D7A"/>
    <w:rsid w:val="007D3DA2"/>
    <w:rsid w:val="007D40A5"/>
    <w:rsid w:val="007D40D0"/>
    <w:rsid w:val="007D42F5"/>
    <w:rsid w:val="007D4384"/>
    <w:rsid w:val="007D43FC"/>
    <w:rsid w:val="007D475B"/>
    <w:rsid w:val="007D47EC"/>
    <w:rsid w:val="007D48C7"/>
    <w:rsid w:val="007D4926"/>
    <w:rsid w:val="007D4950"/>
    <w:rsid w:val="007D4DB7"/>
    <w:rsid w:val="007D4FB8"/>
    <w:rsid w:val="007D501B"/>
    <w:rsid w:val="007D51D9"/>
    <w:rsid w:val="007D51E5"/>
    <w:rsid w:val="007D5243"/>
    <w:rsid w:val="007D5270"/>
    <w:rsid w:val="007D54CE"/>
    <w:rsid w:val="007D5757"/>
    <w:rsid w:val="007D580D"/>
    <w:rsid w:val="007D5909"/>
    <w:rsid w:val="007D59F9"/>
    <w:rsid w:val="007D5C05"/>
    <w:rsid w:val="007D5D1F"/>
    <w:rsid w:val="007D5DA7"/>
    <w:rsid w:val="007D5F09"/>
    <w:rsid w:val="007D5FE6"/>
    <w:rsid w:val="007D6011"/>
    <w:rsid w:val="007D60A5"/>
    <w:rsid w:val="007D618D"/>
    <w:rsid w:val="007D6399"/>
    <w:rsid w:val="007D6441"/>
    <w:rsid w:val="007D6544"/>
    <w:rsid w:val="007D6569"/>
    <w:rsid w:val="007D6591"/>
    <w:rsid w:val="007D6663"/>
    <w:rsid w:val="007D692A"/>
    <w:rsid w:val="007D6B35"/>
    <w:rsid w:val="007D6B94"/>
    <w:rsid w:val="007D6C1A"/>
    <w:rsid w:val="007D6C42"/>
    <w:rsid w:val="007D6C6B"/>
    <w:rsid w:val="007D6F86"/>
    <w:rsid w:val="007D7213"/>
    <w:rsid w:val="007D723B"/>
    <w:rsid w:val="007D723E"/>
    <w:rsid w:val="007D73E3"/>
    <w:rsid w:val="007D741C"/>
    <w:rsid w:val="007D7467"/>
    <w:rsid w:val="007D7548"/>
    <w:rsid w:val="007D759D"/>
    <w:rsid w:val="007D75FA"/>
    <w:rsid w:val="007D7718"/>
    <w:rsid w:val="007D79C4"/>
    <w:rsid w:val="007D7BD6"/>
    <w:rsid w:val="007D7CC7"/>
    <w:rsid w:val="007D7CF3"/>
    <w:rsid w:val="007D7F14"/>
    <w:rsid w:val="007D7F2E"/>
    <w:rsid w:val="007E0302"/>
    <w:rsid w:val="007E03A6"/>
    <w:rsid w:val="007E0482"/>
    <w:rsid w:val="007E0496"/>
    <w:rsid w:val="007E0555"/>
    <w:rsid w:val="007E0646"/>
    <w:rsid w:val="007E06C4"/>
    <w:rsid w:val="007E072F"/>
    <w:rsid w:val="007E088C"/>
    <w:rsid w:val="007E0941"/>
    <w:rsid w:val="007E0970"/>
    <w:rsid w:val="007E0A6A"/>
    <w:rsid w:val="007E0B9A"/>
    <w:rsid w:val="007E0CF1"/>
    <w:rsid w:val="007E0E9B"/>
    <w:rsid w:val="007E13EE"/>
    <w:rsid w:val="007E1470"/>
    <w:rsid w:val="007E1654"/>
    <w:rsid w:val="007E1729"/>
    <w:rsid w:val="007E18AC"/>
    <w:rsid w:val="007E1ACA"/>
    <w:rsid w:val="007E1BC7"/>
    <w:rsid w:val="007E1E66"/>
    <w:rsid w:val="007E1EE7"/>
    <w:rsid w:val="007E2478"/>
    <w:rsid w:val="007E247A"/>
    <w:rsid w:val="007E24B1"/>
    <w:rsid w:val="007E2621"/>
    <w:rsid w:val="007E2630"/>
    <w:rsid w:val="007E293D"/>
    <w:rsid w:val="007E2A86"/>
    <w:rsid w:val="007E2BD5"/>
    <w:rsid w:val="007E2CB3"/>
    <w:rsid w:val="007E2FD2"/>
    <w:rsid w:val="007E2FF5"/>
    <w:rsid w:val="007E2FFD"/>
    <w:rsid w:val="007E30C1"/>
    <w:rsid w:val="007E316D"/>
    <w:rsid w:val="007E3572"/>
    <w:rsid w:val="007E36EB"/>
    <w:rsid w:val="007E373B"/>
    <w:rsid w:val="007E3793"/>
    <w:rsid w:val="007E3841"/>
    <w:rsid w:val="007E3D38"/>
    <w:rsid w:val="007E3DA5"/>
    <w:rsid w:val="007E3E21"/>
    <w:rsid w:val="007E3F14"/>
    <w:rsid w:val="007E4042"/>
    <w:rsid w:val="007E40E9"/>
    <w:rsid w:val="007E4299"/>
    <w:rsid w:val="007E432A"/>
    <w:rsid w:val="007E4392"/>
    <w:rsid w:val="007E43AF"/>
    <w:rsid w:val="007E4497"/>
    <w:rsid w:val="007E44EE"/>
    <w:rsid w:val="007E4625"/>
    <w:rsid w:val="007E4662"/>
    <w:rsid w:val="007E46F8"/>
    <w:rsid w:val="007E4700"/>
    <w:rsid w:val="007E4C2A"/>
    <w:rsid w:val="007E4C2C"/>
    <w:rsid w:val="007E4CB5"/>
    <w:rsid w:val="007E4D01"/>
    <w:rsid w:val="007E4D18"/>
    <w:rsid w:val="007E5066"/>
    <w:rsid w:val="007E5189"/>
    <w:rsid w:val="007E519E"/>
    <w:rsid w:val="007E54C6"/>
    <w:rsid w:val="007E5515"/>
    <w:rsid w:val="007E5682"/>
    <w:rsid w:val="007E59C8"/>
    <w:rsid w:val="007E5A1D"/>
    <w:rsid w:val="007E5A21"/>
    <w:rsid w:val="007E5B27"/>
    <w:rsid w:val="007E5B68"/>
    <w:rsid w:val="007E5C22"/>
    <w:rsid w:val="007E5DE8"/>
    <w:rsid w:val="007E5F15"/>
    <w:rsid w:val="007E6164"/>
    <w:rsid w:val="007E622E"/>
    <w:rsid w:val="007E692D"/>
    <w:rsid w:val="007E6934"/>
    <w:rsid w:val="007E69A8"/>
    <w:rsid w:val="007E6A5B"/>
    <w:rsid w:val="007E6AF2"/>
    <w:rsid w:val="007E6D3B"/>
    <w:rsid w:val="007E6E5A"/>
    <w:rsid w:val="007E6EEC"/>
    <w:rsid w:val="007E6FDF"/>
    <w:rsid w:val="007E70E5"/>
    <w:rsid w:val="007E7399"/>
    <w:rsid w:val="007E73D2"/>
    <w:rsid w:val="007E73E0"/>
    <w:rsid w:val="007E740B"/>
    <w:rsid w:val="007E7465"/>
    <w:rsid w:val="007E75EA"/>
    <w:rsid w:val="007E76A4"/>
    <w:rsid w:val="007E78ED"/>
    <w:rsid w:val="007E78F1"/>
    <w:rsid w:val="007E79BD"/>
    <w:rsid w:val="007F000A"/>
    <w:rsid w:val="007F00B4"/>
    <w:rsid w:val="007F00E7"/>
    <w:rsid w:val="007F0129"/>
    <w:rsid w:val="007F01B7"/>
    <w:rsid w:val="007F0427"/>
    <w:rsid w:val="007F053D"/>
    <w:rsid w:val="007F0840"/>
    <w:rsid w:val="007F0B53"/>
    <w:rsid w:val="007F0B7D"/>
    <w:rsid w:val="007F0D0B"/>
    <w:rsid w:val="007F0D50"/>
    <w:rsid w:val="007F0EA1"/>
    <w:rsid w:val="007F1109"/>
    <w:rsid w:val="007F1118"/>
    <w:rsid w:val="007F1140"/>
    <w:rsid w:val="007F116A"/>
    <w:rsid w:val="007F119A"/>
    <w:rsid w:val="007F1514"/>
    <w:rsid w:val="007F151E"/>
    <w:rsid w:val="007F1566"/>
    <w:rsid w:val="007F1713"/>
    <w:rsid w:val="007F18CE"/>
    <w:rsid w:val="007F1994"/>
    <w:rsid w:val="007F19A5"/>
    <w:rsid w:val="007F1A58"/>
    <w:rsid w:val="007F1AC7"/>
    <w:rsid w:val="007F1B1E"/>
    <w:rsid w:val="007F1C57"/>
    <w:rsid w:val="007F1D02"/>
    <w:rsid w:val="007F1D07"/>
    <w:rsid w:val="007F1DEA"/>
    <w:rsid w:val="007F1E61"/>
    <w:rsid w:val="007F1E65"/>
    <w:rsid w:val="007F2392"/>
    <w:rsid w:val="007F2529"/>
    <w:rsid w:val="007F2848"/>
    <w:rsid w:val="007F29A8"/>
    <w:rsid w:val="007F2AAB"/>
    <w:rsid w:val="007F2AAE"/>
    <w:rsid w:val="007F2B47"/>
    <w:rsid w:val="007F2C92"/>
    <w:rsid w:val="007F2D22"/>
    <w:rsid w:val="007F2FCD"/>
    <w:rsid w:val="007F359E"/>
    <w:rsid w:val="007F364D"/>
    <w:rsid w:val="007F3766"/>
    <w:rsid w:val="007F377A"/>
    <w:rsid w:val="007F37B4"/>
    <w:rsid w:val="007F387A"/>
    <w:rsid w:val="007F3938"/>
    <w:rsid w:val="007F3A99"/>
    <w:rsid w:val="007F3AC5"/>
    <w:rsid w:val="007F3B3B"/>
    <w:rsid w:val="007F3BA2"/>
    <w:rsid w:val="007F3CB7"/>
    <w:rsid w:val="007F4084"/>
    <w:rsid w:val="007F40EB"/>
    <w:rsid w:val="007F411F"/>
    <w:rsid w:val="007F4166"/>
    <w:rsid w:val="007F4296"/>
    <w:rsid w:val="007F43A7"/>
    <w:rsid w:val="007F44C0"/>
    <w:rsid w:val="007F4700"/>
    <w:rsid w:val="007F49AE"/>
    <w:rsid w:val="007F49F0"/>
    <w:rsid w:val="007F4A1B"/>
    <w:rsid w:val="007F4B08"/>
    <w:rsid w:val="007F4B71"/>
    <w:rsid w:val="007F4C4A"/>
    <w:rsid w:val="007F4CA4"/>
    <w:rsid w:val="007F50A0"/>
    <w:rsid w:val="007F5203"/>
    <w:rsid w:val="007F520E"/>
    <w:rsid w:val="007F5538"/>
    <w:rsid w:val="007F559D"/>
    <w:rsid w:val="007F56A4"/>
    <w:rsid w:val="007F56C4"/>
    <w:rsid w:val="007F57CA"/>
    <w:rsid w:val="007F5A08"/>
    <w:rsid w:val="007F5A52"/>
    <w:rsid w:val="007F5B8C"/>
    <w:rsid w:val="007F5E04"/>
    <w:rsid w:val="007F61D8"/>
    <w:rsid w:val="007F637E"/>
    <w:rsid w:val="007F6508"/>
    <w:rsid w:val="007F68DB"/>
    <w:rsid w:val="007F694C"/>
    <w:rsid w:val="007F69E1"/>
    <w:rsid w:val="007F6BF3"/>
    <w:rsid w:val="007F6E4E"/>
    <w:rsid w:val="007F7171"/>
    <w:rsid w:val="007F7182"/>
    <w:rsid w:val="007F71AC"/>
    <w:rsid w:val="007F7391"/>
    <w:rsid w:val="007F73D8"/>
    <w:rsid w:val="007F7786"/>
    <w:rsid w:val="007F77E0"/>
    <w:rsid w:val="007F787E"/>
    <w:rsid w:val="007F789F"/>
    <w:rsid w:val="007F78C0"/>
    <w:rsid w:val="007F78F9"/>
    <w:rsid w:val="007F7915"/>
    <w:rsid w:val="007F79E2"/>
    <w:rsid w:val="007F7C95"/>
    <w:rsid w:val="007F7C96"/>
    <w:rsid w:val="007F7CE7"/>
    <w:rsid w:val="007F7F2E"/>
    <w:rsid w:val="00800077"/>
    <w:rsid w:val="0080034A"/>
    <w:rsid w:val="008003E8"/>
    <w:rsid w:val="00800945"/>
    <w:rsid w:val="008009EA"/>
    <w:rsid w:val="00800BD0"/>
    <w:rsid w:val="00800C48"/>
    <w:rsid w:val="00800C58"/>
    <w:rsid w:val="00800D3F"/>
    <w:rsid w:val="008010F8"/>
    <w:rsid w:val="00801299"/>
    <w:rsid w:val="008012A4"/>
    <w:rsid w:val="00801587"/>
    <w:rsid w:val="008016D2"/>
    <w:rsid w:val="008018AC"/>
    <w:rsid w:val="00801AA0"/>
    <w:rsid w:val="00801AD7"/>
    <w:rsid w:val="00801B41"/>
    <w:rsid w:val="00801D03"/>
    <w:rsid w:val="00801DA5"/>
    <w:rsid w:val="00801E66"/>
    <w:rsid w:val="00801EAB"/>
    <w:rsid w:val="00801F9E"/>
    <w:rsid w:val="00802025"/>
    <w:rsid w:val="00802041"/>
    <w:rsid w:val="00802263"/>
    <w:rsid w:val="008022C0"/>
    <w:rsid w:val="00802493"/>
    <w:rsid w:val="0080258F"/>
    <w:rsid w:val="008025B4"/>
    <w:rsid w:val="008027E9"/>
    <w:rsid w:val="008028DB"/>
    <w:rsid w:val="008029EC"/>
    <w:rsid w:val="00802A8E"/>
    <w:rsid w:val="00802B1B"/>
    <w:rsid w:val="00803043"/>
    <w:rsid w:val="00803116"/>
    <w:rsid w:val="0080314A"/>
    <w:rsid w:val="008033EE"/>
    <w:rsid w:val="008035B6"/>
    <w:rsid w:val="008035E7"/>
    <w:rsid w:val="00803722"/>
    <w:rsid w:val="0080399D"/>
    <w:rsid w:val="00803A55"/>
    <w:rsid w:val="00803A8A"/>
    <w:rsid w:val="00803A9D"/>
    <w:rsid w:val="00803C96"/>
    <w:rsid w:val="00803D10"/>
    <w:rsid w:val="00803D6A"/>
    <w:rsid w:val="00803DB5"/>
    <w:rsid w:val="00803E10"/>
    <w:rsid w:val="00803E28"/>
    <w:rsid w:val="00803FD3"/>
    <w:rsid w:val="0080406A"/>
    <w:rsid w:val="008043F7"/>
    <w:rsid w:val="008044CC"/>
    <w:rsid w:val="0080461E"/>
    <w:rsid w:val="008046F5"/>
    <w:rsid w:val="008048D0"/>
    <w:rsid w:val="00804930"/>
    <w:rsid w:val="00804AD1"/>
    <w:rsid w:val="00804D0F"/>
    <w:rsid w:val="00804D2B"/>
    <w:rsid w:val="00804D7D"/>
    <w:rsid w:val="00804E0D"/>
    <w:rsid w:val="00804F00"/>
    <w:rsid w:val="00805075"/>
    <w:rsid w:val="008050DC"/>
    <w:rsid w:val="00805130"/>
    <w:rsid w:val="0080523C"/>
    <w:rsid w:val="00805549"/>
    <w:rsid w:val="0080573B"/>
    <w:rsid w:val="00805764"/>
    <w:rsid w:val="00805A80"/>
    <w:rsid w:val="00805A90"/>
    <w:rsid w:val="00805B7B"/>
    <w:rsid w:val="00805C02"/>
    <w:rsid w:val="00805EC7"/>
    <w:rsid w:val="00805FAD"/>
    <w:rsid w:val="00805FDD"/>
    <w:rsid w:val="008060D6"/>
    <w:rsid w:val="00806119"/>
    <w:rsid w:val="0080626E"/>
    <w:rsid w:val="008064AA"/>
    <w:rsid w:val="0080679E"/>
    <w:rsid w:val="00806814"/>
    <w:rsid w:val="008068AB"/>
    <w:rsid w:val="00806913"/>
    <w:rsid w:val="00806CAB"/>
    <w:rsid w:val="00807068"/>
    <w:rsid w:val="00807198"/>
    <w:rsid w:val="008071D2"/>
    <w:rsid w:val="008072D3"/>
    <w:rsid w:val="008072FF"/>
    <w:rsid w:val="00807330"/>
    <w:rsid w:val="00807370"/>
    <w:rsid w:val="00807514"/>
    <w:rsid w:val="008076A0"/>
    <w:rsid w:val="008078C1"/>
    <w:rsid w:val="00807A91"/>
    <w:rsid w:val="00807AC4"/>
    <w:rsid w:val="00807CDF"/>
    <w:rsid w:val="00807D01"/>
    <w:rsid w:val="00807E1D"/>
    <w:rsid w:val="00807E69"/>
    <w:rsid w:val="008100CC"/>
    <w:rsid w:val="008100D5"/>
    <w:rsid w:val="008103C4"/>
    <w:rsid w:val="00810447"/>
    <w:rsid w:val="008104D4"/>
    <w:rsid w:val="00810581"/>
    <w:rsid w:val="008106A9"/>
    <w:rsid w:val="008108AB"/>
    <w:rsid w:val="008108F5"/>
    <w:rsid w:val="00810BE7"/>
    <w:rsid w:val="00810C58"/>
    <w:rsid w:val="00810DA0"/>
    <w:rsid w:val="00810E7A"/>
    <w:rsid w:val="00810FD4"/>
    <w:rsid w:val="008110A9"/>
    <w:rsid w:val="008110B9"/>
    <w:rsid w:val="008111A9"/>
    <w:rsid w:val="008113E5"/>
    <w:rsid w:val="008114BC"/>
    <w:rsid w:val="00811670"/>
    <w:rsid w:val="00811766"/>
    <w:rsid w:val="00811871"/>
    <w:rsid w:val="00811A9A"/>
    <w:rsid w:val="00811BB1"/>
    <w:rsid w:val="00811DC5"/>
    <w:rsid w:val="00811F6E"/>
    <w:rsid w:val="00811FE5"/>
    <w:rsid w:val="0081209E"/>
    <w:rsid w:val="00812636"/>
    <w:rsid w:val="008127C4"/>
    <w:rsid w:val="00812982"/>
    <w:rsid w:val="00812A5A"/>
    <w:rsid w:val="00812A92"/>
    <w:rsid w:val="00812AB2"/>
    <w:rsid w:val="00812C26"/>
    <w:rsid w:val="0081300C"/>
    <w:rsid w:val="008130A7"/>
    <w:rsid w:val="0081327C"/>
    <w:rsid w:val="0081329E"/>
    <w:rsid w:val="00813335"/>
    <w:rsid w:val="0081336A"/>
    <w:rsid w:val="00813455"/>
    <w:rsid w:val="008136E7"/>
    <w:rsid w:val="00813718"/>
    <w:rsid w:val="00813AD0"/>
    <w:rsid w:val="00813C4A"/>
    <w:rsid w:val="00813C66"/>
    <w:rsid w:val="00813D47"/>
    <w:rsid w:val="008142F1"/>
    <w:rsid w:val="008143F9"/>
    <w:rsid w:val="0081447E"/>
    <w:rsid w:val="008144C3"/>
    <w:rsid w:val="0081456E"/>
    <w:rsid w:val="00814618"/>
    <w:rsid w:val="0081462F"/>
    <w:rsid w:val="00814749"/>
    <w:rsid w:val="008147F2"/>
    <w:rsid w:val="00814898"/>
    <w:rsid w:val="008149A0"/>
    <w:rsid w:val="00814A8F"/>
    <w:rsid w:val="00814C3A"/>
    <w:rsid w:val="00814D6F"/>
    <w:rsid w:val="00814F4B"/>
    <w:rsid w:val="00814FB9"/>
    <w:rsid w:val="00814FBA"/>
    <w:rsid w:val="0081504C"/>
    <w:rsid w:val="0081504E"/>
    <w:rsid w:val="0081514E"/>
    <w:rsid w:val="008152A7"/>
    <w:rsid w:val="00815319"/>
    <w:rsid w:val="008156F8"/>
    <w:rsid w:val="008157DA"/>
    <w:rsid w:val="00815869"/>
    <w:rsid w:val="00815AB9"/>
    <w:rsid w:val="00815B1F"/>
    <w:rsid w:val="00815D93"/>
    <w:rsid w:val="00815EFE"/>
    <w:rsid w:val="0081618E"/>
    <w:rsid w:val="008161C1"/>
    <w:rsid w:val="008161CB"/>
    <w:rsid w:val="00816255"/>
    <w:rsid w:val="00816288"/>
    <w:rsid w:val="008162BB"/>
    <w:rsid w:val="008162EA"/>
    <w:rsid w:val="0081640C"/>
    <w:rsid w:val="00816470"/>
    <w:rsid w:val="0081649B"/>
    <w:rsid w:val="0081661E"/>
    <w:rsid w:val="008166B6"/>
    <w:rsid w:val="008166DA"/>
    <w:rsid w:val="0081686D"/>
    <w:rsid w:val="00816991"/>
    <w:rsid w:val="00816A75"/>
    <w:rsid w:val="00816B2C"/>
    <w:rsid w:val="00816CF2"/>
    <w:rsid w:val="00816D16"/>
    <w:rsid w:val="00816DBB"/>
    <w:rsid w:val="00816E2C"/>
    <w:rsid w:val="0081708D"/>
    <w:rsid w:val="008170CE"/>
    <w:rsid w:val="00817133"/>
    <w:rsid w:val="00817475"/>
    <w:rsid w:val="008175F7"/>
    <w:rsid w:val="00817808"/>
    <w:rsid w:val="008179BC"/>
    <w:rsid w:val="00817BF1"/>
    <w:rsid w:val="00817D61"/>
    <w:rsid w:val="00817E06"/>
    <w:rsid w:val="00817E4F"/>
    <w:rsid w:val="00817EBC"/>
    <w:rsid w:val="00817F5B"/>
    <w:rsid w:val="00817F6D"/>
    <w:rsid w:val="00820196"/>
    <w:rsid w:val="0082021F"/>
    <w:rsid w:val="0082043E"/>
    <w:rsid w:val="00820468"/>
    <w:rsid w:val="00820878"/>
    <w:rsid w:val="0082094B"/>
    <w:rsid w:val="008209F0"/>
    <w:rsid w:val="00820A10"/>
    <w:rsid w:val="00820DA5"/>
    <w:rsid w:val="00820E9E"/>
    <w:rsid w:val="00820EC9"/>
    <w:rsid w:val="0082135C"/>
    <w:rsid w:val="00821435"/>
    <w:rsid w:val="0082156B"/>
    <w:rsid w:val="0082165F"/>
    <w:rsid w:val="008218DE"/>
    <w:rsid w:val="00821955"/>
    <w:rsid w:val="008219A1"/>
    <w:rsid w:val="00821BCF"/>
    <w:rsid w:val="00821DD9"/>
    <w:rsid w:val="00821FC6"/>
    <w:rsid w:val="0082221A"/>
    <w:rsid w:val="008226BC"/>
    <w:rsid w:val="008229B1"/>
    <w:rsid w:val="00822A96"/>
    <w:rsid w:val="00822ADC"/>
    <w:rsid w:val="00822BA5"/>
    <w:rsid w:val="00822EB8"/>
    <w:rsid w:val="008233E3"/>
    <w:rsid w:val="008233EA"/>
    <w:rsid w:val="00823662"/>
    <w:rsid w:val="00823731"/>
    <w:rsid w:val="008237BC"/>
    <w:rsid w:val="00823841"/>
    <w:rsid w:val="0082385C"/>
    <w:rsid w:val="00823A17"/>
    <w:rsid w:val="00823B8D"/>
    <w:rsid w:val="00823BF6"/>
    <w:rsid w:val="00823C09"/>
    <w:rsid w:val="00823D23"/>
    <w:rsid w:val="00823D37"/>
    <w:rsid w:val="00823D97"/>
    <w:rsid w:val="00823E4A"/>
    <w:rsid w:val="00823F2E"/>
    <w:rsid w:val="00824262"/>
    <w:rsid w:val="008242C9"/>
    <w:rsid w:val="008242E3"/>
    <w:rsid w:val="00824338"/>
    <w:rsid w:val="00824799"/>
    <w:rsid w:val="00824915"/>
    <w:rsid w:val="008249ED"/>
    <w:rsid w:val="00824A01"/>
    <w:rsid w:val="00824ABC"/>
    <w:rsid w:val="00824CDB"/>
    <w:rsid w:val="00824D7E"/>
    <w:rsid w:val="00825194"/>
    <w:rsid w:val="00825245"/>
    <w:rsid w:val="00825509"/>
    <w:rsid w:val="00825876"/>
    <w:rsid w:val="0082597A"/>
    <w:rsid w:val="008259D1"/>
    <w:rsid w:val="00825B4A"/>
    <w:rsid w:val="00825B97"/>
    <w:rsid w:val="00825C52"/>
    <w:rsid w:val="00825C96"/>
    <w:rsid w:val="00825CD6"/>
    <w:rsid w:val="00825DD8"/>
    <w:rsid w:val="00825E66"/>
    <w:rsid w:val="00825E8B"/>
    <w:rsid w:val="00826151"/>
    <w:rsid w:val="008261C3"/>
    <w:rsid w:val="008262AE"/>
    <w:rsid w:val="0082659E"/>
    <w:rsid w:val="0082666F"/>
    <w:rsid w:val="00826B6B"/>
    <w:rsid w:val="00826C41"/>
    <w:rsid w:val="00826C62"/>
    <w:rsid w:val="008270F4"/>
    <w:rsid w:val="00827104"/>
    <w:rsid w:val="0082711F"/>
    <w:rsid w:val="008272B0"/>
    <w:rsid w:val="0082745A"/>
    <w:rsid w:val="00827653"/>
    <w:rsid w:val="00827772"/>
    <w:rsid w:val="00827AFB"/>
    <w:rsid w:val="00827C12"/>
    <w:rsid w:val="00827D7D"/>
    <w:rsid w:val="00827EEE"/>
    <w:rsid w:val="00827F64"/>
    <w:rsid w:val="0083015B"/>
    <w:rsid w:val="0083032B"/>
    <w:rsid w:val="0083043B"/>
    <w:rsid w:val="00830471"/>
    <w:rsid w:val="008305F6"/>
    <w:rsid w:val="00830972"/>
    <w:rsid w:val="00830B5B"/>
    <w:rsid w:val="00830D68"/>
    <w:rsid w:val="00830E13"/>
    <w:rsid w:val="00830E28"/>
    <w:rsid w:val="00830E99"/>
    <w:rsid w:val="00831022"/>
    <w:rsid w:val="0083108E"/>
    <w:rsid w:val="008312EA"/>
    <w:rsid w:val="00831303"/>
    <w:rsid w:val="008315F5"/>
    <w:rsid w:val="00831731"/>
    <w:rsid w:val="0083182F"/>
    <w:rsid w:val="00831952"/>
    <w:rsid w:val="008319A6"/>
    <w:rsid w:val="00831AD5"/>
    <w:rsid w:val="00831CB3"/>
    <w:rsid w:val="00831D04"/>
    <w:rsid w:val="00831DF6"/>
    <w:rsid w:val="00831E39"/>
    <w:rsid w:val="00831E4F"/>
    <w:rsid w:val="00831EED"/>
    <w:rsid w:val="0083208B"/>
    <w:rsid w:val="00832617"/>
    <w:rsid w:val="0083286E"/>
    <w:rsid w:val="00832A09"/>
    <w:rsid w:val="00832B27"/>
    <w:rsid w:val="00832B4A"/>
    <w:rsid w:val="00832C02"/>
    <w:rsid w:val="00832C05"/>
    <w:rsid w:val="00832C8A"/>
    <w:rsid w:val="00833128"/>
    <w:rsid w:val="008333A3"/>
    <w:rsid w:val="0083345A"/>
    <w:rsid w:val="008334C3"/>
    <w:rsid w:val="0083352C"/>
    <w:rsid w:val="008335D0"/>
    <w:rsid w:val="00833866"/>
    <w:rsid w:val="008338A5"/>
    <w:rsid w:val="00833953"/>
    <w:rsid w:val="00833B20"/>
    <w:rsid w:val="00833BC9"/>
    <w:rsid w:val="00833E79"/>
    <w:rsid w:val="00833FA6"/>
    <w:rsid w:val="008341ED"/>
    <w:rsid w:val="00834333"/>
    <w:rsid w:val="008343CE"/>
    <w:rsid w:val="0083455E"/>
    <w:rsid w:val="0083456C"/>
    <w:rsid w:val="00834633"/>
    <w:rsid w:val="0083470F"/>
    <w:rsid w:val="008348AE"/>
    <w:rsid w:val="008348E8"/>
    <w:rsid w:val="00834A15"/>
    <w:rsid w:val="00834A72"/>
    <w:rsid w:val="00834AC0"/>
    <w:rsid w:val="00834B81"/>
    <w:rsid w:val="00834BC1"/>
    <w:rsid w:val="00834C19"/>
    <w:rsid w:val="00834C85"/>
    <w:rsid w:val="00834CE3"/>
    <w:rsid w:val="00834F82"/>
    <w:rsid w:val="00835383"/>
    <w:rsid w:val="008354E7"/>
    <w:rsid w:val="008356B2"/>
    <w:rsid w:val="0083581F"/>
    <w:rsid w:val="008359F2"/>
    <w:rsid w:val="00835AD3"/>
    <w:rsid w:val="00835B06"/>
    <w:rsid w:val="00835C91"/>
    <w:rsid w:val="00835CB4"/>
    <w:rsid w:val="00835D90"/>
    <w:rsid w:val="00835E17"/>
    <w:rsid w:val="00835FAC"/>
    <w:rsid w:val="008360F6"/>
    <w:rsid w:val="008364D8"/>
    <w:rsid w:val="0083694C"/>
    <w:rsid w:val="0083702A"/>
    <w:rsid w:val="0083706F"/>
    <w:rsid w:val="00837102"/>
    <w:rsid w:val="00837307"/>
    <w:rsid w:val="00837351"/>
    <w:rsid w:val="00837392"/>
    <w:rsid w:val="008374F5"/>
    <w:rsid w:val="00837578"/>
    <w:rsid w:val="0083764E"/>
    <w:rsid w:val="00837A83"/>
    <w:rsid w:val="00837AD7"/>
    <w:rsid w:val="00837C4E"/>
    <w:rsid w:val="00837C69"/>
    <w:rsid w:val="00837D8D"/>
    <w:rsid w:val="00837F72"/>
    <w:rsid w:val="00837FCC"/>
    <w:rsid w:val="00840074"/>
    <w:rsid w:val="0084008A"/>
    <w:rsid w:val="00840565"/>
    <w:rsid w:val="00840817"/>
    <w:rsid w:val="008408D3"/>
    <w:rsid w:val="00840926"/>
    <w:rsid w:val="00840959"/>
    <w:rsid w:val="00840BAA"/>
    <w:rsid w:val="00840BAC"/>
    <w:rsid w:val="00841094"/>
    <w:rsid w:val="008413B1"/>
    <w:rsid w:val="00841411"/>
    <w:rsid w:val="00841702"/>
    <w:rsid w:val="0084190F"/>
    <w:rsid w:val="00841922"/>
    <w:rsid w:val="00841B6B"/>
    <w:rsid w:val="00841D3C"/>
    <w:rsid w:val="00841EA4"/>
    <w:rsid w:val="00841F60"/>
    <w:rsid w:val="00841FA1"/>
    <w:rsid w:val="00842267"/>
    <w:rsid w:val="0084242B"/>
    <w:rsid w:val="00842482"/>
    <w:rsid w:val="00842573"/>
    <w:rsid w:val="00842862"/>
    <w:rsid w:val="00842A26"/>
    <w:rsid w:val="00842D73"/>
    <w:rsid w:val="008430D5"/>
    <w:rsid w:val="008431E7"/>
    <w:rsid w:val="008434E0"/>
    <w:rsid w:val="0084355D"/>
    <w:rsid w:val="00843604"/>
    <w:rsid w:val="00843631"/>
    <w:rsid w:val="008437D7"/>
    <w:rsid w:val="008439A8"/>
    <w:rsid w:val="008439D3"/>
    <w:rsid w:val="00843AD8"/>
    <w:rsid w:val="00843BF8"/>
    <w:rsid w:val="00843C14"/>
    <w:rsid w:val="00843CA7"/>
    <w:rsid w:val="00843CB7"/>
    <w:rsid w:val="00843D32"/>
    <w:rsid w:val="00843EA4"/>
    <w:rsid w:val="00843F0D"/>
    <w:rsid w:val="00843F62"/>
    <w:rsid w:val="00843F95"/>
    <w:rsid w:val="0084403F"/>
    <w:rsid w:val="0084414E"/>
    <w:rsid w:val="00844153"/>
    <w:rsid w:val="008441E6"/>
    <w:rsid w:val="00844307"/>
    <w:rsid w:val="0084444B"/>
    <w:rsid w:val="008446B7"/>
    <w:rsid w:val="008446DF"/>
    <w:rsid w:val="00844865"/>
    <w:rsid w:val="00844ACD"/>
    <w:rsid w:val="00844B90"/>
    <w:rsid w:val="00844BA1"/>
    <w:rsid w:val="00844C75"/>
    <w:rsid w:val="00844D4D"/>
    <w:rsid w:val="00844F0C"/>
    <w:rsid w:val="00845047"/>
    <w:rsid w:val="00845270"/>
    <w:rsid w:val="008452A4"/>
    <w:rsid w:val="0084551E"/>
    <w:rsid w:val="00845524"/>
    <w:rsid w:val="008457AD"/>
    <w:rsid w:val="0084587E"/>
    <w:rsid w:val="008458FB"/>
    <w:rsid w:val="00845AE2"/>
    <w:rsid w:val="00845CEF"/>
    <w:rsid w:val="00845DB8"/>
    <w:rsid w:val="00845E92"/>
    <w:rsid w:val="00845FAE"/>
    <w:rsid w:val="008463B2"/>
    <w:rsid w:val="008464D0"/>
    <w:rsid w:val="00846592"/>
    <w:rsid w:val="008468A9"/>
    <w:rsid w:val="00846935"/>
    <w:rsid w:val="00846A4A"/>
    <w:rsid w:val="00846CAC"/>
    <w:rsid w:val="00846EDC"/>
    <w:rsid w:val="00846F27"/>
    <w:rsid w:val="008470FA"/>
    <w:rsid w:val="00847118"/>
    <w:rsid w:val="0084721A"/>
    <w:rsid w:val="00847658"/>
    <w:rsid w:val="008476CE"/>
    <w:rsid w:val="008477D2"/>
    <w:rsid w:val="008479B8"/>
    <w:rsid w:val="00847D72"/>
    <w:rsid w:val="00847FF5"/>
    <w:rsid w:val="0085028B"/>
    <w:rsid w:val="008502FC"/>
    <w:rsid w:val="008507F3"/>
    <w:rsid w:val="00850950"/>
    <w:rsid w:val="00850A18"/>
    <w:rsid w:val="00850A78"/>
    <w:rsid w:val="00850BBC"/>
    <w:rsid w:val="00850BF0"/>
    <w:rsid w:val="00850ED6"/>
    <w:rsid w:val="008513E5"/>
    <w:rsid w:val="008513F1"/>
    <w:rsid w:val="008514B0"/>
    <w:rsid w:val="008517A8"/>
    <w:rsid w:val="008517B9"/>
    <w:rsid w:val="00851865"/>
    <w:rsid w:val="008518D1"/>
    <w:rsid w:val="00851A38"/>
    <w:rsid w:val="00851D95"/>
    <w:rsid w:val="00851DD7"/>
    <w:rsid w:val="00851F6B"/>
    <w:rsid w:val="00851FC8"/>
    <w:rsid w:val="00852126"/>
    <w:rsid w:val="00852139"/>
    <w:rsid w:val="008521DF"/>
    <w:rsid w:val="008521FF"/>
    <w:rsid w:val="0085225D"/>
    <w:rsid w:val="00852350"/>
    <w:rsid w:val="0085245B"/>
    <w:rsid w:val="008524F5"/>
    <w:rsid w:val="008528C6"/>
    <w:rsid w:val="008528EB"/>
    <w:rsid w:val="00852984"/>
    <w:rsid w:val="00852A82"/>
    <w:rsid w:val="00852B17"/>
    <w:rsid w:val="00852C4C"/>
    <w:rsid w:val="00852D32"/>
    <w:rsid w:val="00852E78"/>
    <w:rsid w:val="00852E7C"/>
    <w:rsid w:val="00852FF0"/>
    <w:rsid w:val="00853097"/>
    <w:rsid w:val="00853264"/>
    <w:rsid w:val="00853393"/>
    <w:rsid w:val="008533F7"/>
    <w:rsid w:val="008535F9"/>
    <w:rsid w:val="008537E1"/>
    <w:rsid w:val="008537F2"/>
    <w:rsid w:val="0085385C"/>
    <w:rsid w:val="00853A66"/>
    <w:rsid w:val="00853CBC"/>
    <w:rsid w:val="00853DD3"/>
    <w:rsid w:val="00853DFA"/>
    <w:rsid w:val="00853EB5"/>
    <w:rsid w:val="0085409C"/>
    <w:rsid w:val="0085429F"/>
    <w:rsid w:val="008542ED"/>
    <w:rsid w:val="008543C0"/>
    <w:rsid w:val="00854553"/>
    <w:rsid w:val="008545BE"/>
    <w:rsid w:val="00854640"/>
    <w:rsid w:val="00854688"/>
    <w:rsid w:val="008546F5"/>
    <w:rsid w:val="0085474D"/>
    <w:rsid w:val="00854958"/>
    <w:rsid w:val="0085496E"/>
    <w:rsid w:val="00854B91"/>
    <w:rsid w:val="00854EC6"/>
    <w:rsid w:val="00854F03"/>
    <w:rsid w:val="0085529F"/>
    <w:rsid w:val="008553A8"/>
    <w:rsid w:val="00855810"/>
    <w:rsid w:val="00855A13"/>
    <w:rsid w:val="00855A81"/>
    <w:rsid w:val="00855AFC"/>
    <w:rsid w:val="00855B56"/>
    <w:rsid w:val="00855BFC"/>
    <w:rsid w:val="00855D53"/>
    <w:rsid w:val="00855D92"/>
    <w:rsid w:val="00855E71"/>
    <w:rsid w:val="00855EC3"/>
    <w:rsid w:val="00855F24"/>
    <w:rsid w:val="00855FF1"/>
    <w:rsid w:val="0085600F"/>
    <w:rsid w:val="008561B0"/>
    <w:rsid w:val="00856505"/>
    <w:rsid w:val="008565F0"/>
    <w:rsid w:val="00856AE9"/>
    <w:rsid w:val="00856B25"/>
    <w:rsid w:val="00856BEE"/>
    <w:rsid w:val="00856BF0"/>
    <w:rsid w:val="00856BF9"/>
    <w:rsid w:val="00856C02"/>
    <w:rsid w:val="00856CBE"/>
    <w:rsid w:val="00856D09"/>
    <w:rsid w:val="00857052"/>
    <w:rsid w:val="00857442"/>
    <w:rsid w:val="0085752A"/>
    <w:rsid w:val="00857631"/>
    <w:rsid w:val="008577ED"/>
    <w:rsid w:val="00857B13"/>
    <w:rsid w:val="00857D17"/>
    <w:rsid w:val="00857F50"/>
    <w:rsid w:val="00857FCD"/>
    <w:rsid w:val="0086015F"/>
    <w:rsid w:val="008602C1"/>
    <w:rsid w:val="0086035F"/>
    <w:rsid w:val="008603F2"/>
    <w:rsid w:val="00860526"/>
    <w:rsid w:val="008609B1"/>
    <w:rsid w:val="00860C29"/>
    <w:rsid w:val="00860CE0"/>
    <w:rsid w:val="00860FE0"/>
    <w:rsid w:val="00860FFC"/>
    <w:rsid w:val="008610A6"/>
    <w:rsid w:val="008610EC"/>
    <w:rsid w:val="008610F1"/>
    <w:rsid w:val="008611F2"/>
    <w:rsid w:val="0086122F"/>
    <w:rsid w:val="008613B7"/>
    <w:rsid w:val="008617A8"/>
    <w:rsid w:val="008619CA"/>
    <w:rsid w:val="00861CFA"/>
    <w:rsid w:val="00861E87"/>
    <w:rsid w:val="00861F8F"/>
    <w:rsid w:val="0086203C"/>
    <w:rsid w:val="0086204A"/>
    <w:rsid w:val="0086215C"/>
    <w:rsid w:val="00862169"/>
    <w:rsid w:val="008621C3"/>
    <w:rsid w:val="00862213"/>
    <w:rsid w:val="008623C1"/>
    <w:rsid w:val="00862414"/>
    <w:rsid w:val="0086254A"/>
    <w:rsid w:val="008625E3"/>
    <w:rsid w:val="008627A3"/>
    <w:rsid w:val="00862C83"/>
    <w:rsid w:val="00862D1D"/>
    <w:rsid w:val="00862E28"/>
    <w:rsid w:val="0086326E"/>
    <w:rsid w:val="00863290"/>
    <w:rsid w:val="008635D3"/>
    <w:rsid w:val="008639DB"/>
    <w:rsid w:val="00863B7D"/>
    <w:rsid w:val="00863D41"/>
    <w:rsid w:val="00863EE7"/>
    <w:rsid w:val="00863F5E"/>
    <w:rsid w:val="00864078"/>
    <w:rsid w:val="00864191"/>
    <w:rsid w:val="00864243"/>
    <w:rsid w:val="00864311"/>
    <w:rsid w:val="0086432B"/>
    <w:rsid w:val="0086432E"/>
    <w:rsid w:val="00864399"/>
    <w:rsid w:val="00864434"/>
    <w:rsid w:val="0086458F"/>
    <w:rsid w:val="00864668"/>
    <w:rsid w:val="0086475F"/>
    <w:rsid w:val="00864A4C"/>
    <w:rsid w:val="00864CCD"/>
    <w:rsid w:val="00864D95"/>
    <w:rsid w:val="00864DA3"/>
    <w:rsid w:val="00864DC4"/>
    <w:rsid w:val="00864F27"/>
    <w:rsid w:val="008650B9"/>
    <w:rsid w:val="008653B3"/>
    <w:rsid w:val="008655AD"/>
    <w:rsid w:val="008655CE"/>
    <w:rsid w:val="00865615"/>
    <w:rsid w:val="008656E0"/>
    <w:rsid w:val="008656F9"/>
    <w:rsid w:val="00865710"/>
    <w:rsid w:val="00865818"/>
    <w:rsid w:val="00865858"/>
    <w:rsid w:val="00865CCE"/>
    <w:rsid w:val="00865DEE"/>
    <w:rsid w:val="00865E29"/>
    <w:rsid w:val="00865E96"/>
    <w:rsid w:val="00865ED8"/>
    <w:rsid w:val="00866175"/>
    <w:rsid w:val="00866184"/>
    <w:rsid w:val="00866222"/>
    <w:rsid w:val="008662AB"/>
    <w:rsid w:val="008662ED"/>
    <w:rsid w:val="00866332"/>
    <w:rsid w:val="00866681"/>
    <w:rsid w:val="008669B6"/>
    <w:rsid w:val="00866CC1"/>
    <w:rsid w:val="00866E1B"/>
    <w:rsid w:val="00866E2E"/>
    <w:rsid w:val="00866F19"/>
    <w:rsid w:val="008672F7"/>
    <w:rsid w:val="00867736"/>
    <w:rsid w:val="008678B8"/>
    <w:rsid w:val="0086795D"/>
    <w:rsid w:val="0086797C"/>
    <w:rsid w:val="008679FB"/>
    <w:rsid w:val="00867A04"/>
    <w:rsid w:val="00867A4E"/>
    <w:rsid w:val="00867B6B"/>
    <w:rsid w:val="00867C07"/>
    <w:rsid w:val="00867C66"/>
    <w:rsid w:val="00867C8D"/>
    <w:rsid w:val="00867C9F"/>
    <w:rsid w:val="00867D69"/>
    <w:rsid w:val="00867FEE"/>
    <w:rsid w:val="0087030D"/>
    <w:rsid w:val="008703BA"/>
    <w:rsid w:val="00870546"/>
    <w:rsid w:val="008705BD"/>
    <w:rsid w:val="0087067E"/>
    <w:rsid w:val="00870706"/>
    <w:rsid w:val="008707C8"/>
    <w:rsid w:val="00870835"/>
    <w:rsid w:val="00870FA8"/>
    <w:rsid w:val="008711A6"/>
    <w:rsid w:val="00871317"/>
    <w:rsid w:val="0087136F"/>
    <w:rsid w:val="0087153E"/>
    <w:rsid w:val="00871599"/>
    <w:rsid w:val="008715D2"/>
    <w:rsid w:val="00871695"/>
    <w:rsid w:val="008718C0"/>
    <w:rsid w:val="00871951"/>
    <w:rsid w:val="008719D4"/>
    <w:rsid w:val="00871A39"/>
    <w:rsid w:val="00871B2E"/>
    <w:rsid w:val="00871B7B"/>
    <w:rsid w:val="00871B84"/>
    <w:rsid w:val="00871D5D"/>
    <w:rsid w:val="00871DD4"/>
    <w:rsid w:val="00871DE2"/>
    <w:rsid w:val="00871DF8"/>
    <w:rsid w:val="00871E0B"/>
    <w:rsid w:val="00871E0E"/>
    <w:rsid w:val="008720D6"/>
    <w:rsid w:val="00872220"/>
    <w:rsid w:val="008723C8"/>
    <w:rsid w:val="008725E9"/>
    <w:rsid w:val="0087261E"/>
    <w:rsid w:val="00872A4A"/>
    <w:rsid w:val="00872ABA"/>
    <w:rsid w:val="00872AE4"/>
    <w:rsid w:val="00872B07"/>
    <w:rsid w:val="00872CA4"/>
    <w:rsid w:val="00872D0E"/>
    <w:rsid w:val="00872D69"/>
    <w:rsid w:val="00872DAC"/>
    <w:rsid w:val="00872DCD"/>
    <w:rsid w:val="00872E20"/>
    <w:rsid w:val="00872FE0"/>
    <w:rsid w:val="0087322E"/>
    <w:rsid w:val="0087378F"/>
    <w:rsid w:val="00873A1F"/>
    <w:rsid w:val="00873A22"/>
    <w:rsid w:val="00873A5D"/>
    <w:rsid w:val="00873A79"/>
    <w:rsid w:val="00873B0D"/>
    <w:rsid w:val="00873B87"/>
    <w:rsid w:val="00874205"/>
    <w:rsid w:val="008742C4"/>
    <w:rsid w:val="008743D8"/>
    <w:rsid w:val="00874940"/>
    <w:rsid w:val="00874DCF"/>
    <w:rsid w:val="00874F3C"/>
    <w:rsid w:val="00874FC4"/>
    <w:rsid w:val="008750E8"/>
    <w:rsid w:val="0087519F"/>
    <w:rsid w:val="008751B4"/>
    <w:rsid w:val="00875388"/>
    <w:rsid w:val="00875418"/>
    <w:rsid w:val="008755C8"/>
    <w:rsid w:val="00875621"/>
    <w:rsid w:val="008756FF"/>
    <w:rsid w:val="00875858"/>
    <w:rsid w:val="00875927"/>
    <w:rsid w:val="00875A4B"/>
    <w:rsid w:val="00875A9C"/>
    <w:rsid w:val="00875B86"/>
    <w:rsid w:val="00875B9D"/>
    <w:rsid w:val="00875C02"/>
    <w:rsid w:val="00875CF2"/>
    <w:rsid w:val="00875F00"/>
    <w:rsid w:val="00875F07"/>
    <w:rsid w:val="00875FB3"/>
    <w:rsid w:val="00876044"/>
    <w:rsid w:val="00876150"/>
    <w:rsid w:val="00876236"/>
    <w:rsid w:val="008762D0"/>
    <w:rsid w:val="00876361"/>
    <w:rsid w:val="00876969"/>
    <w:rsid w:val="00876AA7"/>
    <w:rsid w:val="00876BBA"/>
    <w:rsid w:val="00876C5F"/>
    <w:rsid w:val="00876D68"/>
    <w:rsid w:val="00876D98"/>
    <w:rsid w:val="00876EF7"/>
    <w:rsid w:val="00876F72"/>
    <w:rsid w:val="00876FFB"/>
    <w:rsid w:val="00877064"/>
    <w:rsid w:val="00877188"/>
    <w:rsid w:val="00877236"/>
    <w:rsid w:val="008772B3"/>
    <w:rsid w:val="00877320"/>
    <w:rsid w:val="00877415"/>
    <w:rsid w:val="0087749C"/>
    <w:rsid w:val="0087763D"/>
    <w:rsid w:val="0087773A"/>
    <w:rsid w:val="008777D9"/>
    <w:rsid w:val="0087797C"/>
    <w:rsid w:val="00877AA4"/>
    <w:rsid w:val="00877B06"/>
    <w:rsid w:val="00877C25"/>
    <w:rsid w:val="00877D29"/>
    <w:rsid w:val="00877D56"/>
    <w:rsid w:val="00877EBC"/>
    <w:rsid w:val="008800D2"/>
    <w:rsid w:val="00880126"/>
    <w:rsid w:val="008801C9"/>
    <w:rsid w:val="00880619"/>
    <w:rsid w:val="008806A0"/>
    <w:rsid w:val="00880897"/>
    <w:rsid w:val="008808AA"/>
    <w:rsid w:val="0088099A"/>
    <w:rsid w:val="008809EF"/>
    <w:rsid w:val="00880BC8"/>
    <w:rsid w:val="00880CFB"/>
    <w:rsid w:val="00880DB8"/>
    <w:rsid w:val="00880EBD"/>
    <w:rsid w:val="00880F45"/>
    <w:rsid w:val="00880FB4"/>
    <w:rsid w:val="00881200"/>
    <w:rsid w:val="008813E1"/>
    <w:rsid w:val="008818FA"/>
    <w:rsid w:val="00881983"/>
    <w:rsid w:val="008819B7"/>
    <w:rsid w:val="00881BC4"/>
    <w:rsid w:val="00881C95"/>
    <w:rsid w:val="00881E17"/>
    <w:rsid w:val="00881EEF"/>
    <w:rsid w:val="00881F45"/>
    <w:rsid w:val="0088229D"/>
    <w:rsid w:val="008823E0"/>
    <w:rsid w:val="008824A8"/>
    <w:rsid w:val="00882591"/>
    <w:rsid w:val="00882611"/>
    <w:rsid w:val="00882612"/>
    <w:rsid w:val="0088270A"/>
    <w:rsid w:val="0088270C"/>
    <w:rsid w:val="00882825"/>
    <w:rsid w:val="008829A7"/>
    <w:rsid w:val="00882A41"/>
    <w:rsid w:val="00882CF6"/>
    <w:rsid w:val="00882DB5"/>
    <w:rsid w:val="00883095"/>
    <w:rsid w:val="0088318F"/>
    <w:rsid w:val="008837C2"/>
    <w:rsid w:val="008837D1"/>
    <w:rsid w:val="00883837"/>
    <w:rsid w:val="00883894"/>
    <w:rsid w:val="00883D80"/>
    <w:rsid w:val="00883DC2"/>
    <w:rsid w:val="00883F7F"/>
    <w:rsid w:val="0088404A"/>
    <w:rsid w:val="008840F9"/>
    <w:rsid w:val="008841BC"/>
    <w:rsid w:val="00884548"/>
    <w:rsid w:val="0088494E"/>
    <w:rsid w:val="00884AC0"/>
    <w:rsid w:val="00884CC4"/>
    <w:rsid w:val="00884D39"/>
    <w:rsid w:val="00884E4B"/>
    <w:rsid w:val="00884F6F"/>
    <w:rsid w:val="00885091"/>
    <w:rsid w:val="008852ED"/>
    <w:rsid w:val="008853F0"/>
    <w:rsid w:val="00885451"/>
    <w:rsid w:val="00885905"/>
    <w:rsid w:val="00885968"/>
    <w:rsid w:val="00885DBC"/>
    <w:rsid w:val="00885E2B"/>
    <w:rsid w:val="00885EB7"/>
    <w:rsid w:val="00885EE6"/>
    <w:rsid w:val="0088600B"/>
    <w:rsid w:val="008861C8"/>
    <w:rsid w:val="00886432"/>
    <w:rsid w:val="00886573"/>
    <w:rsid w:val="008865D7"/>
    <w:rsid w:val="00886643"/>
    <w:rsid w:val="008866B6"/>
    <w:rsid w:val="00886890"/>
    <w:rsid w:val="008868B8"/>
    <w:rsid w:val="00886A33"/>
    <w:rsid w:val="0088701D"/>
    <w:rsid w:val="00887142"/>
    <w:rsid w:val="00887171"/>
    <w:rsid w:val="0088751F"/>
    <w:rsid w:val="008876C4"/>
    <w:rsid w:val="008876FA"/>
    <w:rsid w:val="0088786B"/>
    <w:rsid w:val="00887A53"/>
    <w:rsid w:val="00887A55"/>
    <w:rsid w:val="00887BA9"/>
    <w:rsid w:val="00887D61"/>
    <w:rsid w:val="00887D67"/>
    <w:rsid w:val="00887EA2"/>
    <w:rsid w:val="00890125"/>
    <w:rsid w:val="0089029B"/>
    <w:rsid w:val="008902BE"/>
    <w:rsid w:val="008902ED"/>
    <w:rsid w:val="00890409"/>
    <w:rsid w:val="00890465"/>
    <w:rsid w:val="0089046D"/>
    <w:rsid w:val="008904EF"/>
    <w:rsid w:val="008904FC"/>
    <w:rsid w:val="008905C2"/>
    <w:rsid w:val="008905ED"/>
    <w:rsid w:val="00890603"/>
    <w:rsid w:val="0089073A"/>
    <w:rsid w:val="00890743"/>
    <w:rsid w:val="00890805"/>
    <w:rsid w:val="008908D4"/>
    <w:rsid w:val="008908D7"/>
    <w:rsid w:val="00890C87"/>
    <w:rsid w:val="00890F85"/>
    <w:rsid w:val="008910A8"/>
    <w:rsid w:val="008910C7"/>
    <w:rsid w:val="008915C0"/>
    <w:rsid w:val="00891617"/>
    <w:rsid w:val="00891638"/>
    <w:rsid w:val="008916B2"/>
    <w:rsid w:val="00891708"/>
    <w:rsid w:val="0089185D"/>
    <w:rsid w:val="00891860"/>
    <w:rsid w:val="00891AAB"/>
    <w:rsid w:val="00891AEE"/>
    <w:rsid w:val="00891C29"/>
    <w:rsid w:val="00891CA8"/>
    <w:rsid w:val="00891E1B"/>
    <w:rsid w:val="00891E25"/>
    <w:rsid w:val="00891E47"/>
    <w:rsid w:val="00891E79"/>
    <w:rsid w:val="00891E97"/>
    <w:rsid w:val="008921EE"/>
    <w:rsid w:val="00892206"/>
    <w:rsid w:val="0089221B"/>
    <w:rsid w:val="0089221C"/>
    <w:rsid w:val="00892264"/>
    <w:rsid w:val="008922B3"/>
    <w:rsid w:val="00892388"/>
    <w:rsid w:val="00892698"/>
    <w:rsid w:val="008926BC"/>
    <w:rsid w:val="0089271C"/>
    <w:rsid w:val="008927D4"/>
    <w:rsid w:val="00892802"/>
    <w:rsid w:val="00892838"/>
    <w:rsid w:val="0089294B"/>
    <w:rsid w:val="00892AB1"/>
    <w:rsid w:val="00892B7B"/>
    <w:rsid w:val="00892B7D"/>
    <w:rsid w:val="00892CD5"/>
    <w:rsid w:val="00892DF4"/>
    <w:rsid w:val="00892F9C"/>
    <w:rsid w:val="008931E8"/>
    <w:rsid w:val="00893476"/>
    <w:rsid w:val="00893487"/>
    <w:rsid w:val="00893687"/>
    <w:rsid w:val="0089369F"/>
    <w:rsid w:val="0089382F"/>
    <w:rsid w:val="00893882"/>
    <w:rsid w:val="008938F9"/>
    <w:rsid w:val="00893A0A"/>
    <w:rsid w:val="00893C0B"/>
    <w:rsid w:val="00893C8F"/>
    <w:rsid w:val="0089406C"/>
    <w:rsid w:val="00894296"/>
    <w:rsid w:val="00894391"/>
    <w:rsid w:val="00894585"/>
    <w:rsid w:val="00894591"/>
    <w:rsid w:val="008945E0"/>
    <w:rsid w:val="0089463B"/>
    <w:rsid w:val="00894731"/>
    <w:rsid w:val="0089477B"/>
    <w:rsid w:val="0089478A"/>
    <w:rsid w:val="0089493A"/>
    <w:rsid w:val="00894A2F"/>
    <w:rsid w:val="00894BC0"/>
    <w:rsid w:val="00894CBD"/>
    <w:rsid w:val="00894E18"/>
    <w:rsid w:val="0089532C"/>
    <w:rsid w:val="008953DE"/>
    <w:rsid w:val="008953ED"/>
    <w:rsid w:val="008953F5"/>
    <w:rsid w:val="008955C2"/>
    <w:rsid w:val="00895748"/>
    <w:rsid w:val="00895A99"/>
    <w:rsid w:val="00895B8E"/>
    <w:rsid w:val="00895BFD"/>
    <w:rsid w:val="00895F0F"/>
    <w:rsid w:val="00895FCE"/>
    <w:rsid w:val="00896031"/>
    <w:rsid w:val="0089623E"/>
    <w:rsid w:val="0089641A"/>
    <w:rsid w:val="008964E6"/>
    <w:rsid w:val="008964F6"/>
    <w:rsid w:val="00896588"/>
    <w:rsid w:val="008966B1"/>
    <w:rsid w:val="0089681B"/>
    <w:rsid w:val="00896A9C"/>
    <w:rsid w:val="00896C41"/>
    <w:rsid w:val="00896CE4"/>
    <w:rsid w:val="00896DEE"/>
    <w:rsid w:val="00896E0E"/>
    <w:rsid w:val="00896EE8"/>
    <w:rsid w:val="00896EE9"/>
    <w:rsid w:val="0089703A"/>
    <w:rsid w:val="00897322"/>
    <w:rsid w:val="008974BB"/>
    <w:rsid w:val="00897517"/>
    <w:rsid w:val="008975E3"/>
    <w:rsid w:val="008975EA"/>
    <w:rsid w:val="008975F3"/>
    <w:rsid w:val="00897602"/>
    <w:rsid w:val="008976A4"/>
    <w:rsid w:val="0089781D"/>
    <w:rsid w:val="008978D4"/>
    <w:rsid w:val="0089792D"/>
    <w:rsid w:val="00897959"/>
    <w:rsid w:val="00897EA3"/>
    <w:rsid w:val="00897ED6"/>
    <w:rsid w:val="00897EDF"/>
    <w:rsid w:val="00897EF4"/>
    <w:rsid w:val="00897F0C"/>
    <w:rsid w:val="008A0016"/>
    <w:rsid w:val="008A0106"/>
    <w:rsid w:val="008A03AC"/>
    <w:rsid w:val="008A0408"/>
    <w:rsid w:val="008A09A9"/>
    <w:rsid w:val="008A0E02"/>
    <w:rsid w:val="008A0E82"/>
    <w:rsid w:val="008A11C5"/>
    <w:rsid w:val="008A11E0"/>
    <w:rsid w:val="008A120A"/>
    <w:rsid w:val="008A126A"/>
    <w:rsid w:val="008A1322"/>
    <w:rsid w:val="008A1575"/>
    <w:rsid w:val="008A167B"/>
    <w:rsid w:val="008A1723"/>
    <w:rsid w:val="008A1A3D"/>
    <w:rsid w:val="008A1AE6"/>
    <w:rsid w:val="008A1C1A"/>
    <w:rsid w:val="008A1CD9"/>
    <w:rsid w:val="008A1D23"/>
    <w:rsid w:val="008A1D38"/>
    <w:rsid w:val="008A1F09"/>
    <w:rsid w:val="008A1F29"/>
    <w:rsid w:val="008A2081"/>
    <w:rsid w:val="008A21CC"/>
    <w:rsid w:val="008A223A"/>
    <w:rsid w:val="008A22E8"/>
    <w:rsid w:val="008A2505"/>
    <w:rsid w:val="008A2617"/>
    <w:rsid w:val="008A2BAC"/>
    <w:rsid w:val="008A2D96"/>
    <w:rsid w:val="008A2F52"/>
    <w:rsid w:val="008A31E6"/>
    <w:rsid w:val="008A3252"/>
    <w:rsid w:val="008A33A8"/>
    <w:rsid w:val="008A340C"/>
    <w:rsid w:val="008A38BF"/>
    <w:rsid w:val="008A39F1"/>
    <w:rsid w:val="008A3A28"/>
    <w:rsid w:val="008A3ACF"/>
    <w:rsid w:val="008A3BAE"/>
    <w:rsid w:val="008A3BB6"/>
    <w:rsid w:val="008A3D0B"/>
    <w:rsid w:val="008A3D1A"/>
    <w:rsid w:val="008A3DF3"/>
    <w:rsid w:val="008A3ECE"/>
    <w:rsid w:val="008A3FC4"/>
    <w:rsid w:val="008A3FD2"/>
    <w:rsid w:val="008A4239"/>
    <w:rsid w:val="008A424D"/>
    <w:rsid w:val="008A42C7"/>
    <w:rsid w:val="008A43C0"/>
    <w:rsid w:val="008A4400"/>
    <w:rsid w:val="008A4490"/>
    <w:rsid w:val="008A45E4"/>
    <w:rsid w:val="008A472B"/>
    <w:rsid w:val="008A497D"/>
    <w:rsid w:val="008A4B69"/>
    <w:rsid w:val="008A4BAF"/>
    <w:rsid w:val="008A4C85"/>
    <w:rsid w:val="008A5081"/>
    <w:rsid w:val="008A5708"/>
    <w:rsid w:val="008A58A6"/>
    <w:rsid w:val="008A590C"/>
    <w:rsid w:val="008A592E"/>
    <w:rsid w:val="008A599B"/>
    <w:rsid w:val="008A5A49"/>
    <w:rsid w:val="008A5B4C"/>
    <w:rsid w:val="008A5D98"/>
    <w:rsid w:val="008A5DF5"/>
    <w:rsid w:val="008A5E59"/>
    <w:rsid w:val="008A5ECB"/>
    <w:rsid w:val="008A6063"/>
    <w:rsid w:val="008A6441"/>
    <w:rsid w:val="008A651A"/>
    <w:rsid w:val="008A6654"/>
    <w:rsid w:val="008A66B9"/>
    <w:rsid w:val="008A6714"/>
    <w:rsid w:val="008A67CC"/>
    <w:rsid w:val="008A67E7"/>
    <w:rsid w:val="008A6951"/>
    <w:rsid w:val="008A6CC2"/>
    <w:rsid w:val="008A6DE7"/>
    <w:rsid w:val="008A6E3B"/>
    <w:rsid w:val="008A6EA0"/>
    <w:rsid w:val="008A6F9E"/>
    <w:rsid w:val="008A70B7"/>
    <w:rsid w:val="008A711E"/>
    <w:rsid w:val="008A7204"/>
    <w:rsid w:val="008A738A"/>
    <w:rsid w:val="008A73DE"/>
    <w:rsid w:val="008A742D"/>
    <w:rsid w:val="008A75BF"/>
    <w:rsid w:val="008A7877"/>
    <w:rsid w:val="008A79A6"/>
    <w:rsid w:val="008A7A27"/>
    <w:rsid w:val="008A7B1C"/>
    <w:rsid w:val="008A7CBC"/>
    <w:rsid w:val="008A7D27"/>
    <w:rsid w:val="008A7D4E"/>
    <w:rsid w:val="008A7DB8"/>
    <w:rsid w:val="008A7DBE"/>
    <w:rsid w:val="008A7DE7"/>
    <w:rsid w:val="008A7FE6"/>
    <w:rsid w:val="008B0031"/>
    <w:rsid w:val="008B0168"/>
    <w:rsid w:val="008B0203"/>
    <w:rsid w:val="008B0396"/>
    <w:rsid w:val="008B0539"/>
    <w:rsid w:val="008B0782"/>
    <w:rsid w:val="008B0824"/>
    <w:rsid w:val="008B08C1"/>
    <w:rsid w:val="008B08FD"/>
    <w:rsid w:val="008B0961"/>
    <w:rsid w:val="008B0988"/>
    <w:rsid w:val="008B09F8"/>
    <w:rsid w:val="008B0D71"/>
    <w:rsid w:val="008B0FB3"/>
    <w:rsid w:val="008B1055"/>
    <w:rsid w:val="008B10D6"/>
    <w:rsid w:val="008B114D"/>
    <w:rsid w:val="008B118C"/>
    <w:rsid w:val="008B124B"/>
    <w:rsid w:val="008B137C"/>
    <w:rsid w:val="008B13D9"/>
    <w:rsid w:val="008B14B6"/>
    <w:rsid w:val="008B1556"/>
    <w:rsid w:val="008B1813"/>
    <w:rsid w:val="008B18C9"/>
    <w:rsid w:val="008B1976"/>
    <w:rsid w:val="008B1B6D"/>
    <w:rsid w:val="008B1BA2"/>
    <w:rsid w:val="008B1CA9"/>
    <w:rsid w:val="008B1FD4"/>
    <w:rsid w:val="008B21F9"/>
    <w:rsid w:val="008B2370"/>
    <w:rsid w:val="008B248B"/>
    <w:rsid w:val="008B28D7"/>
    <w:rsid w:val="008B2C80"/>
    <w:rsid w:val="008B304B"/>
    <w:rsid w:val="008B3145"/>
    <w:rsid w:val="008B31E1"/>
    <w:rsid w:val="008B32B0"/>
    <w:rsid w:val="008B3339"/>
    <w:rsid w:val="008B33B2"/>
    <w:rsid w:val="008B343B"/>
    <w:rsid w:val="008B35D3"/>
    <w:rsid w:val="008B38E1"/>
    <w:rsid w:val="008B39C3"/>
    <w:rsid w:val="008B3A35"/>
    <w:rsid w:val="008B3A91"/>
    <w:rsid w:val="008B3C65"/>
    <w:rsid w:val="008B3EC3"/>
    <w:rsid w:val="008B3F74"/>
    <w:rsid w:val="008B4036"/>
    <w:rsid w:val="008B40D2"/>
    <w:rsid w:val="008B428B"/>
    <w:rsid w:val="008B4418"/>
    <w:rsid w:val="008B4501"/>
    <w:rsid w:val="008B456C"/>
    <w:rsid w:val="008B463E"/>
    <w:rsid w:val="008B4866"/>
    <w:rsid w:val="008B49C4"/>
    <w:rsid w:val="008B49F0"/>
    <w:rsid w:val="008B4BAE"/>
    <w:rsid w:val="008B4E1C"/>
    <w:rsid w:val="008B4F08"/>
    <w:rsid w:val="008B513E"/>
    <w:rsid w:val="008B5190"/>
    <w:rsid w:val="008B51F2"/>
    <w:rsid w:val="008B5282"/>
    <w:rsid w:val="008B528B"/>
    <w:rsid w:val="008B5410"/>
    <w:rsid w:val="008B5538"/>
    <w:rsid w:val="008B56B1"/>
    <w:rsid w:val="008B5746"/>
    <w:rsid w:val="008B57D0"/>
    <w:rsid w:val="008B58A4"/>
    <w:rsid w:val="008B58C2"/>
    <w:rsid w:val="008B59BD"/>
    <w:rsid w:val="008B5C27"/>
    <w:rsid w:val="008B5CC1"/>
    <w:rsid w:val="008B5CC9"/>
    <w:rsid w:val="008B5CD9"/>
    <w:rsid w:val="008B5D31"/>
    <w:rsid w:val="008B5DAD"/>
    <w:rsid w:val="008B5DBE"/>
    <w:rsid w:val="008B5E3B"/>
    <w:rsid w:val="008B6018"/>
    <w:rsid w:val="008B602C"/>
    <w:rsid w:val="008B6374"/>
    <w:rsid w:val="008B6956"/>
    <w:rsid w:val="008B6A02"/>
    <w:rsid w:val="008B6AAD"/>
    <w:rsid w:val="008B6BF1"/>
    <w:rsid w:val="008B6C95"/>
    <w:rsid w:val="008B6C9E"/>
    <w:rsid w:val="008B6E64"/>
    <w:rsid w:val="008B6EB5"/>
    <w:rsid w:val="008B6EDD"/>
    <w:rsid w:val="008B7074"/>
    <w:rsid w:val="008B7093"/>
    <w:rsid w:val="008B715F"/>
    <w:rsid w:val="008B72A8"/>
    <w:rsid w:val="008B7368"/>
    <w:rsid w:val="008B7494"/>
    <w:rsid w:val="008B74D5"/>
    <w:rsid w:val="008B74E7"/>
    <w:rsid w:val="008B76B3"/>
    <w:rsid w:val="008B775C"/>
    <w:rsid w:val="008B7793"/>
    <w:rsid w:val="008B785A"/>
    <w:rsid w:val="008B7887"/>
    <w:rsid w:val="008B7A49"/>
    <w:rsid w:val="008B7AAA"/>
    <w:rsid w:val="008B7C1E"/>
    <w:rsid w:val="008B7C70"/>
    <w:rsid w:val="008B7D3F"/>
    <w:rsid w:val="008B7D47"/>
    <w:rsid w:val="008B7D58"/>
    <w:rsid w:val="008B7F61"/>
    <w:rsid w:val="008C005E"/>
    <w:rsid w:val="008C0266"/>
    <w:rsid w:val="008C0498"/>
    <w:rsid w:val="008C064B"/>
    <w:rsid w:val="008C0933"/>
    <w:rsid w:val="008C0A06"/>
    <w:rsid w:val="008C0D27"/>
    <w:rsid w:val="008C0D74"/>
    <w:rsid w:val="008C0E3B"/>
    <w:rsid w:val="008C1014"/>
    <w:rsid w:val="008C102E"/>
    <w:rsid w:val="008C114F"/>
    <w:rsid w:val="008C1252"/>
    <w:rsid w:val="008C156A"/>
    <w:rsid w:val="008C1605"/>
    <w:rsid w:val="008C174C"/>
    <w:rsid w:val="008C1758"/>
    <w:rsid w:val="008C1765"/>
    <w:rsid w:val="008C17AB"/>
    <w:rsid w:val="008C1915"/>
    <w:rsid w:val="008C1C54"/>
    <w:rsid w:val="008C1DDA"/>
    <w:rsid w:val="008C1F76"/>
    <w:rsid w:val="008C20D6"/>
    <w:rsid w:val="008C22E7"/>
    <w:rsid w:val="008C2443"/>
    <w:rsid w:val="008C24B9"/>
    <w:rsid w:val="008C2728"/>
    <w:rsid w:val="008C27B8"/>
    <w:rsid w:val="008C2840"/>
    <w:rsid w:val="008C2881"/>
    <w:rsid w:val="008C28C6"/>
    <w:rsid w:val="008C2B1A"/>
    <w:rsid w:val="008C2BB9"/>
    <w:rsid w:val="008C2D20"/>
    <w:rsid w:val="008C2D53"/>
    <w:rsid w:val="008C3024"/>
    <w:rsid w:val="008C30F7"/>
    <w:rsid w:val="008C317A"/>
    <w:rsid w:val="008C31A6"/>
    <w:rsid w:val="008C3561"/>
    <w:rsid w:val="008C371D"/>
    <w:rsid w:val="008C37E2"/>
    <w:rsid w:val="008C3A83"/>
    <w:rsid w:val="008C3D36"/>
    <w:rsid w:val="008C3E39"/>
    <w:rsid w:val="008C3F41"/>
    <w:rsid w:val="008C3F4F"/>
    <w:rsid w:val="008C407C"/>
    <w:rsid w:val="008C4335"/>
    <w:rsid w:val="008C4401"/>
    <w:rsid w:val="008C4479"/>
    <w:rsid w:val="008C4493"/>
    <w:rsid w:val="008C4596"/>
    <w:rsid w:val="008C46CA"/>
    <w:rsid w:val="008C46E2"/>
    <w:rsid w:val="008C49FC"/>
    <w:rsid w:val="008C4B1C"/>
    <w:rsid w:val="008C4B23"/>
    <w:rsid w:val="008C4B2C"/>
    <w:rsid w:val="008C4BA5"/>
    <w:rsid w:val="008C4C68"/>
    <w:rsid w:val="008C4FFA"/>
    <w:rsid w:val="008C524E"/>
    <w:rsid w:val="008C52A5"/>
    <w:rsid w:val="008C54F9"/>
    <w:rsid w:val="008C56F0"/>
    <w:rsid w:val="008C5A12"/>
    <w:rsid w:val="008C5DC9"/>
    <w:rsid w:val="008C5FE6"/>
    <w:rsid w:val="008C601E"/>
    <w:rsid w:val="008C60E5"/>
    <w:rsid w:val="008C61BB"/>
    <w:rsid w:val="008C6287"/>
    <w:rsid w:val="008C6294"/>
    <w:rsid w:val="008C64AF"/>
    <w:rsid w:val="008C64EE"/>
    <w:rsid w:val="008C6538"/>
    <w:rsid w:val="008C67DF"/>
    <w:rsid w:val="008C6814"/>
    <w:rsid w:val="008C686C"/>
    <w:rsid w:val="008C692C"/>
    <w:rsid w:val="008C6933"/>
    <w:rsid w:val="008C696C"/>
    <w:rsid w:val="008C697D"/>
    <w:rsid w:val="008C697F"/>
    <w:rsid w:val="008C69C9"/>
    <w:rsid w:val="008C69EB"/>
    <w:rsid w:val="008C6B93"/>
    <w:rsid w:val="008C6BD3"/>
    <w:rsid w:val="008C6F52"/>
    <w:rsid w:val="008C6FEC"/>
    <w:rsid w:val="008C70E0"/>
    <w:rsid w:val="008C710A"/>
    <w:rsid w:val="008C713E"/>
    <w:rsid w:val="008C713F"/>
    <w:rsid w:val="008C719F"/>
    <w:rsid w:val="008C71FD"/>
    <w:rsid w:val="008C74B2"/>
    <w:rsid w:val="008C75B7"/>
    <w:rsid w:val="008C75EF"/>
    <w:rsid w:val="008C7710"/>
    <w:rsid w:val="008C7791"/>
    <w:rsid w:val="008C7947"/>
    <w:rsid w:val="008D00BA"/>
    <w:rsid w:val="008D00EF"/>
    <w:rsid w:val="008D02EE"/>
    <w:rsid w:val="008D0634"/>
    <w:rsid w:val="008D063C"/>
    <w:rsid w:val="008D0684"/>
    <w:rsid w:val="008D06DC"/>
    <w:rsid w:val="008D07B9"/>
    <w:rsid w:val="008D0C01"/>
    <w:rsid w:val="008D0C32"/>
    <w:rsid w:val="008D0D31"/>
    <w:rsid w:val="008D0E46"/>
    <w:rsid w:val="008D0FD6"/>
    <w:rsid w:val="008D10FD"/>
    <w:rsid w:val="008D117D"/>
    <w:rsid w:val="008D12B9"/>
    <w:rsid w:val="008D14FF"/>
    <w:rsid w:val="008D17EA"/>
    <w:rsid w:val="008D181C"/>
    <w:rsid w:val="008D183B"/>
    <w:rsid w:val="008D183F"/>
    <w:rsid w:val="008D19D5"/>
    <w:rsid w:val="008D1A6E"/>
    <w:rsid w:val="008D1AF8"/>
    <w:rsid w:val="008D1B56"/>
    <w:rsid w:val="008D1D4D"/>
    <w:rsid w:val="008D1DE7"/>
    <w:rsid w:val="008D2187"/>
    <w:rsid w:val="008D2242"/>
    <w:rsid w:val="008D22C3"/>
    <w:rsid w:val="008D23F8"/>
    <w:rsid w:val="008D2867"/>
    <w:rsid w:val="008D2BB6"/>
    <w:rsid w:val="008D2C53"/>
    <w:rsid w:val="008D2EDA"/>
    <w:rsid w:val="008D2FAA"/>
    <w:rsid w:val="008D3376"/>
    <w:rsid w:val="008D3380"/>
    <w:rsid w:val="008D33A3"/>
    <w:rsid w:val="008D34F2"/>
    <w:rsid w:val="008D3502"/>
    <w:rsid w:val="008D3515"/>
    <w:rsid w:val="008D36F7"/>
    <w:rsid w:val="008D37A6"/>
    <w:rsid w:val="008D3807"/>
    <w:rsid w:val="008D38A5"/>
    <w:rsid w:val="008D3983"/>
    <w:rsid w:val="008D3991"/>
    <w:rsid w:val="008D39A0"/>
    <w:rsid w:val="008D3A40"/>
    <w:rsid w:val="008D3E40"/>
    <w:rsid w:val="008D3F04"/>
    <w:rsid w:val="008D401B"/>
    <w:rsid w:val="008D4254"/>
    <w:rsid w:val="008D43EC"/>
    <w:rsid w:val="008D452C"/>
    <w:rsid w:val="008D45AA"/>
    <w:rsid w:val="008D483E"/>
    <w:rsid w:val="008D49D0"/>
    <w:rsid w:val="008D4A2E"/>
    <w:rsid w:val="008D4A69"/>
    <w:rsid w:val="008D4C2D"/>
    <w:rsid w:val="008D4E1A"/>
    <w:rsid w:val="008D4EEE"/>
    <w:rsid w:val="008D5056"/>
    <w:rsid w:val="008D527F"/>
    <w:rsid w:val="008D5564"/>
    <w:rsid w:val="008D5594"/>
    <w:rsid w:val="008D55F5"/>
    <w:rsid w:val="008D5670"/>
    <w:rsid w:val="008D5683"/>
    <w:rsid w:val="008D56C8"/>
    <w:rsid w:val="008D57B7"/>
    <w:rsid w:val="008D59C3"/>
    <w:rsid w:val="008D59CF"/>
    <w:rsid w:val="008D5BA8"/>
    <w:rsid w:val="008D5BBD"/>
    <w:rsid w:val="008D5C47"/>
    <w:rsid w:val="008D5D2D"/>
    <w:rsid w:val="008D5E10"/>
    <w:rsid w:val="008D6270"/>
    <w:rsid w:val="008D62BD"/>
    <w:rsid w:val="008D62DA"/>
    <w:rsid w:val="008D669D"/>
    <w:rsid w:val="008D6A24"/>
    <w:rsid w:val="008D6A79"/>
    <w:rsid w:val="008D6E6A"/>
    <w:rsid w:val="008D702F"/>
    <w:rsid w:val="008D72DA"/>
    <w:rsid w:val="008D72E5"/>
    <w:rsid w:val="008D732D"/>
    <w:rsid w:val="008D73A1"/>
    <w:rsid w:val="008D73F3"/>
    <w:rsid w:val="008D74B4"/>
    <w:rsid w:val="008D7682"/>
    <w:rsid w:val="008D768C"/>
    <w:rsid w:val="008D7806"/>
    <w:rsid w:val="008D7AE7"/>
    <w:rsid w:val="008D7BAC"/>
    <w:rsid w:val="008D7EB0"/>
    <w:rsid w:val="008E00B4"/>
    <w:rsid w:val="008E01CD"/>
    <w:rsid w:val="008E03EB"/>
    <w:rsid w:val="008E03F5"/>
    <w:rsid w:val="008E064C"/>
    <w:rsid w:val="008E0703"/>
    <w:rsid w:val="008E0758"/>
    <w:rsid w:val="008E07DA"/>
    <w:rsid w:val="008E0873"/>
    <w:rsid w:val="008E096B"/>
    <w:rsid w:val="008E0D66"/>
    <w:rsid w:val="008E0D79"/>
    <w:rsid w:val="008E0E15"/>
    <w:rsid w:val="008E0EEA"/>
    <w:rsid w:val="008E1233"/>
    <w:rsid w:val="008E123B"/>
    <w:rsid w:val="008E13F9"/>
    <w:rsid w:val="008E14C7"/>
    <w:rsid w:val="008E159E"/>
    <w:rsid w:val="008E165D"/>
    <w:rsid w:val="008E16DC"/>
    <w:rsid w:val="008E1707"/>
    <w:rsid w:val="008E1742"/>
    <w:rsid w:val="008E1765"/>
    <w:rsid w:val="008E1832"/>
    <w:rsid w:val="008E19A4"/>
    <w:rsid w:val="008E19D2"/>
    <w:rsid w:val="008E1A66"/>
    <w:rsid w:val="008E1AA8"/>
    <w:rsid w:val="008E1AFF"/>
    <w:rsid w:val="008E1C7E"/>
    <w:rsid w:val="008E1CA6"/>
    <w:rsid w:val="008E1D60"/>
    <w:rsid w:val="008E1E5E"/>
    <w:rsid w:val="008E1F06"/>
    <w:rsid w:val="008E2427"/>
    <w:rsid w:val="008E250E"/>
    <w:rsid w:val="008E2575"/>
    <w:rsid w:val="008E257E"/>
    <w:rsid w:val="008E2691"/>
    <w:rsid w:val="008E28AB"/>
    <w:rsid w:val="008E2B4E"/>
    <w:rsid w:val="008E2BF4"/>
    <w:rsid w:val="008E2E5D"/>
    <w:rsid w:val="008E2E9B"/>
    <w:rsid w:val="008E32A1"/>
    <w:rsid w:val="008E33CF"/>
    <w:rsid w:val="008E342F"/>
    <w:rsid w:val="008E3447"/>
    <w:rsid w:val="008E356A"/>
    <w:rsid w:val="008E388F"/>
    <w:rsid w:val="008E38EB"/>
    <w:rsid w:val="008E3B56"/>
    <w:rsid w:val="008E3B61"/>
    <w:rsid w:val="008E3BE2"/>
    <w:rsid w:val="008E3CF9"/>
    <w:rsid w:val="008E3E23"/>
    <w:rsid w:val="008E40CD"/>
    <w:rsid w:val="008E429D"/>
    <w:rsid w:val="008E43EF"/>
    <w:rsid w:val="008E4937"/>
    <w:rsid w:val="008E4CCE"/>
    <w:rsid w:val="008E4F93"/>
    <w:rsid w:val="008E515D"/>
    <w:rsid w:val="008E52A3"/>
    <w:rsid w:val="008E53E3"/>
    <w:rsid w:val="008E5450"/>
    <w:rsid w:val="008E555A"/>
    <w:rsid w:val="008E5764"/>
    <w:rsid w:val="008E576D"/>
    <w:rsid w:val="008E5861"/>
    <w:rsid w:val="008E5A29"/>
    <w:rsid w:val="008E5EA6"/>
    <w:rsid w:val="008E5EEC"/>
    <w:rsid w:val="008E61FF"/>
    <w:rsid w:val="008E6376"/>
    <w:rsid w:val="008E640A"/>
    <w:rsid w:val="008E671B"/>
    <w:rsid w:val="008E6720"/>
    <w:rsid w:val="008E6753"/>
    <w:rsid w:val="008E6877"/>
    <w:rsid w:val="008E6AAD"/>
    <w:rsid w:val="008E6AFA"/>
    <w:rsid w:val="008E6B11"/>
    <w:rsid w:val="008E6C1E"/>
    <w:rsid w:val="008E716E"/>
    <w:rsid w:val="008E7444"/>
    <w:rsid w:val="008E7513"/>
    <w:rsid w:val="008E7698"/>
    <w:rsid w:val="008E7A2B"/>
    <w:rsid w:val="008E7ACF"/>
    <w:rsid w:val="008E7AE7"/>
    <w:rsid w:val="008E7C68"/>
    <w:rsid w:val="008E7D29"/>
    <w:rsid w:val="008F0041"/>
    <w:rsid w:val="008F01A3"/>
    <w:rsid w:val="008F039B"/>
    <w:rsid w:val="008F03FA"/>
    <w:rsid w:val="008F08A2"/>
    <w:rsid w:val="008F0BB0"/>
    <w:rsid w:val="008F0C06"/>
    <w:rsid w:val="008F0C3E"/>
    <w:rsid w:val="008F0D71"/>
    <w:rsid w:val="008F0EEC"/>
    <w:rsid w:val="008F1175"/>
    <w:rsid w:val="008F118D"/>
    <w:rsid w:val="008F1565"/>
    <w:rsid w:val="008F1581"/>
    <w:rsid w:val="008F15E5"/>
    <w:rsid w:val="008F1804"/>
    <w:rsid w:val="008F1812"/>
    <w:rsid w:val="008F18B0"/>
    <w:rsid w:val="008F18F4"/>
    <w:rsid w:val="008F1B05"/>
    <w:rsid w:val="008F1C29"/>
    <w:rsid w:val="008F1C67"/>
    <w:rsid w:val="008F1DE7"/>
    <w:rsid w:val="008F1F88"/>
    <w:rsid w:val="008F2051"/>
    <w:rsid w:val="008F2062"/>
    <w:rsid w:val="008F2101"/>
    <w:rsid w:val="008F21DE"/>
    <w:rsid w:val="008F246C"/>
    <w:rsid w:val="008F2646"/>
    <w:rsid w:val="008F28DA"/>
    <w:rsid w:val="008F2CEA"/>
    <w:rsid w:val="008F3049"/>
    <w:rsid w:val="008F305A"/>
    <w:rsid w:val="008F30AC"/>
    <w:rsid w:val="008F31C3"/>
    <w:rsid w:val="008F32E1"/>
    <w:rsid w:val="008F3331"/>
    <w:rsid w:val="008F3597"/>
    <w:rsid w:val="008F3758"/>
    <w:rsid w:val="008F397F"/>
    <w:rsid w:val="008F3A27"/>
    <w:rsid w:val="008F3B5C"/>
    <w:rsid w:val="008F3BA0"/>
    <w:rsid w:val="008F3BC2"/>
    <w:rsid w:val="008F3D9C"/>
    <w:rsid w:val="008F404F"/>
    <w:rsid w:val="008F40A2"/>
    <w:rsid w:val="008F4343"/>
    <w:rsid w:val="008F4631"/>
    <w:rsid w:val="008F469F"/>
    <w:rsid w:val="008F4770"/>
    <w:rsid w:val="008F481A"/>
    <w:rsid w:val="008F4A0A"/>
    <w:rsid w:val="008F4B32"/>
    <w:rsid w:val="008F4C8B"/>
    <w:rsid w:val="008F5144"/>
    <w:rsid w:val="008F5282"/>
    <w:rsid w:val="008F52FC"/>
    <w:rsid w:val="008F5397"/>
    <w:rsid w:val="008F54A8"/>
    <w:rsid w:val="008F5831"/>
    <w:rsid w:val="008F5888"/>
    <w:rsid w:val="008F5943"/>
    <w:rsid w:val="008F59E8"/>
    <w:rsid w:val="008F5A80"/>
    <w:rsid w:val="008F5AAD"/>
    <w:rsid w:val="008F60AF"/>
    <w:rsid w:val="008F6593"/>
    <w:rsid w:val="008F65E1"/>
    <w:rsid w:val="008F6614"/>
    <w:rsid w:val="008F6632"/>
    <w:rsid w:val="008F6656"/>
    <w:rsid w:val="008F6B56"/>
    <w:rsid w:val="008F6E82"/>
    <w:rsid w:val="008F6EC3"/>
    <w:rsid w:val="008F7126"/>
    <w:rsid w:val="008F712E"/>
    <w:rsid w:val="008F7167"/>
    <w:rsid w:val="008F71AF"/>
    <w:rsid w:val="008F7281"/>
    <w:rsid w:val="008F72C7"/>
    <w:rsid w:val="008F73EA"/>
    <w:rsid w:val="008F7878"/>
    <w:rsid w:val="008F7E05"/>
    <w:rsid w:val="008F7E82"/>
    <w:rsid w:val="008F7EC1"/>
    <w:rsid w:val="008F7F96"/>
    <w:rsid w:val="009000F9"/>
    <w:rsid w:val="00900172"/>
    <w:rsid w:val="00900299"/>
    <w:rsid w:val="009002A0"/>
    <w:rsid w:val="00900315"/>
    <w:rsid w:val="00900373"/>
    <w:rsid w:val="0090044B"/>
    <w:rsid w:val="0090052D"/>
    <w:rsid w:val="00900552"/>
    <w:rsid w:val="00900A6D"/>
    <w:rsid w:val="00900AB9"/>
    <w:rsid w:val="00900B73"/>
    <w:rsid w:val="00900BB5"/>
    <w:rsid w:val="00900CD6"/>
    <w:rsid w:val="009010A6"/>
    <w:rsid w:val="0090110E"/>
    <w:rsid w:val="00901173"/>
    <w:rsid w:val="009013A9"/>
    <w:rsid w:val="00901411"/>
    <w:rsid w:val="009015F2"/>
    <w:rsid w:val="0090177C"/>
    <w:rsid w:val="00901B49"/>
    <w:rsid w:val="00901B4A"/>
    <w:rsid w:val="00901BE4"/>
    <w:rsid w:val="00901C03"/>
    <w:rsid w:val="00901FB5"/>
    <w:rsid w:val="00902027"/>
    <w:rsid w:val="0090220C"/>
    <w:rsid w:val="009024E3"/>
    <w:rsid w:val="009027E5"/>
    <w:rsid w:val="00902B73"/>
    <w:rsid w:val="00902BEE"/>
    <w:rsid w:val="00902C90"/>
    <w:rsid w:val="00902D2E"/>
    <w:rsid w:val="00902DA0"/>
    <w:rsid w:val="00903206"/>
    <w:rsid w:val="00903254"/>
    <w:rsid w:val="009034ED"/>
    <w:rsid w:val="009035DC"/>
    <w:rsid w:val="0090367E"/>
    <w:rsid w:val="009038A9"/>
    <w:rsid w:val="009039FC"/>
    <w:rsid w:val="00903A6D"/>
    <w:rsid w:val="00903C6F"/>
    <w:rsid w:val="00903C95"/>
    <w:rsid w:val="00903D0C"/>
    <w:rsid w:val="00903D34"/>
    <w:rsid w:val="00903D49"/>
    <w:rsid w:val="00903FF6"/>
    <w:rsid w:val="00904081"/>
    <w:rsid w:val="009040FC"/>
    <w:rsid w:val="0090413A"/>
    <w:rsid w:val="009041A6"/>
    <w:rsid w:val="009041DE"/>
    <w:rsid w:val="00904218"/>
    <w:rsid w:val="0090424E"/>
    <w:rsid w:val="009042D6"/>
    <w:rsid w:val="0090451F"/>
    <w:rsid w:val="00904581"/>
    <w:rsid w:val="009046F2"/>
    <w:rsid w:val="009047EC"/>
    <w:rsid w:val="00904881"/>
    <w:rsid w:val="009048BC"/>
    <w:rsid w:val="009048EB"/>
    <w:rsid w:val="00904B81"/>
    <w:rsid w:val="0090510D"/>
    <w:rsid w:val="00905120"/>
    <w:rsid w:val="0090527F"/>
    <w:rsid w:val="00905345"/>
    <w:rsid w:val="0090537F"/>
    <w:rsid w:val="0090542E"/>
    <w:rsid w:val="00905886"/>
    <w:rsid w:val="00905987"/>
    <w:rsid w:val="0090598B"/>
    <w:rsid w:val="00905A8D"/>
    <w:rsid w:val="00905B8A"/>
    <w:rsid w:val="00905BBB"/>
    <w:rsid w:val="00905C60"/>
    <w:rsid w:val="00905D6E"/>
    <w:rsid w:val="00905DF5"/>
    <w:rsid w:val="00905E42"/>
    <w:rsid w:val="00905E85"/>
    <w:rsid w:val="00905EEA"/>
    <w:rsid w:val="00905F9B"/>
    <w:rsid w:val="009061CB"/>
    <w:rsid w:val="0090627C"/>
    <w:rsid w:val="009062A0"/>
    <w:rsid w:val="009062BF"/>
    <w:rsid w:val="009062F9"/>
    <w:rsid w:val="00906939"/>
    <w:rsid w:val="00906A36"/>
    <w:rsid w:val="00906D79"/>
    <w:rsid w:val="00906E22"/>
    <w:rsid w:val="00906FB2"/>
    <w:rsid w:val="00907047"/>
    <w:rsid w:val="00907104"/>
    <w:rsid w:val="0090728A"/>
    <w:rsid w:val="0090731F"/>
    <w:rsid w:val="009073D9"/>
    <w:rsid w:val="00907590"/>
    <w:rsid w:val="0090760B"/>
    <w:rsid w:val="009076DA"/>
    <w:rsid w:val="00907837"/>
    <w:rsid w:val="009078D9"/>
    <w:rsid w:val="009078E8"/>
    <w:rsid w:val="0090794E"/>
    <w:rsid w:val="00907AAC"/>
    <w:rsid w:val="00907B94"/>
    <w:rsid w:val="00907BD8"/>
    <w:rsid w:val="00907C76"/>
    <w:rsid w:val="00907EEA"/>
    <w:rsid w:val="00907F02"/>
    <w:rsid w:val="00907FC1"/>
    <w:rsid w:val="00910156"/>
    <w:rsid w:val="0091026C"/>
    <w:rsid w:val="009102E4"/>
    <w:rsid w:val="00910547"/>
    <w:rsid w:val="009105B5"/>
    <w:rsid w:val="009105F5"/>
    <w:rsid w:val="0091062F"/>
    <w:rsid w:val="00910944"/>
    <w:rsid w:val="00910B3D"/>
    <w:rsid w:val="00910CAC"/>
    <w:rsid w:val="00910DDB"/>
    <w:rsid w:val="00910E56"/>
    <w:rsid w:val="00910F20"/>
    <w:rsid w:val="00911211"/>
    <w:rsid w:val="00911320"/>
    <w:rsid w:val="0091133F"/>
    <w:rsid w:val="00911480"/>
    <w:rsid w:val="009114ED"/>
    <w:rsid w:val="0091170B"/>
    <w:rsid w:val="00911785"/>
    <w:rsid w:val="00911B30"/>
    <w:rsid w:val="00911BD8"/>
    <w:rsid w:val="00911C68"/>
    <w:rsid w:val="00911DF8"/>
    <w:rsid w:val="00911E99"/>
    <w:rsid w:val="0091238E"/>
    <w:rsid w:val="00912391"/>
    <w:rsid w:val="009124FC"/>
    <w:rsid w:val="00912548"/>
    <w:rsid w:val="0091267E"/>
    <w:rsid w:val="009127C2"/>
    <w:rsid w:val="00912AEB"/>
    <w:rsid w:val="00912C2A"/>
    <w:rsid w:val="00912C76"/>
    <w:rsid w:val="00912CDD"/>
    <w:rsid w:val="00912D57"/>
    <w:rsid w:val="00912E7F"/>
    <w:rsid w:val="00912F0D"/>
    <w:rsid w:val="00913244"/>
    <w:rsid w:val="009133BE"/>
    <w:rsid w:val="00913453"/>
    <w:rsid w:val="00913524"/>
    <w:rsid w:val="00913642"/>
    <w:rsid w:val="00913684"/>
    <w:rsid w:val="00913780"/>
    <w:rsid w:val="00913818"/>
    <w:rsid w:val="009138E8"/>
    <w:rsid w:val="009138F7"/>
    <w:rsid w:val="009139EC"/>
    <w:rsid w:val="00913B7A"/>
    <w:rsid w:val="00913C10"/>
    <w:rsid w:val="00913C6D"/>
    <w:rsid w:val="00913D19"/>
    <w:rsid w:val="00913D63"/>
    <w:rsid w:val="00913DE1"/>
    <w:rsid w:val="00913DE2"/>
    <w:rsid w:val="00913F38"/>
    <w:rsid w:val="0091402A"/>
    <w:rsid w:val="00914081"/>
    <w:rsid w:val="0091409F"/>
    <w:rsid w:val="00914276"/>
    <w:rsid w:val="00914429"/>
    <w:rsid w:val="0091449E"/>
    <w:rsid w:val="0091455C"/>
    <w:rsid w:val="0091462E"/>
    <w:rsid w:val="009147EE"/>
    <w:rsid w:val="00914923"/>
    <w:rsid w:val="00914A5D"/>
    <w:rsid w:val="00914DD5"/>
    <w:rsid w:val="009150FF"/>
    <w:rsid w:val="009151C1"/>
    <w:rsid w:val="009152C8"/>
    <w:rsid w:val="009153F1"/>
    <w:rsid w:val="00915407"/>
    <w:rsid w:val="00915464"/>
    <w:rsid w:val="009154F1"/>
    <w:rsid w:val="00915859"/>
    <w:rsid w:val="00915EBC"/>
    <w:rsid w:val="00915F8A"/>
    <w:rsid w:val="00916379"/>
    <w:rsid w:val="0091641F"/>
    <w:rsid w:val="00916511"/>
    <w:rsid w:val="009166AF"/>
    <w:rsid w:val="009166F7"/>
    <w:rsid w:val="009167B3"/>
    <w:rsid w:val="00916971"/>
    <w:rsid w:val="009169CF"/>
    <w:rsid w:val="00916AFE"/>
    <w:rsid w:val="00916E19"/>
    <w:rsid w:val="00916ECB"/>
    <w:rsid w:val="009171D5"/>
    <w:rsid w:val="0091743E"/>
    <w:rsid w:val="00917483"/>
    <w:rsid w:val="0091775A"/>
    <w:rsid w:val="009177B1"/>
    <w:rsid w:val="00917B2D"/>
    <w:rsid w:val="00917C91"/>
    <w:rsid w:val="00917FBD"/>
    <w:rsid w:val="009201FF"/>
    <w:rsid w:val="00920391"/>
    <w:rsid w:val="009203C1"/>
    <w:rsid w:val="0092052F"/>
    <w:rsid w:val="009207BE"/>
    <w:rsid w:val="0092093C"/>
    <w:rsid w:val="009209E9"/>
    <w:rsid w:val="00920BDF"/>
    <w:rsid w:val="00920D01"/>
    <w:rsid w:val="00920DE4"/>
    <w:rsid w:val="00920FB1"/>
    <w:rsid w:val="00921027"/>
    <w:rsid w:val="009211F8"/>
    <w:rsid w:val="009212E9"/>
    <w:rsid w:val="0092130B"/>
    <w:rsid w:val="0092131B"/>
    <w:rsid w:val="00921349"/>
    <w:rsid w:val="009214CE"/>
    <w:rsid w:val="00921562"/>
    <w:rsid w:val="00921685"/>
    <w:rsid w:val="00921824"/>
    <w:rsid w:val="0092199D"/>
    <w:rsid w:val="00921F71"/>
    <w:rsid w:val="0092200C"/>
    <w:rsid w:val="0092200D"/>
    <w:rsid w:val="00922237"/>
    <w:rsid w:val="009222D3"/>
    <w:rsid w:val="0092243E"/>
    <w:rsid w:val="0092256D"/>
    <w:rsid w:val="00922811"/>
    <w:rsid w:val="00922A45"/>
    <w:rsid w:val="00922C5B"/>
    <w:rsid w:val="00922C67"/>
    <w:rsid w:val="00922CD0"/>
    <w:rsid w:val="00922CE7"/>
    <w:rsid w:val="00922F1B"/>
    <w:rsid w:val="00922F6A"/>
    <w:rsid w:val="00923061"/>
    <w:rsid w:val="00923292"/>
    <w:rsid w:val="009233AB"/>
    <w:rsid w:val="00923480"/>
    <w:rsid w:val="009234C9"/>
    <w:rsid w:val="009235CD"/>
    <w:rsid w:val="00923609"/>
    <w:rsid w:val="00923B46"/>
    <w:rsid w:val="00923B66"/>
    <w:rsid w:val="00923C40"/>
    <w:rsid w:val="00923F4B"/>
    <w:rsid w:val="00923F6E"/>
    <w:rsid w:val="00924221"/>
    <w:rsid w:val="00924490"/>
    <w:rsid w:val="009244F0"/>
    <w:rsid w:val="0092456D"/>
    <w:rsid w:val="0092467C"/>
    <w:rsid w:val="009247A1"/>
    <w:rsid w:val="00924860"/>
    <w:rsid w:val="009248A4"/>
    <w:rsid w:val="00924988"/>
    <w:rsid w:val="009249A3"/>
    <w:rsid w:val="00924ADD"/>
    <w:rsid w:val="00924B63"/>
    <w:rsid w:val="00924B9E"/>
    <w:rsid w:val="00924BDF"/>
    <w:rsid w:val="00924CEE"/>
    <w:rsid w:val="00924D86"/>
    <w:rsid w:val="00924DB6"/>
    <w:rsid w:val="009252E3"/>
    <w:rsid w:val="00925499"/>
    <w:rsid w:val="009254BF"/>
    <w:rsid w:val="00925547"/>
    <w:rsid w:val="0092556D"/>
    <w:rsid w:val="009255E1"/>
    <w:rsid w:val="00925625"/>
    <w:rsid w:val="00925695"/>
    <w:rsid w:val="009257E2"/>
    <w:rsid w:val="00925893"/>
    <w:rsid w:val="009259A8"/>
    <w:rsid w:val="00925B28"/>
    <w:rsid w:val="00925CB2"/>
    <w:rsid w:val="00925EA2"/>
    <w:rsid w:val="0092606E"/>
    <w:rsid w:val="009263D2"/>
    <w:rsid w:val="009263FD"/>
    <w:rsid w:val="00926530"/>
    <w:rsid w:val="0092671B"/>
    <w:rsid w:val="009268A2"/>
    <w:rsid w:val="00926A52"/>
    <w:rsid w:val="00926A8B"/>
    <w:rsid w:val="00926BD8"/>
    <w:rsid w:val="00926D54"/>
    <w:rsid w:val="00926F06"/>
    <w:rsid w:val="00926F4C"/>
    <w:rsid w:val="009270C2"/>
    <w:rsid w:val="00927380"/>
    <w:rsid w:val="009273B6"/>
    <w:rsid w:val="00927452"/>
    <w:rsid w:val="009274C2"/>
    <w:rsid w:val="00927898"/>
    <w:rsid w:val="00927CEF"/>
    <w:rsid w:val="00927E22"/>
    <w:rsid w:val="00930087"/>
    <w:rsid w:val="00930141"/>
    <w:rsid w:val="00930316"/>
    <w:rsid w:val="0093031D"/>
    <w:rsid w:val="00930341"/>
    <w:rsid w:val="009303A6"/>
    <w:rsid w:val="00930491"/>
    <w:rsid w:val="00930506"/>
    <w:rsid w:val="0093069C"/>
    <w:rsid w:val="00930865"/>
    <w:rsid w:val="0093096E"/>
    <w:rsid w:val="00930BB0"/>
    <w:rsid w:val="00930BF5"/>
    <w:rsid w:val="00930C5A"/>
    <w:rsid w:val="00930E97"/>
    <w:rsid w:val="00930EC1"/>
    <w:rsid w:val="0093145A"/>
    <w:rsid w:val="0093149E"/>
    <w:rsid w:val="00931594"/>
    <w:rsid w:val="009315ED"/>
    <w:rsid w:val="0093161E"/>
    <w:rsid w:val="0093174C"/>
    <w:rsid w:val="00931775"/>
    <w:rsid w:val="00931805"/>
    <w:rsid w:val="0093194C"/>
    <w:rsid w:val="00931B30"/>
    <w:rsid w:val="00931BCA"/>
    <w:rsid w:val="00931C09"/>
    <w:rsid w:val="00931CC4"/>
    <w:rsid w:val="00931D07"/>
    <w:rsid w:val="00931DF3"/>
    <w:rsid w:val="0093208A"/>
    <w:rsid w:val="00932228"/>
    <w:rsid w:val="009323F7"/>
    <w:rsid w:val="009324DF"/>
    <w:rsid w:val="009326FE"/>
    <w:rsid w:val="00932724"/>
    <w:rsid w:val="00932968"/>
    <w:rsid w:val="00932C09"/>
    <w:rsid w:val="00932DF3"/>
    <w:rsid w:val="00932E2C"/>
    <w:rsid w:val="00932EFF"/>
    <w:rsid w:val="00932FB5"/>
    <w:rsid w:val="009333D9"/>
    <w:rsid w:val="0093343D"/>
    <w:rsid w:val="009335C0"/>
    <w:rsid w:val="0093371C"/>
    <w:rsid w:val="00933829"/>
    <w:rsid w:val="00933869"/>
    <w:rsid w:val="00933B44"/>
    <w:rsid w:val="00933DCB"/>
    <w:rsid w:val="00933E10"/>
    <w:rsid w:val="0093409D"/>
    <w:rsid w:val="009341C7"/>
    <w:rsid w:val="0093422D"/>
    <w:rsid w:val="009344A6"/>
    <w:rsid w:val="009344CE"/>
    <w:rsid w:val="00934765"/>
    <w:rsid w:val="00934ADF"/>
    <w:rsid w:val="00934B5C"/>
    <w:rsid w:val="00934C70"/>
    <w:rsid w:val="00934DAC"/>
    <w:rsid w:val="00934EAD"/>
    <w:rsid w:val="00934F63"/>
    <w:rsid w:val="00934FD8"/>
    <w:rsid w:val="00935436"/>
    <w:rsid w:val="0093545D"/>
    <w:rsid w:val="009354FE"/>
    <w:rsid w:val="0093551E"/>
    <w:rsid w:val="00935565"/>
    <w:rsid w:val="009359A7"/>
    <w:rsid w:val="00935B5C"/>
    <w:rsid w:val="00935D4A"/>
    <w:rsid w:val="009361A6"/>
    <w:rsid w:val="009361B9"/>
    <w:rsid w:val="00936340"/>
    <w:rsid w:val="009367D1"/>
    <w:rsid w:val="009368CC"/>
    <w:rsid w:val="00936C2F"/>
    <w:rsid w:val="00936D57"/>
    <w:rsid w:val="00936FCB"/>
    <w:rsid w:val="00937135"/>
    <w:rsid w:val="009371B9"/>
    <w:rsid w:val="009373E3"/>
    <w:rsid w:val="00937506"/>
    <w:rsid w:val="00937951"/>
    <w:rsid w:val="00937A16"/>
    <w:rsid w:val="00937AD1"/>
    <w:rsid w:val="00937DC0"/>
    <w:rsid w:val="00937E4B"/>
    <w:rsid w:val="00937EFE"/>
    <w:rsid w:val="009400DE"/>
    <w:rsid w:val="009404C8"/>
    <w:rsid w:val="009405D7"/>
    <w:rsid w:val="00940649"/>
    <w:rsid w:val="009406E8"/>
    <w:rsid w:val="00940739"/>
    <w:rsid w:val="00940862"/>
    <w:rsid w:val="009408E9"/>
    <w:rsid w:val="00940AD9"/>
    <w:rsid w:val="00940BF7"/>
    <w:rsid w:val="00941159"/>
    <w:rsid w:val="009413BD"/>
    <w:rsid w:val="009415EC"/>
    <w:rsid w:val="00941615"/>
    <w:rsid w:val="00941753"/>
    <w:rsid w:val="00941940"/>
    <w:rsid w:val="00941A8B"/>
    <w:rsid w:val="00941C7C"/>
    <w:rsid w:val="00941CB3"/>
    <w:rsid w:val="0094200A"/>
    <w:rsid w:val="00942064"/>
    <w:rsid w:val="009424C5"/>
    <w:rsid w:val="009425B6"/>
    <w:rsid w:val="009426F0"/>
    <w:rsid w:val="009427CE"/>
    <w:rsid w:val="009428B5"/>
    <w:rsid w:val="009429EA"/>
    <w:rsid w:val="00942A61"/>
    <w:rsid w:val="00942DB0"/>
    <w:rsid w:val="00942E57"/>
    <w:rsid w:val="00942E70"/>
    <w:rsid w:val="00942E7D"/>
    <w:rsid w:val="00943218"/>
    <w:rsid w:val="009434E3"/>
    <w:rsid w:val="0094399F"/>
    <w:rsid w:val="00943A3C"/>
    <w:rsid w:val="00943B84"/>
    <w:rsid w:val="00943C2E"/>
    <w:rsid w:val="00943C69"/>
    <w:rsid w:val="00943EA5"/>
    <w:rsid w:val="009443FC"/>
    <w:rsid w:val="0094469A"/>
    <w:rsid w:val="00944840"/>
    <w:rsid w:val="00944930"/>
    <w:rsid w:val="00944AE4"/>
    <w:rsid w:val="00944B1D"/>
    <w:rsid w:val="00944B48"/>
    <w:rsid w:val="00944C5C"/>
    <w:rsid w:val="00944D67"/>
    <w:rsid w:val="00944E30"/>
    <w:rsid w:val="00944F19"/>
    <w:rsid w:val="009451F9"/>
    <w:rsid w:val="00945456"/>
    <w:rsid w:val="009454BE"/>
    <w:rsid w:val="009455F8"/>
    <w:rsid w:val="0094560E"/>
    <w:rsid w:val="0094591B"/>
    <w:rsid w:val="00945999"/>
    <w:rsid w:val="009459A2"/>
    <w:rsid w:val="009459EB"/>
    <w:rsid w:val="00945CE9"/>
    <w:rsid w:val="00945D21"/>
    <w:rsid w:val="009460B8"/>
    <w:rsid w:val="0094610C"/>
    <w:rsid w:val="009462CA"/>
    <w:rsid w:val="0094642F"/>
    <w:rsid w:val="009464B4"/>
    <w:rsid w:val="00946561"/>
    <w:rsid w:val="009465A3"/>
    <w:rsid w:val="009465BF"/>
    <w:rsid w:val="009466BD"/>
    <w:rsid w:val="009466F8"/>
    <w:rsid w:val="00946716"/>
    <w:rsid w:val="00946B38"/>
    <w:rsid w:val="00946DC3"/>
    <w:rsid w:val="00946FE0"/>
    <w:rsid w:val="0094716A"/>
    <w:rsid w:val="009471DA"/>
    <w:rsid w:val="00947404"/>
    <w:rsid w:val="009475E5"/>
    <w:rsid w:val="0094766D"/>
    <w:rsid w:val="00947B6F"/>
    <w:rsid w:val="00947B77"/>
    <w:rsid w:val="0095025B"/>
    <w:rsid w:val="00950399"/>
    <w:rsid w:val="00950611"/>
    <w:rsid w:val="00950659"/>
    <w:rsid w:val="009506F2"/>
    <w:rsid w:val="00950723"/>
    <w:rsid w:val="0095080B"/>
    <w:rsid w:val="009508BC"/>
    <w:rsid w:val="00950A1B"/>
    <w:rsid w:val="00950A46"/>
    <w:rsid w:val="00950AB1"/>
    <w:rsid w:val="00950ABC"/>
    <w:rsid w:val="00950B33"/>
    <w:rsid w:val="00950C6F"/>
    <w:rsid w:val="00950CFD"/>
    <w:rsid w:val="00950D71"/>
    <w:rsid w:val="00950DD0"/>
    <w:rsid w:val="00950F1F"/>
    <w:rsid w:val="00951144"/>
    <w:rsid w:val="0095160D"/>
    <w:rsid w:val="009516E5"/>
    <w:rsid w:val="00951A5F"/>
    <w:rsid w:val="00951C17"/>
    <w:rsid w:val="00951C2C"/>
    <w:rsid w:val="00951E06"/>
    <w:rsid w:val="00952011"/>
    <w:rsid w:val="009522D6"/>
    <w:rsid w:val="0095236A"/>
    <w:rsid w:val="009523A1"/>
    <w:rsid w:val="0095249B"/>
    <w:rsid w:val="009524B3"/>
    <w:rsid w:val="0095254E"/>
    <w:rsid w:val="00952654"/>
    <w:rsid w:val="0095268D"/>
    <w:rsid w:val="009528BB"/>
    <w:rsid w:val="00952980"/>
    <w:rsid w:val="009529B5"/>
    <w:rsid w:val="009529B9"/>
    <w:rsid w:val="009529F6"/>
    <w:rsid w:val="00952AC4"/>
    <w:rsid w:val="00952AD0"/>
    <w:rsid w:val="00952B8D"/>
    <w:rsid w:val="00952C21"/>
    <w:rsid w:val="00952C95"/>
    <w:rsid w:val="00952D24"/>
    <w:rsid w:val="00952D4A"/>
    <w:rsid w:val="00952E04"/>
    <w:rsid w:val="00952EDA"/>
    <w:rsid w:val="0095301F"/>
    <w:rsid w:val="0095304C"/>
    <w:rsid w:val="009532B2"/>
    <w:rsid w:val="009532BC"/>
    <w:rsid w:val="009532D8"/>
    <w:rsid w:val="0095339E"/>
    <w:rsid w:val="00953517"/>
    <w:rsid w:val="00953703"/>
    <w:rsid w:val="009538D6"/>
    <w:rsid w:val="00953BB4"/>
    <w:rsid w:val="00953BEA"/>
    <w:rsid w:val="00953C55"/>
    <w:rsid w:val="00953EBC"/>
    <w:rsid w:val="00953F0D"/>
    <w:rsid w:val="009540BB"/>
    <w:rsid w:val="0095425D"/>
    <w:rsid w:val="00954344"/>
    <w:rsid w:val="0095436F"/>
    <w:rsid w:val="0095449B"/>
    <w:rsid w:val="00954726"/>
    <w:rsid w:val="0095477D"/>
    <w:rsid w:val="009547EF"/>
    <w:rsid w:val="009547F6"/>
    <w:rsid w:val="0095480B"/>
    <w:rsid w:val="00954848"/>
    <w:rsid w:val="009549BD"/>
    <w:rsid w:val="00954BB2"/>
    <w:rsid w:val="00954E2D"/>
    <w:rsid w:val="00954EC2"/>
    <w:rsid w:val="0095519B"/>
    <w:rsid w:val="00955377"/>
    <w:rsid w:val="0095547A"/>
    <w:rsid w:val="009555CE"/>
    <w:rsid w:val="00955684"/>
    <w:rsid w:val="00955ABF"/>
    <w:rsid w:val="00955B4E"/>
    <w:rsid w:val="00955F70"/>
    <w:rsid w:val="00956265"/>
    <w:rsid w:val="00956444"/>
    <w:rsid w:val="00956613"/>
    <w:rsid w:val="0095671D"/>
    <w:rsid w:val="00956B86"/>
    <w:rsid w:val="00956BF5"/>
    <w:rsid w:val="00956C6E"/>
    <w:rsid w:val="00956D82"/>
    <w:rsid w:val="00956DA5"/>
    <w:rsid w:val="00956E3F"/>
    <w:rsid w:val="00956E4D"/>
    <w:rsid w:val="00956E57"/>
    <w:rsid w:val="00956EA8"/>
    <w:rsid w:val="00956F07"/>
    <w:rsid w:val="00956FBF"/>
    <w:rsid w:val="00956FD1"/>
    <w:rsid w:val="00956FE2"/>
    <w:rsid w:val="0095701C"/>
    <w:rsid w:val="00957048"/>
    <w:rsid w:val="0095722A"/>
    <w:rsid w:val="0095736D"/>
    <w:rsid w:val="009573A3"/>
    <w:rsid w:val="00957449"/>
    <w:rsid w:val="00957537"/>
    <w:rsid w:val="00957648"/>
    <w:rsid w:val="009576CB"/>
    <w:rsid w:val="00957756"/>
    <w:rsid w:val="00957999"/>
    <w:rsid w:val="00957AA6"/>
    <w:rsid w:val="00957ABA"/>
    <w:rsid w:val="00957C9A"/>
    <w:rsid w:val="00957D76"/>
    <w:rsid w:val="00957E72"/>
    <w:rsid w:val="00957EE1"/>
    <w:rsid w:val="00957FB1"/>
    <w:rsid w:val="009600EC"/>
    <w:rsid w:val="009602EC"/>
    <w:rsid w:val="009603C0"/>
    <w:rsid w:val="00960488"/>
    <w:rsid w:val="009605F3"/>
    <w:rsid w:val="009606A0"/>
    <w:rsid w:val="00960791"/>
    <w:rsid w:val="0096095E"/>
    <w:rsid w:val="00960AB4"/>
    <w:rsid w:val="00960CAE"/>
    <w:rsid w:val="00960DBC"/>
    <w:rsid w:val="00960E66"/>
    <w:rsid w:val="00961083"/>
    <w:rsid w:val="009610CD"/>
    <w:rsid w:val="009610EB"/>
    <w:rsid w:val="009610FB"/>
    <w:rsid w:val="00961170"/>
    <w:rsid w:val="0096131A"/>
    <w:rsid w:val="009618B6"/>
    <w:rsid w:val="00961ACA"/>
    <w:rsid w:val="0096209E"/>
    <w:rsid w:val="00962222"/>
    <w:rsid w:val="00962274"/>
    <w:rsid w:val="00962403"/>
    <w:rsid w:val="00962420"/>
    <w:rsid w:val="00962471"/>
    <w:rsid w:val="009625AA"/>
    <w:rsid w:val="00962707"/>
    <w:rsid w:val="00962753"/>
    <w:rsid w:val="009627CF"/>
    <w:rsid w:val="00962843"/>
    <w:rsid w:val="0096298F"/>
    <w:rsid w:val="009629AE"/>
    <w:rsid w:val="00962A2B"/>
    <w:rsid w:val="00962B91"/>
    <w:rsid w:val="00962C6A"/>
    <w:rsid w:val="00962CF9"/>
    <w:rsid w:val="00962D19"/>
    <w:rsid w:val="009631A8"/>
    <w:rsid w:val="009631F2"/>
    <w:rsid w:val="0096320E"/>
    <w:rsid w:val="009632AF"/>
    <w:rsid w:val="00963314"/>
    <w:rsid w:val="0096333C"/>
    <w:rsid w:val="00963499"/>
    <w:rsid w:val="009637B8"/>
    <w:rsid w:val="0096385C"/>
    <w:rsid w:val="00963D50"/>
    <w:rsid w:val="00963F0E"/>
    <w:rsid w:val="00963FE2"/>
    <w:rsid w:val="00964028"/>
    <w:rsid w:val="009640CE"/>
    <w:rsid w:val="00964122"/>
    <w:rsid w:val="009641D1"/>
    <w:rsid w:val="00964437"/>
    <w:rsid w:val="00964542"/>
    <w:rsid w:val="00964808"/>
    <w:rsid w:val="009648A0"/>
    <w:rsid w:val="009648A3"/>
    <w:rsid w:val="00964D0C"/>
    <w:rsid w:val="00964D44"/>
    <w:rsid w:val="00964DFA"/>
    <w:rsid w:val="00964E79"/>
    <w:rsid w:val="0096515C"/>
    <w:rsid w:val="0096518D"/>
    <w:rsid w:val="00965283"/>
    <w:rsid w:val="009652DF"/>
    <w:rsid w:val="00965423"/>
    <w:rsid w:val="0096551D"/>
    <w:rsid w:val="00965646"/>
    <w:rsid w:val="00965874"/>
    <w:rsid w:val="0096595C"/>
    <w:rsid w:val="00965AF1"/>
    <w:rsid w:val="00965B37"/>
    <w:rsid w:val="00965BA9"/>
    <w:rsid w:val="00965D8B"/>
    <w:rsid w:val="00965E6F"/>
    <w:rsid w:val="00965FFF"/>
    <w:rsid w:val="00966033"/>
    <w:rsid w:val="00966181"/>
    <w:rsid w:val="00966239"/>
    <w:rsid w:val="00966329"/>
    <w:rsid w:val="009665AE"/>
    <w:rsid w:val="00966931"/>
    <w:rsid w:val="00966A0F"/>
    <w:rsid w:val="00966A52"/>
    <w:rsid w:val="00966ABC"/>
    <w:rsid w:val="00966ADF"/>
    <w:rsid w:val="00966AF0"/>
    <w:rsid w:val="00966CA4"/>
    <w:rsid w:val="00966CD4"/>
    <w:rsid w:val="00966D3D"/>
    <w:rsid w:val="00966E16"/>
    <w:rsid w:val="00966E1D"/>
    <w:rsid w:val="00966EE9"/>
    <w:rsid w:val="009670DA"/>
    <w:rsid w:val="00967125"/>
    <w:rsid w:val="00967296"/>
    <w:rsid w:val="009672C9"/>
    <w:rsid w:val="009674A5"/>
    <w:rsid w:val="009674DC"/>
    <w:rsid w:val="0096757E"/>
    <w:rsid w:val="00967591"/>
    <w:rsid w:val="00967707"/>
    <w:rsid w:val="009678CF"/>
    <w:rsid w:val="00967932"/>
    <w:rsid w:val="00967CD5"/>
    <w:rsid w:val="00967EE2"/>
    <w:rsid w:val="00967F17"/>
    <w:rsid w:val="00970418"/>
    <w:rsid w:val="009705F8"/>
    <w:rsid w:val="0097069B"/>
    <w:rsid w:val="00970872"/>
    <w:rsid w:val="009708DC"/>
    <w:rsid w:val="00970AF8"/>
    <w:rsid w:val="00970DF7"/>
    <w:rsid w:val="00970F12"/>
    <w:rsid w:val="00970F5B"/>
    <w:rsid w:val="00971194"/>
    <w:rsid w:val="009711C6"/>
    <w:rsid w:val="00971224"/>
    <w:rsid w:val="0097128C"/>
    <w:rsid w:val="0097134F"/>
    <w:rsid w:val="00971365"/>
    <w:rsid w:val="009714EB"/>
    <w:rsid w:val="009715C9"/>
    <w:rsid w:val="0097162B"/>
    <w:rsid w:val="009716A3"/>
    <w:rsid w:val="009716C2"/>
    <w:rsid w:val="00971753"/>
    <w:rsid w:val="00971850"/>
    <w:rsid w:val="00971876"/>
    <w:rsid w:val="009718A6"/>
    <w:rsid w:val="00971943"/>
    <w:rsid w:val="0097198A"/>
    <w:rsid w:val="009719D2"/>
    <w:rsid w:val="00971A1E"/>
    <w:rsid w:val="00971E62"/>
    <w:rsid w:val="00971FB4"/>
    <w:rsid w:val="00972065"/>
    <w:rsid w:val="009720C4"/>
    <w:rsid w:val="00972126"/>
    <w:rsid w:val="00972357"/>
    <w:rsid w:val="00972386"/>
    <w:rsid w:val="009724DD"/>
    <w:rsid w:val="00972742"/>
    <w:rsid w:val="00972797"/>
    <w:rsid w:val="0097289B"/>
    <w:rsid w:val="00972911"/>
    <w:rsid w:val="00972942"/>
    <w:rsid w:val="00972956"/>
    <w:rsid w:val="00972A40"/>
    <w:rsid w:val="00972A4C"/>
    <w:rsid w:val="00972B20"/>
    <w:rsid w:val="00972B3E"/>
    <w:rsid w:val="00972BCD"/>
    <w:rsid w:val="00972BEF"/>
    <w:rsid w:val="00972E5F"/>
    <w:rsid w:val="009730BA"/>
    <w:rsid w:val="0097323B"/>
    <w:rsid w:val="009732D1"/>
    <w:rsid w:val="00973346"/>
    <w:rsid w:val="0097350B"/>
    <w:rsid w:val="00973600"/>
    <w:rsid w:val="0097367D"/>
    <w:rsid w:val="009737A3"/>
    <w:rsid w:val="009737EA"/>
    <w:rsid w:val="00973CEE"/>
    <w:rsid w:val="00973E2A"/>
    <w:rsid w:val="00973F17"/>
    <w:rsid w:val="00973FD8"/>
    <w:rsid w:val="00973FED"/>
    <w:rsid w:val="009742AA"/>
    <w:rsid w:val="009742D2"/>
    <w:rsid w:val="00974311"/>
    <w:rsid w:val="00974314"/>
    <w:rsid w:val="009744C0"/>
    <w:rsid w:val="00974824"/>
    <w:rsid w:val="00974867"/>
    <w:rsid w:val="009748C4"/>
    <w:rsid w:val="00974A2B"/>
    <w:rsid w:val="00974C08"/>
    <w:rsid w:val="00974C9F"/>
    <w:rsid w:val="00974E44"/>
    <w:rsid w:val="00974E71"/>
    <w:rsid w:val="00974EC5"/>
    <w:rsid w:val="0097502D"/>
    <w:rsid w:val="00975125"/>
    <w:rsid w:val="009751BC"/>
    <w:rsid w:val="009751FE"/>
    <w:rsid w:val="0097535A"/>
    <w:rsid w:val="009753D3"/>
    <w:rsid w:val="009753F2"/>
    <w:rsid w:val="0097550A"/>
    <w:rsid w:val="009755E9"/>
    <w:rsid w:val="0097564D"/>
    <w:rsid w:val="0097590D"/>
    <w:rsid w:val="00975E74"/>
    <w:rsid w:val="00976228"/>
    <w:rsid w:val="00976258"/>
    <w:rsid w:val="0097635E"/>
    <w:rsid w:val="0097643E"/>
    <w:rsid w:val="00976504"/>
    <w:rsid w:val="00976703"/>
    <w:rsid w:val="00976934"/>
    <w:rsid w:val="00976952"/>
    <w:rsid w:val="00976A20"/>
    <w:rsid w:val="00976B14"/>
    <w:rsid w:val="00976BC0"/>
    <w:rsid w:val="00976EE0"/>
    <w:rsid w:val="00977014"/>
    <w:rsid w:val="009771B5"/>
    <w:rsid w:val="00977234"/>
    <w:rsid w:val="00977489"/>
    <w:rsid w:val="0097753F"/>
    <w:rsid w:val="0097762D"/>
    <w:rsid w:val="00977754"/>
    <w:rsid w:val="0097778D"/>
    <w:rsid w:val="0097781B"/>
    <w:rsid w:val="00977852"/>
    <w:rsid w:val="00977856"/>
    <w:rsid w:val="00977882"/>
    <w:rsid w:val="009778B1"/>
    <w:rsid w:val="009778CA"/>
    <w:rsid w:val="00977B32"/>
    <w:rsid w:val="00977EA1"/>
    <w:rsid w:val="0098018E"/>
    <w:rsid w:val="009801C9"/>
    <w:rsid w:val="009801FA"/>
    <w:rsid w:val="00980263"/>
    <w:rsid w:val="009804A5"/>
    <w:rsid w:val="009805F8"/>
    <w:rsid w:val="00980722"/>
    <w:rsid w:val="00980756"/>
    <w:rsid w:val="00980C73"/>
    <w:rsid w:val="00980C92"/>
    <w:rsid w:val="00980E62"/>
    <w:rsid w:val="00980E7C"/>
    <w:rsid w:val="00980EF7"/>
    <w:rsid w:val="00981095"/>
    <w:rsid w:val="009810E2"/>
    <w:rsid w:val="00981144"/>
    <w:rsid w:val="00981309"/>
    <w:rsid w:val="009813CF"/>
    <w:rsid w:val="009815FB"/>
    <w:rsid w:val="00981733"/>
    <w:rsid w:val="00981807"/>
    <w:rsid w:val="009818EC"/>
    <w:rsid w:val="00981B5E"/>
    <w:rsid w:val="00981C4B"/>
    <w:rsid w:val="00981C67"/>
    <w:rsid w:val="00981FB7"/>
    <w:rsid w:val="00982007"/>
    <w:rsid w:val="00982090"/>
    <w:rsid w:val="009821FC"/>
    <w:rsid w:val="00982369"/>
    <w:rsid w:val="0098237E"/>
    <w:rsid w:val="009823EF"/>
    <w:rsid w:val="00982496"/>
    <w:rsid w:val="009824CC"/>
    <w:rsid w:val="00982536"/>
    <w:rsid w:val="00982656"/>
    <w:rsid w:val="009829A8"/>
    <w:rsid w:val="00982A71"/>
    <w:rsid w:val="00982D01"/>
    <w:rsid w:val="00982F8B"/>
    <w:rsid w:val="00983115"/>
    <w:rsid w:val="009831B4"/>
    <w:rsid w:val="00983366"/>
    <w:rsid w:val="0098338C"/>
    <w:rsid w:val="00983678"/>
    <w:rsid w:val="0098373C"/>
    <w:rsid w:val="00983903"/>
    <w:rsid w:val="00983AC4"/>
    <w:rsid w:val="00983B48"/>
    <w:rsid w:val="00983CA1"/>
    <w:rsid w:val="00984035"/>
    <w:rsid w:val="009841A3"/>
    <w:rsid w:val="0098424B"/>
    <w:rsid w:val="00984329"/>
    <w:rsid w:val="0098433F"/>
    <w:rsid w:val="009843B1"/>
    <w:rsid w:val="0098441E"/>
    <w:rsid w:val="00984590"/>
    <w:rsid w:val="00984784"/>
    <w:rsid w:val="009847EA"/>
    <w:rsid w:val="009848F8"/>
    <w:rsid w:val="009849D3"/>
    <w:rsid w:val="009849E9"/>
    <w:rsid w:val="00984EF4"/>
    <w:rsid w:val="009850B9"/>
    <w:rsid w:val="009850BD"/>
    <w:rsid w:val="00985118"/>
    <w:rsid w:val="00985215"/>
    <w:rsid w:val="0098527D"/>
    <w:rsid w:val="009852A3"/>
    <w:rsid w:val="009857FB"/>
    <w:rsid w:val="00985833"/>
    <w:rsid w:val="00985B7D"/>
    <w:rsid w:val="00985C42"/>
    <w:rsid w:val="00985CDF"/>
    <w:rsid w:val="00986047"/>
    <w:rsid w:val="0098606F"/>
    <w:rsid w:val="00986392"/>
    <w:rsid w:val="00986424"/>
    <w:rsid w:val="00986632"/>
    <w:rsid w:val="0098678C"/>
    <w:rsid w:val="009867A0"/>
    <w:rsid w:val="009868D1"/>
    <w:rsid w:val="00986B11"/>
    <w:rsid w:val="00986B82"/>
    <w:rsid w:val="00986BD0"/>
    <w:rsid w:val="00986CC6"/>
    <w:rsid w:val="00986DA5"/>
    <w:rsid w:val="00986E91"/>
    <w:rsid w:val="00987208"/>
    <w:rsid w:val="00987375"/>
    <w:rsid w:val="009876C5"/>
    <w:rsid w:val="0098777C"/>
    <w:rsid w:val="00987912"/>
    <w:rsid w:val="00987AA1"/>
    <w:rsid w:val="00987BC8"/>
    <w:rsid w:val="00987D1E"/>
    <w:rsid w:val="00987E87"/>
    <w:rsid w:val="00987F05"/>
    <w:rsid w:val="00987F78"/>
    <w:rsid w:val="00987FC3"/>
    <w:rsid w:val="00990122"/>
    <w:rsid w:val="00990147"/>
    <w:rsid w:val="009901C1"/>
    <w:rsid w:val="00990224"/>
    <w:rsid w:val="0099047D"/>
    <w:rsid w:val="00990597"/>
    <w:rsid w:val="00990683"/>
    <w:rsid w:val="00990719"/>
    <w:rsid w:val="009908D7"/>
    <w:rsid w:val="00990976"/>
    <w:rsid w:val="00990B80"/>
    <w:rsid w:val="00990BCC"/>
    <w:rsid w:val="00990D2A"/>
    <w:rsid w:val="00990D30"/>
    <w:rsid w:val="00990F55"/>
    <w:rsid w:val="009911FD"/>
    <w:rsid w:val="00991468"/>
    <w:rsid w:val="009914B9"/>
    <w:rsid w:val="00991567"/>
    <w:rsid w:val="009915A9"/>
    <w:rsid w:val="00991717"/>
    <w:rsid w:val="0099178A"/>
    <w:rsid w:val="009917F8"/>
    <w:rsid w:val="00991AAD"/>
    <w:rsid w:val="00991AB8"/>
    <w:rsid w:val="00991AF9"/>
    <w:rsid w:val="00991C00"/>
    <w:rsid w:val="00991CA3"/>
    <w:rsid w:val="00991F10"/>
    <w:rsid w:val="00991F7C"/>
    <w:rsid w:val="009922AB"/>
    <w:rsid w:val="0099248E"/>
    <w:rsid w:val="00992884"/>
    <w:rsid w:val="0099295A"/>
    <w:rsid w:val="00992967"/>
    <w:rsid w:val="009929B0"/>
    <w:rsid w:val="00992A20"/>
    <w:rsid w:val="00992AC6"/>
    <w:rsid w:val="00992B46"/>
    <w:rsid w:val="00992B90"/>
    <w:rsid w:val="00992BC3"/>
    <w:rsid w:val="00992D4C"/>
    <w:rsid w:val="00992DA7"/>
    <w:rsid w:val="00992E9A"/>
    <w:rsid w:val="0099331A"/>
    <w:rsid w:val="009933AA"/>
    <w:rsid w:val="0099349D"/>
    <w:rsid w:val="009934B5"/>
    <w:rsid w:val="009934EE"/>
    <w:rsid w:val="009935A1"/>
    <w:rsid w:val="009935D9"/>
    <w:rsid w:val="00993773"/>
    <w:rsid w:val="009937EB"/>
    <w:rsid w:val="009938BD"/>
    <w:rsid w:val="00993970"/>
    <w:rsid w:val="009939DA"/>
    <w:rsid w:val="00993AAD"/>
    <w:rsid w:val="00993C1C"/>
    <w:rsid w:val="00993EE0"/>
    <w:rsid w:val="00993F47"/>
    <w:rsid w:val="0099402F"/>
    <w:rsid w:val="009941BA"/>
    <w:rsid w:val="0099429C"/>
    <w:rsid w:val="009942B3"/>
    <w:rsid w:val="009942F0"/>
    <w:rsid w:val="0099434C"/>
    <w:rsid w:val="00994434"/>
    <w:rsid w:val="00994459"/>
    <w:rsid w:val="009945AC"/>
    <w:rsid w:val="00994601"/>
    <w:rsid w:val="00994665"/>
    <w:rsid w:val="00994725"/>
    <w:rsid w:val="00994795"/>
    <w:rsid w:val="00994925"/>
    <w:rsid w:val="00994ABD"/>
    <w:rsid w:val="00994B01"/>
    <w:rsid w:val="00994B90"/>
    <w:rsid w:val="00994CA1"/>
    <w:rsid w:val="00994EE6"/>
    <w:rsid w:val="0099545A"/>
    <w:rsid w:val="00995473"/>
    <w:rsid w:val="00995573"/>
    <w:rsid w:val="00995647"/>
    <w:rsid w:val="009956BF"/>
    <w:rsid w:val="00995731"/>
    <w:rsid w:val="00995897"/>
    <w:rsid w:val="0099632F"/>
    <w:rsid w:val="0099637A"/>
    <w:rsid w:val="0099644E"/>
    <w:rsid w:val="009965E3"/>
    <w:rsid w:val="00996727"/>
    <w:rsid w:val="00996802"/>
    <w:rsid w:val="009968E6"/>
    <w:rsid w:val="009968F6"/>
    <w:rsid w:val="00996973"/>
    <w:rsid w:val="00996C0F"/>
    <w:rsid w:val="00996FD7"/>
    <w:rsid w:val="00996FFB"/>
    <w:rsid w:val="00997071"/>
    <w:rsid w:val="0099719F"/>
    <w:rsid w:val="00997290"/>
    <w:rsid w:val="0099730C"/>
    <w:rsid w:val="00997415"/>
    <w:rsid w:val="009974A8"/>
    <w:rsid w:val="009975F3"/>
    <w:rsid w:val="0099763D"/>
    <w:rsid w:val="00997656"/>
    <w:rsid w:val="0099766C"/>
    <w:rsid w:val="009977AF"/>
    <w:rsid w:val="00997803"/>
    <w:rsid w:val="00997A1E"/>
    <w:rsid w:val="00997A92"/>
    <w:rsid w:val="00997AB0"/>
    <w:rsid w:val="00997B69"/>
    <w:rsid w:val="00997B6C"/>
    <w:rsid w:val="00997D2F"/>
    <w:rsid w:val="00997E48"/>
    <w:rsid w:val="009A0231"/>
    <w:rsid w:val="009A038F"/>
    <w:rsid w:val="009A0447"/>
    <w:rsid w:val="009A047E"/>
    <w:rsid w:val="009A04F2"/>
    <w:rsid w:val="009A05EA"/>
    <w:rsid w:val="009A0749"/>
    <w:rsid w:val="009A07F4"/>
    <w:rsid w:val="009A0A63"/>
    <w:rsid w:val="009A0AA5"/>
    <w:rsid w:val="009A0BBB"/>
    <w:rsid w:val="009A0FE9"/>
    <w:rsid w:val="009A1197"/>
    <w:rsid w:val="009A1238"/>
    <w:rsid w:val="009A132C"/>
    <w:rsid w:val="009A135D"/>
    <w:rsid w:val="009A136B"/>
    <w:rsid w:val="009A141A"/>
    <w:rsid w:val="009A1541"/>
    <w:rsid w:val="009A1544"/>
    <w:rsid w:val="009A155C"/>
    <w:rsid w:val="009A16A4"/>
    <w:rsid w:val="009A1716"/>
    <w:rsid w:val="009A18B0"/>
    <w:rsid w:val="009A19BE"/>
    <w:rsid w:val="009A19D4"/>
    <w:rsid w:val="009A1A0E"/>
    <w:rsid w:val="009A1B6F"/>
    <w:rsid w:val="009A1D70"/>
    <w:rsid w:val="009A1F45"/>
    <w:rsid w:val="009A219B"/>
    <w:rsid w:val="009A21B0"/>
    <w:rsid w:val="009A2391"/>
    <w:rsid w:val="009A2396"/>
    <w:rsid w:val="009A24E0"/>
    <w:rsid w:val="009A2714"/>
    <w:rsid w:val="009A277A"/>
    <w:rsid w:val="009A2A25"/>
    <w:rsid w:val="009A2A49"/>
    <w:rsid w:val="009A2AF6"/>
    <w:rsid w:val="009A2BFC"/>
    <w:rsid w:val="009A2E6C"/>
    <w:rsid w:val="009A2F25"/>
    <w:rsid w:val="009A2F5F"/>
    <w:rsid w:val="009A3144"/>
    <w:rsid w:val="009A33F0"/>
    <w:rsid w:val="009A34DE"/>
    <w:rsid w:val="009A3653"/>
    <w:rsid w:val="009A3662"/>
    <w:rsid w:val="009A36D5"/>
    <w:rsid w:val="009A3AE4"/>
    <w:rsid w:val="009A3BF1"/>
    <w:rsid w:val="009A3CD1"/>
    <w:rsid w:val="009A3CF2"/>
    <w:rsid w:val="009A3EA2"/>
    <w:rsid w:val="009A3F17"/>
    <w:rsid w:val="009A3F9C"/>
    <w:rsid w:val="009A41A0"/>
    <w:rsid w:val="009A42FE"/>
    <w:rsid w:val="009A438D"/>
    <w:rsid w:val="009A44B2"/>
    <w:rsid w:val="009A45C7"/>
    <w:rsid w:val="009A4606"/>
    <w:rsid w:val="009A47C2"/>
    <w:rsid w:val="009A47ED"/>
    <w:rsid w:val="009A493F"/>
    <w:rsid w:val="009A4D8B"/>
    <w:rsid w:val="009A5088"/>
    <w:rsid w:val="009A52C6"/>
    <w:rsid w:val="009A552B"/>
    <w:rsid w:val="009A5582"/>
    <w:rsid w:val="009A55FE"/>
    <w:rsid w:val="009A578F"/>
    <w:rsid w:val="009A59C8"/>
    <w:rsid w:val="009A5BD4"/>
    <w:rsid w:val="009A5EAF"/>
    <w:rsid w:val="009A5FBB"/>
    <w:rsid w:val="009A6042"/>
    <w:rsid w:val="009A6106"/>
    <w:rsid w:val="009A6167"/>
    <w:rsid w:val="009A6168"/>
    <w:rsid w:val="009A6251"/>
    <w:rsid w:val="009A63AA"/>
    <w:rsid w:val="009A63DE"/>
    <w:rsid w:val="009A644B"/>
    <w:rsid w:val="009A6459"/>
    <w:rsid w:val="009A647B"/>
    <w:rsid w:val="009A649D"/>
    <w:rsid w:val="009A64A2"/>
    <w:rsid w:val="009A65BC"/>
    <w:rsid w:val="009A6620"/>
    <w:rsid w:val="009A66F9"/>
    <w:rsid w:val="009A6859"/>
    <w:rsid w:val="009A6912"/>
    <w:rsid w:val="009A7092"/>
    <w:rsid w:val="009A71B5"/>
    <w:rsid w:val="009A7229"/>
    <w:rsid w:val="009A73B2"/>
    <w:rsid w:val="009A73C5"/>
    <w:rsid w:val="009A7531"/>
    <w:rsid w:val="009A760D"/>
    <w:rsid w:val="009A760F"/>
    <w:rsid w:val="009A7720"/>
    <w:rsid w:val="009A78AA"/>
    <w:rsid w:val="009A79B9"/>
    <w:rsid w:val="009A7AAD"/>
    <w:rsid w:val="009A7C0F"/>
    <w:rsid w:val="009A7C4B"/>
    <w:rsid w:val="009A7C98"/>
    <w:rsid w:val="009A7CFB"/>
    <w:rsid w:val="009B02B9"/>
    <w:rsid w:val="009B02D7"/>
    <w:rsid w:val="009B0651"/>
    <w:rsid w:val="009B06DE"/>
    <w:rsid w:val="009B0988"/>
    <w:rsid w:val="009B09A1"/>
    <w:rsid w:val="009B0BE8"/>
    <w:rsid w:val="009B0F2E"/>
    <w:rsid w:val="009B10FA"/>
    <w:rsid w:val="009B1139"/>
    <w:rsid w:val="009B116A"/>
    <w:rsid w:val="009B1287"/>
    <w:rsid w:val="009B1420"/>
    <w:rsid w:val="009B1489"/>
    <w:rsid w:val="009B1695"/>
    <w:rsid w:val="009B17ED"/>
    <w:rsid w:val="009B1960"/>
    <w:rsid w:val="009B1B15"/>
    <w:rsid w:val="009B1D69"/>
    <w:rsid w:val="009B1E6A"/>
    <w:rsid w:val="009B1F1D"/>
    <w:rsid w:val="009B2196"/>
    <w:rsid w:val="009B2508"/>
    <w:rsid w:val="009B25DB"/>
    <w:rsid w:val="009B2610"/>
    <w:rsid w:val="009B26F0"/>
    <w:rsid w:val="009B2708"/>
    <w:rsid w:val="009B271A"/>
    <w:rsid w:val="009B2723"/>
    <w:rsid w:val="009B27A4"/>
    <w:rsid w:val="009B27EA"/>
    <w:rsid w:val="009B2A95"/>
    <w:rsid w:val="009B2BB2"/>
    <w:rsid w:val="009B2BC2"/>
    <w:rsid w:val="009B2C4A"/>
    <w:rsid w:val="009B2C95"/>
    <w:rsid w:val="009B2DA7"/>
    <w:rsid w:val="009B2E5E"/>
    <w:rsid w:val="009B2EB4"/>
    <w:rsid w:val="009B2F8F"/>
    <w:rsid w:val="009B2FDD"/>
    <w:rsid w:val="009B300C"/>
    <w:rsid w:val="009B3010"/>
    <w:rsid w:val="009B30D6"/>
    <w:rsid w:val="009B30DF"/>
    <w:rsid w:val="009B30E2"/>
    <w:rsid w:val="009B329B"/>
    <w:rsid w:val="009B32BC"/>
    <w:rsid w:val="009B3555"/>
    <w:rsid w:val="009B3965"/>
    <w:rsid w:val="009B3B11"/>
    <w:rsid w:val="009B3B18"/>
    <w:rsid w:val="009B3B85"/>
    <w:rsid w:val="009B3BAC"/>
    <w:rsid w:val="009B3D85"/>
    <w:rsid w:val="009B3EE9"/>
    <w:rsid w:val="009B3F84"/>
    <w:rsid w:val="009B4135"/>
    <w:rsid w:val="009B429F"/>
    <w:rsid w:val="009B42B8"/>
    <w:rsid w:val="009B4660"/>
    <w:rsid w:val="009B466F"/>
    <w:rsid w:val="009B46CF"/>
    <w:rsid w:val="009B499B"/>
    <w:rsid w:val="009B4CB5"/>
    <w:rsid w:val="009B4DC2"/>
    <w:rsid w:val="009B4ED4"/>
    <w:rsid w:val="009B4FA7"/>
    <w:rsid w:val="009B504E"/>
    <w:rsid w:val="009B51F9"/>
    <w:rsid w:val="009B52F6"/>
    <w:rsid w:val="009B5378"/>
    <w:rsid w:val="009B54C6"/>
    <w:rsid w:val="009B56A3"/>
    <w:rsid w:val="009B570F"/>
    <w:rsid w:val="009B57DD"/>
    <w:rsid w:val="009B5983"/>
    <w:rsid w:val="009B5A7F"/>
    <w:rsid w:val="009B5BC5"/>
    <w:rsid w:val="009B5C00"/>
    <w:rsid w:val="009B5C16"/>
    <w:rsid w:val="009B609C"/>
    <w:rsid w:val="009B6292"/>
    <w:rsid w:val="009B62EE"/>
    <w:rsid w:val="009B63E5"/>
    <w:rsid w:val="009B63EC"/>
    <w:rsid w:val="009B65C5"/>
    <w:rsid w:val="009B66D9"/>
    <w:rsid w:val="009B6724"/>
    <w:rsid w:val="009B6941"/>
    <w:rsid w:val="009B69A5"/>
    <w:rsid w:val="009B6C29"/>
    <w:rsid w:val="009B6C2A"/>
    <w:rsid w:val="009B6C7A"/>
    <w:rsid w:val="009B6E12"/>
    <w:rsid w:val="009B6E7B"/>
    <w:rsid w:val="009B706F"/>
    <w:rsid w:val="009B7131"/>
    <w:rsid w:val="009B7400"/>
    <w:rsid w:val="009B7519"/>
    <w:rsid w:val="009B769A"/>
    <w:rsid w:val="009B78B3"/>
    <w:rsid w:val="009B7A00"/>
    <w:rsid w:val="009B7AD8"/>
    <w:rsid w:val="009B7C65"/>
    <w:rsid w:val="009C00B2"/>
    <w:rsid w:val="009C011F"/>
    <w:rsid w:val="009C012F"/>
    <w:rsid w:val="009C02B9"/>
    <w:rsid w:val="009C033A"/>
    <w:rsid w:val="009C049C"/>
    <w:rsid w:val="009C058B"/>
    <w:rsid w:val="009C07D2"/>
    <w:rsid w:val="009C07F5"/>
    <w:rsid w:val="009C09AE"/>
    <w:rsid w:val="009C0AA8"/>
    <w:rsid w:val="009C0BAC"/>
    <w:rsid w:val="009C0E77"/>
    <w:rsid w:val="009C0F27"/>
    <w:rsid w:val="009C1083"/>
    <w:rsid w:val="009C12F3"/>
    <w:rsid w:val="009C145F"/>
    <w:rsid w:val="009C14B6"/>
    <w:rsid w:val="009C18B4"/>
    <w:rsid w:val="009C1A00"/>
    <w:rsid w:val="009C1AB8"/>
    <w:rsid w:val="009C1B4E"/>
    <w:rsid w:val="009C1C20"/>
    <w:rsid w:val="009C1CA2"/>
    <w:rsid w:val="009C1EBB"/>
    <w:rsid w:val="009C1F0F"/>
    <w:rsid w:val="009C1F71"/>
    <w:rsid w:val="009C1FDF"/>
    <w:rsid w:val="009C1FEA"/>
    <w:rsid w:val="009C219B"/>
    <w:rsid w:val="009C23AA"/>
    <w:rsid w:val="009C24FB"/>
    <w:rsid w:val="009C2549"/>
    <w:rsid w:val="009C2766"/>
    <w:rsid w:val="009C28A3"/>
    <w:rsid w:val="009C2B54"/>
    <w:rsid w:val="009C2B8C"/>
    <w:rsid w:val="009C2B9C"/>
    <w:rsid w:val="009C2D08"/>
    <w:rsid w:val="009C2D86"/>
    <w:rsid w:val="009C2DF5"/>
    <w:rsid w:val="009C2E4E"/>
    <w:rsid w:val="009C2F4A"/>
    <w:rsid w:val="009C2F90"/>
    <w:rsid w:val="009C3170"/>
    <w:rsid w:val="009C31D3"/>
    <w:rsid w:val="009C3284"/>
    <w:rsid w:val="009C366D"/>
    <w:rsid w:val="009C3769"/>
    <w:rsid w:val="009C3AD2"/>
    <w:rsid w:val="009C3AD8"/>
    <w:rsid w:val="009C3B13"/>
    <w:rsid w:val="009C3B67"/>
    <w:rsid w:val="009C3BE6"/>
    <w:rsid w:val="009C3DE1"/>
    <w:rsid w:val="009C3E06"/>
    <w:rsid w:val="009C4113"/>
    <w:rsid w:val="009C4293"/>
    <w:rsid w:val="009C42E5"/>
    <w:rsid w:val="009C456F"/>
    <w:rsid w:val="009C47E6"/>
    <w:rsid w:val="009C49B1"/>
    <w:rsid w:val="009C4A11"/>
    <w:rsid w:val="009C4A5E"/>
    <w:rsid w:val="009C4B1E"/>
    <w:rsid w:val="009C4B7D"/>
    <w:rsid w:val="009C4DB4"/>
    <w:rsid w:val="009C4F4D"/>
    <w:rsid w:val="009C538F"/>
    <w:rsid w:val="009C5454"/>
    <w:rsid w:val="009C5554"/>
    <w:rsid w:val="009C55C8"/>
    <w:rsid w:val="009C5746"/>
    <w:rsid w:val="009C57B3"/>
    <w:rsid w:val="009C61E2"/>
    <w:rsid w:val="009C628C"/>
    <w:rsid w:val="009C62AF"/>
    <w:rsid w:val="009C63C5"/>
    <w:rsid w:val="009C6475"/>
    <w:rsid w:val="009C656A"/>
    <w:rsid w:val="009C6808"/>
    <w:rsid w:val="009C6961"/>
    <w:rsid w:val="009C6A78"/>
    <w:rsid w:val="009C6AA0"/>
    <w:rsid w:val="009C6BBD"/>
    <w:rsid w:val="009C6E2D"/>
    <w:rsid w:val="009C6E38"/>
    <w:rsid w:val="009C6F09"/>
    <w:rsid w:val="009C7092"/>
    <w:rsid w:val="009C7704"/>
    <w:rsid w:val="009C7811"/>
    <w:rsid w:val="009C78D3"/>
    <w:rsid w:val="009C7A39"/>
    <w:rsid w:val="009C7A52"/>
    <w:rsid w:val="009C7B91"/>
    <w:rsid w:val="009C7CEC"/>
    <w:rsid w:val="009C7D82"/>
    <w:rsid w:val="009C7D87"/>
    <w:rsid w:val="009C7E1D"/>
    <w:rsid w:val="009C7E8E"/>
    <w:rsid w:val="009C7F6E"/>
    <w:rsid w:val="009C7FF8"/>
    <w:rsid w:val="009D01CD"/>
    <w:rsid w:val="009D0227"/>
    <w:rsid w:val="009D02E3"/>
    <w:rsid w:val="009D0462"/>
    <w:rsid w:val="009D0712"/>
    <w:rsid w:val="009D07F8"/>
    <w:rsid w:val="009D0B01"/>
    <w:rsid w:val="009D0B52"/>
    <w:rsid w:val="009D0DA6"/>
    <w:rsid w:val="009D0E0E"/>
    <w:rsid w:val="009D0F78"/>
    <w:rsid w:val="009D0F86"/>
    <w:rsid w:val="009D1125"/>
    <w:rsid w:val="009D116A"/>
    <w:rsid w:val="009D126E"/>
    <w:rsid w:val="009D12A0"/>
    <w:rsid w:val="009D15AF"/>
    <w:rsid w:val="009D1670"/>
    <w:rsid w:val="009D17C2"/>
    <w:rsid w:val="009D1996"/>
    <w:rsid w:val="009D1C46"/>
    <w:rsid w:val="009D1E67"/>
    <w:rsid w:val="009D1ED2"/>
    <w:rsid w:val="009D1F32"/>
    <w:rsid w:val="009D1F9C"/>
    <w:rsid w:val="009D2161"/>
    <w:rsid w:val="009D2190"/>
    <w:rsid w:val="009D2294"/>
    <w:rsid w:val="009D24D1"/>
    <w:rsid w:val="009D2689"/>
    <w:rsid w:val="009D26EA"/>
    <w:rsid w:val="009D2790"/>
    <w:rsid w:val="009D27B3"/>
    <w:rsid w:val="009D2871"/>
    <w:rsid w:val="009D2F40"/>
    <w:rsid w:val="009D2FFA"/>
    <w:rsid w:val="009D32FE"/>
    <w:rsid w:val="009D3379"/>
    <w:rsid w:val="009D337D"/>
    <w:rsid w:val="009D3485"/>
    <w:rsid w:val="009D35D4"/>
    <w:rsid w:val="009D36D6"/>
    <w:rsid w:val="009D3812"/>
    <w:rsid w:val="009D3D6E"/>
    <w:rsid w:val="009D3EA8"/>
    <w:rsid w:val="009D3F75"/>
    <w:rsid w:val="009D4081"/>
    <w:rsid w:val="009D41C1"/>
    <w:rsid w:val="009D41C9"/>
    <w:rsid w:val="009D4293"/>
    <w:rsid w:val="009D43FD"/>
    <w:rsid w:val="009D4711"/>
    <w:rsid w:val="009D4963"/>
    <w:rsid w:val="009D4AD2"/>
    <w:rsid w:val="009D4E03"/>
    <w:rsid w:val="009D4E13"/>
    <w:rsid w:val="009D4E91"/>
    <w:rsid w:val="009D4F70"/>
    <w:rsid w:val="009D4FCB"/>
    <w:rsid w:val="009D50D4"/>
    <w:rsid w:val="009D5185"/>
    <w:rsid w:val="009D52E1"/>
    <w:rsid w:val="009D5380"/>
    <w:rsid w:val="009D5472"/>
    <w:rsid w:val="009D54BF"/>
    <w:rsid w:val="009D54DC"/>
    <w:rsid w:val="009D54E2"/>
    <w:rsid w:val="009D563C"/>
    <w:rsid w:val="009D5839"/>
    <w:rsid w:val="009D5E2A"/>
    <w:rsid w:val="009D5E58"/>
    <w:rsid w:val="009D6100"/>
    <w:rsid w:val="009D61CE"/>
    <w:rsid w:val="009D63A0"/>
    <w:rsid w:val="009D640A"/>
    <w:rsid w:val="009D6492"/>
    <w:rsid w:val="009D657E"/>
    <w:rsid w:val="009D678D"/>
    <w:rsid w:val="009D6A42"/>
    <w:rsid w:val="009D6D01"/>
    <w:rsid w:val="009D6F82"/>
    <w:rsid w:val="009D72F3"/>
    <w:rsid w:val="009D737C"/>
    <w:rsid w:val="009D75BF"/>
    <w:rsid w:val="009D78F2"/>
    <w:rsid w:val="009D7A35"/>
    <w:rsid w:val="009D7B47"/>
    <w:rsid w:val="009D7BAE"/>
    <w:rsid w:val="009D7BF9"/>
    <w:rsid w:val="009E01FE"/>
    <w:rsid w:val="009E0268"/>
    <w:rsid w:val="009E02D8"/>
    <w:rsid w:val="009E04CF"/>
    <w:rsid w:val="009E04F7"/>
    <w:rsid w:val="009E04F8"/>
    <w:rsid w:val="009E0503"/>
    <w:rsid w:val="009E073E"/>
    <w:rsid w:val="009E075A"/>
    <w:rsid w:val="009E0957"/>
    <w:rsid w:val="009E09C6"/>
    <w:rsid w:val="009E09E2"/>
    <w:rsid w:val="009E0A02"/>
    <w:rsid w:val="009E0AD0"/>
    <w:rsid w:val="009E0B12"/>
    <w:rsid w:val="009E0C25"/>
    <w:rsid w:val="009E0C87"/>
    <w:rsid w:val="009E0D40"/>
    <w:rsid w:val="009E0D7F"/>
    <w:rsid w:val="009E0E08"/>
    <w:rsid w:val="009E0EE9"/>
    <w:rsid w:val="009E0F7B"/>
    <w:rsid w:val="009E0F8B"/>
    <w:rsid w:val="009E1134"/>
    <w:rsid w:val="009E11F0"/>
    <w:rsid w:val="009E1233"/>
    <w:rsid w:val="009E15CC"/>
    <w:rsid w:val="009E166B"/>
    <w:rsid w:val="009E17A8"/>
    <w:rsid w:val="009E18D8"/>
    <w:rsid w:val="009E1C6C"/>
    <w:rsid w:val="009E1D68"/>
    <w:rsid w:val="009E1EB1"/>
    <w:rsid w:val="009E2027"/>
    <w:rsid w:val="009E2193"/>
    <w:rsid w:val="009E2383"/>
    <w:rsid w:val="009E25A0"/>
    <w:rsid w:val="009E266F"/>
    <w:rsid w:val="009E26B8"/>
    <w:rsid w:val="009E270E"/>
    <w:rsid w:val="009E287F"/>
    <w:rsid w:val="009E2A0A"/>
    <w:rsid w:val="009E2B58"/>
    <w:rsid w:val="009E2C4F"/>
    <w:rsid w:val="009E2C5E"/>
    <w:rsid w:val="009E2D92"/>
    <w:rsid w:val="009E2DB8"/>
    <w:rsid w:val="009E2DBA"/>
    <w:rsid w:val="009E2F2F"/>
    <w:rsid w:val="009E2FEB"/>
    <w:rsid w:val="009E3091"/>
    <w:rsid w:val="009E322F"/>
    <w:rsid w:val="009E34AE"/>
    <w:rsid w:val="009E3639"/>
    <w:rsid w:val="009E383D"/>
    <w:rsid w:val="009E3840"/>
    <w:rsid w:val="009E3936"/>
    <w:rsid w:val="009E39D9"/>
    <w:rsid w:val="009E3F5B"/>
    <w:rsid w:val="009E3F63"/>
    <w:rsid w:val="009E40C4"/>
    <w:rsid w:val="009E41BB"/>
    <w:rsid w:val="009E4348"/>
    <w:rsid w:val="009E4539"/>
    <w:rsid w:val="009E454B"/>
    <w:rsid w:val="009E45F0"/>
    <w:rsid w:val="009E46AD"/>
    <w:rsid w:val="009E47F8"/>
    <w:rsid w:val="009E497D"/>
    <w:rsid w:val="009E4C45"/>
    <w:rsid w:val="009E4C7C"/>
    <w:rsid w:val="009E4CC9"/>
    <w:rsid w:val="009E4DD9"/>
    <w:rsid w:val="009E4E0E"/>
    <w:rsid w:val="009E4ED8"/>
    <w:rsid w:val="009E4F7A"/>
    <w:rsid w:val="009E4FA4"/>
    <w:rsid w:val="009E504A"/>
    <w:rsid w:val="009E5082"/>
    <w:rsid w:val="009E50EF"/>
    <w:rsid w:val="009E511A"/>
    <w:rsid w:val="009E520C"/>
    <w:rsid w:val="009E5386"/>
    <w:rsid w:val="009E54F1"/>
    <w:rsid w:val="009E573E"/>
    <w:rsid w:val="009E576C"/>
    <w:rsid w:val="009E57D9"/>
    <w:rsid w:val="009E59C5"/>
    <w:rsid w:val="009E59CC"/>
    <w:rsid w:val="009E59DC"/>
    <w:rsid w:val="009E5B4D"/>
    <w:rsid w:val="009E5BF8"/>
    <w:rsid w:val="009E5C05"/>
    <w:rsid w:val="009E5D6E"/>
    <w:rsid w:val="009E5DAA"/>
    <w:rsid w:val="009E5EE8"/>
    <w:rsid w:val="009E600C"/>
    <w:rsid w:val="009E60D6"/>
    <w:rsid w:val="009E6184"/>
    <w:rsid w:val="009E61FC"/>
    <w:rsid w:val="009E63D1"/>
    <w:rsid w:val="009E6635"/>
    <w:rsid w:val="009E6778"/>
    <w:rsid w:val="009E6C48"/>
    <w:rsid w:val="009E6CB4"/>
    <w:rsid w:val="009E6DB3"/>
    <w:rsid w:val="009E6DF3"/>
    <w:rsid w:val="009E6E3C"/>
    <w:rsid w:val="009E6E5D"/>
    <w:rsid w:val="009E6F3A"/>
    <w:rsid w:val="009E722C"/>
    <w:rsid w:val="009E7282"/>
    <w:rsid w:val="009E74F7"/>
    <w:rsid w:val="009E779F"/>
    <w:rsid w:val="009E7898"/>
    <w:rsid w:val="009E7BC4"/>
    <w:rsid w:val="009E7E1D"/>
    <w:rsid w:val="009E7FE3"/>
    <w:rsid w:val="009F0005"/>
    <w:rsid w:val="009F0170"/>
    <w:rsid w:val="009F02F4"/>
    <w:rsid w:val="009F0693"/>
    <w:rsid w:val="009F070C"/>
    <w:rsid w:val="009F07E9"/>
    <w:rsid w:val="009F09D9"/>
    <w:rsid w:val="009F0AA7"/>
    <w:rsid w:val="009F0BA2"/>
    <w:rsid w:val="009F0C29"/>
    <w:rsid w:val="009F0C82"/>
    <w:rsid w:val="009F0CE7"/>
    <w:rsid w:val="009F0D2A"/>
    <w:rsid w:val="009F0DF6"/>
    <w:rsid w:val="009F0F47"/>
    <w:rsid w:val="009F1088"/>
    <w:rsid w:val="009F10A1"/>
    <w:rsid w:val="009F10F6"/>
    <w:rsid w:val="009F14A5"/>
    <w:rsid w:val="009F14A9"/>
    <w:rsid w:val="009F154E"/>
    <w:rsid w:val="009F165C"/>
    <w:rsid w:val="009F17D8"/>
    <w:rsid w:val="009F1A7B"/>
    <w:rsid w:val="009F1A92"/>
    <w:rsid w:val="009F1BF6"/>
    <w:rsid w:val="009F1DF3"/>
    <w:rsid w:val="009F1E22"/>
    <w:rsid w:val="009F1E29"/>
    <w:rsid w:val="009F207F"/>
    <w:rsid w:val="009F2252"/>
    <w:rsid w:val="009F22E7"/>
    <w:rsid w:val="009F2389"/>
    <w:rsid w:val="009F2505"/>
    <w:rsid w:val="009F283A"/>
    <w:rsid w:val="009F29F4"/>
    <w:rsid w:val="009F2BBE"/>
    <w:rsid w:val="009F2C8B"/>
    <w:rsid w:val="009F2E63"/>
    <w:rsid w:val="009F2E6D"/>
    <w:rsid w:val="009F2EA2"/>
    <w:rsid w:val="009F3178"/>
    <w:rsid w:val="009F317A"/>
    <w:rsid w:val="009F335E"/>
    <w:rsid w:val="009F364D"/>
    <w:rsid w:val="009F36B4"/>
    <w:rsid w:val="009F36BB"/>
    <w:rsid w:val="009F3906"/>
    <w:rsid w:val="009F3A30"/>
    <w:rsid w:val="009F3AED"/>
    <w:rsid w:val="009F3D74"/>
    <w:rsid w:val="009F4143"/>
    <w:rsid w:val="009F42FA"/>
    <w:rsid w:val="009F4362"/>
    <w:rsid w:val="009F4381"/>
    <w:rsid w:val="009F4782"/>
    <w:rsid w:val="009F48EE"/>
    <w:rsid w:val="009F4A97"/>
    <w:rsid w:val="009F4AE7"/>
    <w:rsid w:val="009F4D13"/>
    <w:rsid w:val="009F4E82"/>
    <w:rsid w:val="009F4FBE"/>
    <w:rsid w:val="009F4FC7"/>
    <w:rsid w:val="009F5527"/>
    <w:rsid w:val="009F5559"/>
    <w:rsid w:val="009F57F2"/>
    <w:rsid w:val="009F5C2D"/>
    <w:rsid w:val="009F5CB7"/>
    <w:rsid w:val="009F5CCA"/>
    <w:rsid w:val="009F5D71"/>
    <w:rsid w:val="009F5EE3"/>
    <w:rsid w:val="009F5F9B"/>
    <w:rsid w:val="009F6083"/>
    <w:rsid w:val="009F6175"/>
    <w:rsid w:val="009F625B"/>
    <w:rsid w:val="009F635B"/>
    <w:rsid w:val="009F6392"/>
    <w:rsid w:val="009F64D9"/>
    <w:rsid w:val="009F64DC"/>
    <w:rsid w:val="009F65A8"/>
    <w:rsid w:val="009F6637"/>
    <w:rsid w:val="009F67F3"/>
    <w:rsid w:val="009F683A"/>
    <w:rsid w:val="009F6899"/>
    <w:rsid w:val="009F6A46"/>
    <w:rsid w:val="009F6ACB"/>
    <w:rsid w:val="009F6C14"/>
    <w:rsid w:val="009F7161"/>
    <w:rsid w:val="009F720D"/>
    <w:rsid w:val="009F74A1"/>
    <w:rsid w:val="009F75F0"/>
    <w:rsid w:val="009F7882"/>
    <w:rsid w:val="009F788F"/>
    <w:rsid w:val="009F7C29"/>
    <w:rsid w:val="009F7C48"/>
    <w:rsid w:val="009F7C9C"/>
    <w:rsid w:val="009F7D87"/>
    <w:rsid w:val="009F7E11"/>
    <w:rsid w:val="009F7E5D"/>
    <w:rsid w:val="009F7E7B"/>
    <w:rsid w:val="00A001C1"/>
    <w:rsid w:val="00A001E5"/>
    <w:rsid w:val="00A0036C"/>
    <w:rsid w:val="00A003EE"/>
    <w:rsid w:val="00A003F8"/>
    <w:rsid w:val="00A0052C"/>
    <w:rsid w:val="00A005AE"/>
    <w:rsid w:val="00A00666"/>
    <w:rsid w:val="00A00974"/>
    <w:rsid w:val="00A00A87"/>
    <w:rsid w:val="00A00B18"/>
    <w:rsid w:val="00A00B53"/>
    <w:rsid w:val="00A00B64"/>
    <w:rsid w:val="00A00BC7"/>
    <w:rsid w:val="00A00D86"/>
    <w:rsid w:val="00A00DD1"/>
    <w:rsid w:val="00A00DF9"/>
    <w:rsid w:val="00A00EFC"/>
    <w:rsid w:val="00A0105E"/>
    <w:rsid w:val="00A01176"/>
    <w:rsid w:val="00A01194"/>
    <w:rsid w:val="00A011DD"/>
    <w:rsid w:val="00A01322"/>
    <w:rsid w:val="00A018D7"/>
    <w:rsid w:val="00A019C5"/>
    <w:rsid w:val="00A019F5"/>
    <w:rsid w:val="00A01A8B"/>
    <w:rsid w:val="00A01C6E"/>
    <w:rsid w:val="00A01D16"/>
    <w:rsid w:val="00A01D2A"/>
    <w:rsid w:val="00A01E43"/>
    <w:rsid w:val="00A01EAE"/>
    <w:rsid w:val="00A01EDC"/>
    <w:rsid w:val="00A01F0E"/>
    <w:rsid w:val="00A024E3"/>
    <w:rsid w:val="00A0253E"/>
    <w:rsid w:val="00A02825"/>
    <w:rsid w:val="00A02883"/>
    <w:rsid w:val="00A02988"/>
    <w:rsid w:val="00A029FD"/>
    <w:rsid w:val="00A02B1D"/>
    <w:rsid w:val="00A02F9E"/>
    <w:rsid w:val="00A0327A"/>
    <w:rsid w:val="00A033B0"/>
    <w:rsid w:val="00A036EB"/>
    <w:rsid w:val="00A039B2"/>
    <w:rsid w:val="00A03AB5"/>
    <w:rsid w:val="00A03AFF"/>
    <w:rsid w:val="00A03BBD"/>
    <w:rsid w:val="00A03C23"/>
    <w:rsid w:val="00A03CA4"/>
    <w:rsid w:val="00A03E26"/>
    <w:rsid w:val="00A03F7C"/>
    <w:rsid w:val="00A0405E"/>
    <w:rsid w:val="00A044F9"/>
    <w:rsid w:val="00A047D3"/>
    <w:rsid w:val="00A049C3"/>
    <w:rsid w:val="00A049FA"/>
    <w:rsid w:val="00A04A8D"/>
    <w:rsid w:val="00A04B1A"/>
    <w:rsid w:val="00A04B9D"/>
    <w:rsid w:val="00A04BCA"/>
    <w:rsid w:val="00A04E40"/>
    <w:rsid w:val="00A04F25"/>
    <w:rsid w:val="00A05028"/>
    <w:rsid w:val="00A050BF"/>
    <w:rsid w:val="00A050F8"/>
    <w:rsid w:val="00A05105"/>
    <w:rsid w:val="00A05348"/>
    <w:rsid w:val="00A054B6"/>
    <w:rsid w:val="00A05612"/>
    <w:rsid w:val="00A056EC"/>
    <w:rsid w:val="00A05758"/>
    <w:rsid w:val="00A0599B"/>
    <w:rsid w:val="00A05E67"/>
    <w:rsid w:val="00A05F57"/>
    <w:rsid w:val="00A05F5A"/>
    <w:rsid w:val="00A061C6"/>
    <w:rsid w:val="00A0622A"/>
    <w:rsid w:val="00A06240"/>
    <w:rsid w:val="00A0638E"/>
    <w:rsid w:val="00A063DD"/>
    <w:rsid w:val="00A06437"/>
    <w:rsid w:val="00A065AF"/>
    <w:rsid w:val="00A06796"/>
    <w:rsid w:val="00A067E5"/>
    <w:rsid w:val="00A067EA"/>
    <w:rsid w:val="00A06901"/>
    <w:rsid w:val="00A069D1"/>
    <w:rsid w:val="00A06A28"/>
    <w:rsid w:val="00A06A7F"/>
    <w:rsid w:val="00A06C94"/>
    <w:rsid w:val="00A06FD4"/>
    <w:rsid w:val="00A07030"/>
    <w:rsid w:val="00A072FE"/>
    <w:rsid w:val="00A07486"/>
    <w:rsid w:val="00A074DE"/>
    <w:rsid w:val="00A075A4"/>
    <w:rsid w:val="00A0763D"/>
    <w:rsid w:val="00A07BD0"/>
    <w:rsid w:val="00A07C04"/>
    <w:rsid w:val="00A07C6E"/>
    <w:rsid w:val="00A07CBC"/>
    <w:rsid w:val="00A07D2D"/>
    <w:rsid w:val="00A07F86"/>
    <w:rsid w:val="00A07FC4"/>
    <w:rsid w:val="00A07FFA"/>
    <w:rsid w:val="00A1010C"/>
    <w:rsid w:val="00A10217"/>
    <w:rsid w:val="00A106CF"/>
    <w:rsid w:val="00A1072C"/>
    <w:rsid w:val="00A1077E"/>
    <w:rsid w:val="00A10802"/>
    <w:rsid w:val="00A1089E"/>
    <w:rsid w:val="00A109B5"/>
    <w:rsid w:val="00A10A4E"/>
    <w:rsid w:val="00A10CA7"/>
    <w:rsid w:val="00A10FE0"/>
    <w:rsid w:val="00A1111D"/>
    <w:rsid w:val="00A111B4"/>
    <w:rsid w:val="00A11469"/>
    <w:rsid w:val="00A11918"/>
    <w:rsid w:val="00A1192F"/>
    <w:rsid w:val="00A11952"/>
    <w:rsid w:val="00A11A0D"/>
    <w:rsid w:val="00A11C78"/>
    <w:rsid w:val="00A11CE8"/>
    <w:rsid w:val="00A11DDA"/>
    <w:rsid w:val="00A11EB0"/>
    <w:rsid w:val="00A11FAC"/>
    <w:rsid w:val="00A12183"/>
    <w:rsid w:val="00A1222B"/>
    <w:rsid w:val="00A122DB"/>
    <w:rsid w:val="00A12652"/>
    <w:rsid w:val="00A12761"/>
    <w:rsid w:val="00A1282A"/>
    <w:rsid w:val="00A12A39"/>
    <w:rsid w:val="00A12A86"/>
    <w:rsid w:val="00A12A90"/>
    <w:rsid w:val="00A12B50"/>
    <w:rsid w:val="00A12BB6"/>
    <w:rsid w:val="00A12F7E"/>
    <w:rsid w:val="00A130F3"/>
    <w:rsid w:val="00A131EA"/>
    <w:rsid w:val="00A13329"/>
    <w:rsid w:val="00A1334D"/>
    <w:rsid w:val="00A13545"/>
    <w:rsid w:val="00A135CE"/>
    <w:rsid w:val="00A13607"/>
    <w:rsid w:val="00A13643"/>
    <w:rsid w:val="00A1389A"/>
    <w:rsid w:val="00A13CDD"/>
    <w:rsid w:val="00A13D31"/>
    <w:rsid w:val="00A13E2D"/>
    <w:rsid w:val="00A14453"/>
    <w:rsid w:val="00A144DC"/>
    <w:rsid w:val="00A145BC"/>
    <w:rsid w:val="00A146FB"/>
    <w:rsid w:val="00A14721"/>
    <w:rsid w:val="00A148F2"/>
    <w:rsid w:val="00A149B8"/>
    <w:rsid w:val="00A14B22"/>
    <w:rsid w:val="00A14B6D"/>
    <w:rsid w:val="00A14FBE"/>
    <w:rsid w:val="00A15055"/>
    <w:rsid w:val="00A152CA"/>
    <w:rsid w:val="00A153C5"/>
    <w:rsid w:val="00A1559E"/>
    <w:rsid w:val="00A155AF"/>
    <w:rsid w:val="00A157F0"/>
    <w:rsid w:val="00A1585E"/>
    <w:rsid w:val="00A15973"/>
    <w:rsid w:val="00A15C3C"/>
    <w:rsid w:val="00A15C9F"/>
    <w:rsid w:val="00A15EB7"/>
    <w:rsid w:val="00A16111"/>
    <w:rsid w:val="00A16124"/>
    <w:rsid w:val="00A16130"/>
    <w:rsid w:val="00A16236"/>
    <w:rsid w:val="00A16246"/>
    <w:rsid w:val="00A16255"/>
    <w:rsid w:val="00A16301"/>
    <w:rsid w:val="00A163A5"/>
    <w:rsid w:val="00A16576"/>
    <w:rsid w:val="00A165CA"/>
    <w:rsid w:val="00A166C0"/>
    <w:rsid w:val="00A1672C"/>
    <w:rsid w:val="00A1687C"/>
    <w:rsid w:val="00A16CEA"/>
    <w:rsid w:val="00A17163"/>
    <w:rsid w:val="00A171A9"/>
    <w:rsid w:val="00A172CC"/>
    <w:rsid w:val="00A174A1"/>
    <w:rsid w:val="00A1751F"/>
    <w:rsid w:val="00A1760A"/>
    <w:rsid w:val="00A176D7"/>
    <w:rsid w:val="00A178E1"/>
    <w:rsid w:val="00A17960"/>
    <w:rsid w:val="00A17989"/>
    <w:rsid w:val="00A17ABB"/>
    <w:rsid w:val="00A17D3A"/>
    <w:rsid w:val="00A17EBD"/>
    <w:rsid w:val="00A17EF2"/>
    <w:rsid w:val="00A17F37"/>
    <w:rsid w:val="00A200B2"/>
    <w:rsid w:val="00A200E0"/>
    <w:rsid w:val="00A203C2"/>
    <w:rsid w:val="00A204F0"/>
    <w:rsid w:val="00A2085E"/>
    <w:rsid w:val="00A20973"/>
    <w:rsid w:val="00A20E58"/>
    <w:rsid w:val="00A21132"/>
    <w:rsid w:val="00A2116C"/>
    <w:rsid w:val="00A2128F"/>
    <w:rsid w:val="00A213C3"/>
    <w:rsid w:val="00A21432"/>
    <w:rsid w:val="00A2163A"/>
    <w:rsid w:val="00A216C4"/>
    <w:rsid w:val="00A21756"/>
    <w:rsid w:val="00A217F6"/>
    <w:rsid w:val="00A218AE"/>
    <w:rsid w:val="00A21BB2"/>
    <w:rsid w:val="00A21C22"/>
    <w:rsid w:val="00A21C2D"/>
    <w:rsid w:val="00A220BE"/>
    <w:rsid w:val="00A220DD"/>
    <w:rsid w:val="00A2211D"/>
    <w:rsid w:val="00A22201"/>
    <w:rsid w:val="00A22227"/>
    <w:rsid w:val="00A222DC"/>
    <w:rsid w:val="00A22358"/>
    <w:rsid w:val="00A223CF"/>
    <w:rsid w:val="00A2283A"/>
    <w:rsid w:val="00A22F44"/>
    <w:rsid w:val="00A22F67"/>
    <w:rsid w:val="00A22FEE"/>
    <w:rsid w:val="00A233EC"/>
    <w:rsid w:val="00A23622"/>
    <w:rsid w:val="00A2393D"/>
    <w:rsid w:val="00A23A57"/>
    <w:rsid w:val="00A23C2E"/>
    <w:rsid w:val="00A240BC"/>
    <w:rsid w:val="00A2413D"/>
    <w:rsid w:val="00A24195"/>
    <w:rsid w:val="00A24249"/>
    <w:rsid w:val="00A243CD"/>
    <w:rsid w:val="00A245D6"/>
    <w:rsid w:val="00A245F6"/>
    <w:rsid w:val="00A246CE"/>
    <w:rsid w:val="00A24835"/>
    <w:rsid w:val="00A2492E"/>
    <w:rsid w:val="00A24951"/>
    <w:rsid w:val="00A2497C"/>
    <w:rsid w:val="00A249A8"/>
    <w:rsid w:val="00A25017"/>
    <w:rsid w:val="00A25136"/>
    <w:rsid w:val="00A252C0"/>
    <w:rsid w:val="00A25474"/>
    <w:rsid w:val="00A25489"/>
    <w:rsid w:val="00A25629"/>
    <w:rsid w:val="00A25912"/>
    <w:rsid w:val="00A259BC"/>
    <w:rsid w:val="00A25B29"/>
    <w:rsid w:val="00A25C95"/>
    <w:rsid w:val="00A25DD8"/>
    <w:rsid w:val="00A25EA4"/>
    <w:rsid w:val="00A25F0D"/>
    <w:rsid w:val="00A26382"/>
    <w:rsid w:val="00A263D9"/>
    <w:rsid w:val="00A264AC"/>
    <w:rsid w:val="00A26534"/>
    <w:rsid w:val="00A266CB"/>
    <w:rsid w:val="00A267B0"/>
    <w:rsid w:val="00A268BE"/>
    <w:rsid w:val="00A26A08"/>
    <w:rsid w:val="00A26C00"/>
    <w:rsid w:val="00A26ED1"/>
    <w:rsid w:val="00A26FAB"/>
    <w:rsid w:val="00A2718E"/>
    <w:rsid w:val="00A27334"/>
    <w:rsid w:val="00A2740C"/>
    <w:rsid w:val="00A27482"/>
    <w:rsid w:val="00A275F5"/>
    <w:rsid w:val="00A276BF"/>
    <w:rsid w:val="00A276E3"/>
    <w:rsid w:val="00A2771F"/>
    <w:rsid w:val="00A277BA"/>
    <w:rsid w:val="00A27911"/>
    <w:rsid w:val="00A27AC8"/>
    <w:rsid w:val="00A27AF5"/>
    <w:rsid w:val="00A27C12"/>
    <w:rsid w:val="00A27E7B"/>
    <w:rsid w:val="00A27EE8"/>
    <w:rsid w:val="00A300B8"/>
    <w:rsid w:val="00A30113"/>
    <w:rsid w:val="00A30129"/>
    <w:rsid w:val="00A3022F"/>
    <w:rsid w:val="00A30280"/>
    <w:rsid w:val="00A30789"/>
    <w:rsid w:val="00A30828"/>
    <w:rsid w:val="00A308D7"/>
    <w:rsid w:val="00A309AB"/>
    <w:rsid w:val="00A309CD"/>
    <w:rsid w:val="00A30A34"/>
    <w:rsid w:val="00A30BE4"/>
    <w:rsid w:val="00A30D54"/>
    <w:rsid w:val="00A30E45"/>
    <w:rsid w:val="00A31018"/>
    <w:rsid w:val="00A31069"/>
    <w:rsid w:val="00A310ED"/>
    <w:rsid w:val="00A31167"/>
    <w:rsid w:val="00A311B2"/>
    <w:rsid w:val="00A3120D"/>
    <w:rsid w:val="00A31343"/>
    <w:rsid w:val="00A3159D"/>
    <w:rsid w:val="00A31691"/>
    <w:rsid w:val="00A31716"/>
    <w:rsid w:val="00A31893"/>
    <w:rsid w:val="00A31B45"/>
    <w:rsid w:val="00A31BF7"/>
    <w:rsid w:val="00A31D99"/>
    <w:rsid w:val="00A31E0F"/>
    <w:rsid w:val="00A323C8"/>
    <w:rsid w:val="00A323E3"/>
    <w:rsid w:val="00A324E1"/>
    <w:rsid w:val="00A3253F"/>
    <w:rsid w:val="00A325B2"/>
    <w:rsid w:val="00A32A1E"/>
    <w:rsid w:val="00A32BE7"/>
    <w:rsid w:val="00A32CE2"/>
    <w:rsid w:val="00A32D21"/>
    <w:rsid w:val="00A32ED6"/>
    <w:rsid w:val="00A32EE3"/>
    <w:rsid w:val="00A332A0"/>
    <w:rsid w:val="00A333FB"/>
    <w:rsid w:val="00A33563"/>
    <w:rsid w:val="00A33803"/>
    <w:rsid w:val="00A338BB"/>
    <w:rsid w:val="00A338F5"/>
    <w:rsid w:val="00A33AE1"/>
    <w:rsid w:val="00A33D8F"/>
    <w:rsid w:val="00A33F07"/>
    <w:rsid w:val="00A34083"/>
    <w:rsid w:val="00A34148"/>
    <w:rsid w:val="00A341B3"/>
    <w:rsid w:val="00A34326"/>
    <w:rsid w:val="00A343EE"/>
    <w:rsid w:val="00A3445D"/>
    <w:rsid w:val="00A3450B"/>
    <w:rsid w:val="00A3488F"/>
    <w:rsid w:val="00A34A95"/>
    <w:rsid w:val="00A34C60"/>
    <w:rsid w:val="00A34DB9"/>
    <w:rsid w:val="00A34DC0"/>
    <w:rsid w:val="00A34EE6"/>
    <w:rsid w:val="00A34FB5"/>
    <w:rsid w:val="00A3529D"/>
    <w:rsid w:val="00A3535E"/>
    <w:rsid w:val="00A35438"/>
    <w:rsid w:val="00A354A9"/>
    <w:rsid w:val="00A35B0A"/>
    <w:rsid w:val="00A35C47"/>
    <w:rsid w:val="00A35CFD"/>
    <w:rsid w:val="00A35E7D"/>
    <w:rsid w:val="00A35F18"/>
    <w:rsid w:val="00A35F7F"/>
    <w:rsid w:val="00A3602B"/>
    <w:rsid w:val="00A360E0"/>
    <w:rsid w:val="00A3613F"/>
    <w:rsid w:val="00A361B9"/>
    <w:rsid w:val="00A361BE"/>
    <w:rsid w:val="00A3628A"/>
    <w:rsid w:val="00A3628F"/>
    <w:rsid w:val="00A3632C"/>
    <w:rsid w:val="00A36344"/>
    <w:rsid w:val="00A363AF"/>
    <w:rsid w:val="00A36520"/>
    <w:rsid w:val="00A36531"/>
    <w:rsid w:val="00A36539"/>
    <w:rsid w:val="00A36772"/>
    <w:rsid w:val="00A3682C"/>
    <w:rsid w:val="00A36909"/>
    <w:rsid w:val="00A36ACD"/>
    <w:rsid w:val="00A36B3D"/>
    <w:rsid w:val="00A36D5F"/>
    <w:rsid w:val="00A36E86"/>
    <w:rsid w:val="00A36E89"/>
    <w:rsid w:val="00A36F1F"/>
    <w:rsid w:val="00A36F81"/>
    <w:rsid w:val="00A3707B"/>
    <w:rsid w:val="00A37135"/>
    <w:rsid w:val="00A37157"/>
    <w:rsid w:val="00A37176"/>
    <w:rsid w:val="00A37197"/>
    <w:rsid w:val="00A372FB"/>
    <w:rsid w:val="00A37436"/>
    <w:rsid w:val="00A3744B"/>
    <w:rsid w:val="00A3754A"/>
    <w:rsid w:val="00A3760E"/>
    <w:rsid w:val="00A3769D"/>
    <w:rsid w:val="00A37787"/>
    <w:rsid w:val="00A3792C"/>
    <w:rsid w:val="00A37B90"/>
    <w:rsid w:val="00A37BE8"/>
    <w:rsid w:val="00A37CD4"/>
    <w:rsid w:val="00A37EBD"/>
    <w:rsid w:val="00A37FDB"/>
    <w:rsid w:val="00A40044"/>
    <w:rsid w:val="00A4037E"/>
    <w:rsid w:val="00A403DD"/>
    <w:rsid w:val="00A40763"/>
    <w:rsid w:val="00A407C8"/>
    <w:rsid w:val="00A408C5"/>
    <w:rsid w:val="00A40A17"/>
    <w:rsid w:val="00A40AB6"/>
    <w:rsid w:val="00A40AD9"/>
    <w:rsid w:val="00A40B14"/>
    <w:rsid w:val="00A40D06"/>
    <w:rsid w:val="00A40D6A"/>
    <w:rsid w:val="00A4106A"/>
    <w:rsid w:val="00A412E7"/>
    <w:rsid w:val="00A412E8"/>
    <w:rsid w:val="00A4139D"/>
    <w:rsid w:val="00A41516"/>
    <w:rsid w:val="00A41670"/>
    <w:rsid w:val="00A41863"/>
    <w:rsid w:val="00A41E4D"/>
    <w:rsid w:val="00A429C3"/>
    <w:rsid w:val="00A42A06"/>
    <w:rsid w:val="00A42CFE"/>
    <w:rsid w:val="00A42D8E"/>
    <w:rsid w:val="00A42E8C"/>
    <w:rsid w:val="00A42EEC"/>
    <w:rsid w:val="00A43417"/>
    <w:rsid w:val="00A434C6"/>
    <w:rsid w:val="00A43613"/>
    <w:rsid w:val="00A437DE"/>
    <w:rsid w:val="00A43990"/>
    <w:rsid w:val="00A439E7"/>
    <w:rsid w:val="00A43AD4"/>
    <w:rsid w:val="00A43EB6"/>
    <w:rsid w:val="00A443E6"/>
    <w:rsid w:val="00A4457F"/>
    <w:rsid w:val="00A446CD"/>
    <w:rsid w:val="00A44895"/>
    <w:rsid w:val="00A44BD8"/>
    <w:rsid w:val="00A44BDB"/>
    <w:rsid w:val="00A44BE9"/>
    <w:rsid w:val="00A44E6E"/>
    <w:rsid w:val="00A450A6"/>
    <w:rsid w:val="00A45129"/>
    <w:rsid w:val="00A451F5"/>
    <w:rsid w:val="00A45398"/>
    <w:rsid w:val="00A454AE"/>
    <w:rsid w:val="00A454C2"/>
    <w:rsid w:val="00A45524"/>
    <w:rsid w:val="00A4553F"/>
    <w:rsid w:val="00A455F2"/>
    <w:rsid w:val="00A457D1"/>
    <w:rsid w:val="00A457D6"/>
    <w:rsid w:val="00A457DF"/>
    <w:rsid w:val="00A4581B"/>
    <w:rsid w:val="00A4587E"/>
    <w:rsid w:val="00A4592A"/>
    <w:rsid w:val="00A45964"/>
    <w:rsid w:val="00A459B6"/>
    <w:rsid w:val="00A45A7A"/>
    <w:rsid w:val="00A45A8A"/>
    <w:rsid w:val="00A45D6B"/>
    <w:rsid w:val="00A45EFD"/>
    <w:rsid w:val="00A45F0F"/>
    <w:rsid w:val="00A45F50"/>
    <w:rsid w:val="00A45FC8"/>
    <w:rsid w:val="00A45FED"/>
    <w:rsid w:val="00A46007"/>
    <w:rsid w:val="00A461B5"/>
    <w:rsid w:val="00A463DF"/>
    <w:rsid w:val="00A464CC"/>
    <w:rsid w:val="00A464D9"/>
    <w:rsid w:val="00A465DF"/>
    <w:rsid w:val="00A46BF9"/>
    <w:rsid w:val="00A46D83"/>
    <w:rsid w:val="00A46E9D"/>
    <w:rsid w:val="00A46ED7"/>
    <w:rsid w:val="00A46EF6"/>
    <w:rsid w:val="00A4702D"/>
    <w:rsid w:val="00A47164"/>
    <w:rsid w:val="00A4726D"/>
    <w:rsid w:val="00A47695"/>
    <w:rsid w:val="00A47772"/>
    <w:rsid w:val="00A4786E"/>
    <w:rsid w:val="00A478A2"/>
    <w:rsid w:val="00A47912"/>
    <w:rsid w:val="00A47959"/>
    <w:rsid w:val="00A479BE"/>
    <w:rsid w:val="00A47A83"/>
    <w:rsid w:val="00A47A8F"/>
    <w:rsid w:val="00A47BD0"/>
    <w:rsid w:val="00A47C37"/>
    <w:rsid w:val="00A47FC9"/>
    <w:rsid w:val="00A500E7"/>
    <w:rsid w:val="00A50129"/>
    <w:rsid w:val="00A501D2"/>
    <w:rsid w:val="00A5037B"/>
    <w:rsid w:val="00A504A4"/>
    <w:rsid w:val="00A505FB"/>
    <w:rsid w:val="00A5063A"/>
    <w:rsid w:val="00A506D2"/>
    <w:rsid w:val="00A506D3"/>
    <w:rsid w:val="00A50732"/>
    <w:rsid w:val="00A5080A"/>
    <w:rsid w:val="00A5088A"/>
    <w:rsid w:val="00A508DA"/>
    <w:rsid w:val="00A508E0"/>
    <w:rsid w:val="00A50BB7"/>
    <w:rsid w:val="00A50C8F"/>
    <w:rsid w:val="00A50ECF"/>
    <w:rsid w:val="00A50EF1"/>
    <w:rsid w:val="00A50FA6"/>
    <w:rsid w:val="00A50FBA"/>
    <w:rsid w:val="00A50FF3"/>
    <w:rsid w:val="00A514E5"/>
    <w:rsid w:val="00A5157D"/>
    <w:rsid w:val="00A517ED"/>
    <w:rsid w:val="00A51A8B"/>
    <w:rsid w:val="00A51AA7"/>
    <w:rsid w:val="00A51C1D"/>
    <w:rsid w:val="00A51CB3"/>
    <w:rsid w:val="00A51E02"/>
    <w:rsid w:val="00A51F10"/>
    <w:rsid w:val="00A51F77"/>
    <w:rsid w:val="00A52149"/>
    <w:rsid w:val="00A52160"/>
    <w:rsid w:val="00A521CE"/>
    <w:rsid w:val="00A5239D"/>
    <w:rsid w:val="00A52544"/>
    <w:rsid w:val="00A52744"/>
    <w:rsid w:val="00A527DA"/>
    <w:rsid w:val="00A528F2"/>
    <w:rsid w:val="00A52959"/>
    <w:rsid w:val="00A52AC4"/>
    <w:rsid w:val="00A52D59"/>
    <w:rsid w:val="00A53092"/>
    <w:rsid w:val="00A5309F"/>
    <w:rsid w:val="00A5331C"/>
    <w:rsid w:val="00A533E6"/>
    <w:rsid w:val="00A533FC"/>
    <w:rsid w:val="00A53576"/>
    <w:rsid w:val="00A5367A"/>
    <w:rsid w:val="00A53755"/>
    <w:rsid w:val="00A53945"/>
    <w:rsid w:val="00A53A59"/>
    <w:rsid w:val="00A53C6E"/>
    <w:rsid w:val="00A53E85"/>
    <w:rsid w:val="00A543A1"/>
    <w:rsid w:val="00A543BA"/>
    <w:rsid w:val="00A54500"/>
    <w:rsid w:val="00A54578"/>
    <w:rsid w:val="00A54626"/>
    <w:rsid w:val="00A5465C"/>
    <w:rsid w:val="00A54697"/>
    <w:rsid w:val="00A549C4"/>
    <w:rsid w:val="00A54B96"/>
    <w:rsid w:val="00A54DB8"/>
    <w:rsid w:val="00A54E03"/>
    <w:rsid w:val="00A54FE2"/>
    <w:rsid w:val="00A55250"/>
    <w:rsid w:val="00A556BC"/>
    <w:rsid w:val="00A55724"/>
    <w:rsid w:val="00A5589C"/>
    <w:rsid w:val="00A558D8"/>
    <w:rsid w:val="00A558E6"/>
    <w:rsid w:val="00A559AA"/>
    <w:rsid w:val="00A559F5"/>
    <w:rsid w:val="00A55B18"/>
    <w:rsid w:val="00A55B29"/>
    <w:rsid w:val="00A55BE2"/>
    <w:rsid w:val="00A55D81"/>
    <w:rsid w:val="00A55E20"/>
    <w:rsid w:val="00A55FA9"/>
    <w:rsid w:val="00A55FFC"/>
    <w:rsid w:val="00A56268"/>
    <w:rsid w:val="00A564A9"/>
    <w:rsid w:val="00A564E3"/>
    <w:rsid w:val="00A565EC"/>
    <w:rsid w:val="00A5663D"/>
    <w:rsid w:val="00A56885"/>
    <w:rsid w:val="00A568CA"/>
    <w:rsid w:val="00A56977"/>
    <w:rsid w:val="00A56995"/>
    <w:rsid w:val="00A569D1"/>
    <w:rsid w:val="00A569E3"/>
    <w:rsid w:val="00A569F1"/>
    <w:rsid w:val="00A56AA0"/>
    <w:rsid w:val="00A56B56"/>
    <w:rsid w:val="00A56B99"/>
    <w:rsid w:val="00A56C68"/>
    <w:rsid w:val="00A56EB9"/>
    <w:rsid w:val="00A57038"/>
    <w:rsid w:val="00A571AE"/>
    <w:rsid w:val="00A5730A"/>
    <w:rsid w:val="00A57397"/>
    <w:rsid w:val="00A5749A"/>
    <w:rsid w:val="00A574F6"/>
    <w:rsid w:val="00A575A2"/>
    <w:rsid w:val="00A5762D"/>
    <w:rsid w:val="00A57832"/>
    <w:rsid w:val="00A579CD"/>
    <w:rsid w:val="00A57D0A"/>
    <w:rsid w:val="00A57D63"/>
    <w:rsid w:val="00A57DD8"/>
    <w:rsid w:val="00A57E0F"/>
    <w:rsid w:val="00A57E1C"/>
    <w:rsid w:val="00A6018B"/>
    <w:rsid w:val="00A605EB"/>
    <w:rsid w:val="00A607CB"/>
    <w:rsid w:val="00A60893"/>
    <w:rsid w:val="00A608CB"/>
    <w:rsid w:val="00A60B3A"/>
    <w:rsid w:val="00A60CBC"/>
    <w:rsid w:val="00A60F31"/>
    <w:rsid w:val="00A61080"/>
    <w:rsid w:val="00A61144"/>
    <w:rsid w:val="00A611D9"/>
    <w:rsid w:val="00A613F6"/>
    <w:rsid w:val="00A61556"/>
    <w:rsid w:val="00A61612"/>
    <w:rsid w:val="00A616A8"/>
    <w:rsid w:val="00A61C0D"/>
    <w:rsid w:val="00A61D18"/>
    <w:rsid w:val="00A61D3D"/>
    <w:rsid w:val="00A620FC"/>
    <w:rsid w:val="00A621B3"/>
    <w:rsid w:val="00A62392"/>
    <w:rsid w:val="00A628DB"/>
    <w:rsid w:val="00A6290F"/>
    <w:rsid w:val="00A62AA1"/>
    <w:rsid w:val="00A62AA3"/>
    <w:rsid w:val="00A62C25"/>
    <w:rsid w:val="00A62FE9"/>
    <w:rsid w:val="00A631E8"/>
    <w:rsid w:val="00A63417"/>
    <w:rsid w:val="00A6358F"/>
    <w:rsid w:val="00A63637"/>
    <w:rsid w:val="00A637B9"/>
    <w:rsid w:val="00A63810"/>
    <w:rsid w:val="00A638B2"/>
    <w:rsid w:val="00A63932"/>
    <w:rsid w:val="00A63B2E"/>
    <w:rsid w:val="00A63CFB"/>
    <w:rsid w:val="00A6411C"/>
    <w:rsid w:val="00A641C7"/>
    <w:rsid w:val="00A64518"/>
    <w:rsid w:val="00A64787"/>
    <w:rsid w:val="00A64B24"/>
    <w:rsid w:val="00A64B5F"/>
    <w:rsid w:val="00A64C93"/>
    <w:rsid w:val="00A64D56"/>
    <w:rsid w:val="00A64D81"/>
    <w:rsid w:val="00A64E82"/>
    <w:rsid w:val="00A64F4B"/>
    <w:rsid w:val="00A64FD2"/>
    <w:rsid w:val="00A6504B"/>
    <w:rsid w:val="00A6516F"/>
    <w:rsid w:val="00A651C4"/>
    <w:rsid w:val="00A65209"/>
    <w:rsid w:val="00A65265"/>
    <w:rsid w:val="00A652E4"/>
    <w:rsid w:val="00A65569"/>
    <w:rsid w:val="00A65609"/>
    <w:rsid w:val="00A65747"/>
    <w:rsid w:val="00A6579D"/>
    <w:rsid w:val="00A65847"/>
    <w:rsid w:val="00A65905"/>
    <w:rsid w:val="00A659E6"/>
    <w:rsid w:val="00A65C6D"/>
    <w:rsid w:val="00A65E5B"/>
    <w:rsid w:val="00A65F9C"/>
    <w:rsid w:val="00A65FC3"/>
    <w:rsid w:val="00A6603B"/>
    <w:rsid w:val="00A661A8"/>
    <w:rsid w:val="00A661B5"/>
    <w:rsid w:val="00A66201"/>
    <w:rsid w:val="00A6629E"/>
    <w:rsid w:val="00A66326"/>
    <w:rsid w:val="00A66329"/>
    <w:rsid w:val="00A66332"/>
    <w:rsid w:val="00A66588"/>
    <w:rsid w:val="00A667FC"/>
    <w:rsid w:val="00A668C0"/>
    <w:rsid w:val="00A668D3"/>
    <w:rsid w:val="00A66912"/>
    <w:rsid w:val="00A669D7"/>
    <w:rsid w:val="00A669DE"/>
    <w:rsid w:val="00A66A59"/>
    <w:rsid w:val="00A66B92"/>
    <w:rsid w:val="00A66C54"/>
    <w:rsid w:val="00A66C81"/>
    <w:rsid w:val="00A66D79"/>
    <w:rsid w:val="00A66DFF"/>
    <w:rsid w:val="00A66E7B"/>
    <w:rsid w:val="00A66F02"/>
    <w:rsid w:val="00A67231"/>
    <w:rsid w:val="00A6737D"/>
    <w:rsid w:val="00A673BC"/>
    <w:rsid w:val="00A67491"/>
    <w:rsid w:val="00A678D5"/>
    <w:rsid w:val="00A67930"/>
    <w:rsid w:val="00A67A65"/>
    <w:rsid w:val="00A67B8C"/>
    <w:rsid w:val="00A67BED"/>
    <w:rsid w:val="00A67E6B"/>
    <w:rsid w:val="00A7000A"/>
    <w:rsid w:val="00A7008B"/>
    <w:rsid w:val="00A701A6"/>
    <w:rsid w:val="00A703CC"/>
    <w:rsid w:val="00A7069D"/>
    <w:rsid w:val="00A7070B"/>
    <w:rsid w:val="00A70723"/>
    <w:rsid w:val="00A7095A"/>
    <w:rsid w:val="00A70A6D"/>
    <w:rsid w:val="00A70B78"/>
    <w:rsid w:val="00A70C85"/>
    <w:rsid w:val="00A70CEE"/>
    <w:rsid w:val="00A70E1A"/>
    <w:rsid w:val="00A70E32"/>
    <w:rsid w:val="00A70E92"/>
    <w:rsid w:val="00A70F7C"/>
    <w:rsid w:val="00A71014"/>
    <w:rsid w:val="00A7104A"/>
    <w:rsid w:val="00A710A2"/>
    <w:rsid w:val="00A71261"/>
    <w:rsid w:val="00A712BB"/>
    <w:rsid w:val="00A7132F"/>
    <w:rsid w:val="00A715C5"/>
    <w:rsid w:val="00A71656"/>
    <w:rsid w:val="00A7170E"/>
    <w:rsid w:val="00A718A4"/>
    <w:rsid w:val="00A7198C"/>
    <w:rsid w:val="00A71AFD"/>
    <w:rsid w:val="00A71B00"/>
    <w:rsid w:val="00A71D17"/>
    <w:rsid w:val="00A71DBA"/>
    <w:rsid w:val="00A71DE4"/>
    <w:rsid w:val="00A71EFF"/>
    <w:rsid w:val="00A721A3"/>
    <w:rsid w:val="00A72247"/>
    <w:rsid w:val="00A722BB"/>
    <w:rsid w:val="00A72359"/>
    <w:rsid w:val="00A72380"/>
    <w:rsid w:val="00A72483"/>
    <w:rsid w:val="00A72504"/>
    <w:rsid w:val="00A725A7"/>
    <w:rsid w:val="00A725B9"/>
    <w:rsid w:val="00A725E7"/>
    <w:rsid w:val="00A726B4"/>
    <w:rsid w:val="00A72746"/>
    <w:rsid w:val="00A728F0"/>
    <w:rsid w:val="00A729FA"/>
    <w:rsid w:val="00A72A57"/>
    <w:rsid w:val="00A72ACB"/>
    <w:rsid w:val="00A72E0A"/>
    <w:rsid w:val="00A730C2"/>
    <w:rsid w:val="00A73149"/>
    <w:rsid w:val="00A73203"/>
    <w:rsid w:val="00A7321F"/>
    <w:rsid w:val="00A73609"/>
    <w:rsid w:val="00A73655"/>
    <w:rsid w:val="00A736D2"/>
    <w:rsid w:val="00A738F9"/>
    <w:rsid w:val="00A739BD"/>
    <w:rsid w:val="00A739EF"/>
    <w:rsid w:val="00A73A66"/>
    <w:rsid w:val="00A73C1C"/>
    <w:rsid w:val="00A73C2A"/>
    <w:rsid w:val="00A74123"/>
    <w:rsid w:val="00A742C3"/>
    <w:rsid w:val="00A742EB"/>
    <w:rsid w:val="00A745CD"/>
    <w:rsid w:val="00A74690"/>
    <w:rsid w:val="00A746E3"/>
    <w:rsid w:val="00A747E5"/>
    <w:rsid w:val="00A7488B"/>
    <w:rsid w:val="00A7491D"/>
    <w:rsid w:val="00A74DD9"/>
    <w:rsid w:val="00A74FCA"/>
    <w:rsid w:val="00A751B0"/>
    <w:rsid w:val="00A751D5"/>
    <w:rsid w:val="00A752A9"/>
    <w:rsid w:val="00A7545D"/>
    <w:rsid w:val="00A754B1"/>
    <w:rsid w:val="00A754B4"/>
    <w:rsid w:val="00A75534"/>
    <w:rsid w:val="00A755DF"/>
    <w:rsid w:val="00A75631"/>
    <w:rsid w:val="00A756F2"/>
    <w:rsid w:val="00A75935"/>
    <w:rsid w:val="00A75965"/>
    <w:rsid w:val="00A75AF2"/>
    <w:rsid w:val="00A75B54"/>
    <w:rsid w:val="00A75D0D"/>
    <w:rsid w:val="00A75D9D"/>
    <w:rsid w:val="00A75F11"/>
    <w:rsid w:val="00A75FC5"/>
    <w:rsid w:val="00A76159"/>
    <w:rsid w:val="00A76237"/>
    <w:rsid w:val="00A762EB"/>
    <w:rsid w:val="00A76351"/>
    <w:rsid w:val="00A76631"/>
    <w:rsid w:val="00A7665F"/>
    <w:rsid w:val="00A766AB"/>
    <w:rsid w:val="00A76785"/>
    <w:rsid w:val="00A76A41"/>
    <w:rsid w:val="00A76B5A"/>
    <w:rsid w:val="00A76BE1"/>
    <w:rsid w:val="00A76CCD"/>
    <w:rsid w:val="00A76D8B"/>
    <w:rsid w:val="00A76DD4"/>
    <w:rsid w:val="00A76E6D"/>
    <w:rsid w:val="00A77005"/>
    <w:rsid w:val="00A770F2"/>
    <w:rsid w:val="00A77386"/>
    <w:rsid w:val="00A77423"/>
    <w:rsid w:val="00A7744F"/>
    <w:rsid w:val="00A77532"/>
    <w:rsid w:val="00A775EE"/>
    <w:rsid w:val="00A776FA"/>
    <w:rsid w:val="00A77746"/>
    <w:rsid w:val="00A777D6"/>
    <w:rsid w:val="00A77843"/>
    <w:rsid w:val="00A7791D"/>
    <w:rsid w:val="00A77931"/>
    <w:rsid w:val="00A77D62"/>
    <w:rsid w:val="00A77E3A"/>
    <w:rsid w:val="00A77F1C"/>
    <w:rsid w:val="00A77F55"/>
    <w:rsid w:val="00A77FA2"/>
    <w:rsid w:val="00A80273"/>
    <w:rsid w:val="00A8041E"/>
    <w:rsid w:val="00A80423"/>
    <w:rsid w:val="00A8054A"/>
    <w:rsid w:val="00A806BF"/>
    <w:rsid w:val="00A8076A"/>
    <w:rsid w:val="00A8079A"/>
    <w:rsid w:val="00A80A77"/>
    <w:rsid w:val="00A80CB9"/>
    <w:rsid w:val="00A80D33"/>
    <w:rsid w:val="00A80DE0"/>
    <w:rsid w:val="00A810A4"/>
    <w:rsid w:val="00A810D6"/>
    <w:rsid w:val="00A811BC"/>
    <w:rsid w:val="00A8122E"/>
    <w:rsid w:val="00A813DD"/>
    <w:rsid w:val="00A816FD"/>
    <w:rsid w:val="00A817E0"/>
    <w:rsid w:val="00A81849"/>
    <w:rsid w:val="00A818B4"/>
    <w:rsid w:val="00A818CA"/>
    <w:rsid w:val="00A819F7"/>
    <w:rsid w:val="00A81BD4"/>
    <w:rsid w:val="00A81D88"/>
    <w:rsid w:val="00A81DB6"/>
    <w:rsid w:val="00A81E22"/>
    <w:rsid w:val="00A81EFF"/>
    <w:rsid w:val="00A82005"/>
    <w:rsid w:val="00A82329"/>
    <w:rsid w:val="00A824D7"/>
    <w:rsid w:val="00A82620"/>
    <w:rsid w:val="00A82881"/>
    <w:rsid w:val="00A8297C"/>
    <w:rsid w:val="00A8299F"/>
    <w:rsid w:val="00A829E2"/>
    <w:rsid w:val="00A82AE4"/>
    <w:rsid w:val="00A82B37"/>
    <w:rsid w:val="00A82B99"/>
    <w:rsid w:val="00A82BD5"/>
    <w:rsid w:val="00A82CA8"/>
    <w:rsid w:val="00A82D11"/>
    <w:rsid w:val="00A830E7"/>
    <w:rsid w:val="00A83165"/>
    <w:rsid w:val="00A8319D"/>
    <w:rsid w:val="00A8337D"/>
    <w:rsid w:val="00A834A3"/>
    <w:rsid w:val="00A83514"/>
    <w:rsid w:val="00A83819"/>
    <w:rsid w:val="00A838F7"/>
    <w:rsid w:val="00A83910"/>
    <w:rsid w:val="00A8399A"/>
    <w:rsid w:val="00A83AA4"/>
    <w:rsid w:val="00A83C2B"/>
    <w:rsid w:val="00A83C92"/>
    <w:rsid w:val="00A83D12"/>
    <w:rsid w:val="00A83DBA"/>
    <w:rsid w:val="00A83E12"/>
    <w:rsid w:val="00A840EE"/>
    <w:rsid w:val="00A84167"/>
    <w:rsid w:val="00A844B2"/>
    <w:rsid w:val="00A84571"/>
    <w:rsid w:val="00A8457C"/>
    <w:rsid w:val="00A84A2D"/>
    <w:rsid w:val="00A84A64"/>
    <w:rsid w:val="00A84A7F"/>
    <w:rsid w:val="00A84CC0"/>
    <w:rsid w:val="00A84D5C"/>
    <w:rsid w:val="00A84ED8"/>
    <w:rsid w:val="00A84F74"/>
    <w:rsid w:val="00A852DD"/>
    <w:rsid w:val="00A853DD"/>
    <w:rsid w:val="00A8561C"/>
    <w:rsid w:val="00A8563A"/>
    <w:rsid w:val="00A857D2"/>
    <w:rsid w:val="00A8598F"/>
    <w:rsid w:val="00A859ED"/>
    <w:rsid w:val="00A85F88"/>
    <w:rsid w:val="00A860BE"/>
    <w:rsid w:val="00A863A7"/>
    <w:rsid w:val="00A86411"/>
    <w:rsid w:val="00A864DD"/>
    <w:rsid w:val="00A86547"/>
    <w:rsid w:val="00A8675B"/>
    <w:rsid w:val="00A86855"/>
    <w:rsid w:val="00A868F6"/>
    <w:rsid w:val="00A8699F"/>
    <w:rsid w:val="00A869CA"/>
    <w:rsid w:val="00A86AC8"/>
    <w:rsid w:val="00A86AF5"/>
    <w:rsid w:val="00A86C28"/>
    <w:rsid w:val="00A86E21"/>
    <w:rsid w:val="00A86EF7"/>
    <w:rsid w:val="00A86EFB"/>
    <w:rsid w:val="00A86F4B"/>
    <w:rsid w:val="00A87105"/>
    <w:rsid w:val="00A8730E"/>
    <w:rsid w:val="00A87408"/>
    <w:rsid w:val="00A874E9"/>
    <w:rsid w:val="00A8759A"/>
    <w:rsid w:val="00A87892"/>
    <w:rsid w:val="00A879AC"/>
    <w:rsid w:val="00A879AF"/>
    <w:rsid w:val="00A87AC2"/>
    <w:rsid w:val="00A87CB9"/>
    <w:rsid w:val="00A90110"/>
    <w:rsid w:val="00A90138"/>
    <w:rsid w:val="00A9025B"/>
    <w:rsid w:val="00A90282"/>
    <w:rsid w:val="00A9028E"/>
    <w:rsid w:val="00A902DF"/>
    <w:rsid w:val="00A9032C"/>
    <w:rsid w:val="00A9047A"/>
    <w:rsid w:val="00A906FE"/>
    <w:rsid w:val="00A90A30"/>
    <w:rsid w:val="00A90AA8"/>
    <w:rsid w:val="00A90C1C"/>
    <w:rsid w:val="00A90C99"/>
    <w:rsid w:val="00A91147"/>
    <w:rsid w:val="00A9125B"/>
    <w:rsid w:val="00A9141F"/>
    <w:rsid w:val="00A916F9"/>
    <w:rsid w:val="00A91788"/>
    <w:rsid w:val="00A9179A"/>
    <w:rsid w:val="00A91813"/>
    <w:rsid w:val="00A91819"/>
    <w:rsid w:val="00A91988"/>
    <w:rsid w:val="00A91F5F"/>
    <w:rsid w:val="00A9217B"/>
    <w:rsid w:val="00A92497"/>
    <w:rsid w:val="00A925FC"/>
    <w:rsid w:val="00A926B1"/>
    <w:rsid w:val="00A9276D"/>
    <w:rsid w:val="00A927C7"/>
    <w:rsid w:val="00A92821"/>
    <w:rsid w:val="00A9287B"/>
    <w:rsid w:val="00A92A56"/>
    <w:rsid w:val="00A92AB1"/>
    <w:rsid w:val="00A92B0F"/>
    <w:rsid w:val="00A92B78"/>
    <w:rsid w:val="00A92B8C"/>
    <w:rsid w:val="00A92BB2"/>
    <w:rsid w:val="00A92EFF"/>
    <w:rsid w:val="00A92F01"/>
    <w:rsid w:val="00A92FF5"/>
    <w:rsid w:val="00A9318F"/>
    <w:rsid w:val="00A93218"/>
    <w:rsid w:val="00A93234"/>
    <w:rsid w:val="00A93246"/>
    <w:rsid w:val="00A93374"/>
    <w:rsid w:val="00A937BC"/>
    <w:rsid w:val="00A938A0"/>
    <w:rsid w:val="00A938E7"/>
    <w:rsid w:val="00A9397C"/>
    <w:rsid w:val="00A939BB"/>
    <w:rsid w:val="00A93A36"/>
    <w:rsid w:val="00A93C71"/>
    <w:rsid w:val="00A93F16"/>
    <w:rsid w:val="00A942A0"/>
    <w:rsid w:val="00A94414"/>
    <w:rsid w:val="00A9470F"/>
    <w:rsid w:val="00A94B97"/>
    <w:rsid w:val="00A94C27"/>
    <w:rsid w:val="00A94CFD"/>
    <w:rsid w:val="00A94D07"/>
    <w:rsid w:val="00A94D20"/>
    <w:rsid w:val="00A94E3C"/>
    <w:rsid w:val="00A94FEB"/>
    <w:rsid w:val="00A95077"/>
    <w:rsid w:val="00A9509F"/>
    <w:rsid w:val="00A95115"/>
    <w:rsid w:val="00A95321"/>
    <w:rsid w:val="00A95354"/>
    <w:rsid w:val="00A956C3"/>
    <w:rsid w:val="00A95738"/>
    <w:rsid w:val="00A95856"/>
    <w:rsid w:val="00A95886"/>
    <w:rsid w:val="00A95934"/>
    <w:rsid w:val="00A95D24"/>
    <w:rsid w:val="00A95DA0"/>
    <w:rsid w:val="00A95F9E"/>
    <w:rsid w:val="00A96032"/>
    <w:rsid w:val="00A96036"/>
    <w:rsid w:val="00A960D3"/>
    <w:rsid w:val="00A96524"/>
    <w:rsid w:val="00A965CB"/>
    <w:rsid w:val="00A966AF"/>
    <w:rsid w:val="00A966D0"/>
    <w:rsid w:val="00A9672D"/>
    <w:rsid w:val="00A9691D"/>
    <w:rsid w:val="00A96C60"/>
    <w:rsid w:val="00A96CCF"/>
    <w:rsid w:val="00A96D27"/>
    <w:rsid w:val="00A96D83"/>
    <w:rsid w:val="00A96D8E"/>
    <w:rsid w:val="00A96DBF"/>
    <w:rsid w:val="00A97012"/>
    <w:rsid w:val="00A971D9"/>
    <w:rsid w:val="00A975BB"/>
    <w:rsid w:val="00A97622"/>
    <w:rsid w:val="00A97656"/>
    <w:rsid w:val="00A97657"/>
    <w:rsid w:val="00A977B7"/>
    <w:rsid w:val="00A977DA"/>
    <w:rsid w:val="00A97AD7"/>
    <w:rsid w:val="00A97B55"/>
    <w:rsid w:val="00A97C8F"/>
    <w:rsid w:val="00AA00D7"/>
    <w:rsid w:val="00AA044D"/>
    <w:rsid w:val="00AA044E"/>
    <w:rsid w:val="00AA0486"/>
    <w:rsid w:val="00AA08E7"/>
    <w:rsid w:val="00AA0951"/>
    <w:rsid w:val="00AA0C2B"/>
    <w:rsid w:val="00AA0C60"/>
    <w:rsid w:val="00AA0FD6"/>
    <w:rsid w:val="00AA0FEF"/>
    <w:rsid w:val="00AA105B"/>
    <w:rsid w:val="00AA10AF"/>
    <w:rsid w:val="00AA11B7"/>
    <w:rsid w:val="00AA11C4"/>
    <w:rsid w:val="00AA1242"/>
    <w:rsid w:val="00AA127D"/>
    <w:rsid w:val="00AA135A"/>
    <w:rsid w:val="00AA1497"/>
    <w:rsid w:val="00AA1591"/>
    <w:rsid w:val="00AA16D6"/>
    <w:rsid w:val="00AA1743"/>
    <w:rsid w:val="00AA1916"/>
    <w:rsid w:val="00AA19D9"/>
    <w:rsid w:val="00AA19ED"/>
    <w:rsid w:val="00AA19F3"/>
    <w:rsid w:val="00AA1C46"/>
    <w:rsid w:val="00AA1EC3"/>
    <w:rsid w:val="00AA20B8"/>
    <w:rsid w:val="00AA2255"/>
    <w:rsid w:val="00AA2276"/>
    <w:rsid w:val="00AA2364"/>
    <w:rsid w:val="00AA3002"/>
    <w:rsid w:val="00AA3060"/>
    <w:rsid w:val="00AA31FD"/>
    <w:rsid w:val="00AA3412"/>
    <w:rsid w:val="00AA3839"/>
    <w:rsid w:val="00AA38C3"/>
    <w:rsid w:val="00AA3959"/>
    <w:rsid w:val="00AA3A51"/>
    <w:rsid w:val="00AA3A65"/>
    <w:rsid w:val="00AA3CB2"/>
    <w:rsid w:val="00AA3E4B"/>
    <w:rsid w:val="00AA4048"/>
    <w:rsid w:val="00AA4290"/>
    <w:rsid w:val="00AA4474"/>
    <w:rsid w:val="00AA4531"/>
    <w:rsid w:val="00AA45A9"/>
    <w:rsid w:val="00AA4641"/>
    <w:rsid w:val="00AA466A"/>
    <w:rsid w:val="00AA4685"/>
    <w:rsid w:val="00AA481B"/>
    <w:rsid w:val="00AA4CEA"/>
    <w:rsid w:val="00AA4F73"/>
    <w:rsid w:val="00AA5181"/>
    <w:rsid w:val="00AA5511"/>
    <w:rsid w:val="00AA5700"/>
    <w:rsid w:val="00AA5740"/>
    <w:rsid w:val="00AA57D5"/>
    <w:rsid w:val="00AA57E2"/>
    <w:rsid w:val="00AA5B64"/>
    <w:rsid w:val="00AA5D27"/>
    <w:rsid w:val="00AA5DD8"/>
    <w:rsid w:val="00AA5EAF"/>
    <w:rsid w:val="00AA5EFE"/>
    <w:rsid w:val="00AA6103"/>
    <w:rsid w:val="00AA6187"/>
    <w:rsid w:val="00AA62BD"/>
    <w:rsid w:val="00AA6556"/>
    <w:rsid w:val="00AA67BD"/>
    <w:rsid w:val="00AA67E3"/>
    <w:rsid w:val="00AA68E0"/>
    <w:rsid w:val="00AA69E2"/>
    <w:rsid w:val="00AA69FC"/>
    <w:rsid w:val="00AA6B3B"/>
    <w:rsid w:val="00AA6BAA"/>
    <w:rsid w:val="00AA6E62"/>
    <w:rsid w:val="00AA6E94"/>
    <w:rsid w:val="00AA6F3D"/>
    <w:rsid w:val="00AA6F44"/>
    <w:rsid w:val="00AA702A"/>
    <w:rsid w:val="00AA70CC"/>
    <w:rsid w:val="00AA713E"/>
    <w:rsid w:val="00AA7329"/>
    <w:rsid w:val="00AA7346"/>
    <w:rsid w:val="00AA75ED"/>
    <w:rsid w:val="00AA760B"/>
    <w:rsid w:val="00AA7669"/>
    <w:rsid w:val="00AA7831"/>
    <w:rsid w:val="00AA7862"/>
    <w:rsid w:val="00AA7976"/>
    <w:rsid w:val="00AA7BF3"/>
    <w:rsid w:val="00AA7C1D"/>
    <w:rsid w:val="00AA7C73"/>
    <w:rsid w:val="00AA7C9A"/>
    <w:rsid w:val="00AA7D4A"/>
    <w:rsid w:val="00AA7FB5"/>
    <w:rsid w:val="00AB00E8"/>
    <w:rsid w:val="00AB00FD"/>
    <w:rsid w:val="00AB02EB"/>
    <w:rsid w:val="00AB02F2"/>
    <w:rsid w:val="00AB02FF"/>
    <w:rsid w:val="00AB07D0"/>
    <w:rsid w:val="00AB0844"/>
    <w:rsid w:val="00AB0846"/>
    <w:rsid w:val="00AB09E9"/>
    <w:rsid w:val="00AB0A89"/>
    <w:rsid w:val="00AB0AE2"/>
    <w:rsid w:val="00AB0ECF"/>
    <w:rsid w:val="00AB10A4"/>
    <w:rsid w:val="00AB1111"/>
    <w:rsid w:val="00AB15BD"/>
    <w:rsid w:val="00AB1634"/>
    <w:rsid w:val="00AB1A1A"/>
    <w:rsid w:val="00AB1C2C"/>
    <w:rsid w:val="00AB205A"/>
    <w:rsid w:val="00AB2220"/>
    <w:rsid w:val="00AB2259"/>
    <w:rsid w:val="00AB22AA"/>
    <w:rsid w:val="00AB23A1"/>
    <w:rsid w:val="00AB23A6"/>
    <w:rsid w:val="00AB2445"/>
    <w:rsid w:val="00AB2505"/>
    <w:rsid w:val="00AB25BE"/>
    <w:rsid w:val="00AB263E"/>
    <w:rsid w:val="00AB27CB"/>
    <w:rsid w:val="00AB2874"/>
    <w:rsid w:val="00AB2A4B"/>
    <w:rsid w:val="00AB2B88"/>
    <w:rsid w:val="00AB2BC0"/>
    <w:rsid w:val="00AB2C78"/>
    <w:rsid w:val="00AB2E34"/>
    <w:rsid w:val="00AB2E61"/>
    <w:rsid w:val="00AB2F96"/>
    <w:rsid w:val="00AB2FC7"/>
    <w:rsid w:val="00AB3014"/>
    <w:rsid w:val="00AB30C4"/>
    <w:rsid w:val="00AB3844"/>
    <w:rsid w:val="00AB3857"/>
    <w:rsid w:val="00AB38B4"/>
    <w:rsid w:val="00AB3AD6"/>
    <w:rsid w:val="00AB3C26"/>
    <w:rsid w:val="00AB3C71"/>
    <w:rsid w:val="00AB3D67"/>
    <w:rsid w:val="00AB3DDD"/>
    <w:rsid w:val="00AB3FF5"/>
    <w:rsid w:val="00AB401B"/>
    <w:rsid w:val="00AB4113"/>
    <w:rsid w:val="00AB47A4"/>
    <w:rsid w:val="00AB4ACE"/>
    <w:rsid w:val="00AB4BB8"/>
    <w:rsid w:val="00AB4FAC"/>
    <w:rsid w:val="00AB51CB"/>
    <w:rsid w:val="00AB5528"/>
    <w:rsid w:val="00AB5948"/>
    <w:rsid w:val="00AB5BE8"/>
    <w:rsid w:val="00AB5CAC"/>
    <w:rsid w:val="00AB5CF1"/>
    <w:rsid w:val="00AB5DE2"/>
    <w:rsid w:val="00AB61A9"/>
    <w:rsid w:val="00AB61DB"/>
    <w:rsid w:val="00AB62C8"/>
    <w:rsid w:val="00AB63A1"/>
    <w:rsid w:val="00AB63B0"/>
    <w:rsid w:val="00AB64A3"/>
    <w:rsid w:val="00AB6820"/>
    <w:rsid w:val="00AB6A0D"/>
    <w:rsid w:val="00AB6A25"/>
    <w:rsid w:val="00AB6AB6"/>
    <w:rsid w:val="00AB6BCE"/>
    <w:rsid w:val="00AB6F7E"/>
    <w:rsid w:val="00AB713A"/>
    <w:rsid w:val="00AB71E6"/>
    <w:rsid w:val="00AB72AC"/>
    <w:rsid w:val="00AB72D1"/>
    <w:rsid w:val="00AB72F3"/>
    <w:rsid w:val="00AB7469"/>
    <w:rsid w:val="00AB7480"/>
    <w:rsid w:val="00AB74B0"/>
    <w:rsid w:val="00AB77C5"/>
    <w:rsid w:val="00AB77D6"/>
    <w:rsid w:val="00AB77D9"/>
    <w:rsid w:val="00AB7919"/>
    <w:rsid w:val="00AC0310"/>
    <w:rsid w:val="00AC0381"/>
    <w:rsid w:val="00AC05E9"/>
    <w:rsid w:val="00AC0623"/>
    <w:rsid w:val="00AC067B"/>
    <w:rsid w:val="00AC06BD"/>
    <w:rsid w:val="00AC07A7"/>
    <w:rsid w:val="00AC0A06"/>
    <w:rsid w:val="00AC0A63"/>
    <w:rsid w:val="00AC0B4C"/>
    <w:rsid w:val="00AC0B50"/>
    <w:rsid w:val="00AC0B8C"/>
    <w:rsid w:val="00AC0B96"/>
    <w:rsid w:val="00AC0DF1"/>
    <w:rsid w:val="00AC0F71"/>
    <w:rsid w:val="00AC118F"/>
    <w:rsid w:val="00AC1502"/>
    <w:rsid w:val="00AC15AA"/>
    <w:rsid w:val="00AC15FC"/>
    <w:rsid w:val="00AC1685"/>
    <w:rsid w:val="00AC16C3"/>
    <w:rsid w:val="00AC1871"/>
    <w:rsid w:val="00AC18C1"/>
    <w:rsid w:val="00AC18E5"/>
    <w:rsid w:val="00AC1900"/>
    <w:rsid w:val="00AC1954"/>
    <w:rsid w:val="00AC1AC8"/>
    <w:rsid w:val="00AC1BFC"/>
    <w:rsid w:val="00AC1C7D"/>
    <w:rsid w:val="00AC1FD4"/>
    <w:rsid w:val="00AC20B9"/>
    <w:rsid w:val="00AC21B2"/>
    <w:rsid w:val="00AC2307"/>
    <w:rsid w:val="00AC2628"/>
    <w:rsid w:val="00AC2768"/>
    <w:rsid w:val="00AC28D0"/>
    <w:rsid w:val="00AC2ACA"/>
    <w:rsid w:val="00AC2B4B"/>
    <w:rsid w:val="00AC2C39"/>
    <w:rsid w:val="00AC3008"/>
    <w:rsid w:val="00AC308D"/>
    <w:rsid w:val="00AC313C"/>
    <w:rsid w:val="00AC3179"/>
    <w:rsid w:val="00AC3201"/>
    <w:rsid w:val="00AC3242"/>
    <w:rsid w:val="00AC350F"/>
    <w:rsid w:val="00AC35ED"/>
    <w:rsid w:val="00AC3802"/>
    <w:rsid w:val="00AC38FD"/>
    <w:rsid w:val="00AC3923"/>
    <w:rsid w:val="00AC3C64"/>
    <w:rsid w:val="00AC3C8B"/>
    <w:rsid w:val="00AC3D74"/>
    <w:rsid w:val="00AC3E9B"/>
    <w:rsid w:val="00AC3ED2"/>
    <w:rsid w:val="00AC3F08"/>
    <w:rsid w:val="00AC3F90"/>
    <w:rsid w:val="00AC3FF3"/>
    <w:rsid w:val="00AC4134"/>
    <w:rsid w:val="00AC41BE"/>
    <w:rsid w:val="00AC41D5"/>
    <w:rsid w:val="00AC465F"/>
    <w:rsid w:val="00AC46B6"/>
    <w:rsid w:val="00AC47C2"/>
    <w:rsid w:val="00AC49A4"/>
    <w:rsid w:val="00AC49FD"/>
    <w:rsid w:val="00AC4B70"/>
    <w:rsid w:val="00AC4E69"/>
    <w:rsid w:val="00AC4E84"/>
    <w:rsid w:val="00AC4F64"/>
    <w:rsid w:val="00AC526C"/>
    <w:rsid w:val="00AC538A"/>
    <w:rsid w:val="00AC53C0"/>
    <w:rsid w:val="00AC545B"/>
    <w:rsid w:val="00AC56F0"/>
    <w:rsid w:val="00AC585F"/>
    <w:rsid w:val="00AC58B6"/>
    <w:rsid w:val="00AC5938"/>
    <w:rsid w:val="00AC5982"/>
    <w:rsid w:val="00AC5A51"/>
    <w:rsid w:val="00AC5D6B"/>
    <w:rsid w:val="00AC5E84"/>
    <w:rsid w:val="00AC5EE2"/>
    <w:rsid w:val="00AC5F00"/>
    <w:rsid w:val="00AC5F8F"/>
    <w:rsid w:val="00AC6142"/>
    <w:rsid w:val="00AC61E9"/>
    <w:rsid w:val="00AC6232"/>
    <w:rsid w:val="00AC6280"/>
    <w:rsid w:val="00AC63CE"/>
    <w:rsid w:val="00AC67A5"/>
    <w:rsid w:val="00AC6A71"/>
    <w:rsid w:val="00AC6B9F"/>
    <w:rsid w:val="00AC6E12"/>
    <w:rsid w:val="00AC6EF8"/>
    <w:rsid w:val="00AC740B"/>
    <w:rsid w:val="00AC745A"/>
    <w:rsid w:val="00AC74E3"/>
    <w:rsid w:val="00AC7535"/>
    <w:rsid w:val="00AC79A0"/>
    <w:rsid w:val="00AC7C00"/>
    <w:rsid w:val="00AC7CF6"/>
    <w:rsid w:val="00AC7E58"/>
    <w:rsid w:val="00AC7ED7"/>
    <w:rsid w:val="00AC7F16"/>
    <w:rsid w:val="00AD00FE"/>
    <w:rsid w:val="00AD0131"/>
    <w:rsid w:val="00AD027F"/>
    <w:rsid w:val="00AD043E"/>
    <w:rsid w:val="00AD04E8"/>
    <w:rsid w:val="00AD0936"/>
    <w:rsid w:val="00AD0AF8"/>
    <w:rsid w:val="00AD0D04"/>
    <w:rsid w:val="00AD0E66"/>
    <w:rsid w:val="00AD0EB6"/>
    <w:rsid w:val="00AD10DF"/>
    <w:rsid w:val="00AD1171"/>
    <w:rsid w:val="00AD13C6"/>
    <w:rsid w:val="00AD1425"/>
    <w:rsid w:val="00AD14C1"/>
    <w:rsid w:val="00AD1818"/>
    <w:rsid w:val="00AD195A"/>
    <w:rsid w:val="00AD19C3"/>
    <w:rsid w:val="00AD1B2D"/>
    <w:rsid w:val="00AD1CAF"/>
    <w:rsid w:val="00AD1CCE"/>
    <w:rsid w:val="00AD2015"/>
    <w:rsid w:val="00AD217D"/>
    <w:rsid w:val="00AD2314"/>
    <w:rsid w:val="00AD2321"/>
    <w:rsid w:val="00AD2368"/>
    <w:rsid w:val="00AD244D"/>
    <w:rsid w:val="00AD258D"/>
    <w:rsid w:val="00AD25E6"/>
    <w:rsid w:val="00AD2607"/>
    <w:rsid w:val="00AD2624"/>
    <w:rsid w:val="00AD262F"/>
    <w:rsid w:val="00AD267F"/>
    <w:rsid w:val="00AD26C7"/>
    <w:rsid w:val="00AD2791"/>
    <w:rsid w:val="00AD28BD"/>
    <w:rsid w:val="00AD2980"/>
    <w:rsid w:val="00AD2A89"/>
    <w:rsid w:val="00AD2ACE"/>
    <w:rsid w:val="00AD2B27"/>
    <w:rsid w:val="00AD2C84"/>
    <w:rsid w:val="00AD2D99"/>
    <w:rsid w:val="00AD2EA0"/>
    <w:rsid w:val="00AD2EB9"/>
    <w:rsid w:val="00AD3055"/>
    <w:rsid w:val="00AD309C"/>
    <w:rsid w:val="00AD30F5"/>
    <w:rsid w:val="00AD31DA"/>
    <w:rsid w:val="00AD3314"/>
    <w:rsid w:val="00AD377B"/>
    <w:rsid w:val="00AD378B"/>
    <w:rsid w:val="00AD38A1"/>
    <w:rsid w:val="00AD3A45"/>
    <w:rsid w:val="00AD3A8E"/>
    <w:rsid w:val="00AD3AC3"/>
    <w:rsid w:val="00AD3D6D"/>
    <w:rsid w:val="00AD4084"/>
    <w:rsid w:val="00AD41EA"/>
    <w:rsid w:val="00AD42DD"/>
    <w:rsid w:val="00AD4457"/>
    <w:rsid w:val="00AD44E7"/>
    <w:rsid w:val="00AD4521"/>
    <w:rsid w:val="00AD4B2D"/>
    <w:rsid w:val="00AD4CF0"/>
    <w:rsid w:val="00AD500A"/>
    <w:rsid w:val="00AD5257"/>
    <w:rsid w:val="00AD55DE"/>
    <w:rsid w:val="00AD56F9"/>
    <w:rsid w:val="00AD5793"/>
    <w:rsid w:val="00AD5823"/>
    <w:rsid w:val="00AD5961"/>
    <w:rsid w:val="00AD59DF"/>
    <w:rsid w:val="00AD5A6E"/>
    <w:rsid w:val="00AD5AAF"/>
    <w:rsid w:val="00AD5AFD"/>
    <w:rsid w:val="00AD5BF5"/>
    <w:rsid w:val="00AD5CC7"/>
    <w:rsid w:val="00AD5FA9"/>
    <w:rsid w:val="00AD5FCD"/>
    <w:rsid w:val="00AD6084"/>
    <w:rsid w:val="00AD60F3"/>
    <w:rsid w:val="00AD6558"/>
    <w:rsid w:val="00AD6570"/>
    <w:rsid w:val="00AD65F2"/>
    <w:rsid w:val="00AD6757"/>
    <w:rsid w:val="00AD67A6"/>
    <w:rsid w:val="00AD684A"/>
    <w:rsid w:val="00AD6880"/>
    <w:rsid w:val="00AD6BB2"/>
    <w:rsid w:val="00AD6D89"/>
    <w:rsid w:val="00AD6FAF"/>
    <w:rsid w:val="00AD7105"/>
    <w:rsid w:val="00AD7209"/>
    <w:rsid w:val="00AD721E"/>
    <w:rsid w:val="00AD7248"/>
    <w:rsid w:val="00AD7332"/>
    <w:rsid w:val="00AD741A"/>
    <w:rsid w:val="00AD75A7"/>
    <w:rsid w:val="00AD77A5"/>
    <w:rsid w:val="00AD7987"/>
    <w:rsid w:val="00AD79CE"/>
    <w:rsid w:val="00AD7A14"/>
    <w:rsid w:val="00AD7E9C"/>
    <w:rsid w:val="00AE0021"/>
    <w:rsid w:val="00AE0121"/>
    <w:rsid w:val="00AE0209"/>
    <w:rsid w:val="00AE02A2"/>
    <w:rsid w:val="00AE02C4"/>
    <w:rsid w:val="00AE02E5"/>
    <w:rsid w:val="00AE02FA"/>
    <w:rsid w:val="00AE030B"/>
    <w:rsid w:val="00AE0604"/>
    <w:rsid w:val="00AE0710"/>
    <w:rsid w:val="00AE0914"/>
    <w:rsid w:val="00AE0C73"/>
    <w:rsid w:val="00AE0DFB"/>
    <w:rsid w:val="00AE0E62"/>
    <w:rsid w:val="00AE0F57"/>
    <w:rsid w:val="00AE10F5"/>
    <w:rsid w:val="00AE13DB"/>
    <w:rsid w:val="00AE13F9"/>
    <w:rsid w:val="00AE1461"/>
    <w:rsid w:val="00AE1546"/>
    <w:rsid w:val="00AE1564"/>
    <w:rsid w:val="00AE162F"/>
    <w:rsid w:val="00AE166B"/>
    <w:rsid w:val="00AE17FB"/>
    <w:rsid w:val="00AE19B5"/>
    <w:rsid w:val="00AE1A60"/>
    <w:rsid w:val="00AE1A84"/>
    <w:rsid w:val="00AE1BDB"/>
    <w:rsid w:val="00AE1BE6"/>
    <w:rsid w:val="00AE1FF9"/>
    <w:rsid w:val="00AE2074"/>
    <w:rsid w:val="00AE215A"/>
    <w:rsid w:val="00AE21B2"/>
    <w:rsid w:val="00AE23BE"/>
    <w:rsid w:val="00AE242C"/>
    <w:rsid w:val="00AE24C3"/>
    <w:rsid w:val="00AE25CB"/>
    <w:rsid w:val="00AE26B1"/>
    <w:rsid w:val="00AE26FF"/>
    <w:rsid w:val="00AE2AE0"/>
    <w:rsid w:val="00AE2DFA"/>
    <w:rsid w:val="00AE2E3B"/>
    <w:rsid w:val="00AE2EA0"/>
    <w:rsid w:val="00AE2EA2"/>
    <w:rsid w:val="00AE2F74"/>
    <w:rsid w:val="00AE3020"/>
    <w:rsid w:val="00AE30E0"/>
    <w:rsid w:val="00AE30F6"/>
    <w:rsid w:val="00AE3113"/>
    <w:rsid w:val="00AE3460"/>
    <w:rsid w:val="00AE3632"/>
    <w:rsid w:val="00AE36D5"/>
    <w:rsid w:val="00AE373B"/>
    <w:rsid w:val="00AE3980"/>
    <w:rsid w:val="00AE3B9A"/>
    <w:rsid w:val="00AE3E46"/>
    <w:rsid w:val="00AE3F91"/>
    <w:rsid w:val="00AE4077"/>
    <w:rsid w:val="00AE41C0"/>
    <w:rsid w:val="00AE4351"/>
    <w:rsid w:val="00AE450D"/>
    <w:rsid w:val="00AE4568"/>
    <w:rsid w:val="00AE472C"/>
    <w:rsid w:val="00AE4884"/>
    <w:rsid w:val="00AE494C"/>
    <w:rsid w:val="00AE4A17"/>
    <w:rsid w:val="00AE4A51"/>
    <w:rsid w:val="00AE4B29"/>
    <w:rsid w:val="00AE4B9A"/>
    <w:rsid w:val="00AE4DC7"/>
    <w:rsid w:val="00AE4E3B"/>
    <w:rsid w:val="00AE526E"/>
    <w:rsid w:val="00AE528A"/>
    <w:rsid w:val="00AE5372"/>
    <w:rsid w:val="00AE53BA"/>
    <w:rsid w:val="00AE53FD"/>
    <w:rsid w:val="00AE5469"/>
    <w:rsid w:val="00AE58CD"/>
    <w:rsid w:val="00AE594F"/>
    <w:rsid w:val="00AE5B24"/>
    <w:rsid w:val="00AE5B5F"/>
    <w:rsid w:val="00AE5BF3"/>
    <w:rsid w:val="00AE5C52"/>
    <w:rsid w:val="00AE5D21"/>
    <w:rsid w:val="00AE5E43"/>
    <w:rsid w:val="00AE5E5D"/>
    <w:rsid w:val="00AE6006"/>
    <w:rsid w:val="00AE619A"/>
    <w:rsid w:val="00AE62A5"/>
    <w:rsid w:val="00AE63DF"/>
    <w:rsid w:val="00AE64FB"/>
    <w:rsid w:val="00AE6573"/>
    <w:rsid w:val="00AE67EF"/>
    <w:rsid w:val="00AE6808"/>
    <w:rsid w:val="00AE6A28"/>
    <w:rsid w:val="00AE6C1E"/>
    <w:rsid w:val="00AE6E5F"/>
    <w:rsid w:val="00AE710B"/>
    <w:rsid w:val="00AE7154"/>
    <w:rsid w:val="00AE72D4"/>
    <w:rsid w:val="00AE73A2"/>
    <w:rsid w:val="00AE744C"/>
    <w:rsid w:val="00AE74C9"/>
    <w:rsid w:val="00AE7681"/>
    <w:rsid w:val="00AE773E"/>
    <w:rsid w:val="00AE7763"/>
    <w:rsid w:val="00AE784A"/>
    <w:rsid w:val="00AE7891"/>
    <w:rsid w:val="00AE7A97"/>
    <w:rsid w:val="00AE7AA5"/>
    <w:rsid w:val="00AE7AAC"/>
    <w:rsid w:val="00AE7AE4"/>
    <w:rsid w:val="00AE7D61"/>
    <w:rsid w:val="00AE7EF6"/>
    <w:rsid w:val="00AF0031"/>
    <w:rsid w:val="00AF00EC"/>
    <w:rsid w:val="00AF01F0"/>
    <w:rsid w:val="00AF03FD"/>
    <w:rsid w:val="00AF04A8"/>
    <w:rsid w:val="00AF0522"/>
    <w:rsid w:val="00AF05D7"/>
    <w:rsid w:val="00AF0728"/>
    <w:rsid w:val="00AF0A35"/>
    <w:rsid w:val="00AF0B5B"/>
    <w:rsid w:val="00AF0CCD"/>
    <w:rsid w:val="00AF0CFC"/>
    <w:rsid w:val="00AF0E1F"/>
    <w:rsid w:val="00AF0F55"/>
    <w:rsid w:val="00AF10FF"/>
    <w:rsid w:val="00AF1161"/>
    <w:rsid w:val="00AF1192"/>
    <w:rsid w:val="00AF11EC"/>
    <w:rsid w:val="00AF1287"/>
    <w:rsid w:val="00AF174E"/>
    <w:rsid w:val="00AF18A5"/>
    <w:rsid w:val="00AF1B3C"/>
    <w:rsid w:val="00AF1B80"/>
    <w:rsid w:val="00AF1D2A"/>
    <w:rsid w:val="00AF1E36"/>
    <w:rsid w:val="00AF1E7F"/>
    <w:rsid w:val="00AF1EA0"/>
    <w:rsid w:val="00AF1F0F"/>
    <w:rsid w:val="00AF1FCB"/>
    <w:rsid w:val="00AF216F"/>
    <w:rsid w:val="00AF21FF"/>
    <w:rsid w:val="00AF237B"/>
    <w:rsid w:val="00AF23DC"/>
    <w:rsid w:val="00AF244A"/>
    <w:rsid w:val="00AF2527"/>
    <w:rsid w:val="00AF2572"/>
    <w:rsid w:val="00AF25BE"/>
    <w:rsid w:val="00AF262C"/>
    <w:rsid w:val="00AF28BD"/>
    <w:rsid w:val="00AF28DF"/>
    <w:rsid w:val="00AF298A"/>
    <w:rsid w:val="00AF2998"/>
    <w:rsid w:val="00AF2A09"/>
    <w:rsid w:val="00AF2A50"/>
    <w:rsid w:val="00AF2DDB"/>
    <w:rsid w:val="00AF2E33"/>
    <w:rsid w:val="00AF2EDB"/>
    <w:rsid w:val="00AF2FDD"/>
    <w:rsid w:val="00AF327A"/>
    <w:rsid w:val="00AF32A6"/>
    <w:rsid w:val="00AF32BA"/>
    <w:rsid w:val="00AF348A"/>
    <w:rsid w:val="00AF359B"/>
    <w:rsid w:val="00AF375B"/>
    <w:rsid w:val="00AF383E"/>
    <w:rsid w:val="00AF38D4"/>
    <w:rsid w:val="00AF39F1"/>
    <w:rsid w:val="00AF3A25"/>
    <w:rsid w:val="00AF3B0D"/>
    <w:rsid w:val="00AF3B5A"/>
    <w:rsid w:val="00AF3E32"/>
    <w:rsid w:val="00AF3ED9"/>
    <w:rsid w:val="00AF3F2B"/>
    <w:rsid w:val="00AF4026"/>
    <w:rsid w:val="00AF4600"/>
    <w:rsid w:val="00AF4651"/>
    <w:rsid w:val="00AF46C5"/>
    <w:rsid w:val="00AF4759"/>
    <w:rsid w:val="00AF478A"/>
    <w:rsid w:val="00AF47B8"/>
    <w:rsid w:val="00AF481C"/>
    <w:rsid w:val="00AF4989"/>
    <w:rsid w:val="00AF4A80"/>
    <w:rsid w:val="00AF4AC7"/>
    <w:rsid w:val="00AF4AE9"/>
    <w:rsid w:val="00AF4B32"/>
    <w:rsid w:val="00AF4BA9"/>
    <w:rsid w:val="00AF4C09"/>
    <w:rsid w:val="00AF4C8C"/>
    <w:rsid w:val="00AF4D44"/>
    <w:rsid w:val="00AF4F05"/>
    <w:rsid w:val="00AF5129"/>
    <w:rsid w:val="00AF5212"/>
    <w:rsid w:val="00AF52C9"/>
    <w:rsid w:val="00AF53C8"/>
    <w:rsid w:val="00AF5616"/>
    <w:rsid w:val="00AF5711"/>
    <w:rsid w:val="00AF5A23"/>
    <w:rsid w:val="00AF5A42"/>
    <w:rsid w:val="00AF5B04"/>
    <w:rsid w:val="00AF5B41"/>
    <w:rsid w:val="00AF5BBE"/>
    <w:rsid w:val="00AF5C32"/>
    <w:rsid w:val="00AF5EB8"/>
    <w:rsid w:val="00AF61D5"/>
    <w:rsid w:val="00AF62B7"/>
    <w:rsid w:val="00AF6380"/>
    <w:rsid w:val="00AF642E"/>
    <w:rsid w:val="00AF65D2"/>
    <w:rsid w:val="00AF6910"/>
    <w:rsid w:val="00AF6A66"/>
    <w:rsid w:val="00AF6B41"/>
    <w:rsid w:val="00AF6B47"/>
    <w:rsid w:val="00AF6DCD"/>
    <w:rsid w:val="00AF6E33"/>
    <w:rsid w:val="00AF6E65"/>
    <w:rsid w:val="00AF7064"/>
    <w:rsid w:val="00AF719D"/>
    <w:rsid w:val="00AF7362"/>
    <w:rsid w:val="00AF77DD"/>
    <w:rsid w:val="00AF78C3"/>
    <w:rsid w:val="00AF78C6"/>
    <w:rsid w:val="00AF7A66"/>
    <w:rsid w:val="00AF7B66"/>
    <w:rsid w:val="00AF7C53"/>
    <w:rsid w:val="00B002AE"/>
    <w:rsid w:val="00B004CA"/>
    <w:rsid w:val="00B00553"/>
    <w:rsid w:val="00B009EF"/>
    <w:rsid w:val="00B00C0C"/>
    <w:rsid w:val="00B00C28"/>
    <w:rsid w:val="00B00F7E"/>
    <w:rsid w:val="00B0117A"/>
    <w:rsid w:val="00B01296"/>
    <w:rsid w:val="00B01538"/>
    <w:rsid w:val="00B018A2"/>
    <w:rsid w:val="00B019F5"/>
    <w:rsid w:val="00B01A40"/>
    <w:rsid w:val="00B01CDD"/>
    <w:rsid w:val="00B01CFC"/>
    <w:rsid w:val="00B01DDB"/>
    <w:rsid w:val="00B01F34"/>
    <w:rsid w:val="00B02154"/>
    <w:rsid w:val="00B02215"/>
    <w:rsid w:val="00B02447"/>
    <w:rsid w:val="00B02485"/>
    <w:rsid w:val="00B02622"/>
    <w:rsid w:val="00B02A0B"/>
    <w:rsid w:val="00B02F2F"/>
    <w:rsid w:val="00B0311F"/>
    <w:rsid w:val="00B033B9"/>
    <w:rsid w:val="00B03639"/>
    <w:rsid w:val="00B0384E"/>
    <w:rsid w:val="00B038D1"/>
    <w:rsid w:val="00B03A59"/>
    <w:rsid w:val="00B03B0C"/>
    <w:rsid w:val="00B03C67"/>
    <w:rsid w:val="00B03D77"/>
    <w:rsid w:val="00B03D84"/>
    <w:rsid w:val="00B03E0B"/>
    <w:rsid w:val="00B03EA5"/>
    <w:rsid w:val="00B04083"/>
    <w:rsid w:val="00B04160"/>
    <w:rsid w:val="00B0431E"/>
    <w:rsid w:val="00B04402"/>
    <w:rsid w:val="00B0458C"/>
    <w:rsid w:val="00B04719"/>
    <w:rsid w:val="00B048C2"/>
    <w:rsid w:val="00B04B29"/>
    <w:rsid w:val="00B04BD6"/>
    <w:rsid w:val="00B0529C"/>
    <w:rsid w:val="00B052EF"/>
    <w:rsid w:val="00B05396"/>
    <w:rsid w:val="00B05431"/>
    <w:rsid w:val="00B05485"/>
    <w:rsid w:val="00B055C7"/>
    <w:rsid w:val="00B0590C"/>
    <w:rsid w:val="00B0590D"/>
    <w:rsid w:val="00B05A44"/>
    <w:rsid w:val="00B05BBF"/>
    <w:rsid w:val="00B05D3C"/>
    <w:rsid w:val="00B05F9B"/>
    <w:rsid w:val="00B060FE"/>
    <w:rsid w:val="00B061E0"/>
    <w:rsid w:val="00B06221"/>
    <w:rsid w:val="00B0627A"/>
    <w:rsid w:val="00B0629E"/>
    <w:rsid w:val="00B062D7"/>
    <w:rsid w:val="00B0664C"/>
    <w:rsid w:val="00B066BF"/>
    <w:rsid w:val="00B06705"/>
    <w:rsid w:val="00B067E6"/>
    <w:rsid w:val="00B069AD"/>
    <w:rsid w:val="00B069D5"/>
    <w:rsid w:val="00B070DA"/>
    <w:rsid w:val="00B072FA"/>
    <w:rsid w:val="00B07304"/>
    <w:rsid w:val="00B07384"/>
    <w:rsid w:val="00B073E2"/>
    <w:rsid w:val="00B0746F"/>
    <w:rsid w:val="00B074C3"/>
    <w:rsid w:val="00B075A7"/>
    <w:rsid w:val="00B07659"/>
    <w:rsid w:val="00B076D2"/>
    <w:rsid w:val="00B076D9"/>
    <w:rsid w:val="00B076E0"/>
    <w:rsid w:val="00B0780D"/>
    <w:rsid w:val="00B0792B"/>
    <w:rsid w:val="00B07C05"/>
    <w:rsid w:val="00B07C13"/>
    <w:rsid w:val="00B07E12"/>
    <w:rsid w:val="00B07E4D"/>
    <w:rsid w:val="00B07FD2"/>
    <w:rsid w:val="00B1024A"/>
    <w:rsid w:val="00B10444"/>
    <w:rsid w:val="00B105B6"/>
    <w:rsid w:val="00B10625"/>
    <w:rsid w:val="00B10842"/>
    <w:rsid w:val="00B10AB5"/>
    <w:rsid w:val="00B10B00"/>
    <w:rsid w:val="00B10B73"/>
    <w:rsid w:val="00B112FC"/>
    <w:rsid w:val="00B11351"/>
    <w:rsid w:val="00B114EA"/>
    <w:rsid w:val="00B1150E"/>
    <w:rsid w:val="00B118AA"/>
    <w:rsid w:val="00B11938"/>
    <w:rsid w:val="00B119B2"/>
    <w:rsid w:val="00B11A17"/>
    <w:rsid w:val="00B11E71"/>
    <w:rsid w:val="00B11F43"/>
    <w:rsid w:val="00B11F83"/>
    <w:rsid w:val="00B11FEB"/>
    <w:rsid w:val="00B12301"/>
    <w:rsid w:val="00B125A4"/>
    <w:rsid w:val="00B1268B"/>
    <w:rsid w:val="00B12753"/>
    <w:rsid w:val="00B12788"/>
    <w:rsid w:val="00B12790"/>
    <w:rsid w:val="00B12891"/>
    <w:rsid w:val="00B128A5"/>
    <w:rsid w:val="00B12AB6"/>
    <w:rsid w:val="00B12CC5"/>
    <w:rsid w:val="00B12CE1"/>
    <w:rsid w:val="00B12DDF"/>
    <w:rsid w:val="00B12E8A"/>
    <w:rsid w:val="00B1321E"/>
    <w:rsid w:val="00B13310"/>
    <w:rsid w:val="00B135BD"/>
    <w:rsid w:val="00B13D3A"/>
    <w:rsid w:val="00B13E26"/>
    <w:rsid w:val="00B13E7E"/>
    <w:rsid w:val="00B13F9C"/>
    <w:rsid w:val="00B13FF0"/>
    <w:rsid w:val="00B1402C"/>
    <w:rsid w:val="00B14035"/>
    <w:rsid w:val="00B14455"/>
    <w:rsid w:val="00B14536"/>
    <w:rsid w:val="00B14B20"/>
    <w:rsid w:val="00B14B6B"/>
    <w:rsid w:val="00B14CDF"/>
    <w:rsid w:val="00B14CFF"/>
    <w:rsid w:val="00B14E31"/>
    <w:rsid w:val="00B14F8F"/>
    <w:rsid w:val="00B14F9B"/>
    <w:rsid w:val="00B14FB8"/>
    <w:rsid w:val="00B15064"/>
    <w:rsid w:val="00B150A4"/>
    <w:rsid w:val="00B15161"/>
    <w:rsid w:val="00B151CC"/>
    <w:rsid w:val="00B1533D"/>
    <w:rsid w:val="00B156E9"/>
    <w:rsid w:val="00B15708"/>
    <w:rsid w:val="00B159EF"/>
    <w:rsid w:val="00B15E4B"/>
    <w:rsid w:val="00B15EF3"/>
    <w:rsid w:val="00B15FA4"/>
    <w:rsid w:val="00B16148"/>
    <w:rsid w:val="00B162C2"/>
    <w:rsid w:val="00B16419"/>
    <w:rsid w:val="00B16452"/>
    <w:rsid w:val="00B1663A"/>
    <w:rsid w:val="00B166A7"/>
    <w:rsid w:val="00B168D0"/>
    <w:rsid w:val="00B1698C"/>
    <w:rsid w:val="00B16A70"/>
    <w:rsid w:val="00B16ABE"/>
    <w:rsid w:val="00B16B24"/>
    <w:rsid w:val="00B16B79"/>
    <w:rsid w:val="00B16B91"/>
    <w:rsid w:val="00B16DC2"/>
    <w:rsid w:val="00B16E21"/>
    <w:rsid w:val="00B16E82"/>
    <w:rsid w:val="00B16EB0"/>
    <w:rsid w:val="00B16F77"/>
    <w:rsid w:val="00B17236"/>
    <w:rsid w:val="00B1726D"/>
    <w:rsid w:val="00B1746B"/>
    <w:rsid w:val="00B1747E"/>
    <w:rsid w:val="00B178A1"/>
    <w:rsid w:val="00B17927"/>
    <w:rsid w:val="00B17CF6"/>
    <w:rsid w:val="00B20081"/>
    <w:rsid w:val="00B2031E"/>
    <w:rsid w:val="00B203E4"/>
    <w:rsid w:val="00B2046E"/>
    <w:rsid w:val="00B20866"/>
    <w:rsid w:val="00B20CF4"/>
    <w:rsid w:val="00B20DAC"/>
    <w:rsid w:val="00B20F99"/>
    <w:rsid w:val="00B2106C"/>
    <w:rsid w:val="00B21116"/>
    <w:rsid w:val="00B21340"/>
    <w:rsid w:val="00B2148B"/>
    <w:rsid w:val="00B21718"/>
    <w:rsid w:val="00B21861"/>
    <w:rsid w:val="00B21885"/>
    <w:rsid w:val="00B2197D"/>
    <w:rsid w:val="00B21A52"/>
    <w:rsid w:val="00B21DF0"/>
    <w:rsid w:val="00B21E6D"/>
    <w:rsid w:val="00B21EC5"/>
    <w:rsid w:val="00B21EF3"/>
    <w:rsid w:val="00B21F50"/>
    <w:rsid w:val="00B21F97"/>
    <w:rsid w:val="00B221CA"/>
    <w:rsid w:val="00B22201"/>
    <w:rsid w:val="00B224C9"/>
    <w:rsid w:val="00B2257F"/>
    <w:rsid w:val="00B2296D"/>
    <w:rsid w:val="00B2299B"/>
    <w:rsid w:val="00B22C2C"/>
    <w:rsid w:val="00B22C73"/>
    <w:rsid w:val="00B22F30"/>
    <w:rsid w:val="00B23390"/>
    <w:rsid w:val="00B23420"/>
    <w:rsid w:val="00B234DE"/>
    <w:rsid w:val="00B23518"/>
    <w:rsid w:val="00B23852"/>
    <w:rsid w:val="00B23965"/>
    <w:rsid w:val="00B23BF8"/>
    <w:rsid w:val="00B23C3C"/>
    <w:rsid w:val="00B23E2A"/>
    <w:rsid w:val="00B24240"/>
    <w:rsid w:val="00B2430F"/>
    <w:rsid w:val="00B2433F"/>
    <w:rsid w:val="00B2440C"/>
    <w:rsid w:val="00B2448B"/>
    <w:rsid w:val="00B24547"/>
    <w:rsid w:val="00B24800"/>
    <w:rsid w:val="00B24957"/>
    <w:rsid w:val="00B24A37"/>
    <w:rsid w:val="00B24B96"/>
    <w:rsid w:val="00B24BE7"/>
    <w:rsid w:val="00B24C4F"/>
    <w:rsid w:val="00B24C61"/>
    <w:rsid w:val="00B24D5E"/>
    <w:rsid w:val="00B24E5F"/>
    <w:rsid w:val="00B251BD"/>
    <w:rsid w:val="00B25212"/>
    <w:rsid w:val="00B2539A"/>
    <w:rsid w:val="00B253D3"/>
    <w:rsid w:val="00B254F0"/>
    <w:rsid w:val="00B25846"/>
    <w:rsid w:val="00B258E8"/>
    <w:rsid w:val="00B2596D"/>
    <w:rsid w:val="00B25C4D"/>
    <w:rsid w:val="00B25C6F"/>
    <w:rsid w:val="00B25D80"/>
    <w:rsid w:val="00B260C3"/>
    <w:rsid w:val="00B26138"/>
    <w:rsid w:val="00B26258"/>
    <w:rsid w:val="00B26270"/>
    <w:rsid w:val="00B26312"/>
    <w:rsid w:val="00B2648B"/>
    <w:rsid w:val="00B264CD"/>
    <w:rsid w:val="00B2657C"/>
    <w:rsid w:val="00B26586"/>
    <w:rsid w:val="00B266ED"/>
    <w:rsid w:val="00B2676B"/>
    <w:rsid w:val="00B26D11"/>
    <w:rsid w:val="00B26EB4"/>
    <w:rsid w:val="00B27333"/>
    <w:rsid w:val="00B2740E"/>
    <w:rsid w:val="00B2785B"/>
    <w:rsid w:val="00B27C70"/>
    <w:rsid w:val="00B27CAD"/>
    <w:rsid w:val="00B27CE8"/>
    <w:rsid w:val="00B27E89"/>
    <w:rsid w:val="00B27EF1"/>
    <w:rsid w:val="00B3023C"/>
    <w:rsid w:val="00B3035C"/>
    <w:rsid w:val="00B303C8"/>
    <w:rsid w:val="00B3041E"/>
    <w:rsid w:val="00B30583"/>
    <w:rsid w:val="00B3098C"/>
    <w:rsid w:val="00B30AD9"/>
    <w:rsid w:val="00B30AE7"/>
    <w:rsid w:val="00B30BAD"/>
    <w:rsid w:val="00B30CA5"/>
    <w:rsid w:val="00B30ED7"/>
    <w:rsid w:val="00B31158"/>
    <w:rsid w:val="00B31168"/>
    <w:rsid w:val="00B315C2"/>
    <w:rsid w:val="00B31971"/>
    <w:rsid w:val="00B31BA3"/>
    <w:rsid w:val="00B31CBE"/>
    <w:rsid w:val="00B31F0C"/>
    <w:rsid w:val="00B31F68"/>
    <w:rsid w:val="00B320C3"/>
    <w:rsid w:val="00B3214B"/>
    <w:rsid w:val="00B321DE"/>
    <w:rsid w:val="00B32418"/>
    <w:rsid w:val="00B32447"/>
    <w:rsid w:val="00B3245F"/>
    <w:rsid w:val="00B32A5A"/>
    <w:rsid w:val="00B32ADF"/>
    <w:rsid w:val="00B32BE9"/>
    <w:rsid w:val="00B332E1"/>
    <w:rsid w:val="00B332F1"/>
    <w:rsid w:val="00B33651"/>
    <w:rsid w:val="00B33667"/>
    <w:rsid w:val="00B33E05"/>
    <w:rsid w:val="00B33E3D"/>
    <w:rsid w:val="00B33FDB"/>
    <w:rsid w:val="00B33FDD"/>
    <w:rsid w:val="00B3405D"/>
    <w:rsid w:val="00B34081"/>
    <w:rsid w:val="00B3413A"/>
    <w:rsid w:val="00B34162"/>
    <w:rsid w:val="00B342DA"/>
    <w:rsid w:val="00B345FD"/>
    <w:rsid w:val="00B34857"/>
    <w:rsid w:val="00B34859"/>
    <w:rsid w:val="00B34A06"/>
    <w:rsid w:val="00B34BA4"/>
    <w:rsid w:val="00B34D4D"/>
    <w:rsid w:val="00B34D9F"/>
    <w:rsid w:val="00B34DB0"/>
    <w:rsid w:val="00B34FFD"/>
    <w:rsid w:val="00B35094"/>
    <w:rsid w:val="00B35204"/>
    <w:rsid w:val="00B3525A"/>
    <w:rsid w:val="00B352C1"/>
    <w:rsid w:val="00B35307"/>
    <w:rsid w:val="00B353C2"/>
    <w:rsid w:val="00B35432"/>
    <w:rsid w:val="00B3557C"/>
    <w:rsid w:val="00B356F1"/>
    <w:rsid w:val="00B35AF7"/>
    <w:rsid w:val="00B35B5C"/>
    <w:rsid w:val="00B35B7B"/>
    <w:rsid w:val="00B35D76"/>
    <w:rsid w:val="00B35EB2"/>
    <w:rsid w:val="00B35F48"/>
    <w:rsid w:val="00B3641D"/>
    <w:rsid w:val="00B3647C"/>
    <w:rsid w:val="00B3647F"/>
    <w:rsid w:val="00B3653C"/>
    <w:rsid w:val="00B36550"/>
    <w:rsid w:val="00B36551"/>
    <w:rsid w:val="00B3666A"/>
    <w:rsid w:val="00B368BB"/>
    <w:rsid w:val="00B36A09"/>
    <w:rsid w:val="00B36A52"/>
    <w:rsid w:val="00B36AB9"/>
    <w:rsid w:val="00B37138"/>
    <w:rsid w:val="00B377C3"/>
    <w:rsid w:val="00B3780D"/>
    <w:rsid w:val="00B37863"/>
    <w:rsid w:val="00B379F6"/>
    <w:rsid w:val="00B37B90"/>
    <w:rsid w:val="00B37C39"/>
    <w:rsid w:val="00B37DC3"/>
    <w:rsid w:val="00B400AC"/>
    <w:rsid w:val="00B403A1"/>
    <w:rsid w:val="00B403EE"/>
    <w:rsid w:val="00B404B5"/>
    <w:rsid w:val="00B4088A"/>
    <w:rsid w:val="00B40920"/>
    <w:rsid w:val="00B4093D"/>
    <w:rsid w:val="00B40BCE"/>
    <w:rsid w:val="00B40C57"/>
    <w:rsid w:val="00B40F52"/>
    <w:rsid w:val="00B41020"/>
    <w:rsid w:val="00B410B2"/>
    <w:rsid w:val="00B41335"/>
    <w:rsid w:val="00B416BF"/>
    <w:rsid w:val="00B4176B"/>
    <w:rsid w:val="00B41790"/>
    <w:rsid w:val="00B41884"/>
    <w:rsid w:val="00B4191A"/>
    <w:rsid w:val="00B420C2"/>
    <w:rsid w:val="00B421A4"/>
    <w:rsid w:val="00B42308"/>
    <w:rsid w:val="00B42449"/>
    <w:rsid w:val="00B4245B"/>
    <w:rsid w:val="00B42719"/>
    <w:rsid w:val="00B427E9"/>
    <w:rsid w:val="00B42B45"/>
    <w:rsid w:val="00B42B8D"/>
    <w:rsid w:val="00B42C8F"/>
    <w:rsid w:val="00B42D93"/>
    <w:rsid w:val="00B42E01"/>
    <w:rsid w:val="00B42F62"/>
    <w:rsid w:val="00B42FAC"/>
    <w:rsid w:val="00B42FC2"/>
    <w:rsid w:val="00B43004"/>
    <w:rsid w:val="00B43152"/>
    <w:rsid w:val="00B433ED"/>
    <w:rsid w:val="00B43684"/>
    <w:rsid w:val="00B436B9"/>
    <w:rsid w:val="00B43A12"/>
    <w:rsid w:val="00B43A8B"/>
    <w:rsid w:val="00B43AF6"/>
    <w:rsid w:val="00B43CB3"/>
    <w:rsid w:val="00B43D86"/>
    <w:rsid w:val="00B4414E"/>
    <w:rsid w:val="00B441FE"/>
    <w:rsid w:val="00B4420A"/>
    <w:rsid w:val="00B4426A"/>
    <w:rsid w:val="00B444F6"/>
    <w:rsid w:val="00B445B0"/>
    <w:rsid w:val="00B44641"/>
    <w:rsid w:val="00B44716"/>
    <w:rsid w:val="00B447CF"/>
    <w:rsid w:val="00B447F8"/>
    <w:rsid w:val="00B4481B"/>
    <w:rsid w:val="00B44A0C"/>
    <w:rsid w:val="00B44A9E"/>
    <w:rsid w:val="00B44B91"/>
    <w:rsid w:val="00B44BAA"/>
    <w:rsid w:val="00B44C69"/>
    <w:rsid w:val="00B450B4"/>
    <w:rsid w:val="00B451E4"/>
    <w:rsid w:val="00B45521"/>
    <w:rsid w:val="00B4552B"/>
    <w:rsid w:val="00B4564F"/>
    <w:rsid w:val="00B457BD"/>
    <w:rsid w:val="00B4586D"/>
    <w:rsid w:val="00B45876"/>
    <w:rsid w:val="00B458C2"/>
    <w:rsid w:val="00B459EE"/>
    <w:rsid w:val="00B45FB1"/>
    <w:rsid w:val="00B46026"/>
    <w:rsid w:val="00B460FA"/>
    <w:rsid w:val="00B46114"/>
    <w:rsid w:val="00B461D4"/>
    <w:rsid w:val="00B4622C"/>
    <w:rsid w:val="00B46265"/>
    <w:rsid w:val="00B462A7"/>
    <w:rsid w:val="00B4639E"/>
    <w:rsid w:val="00B4649B"/>
    <w:rsid w:val="00B46827"/>
    <w:rsid w:val="00B46898"/>
    <w:rsid w:val="00B46A34"/>
    <w:rsid w:val="00B46A6C"/>
    <w:rsid w:val="00B46B4B"/>
    <w:rsid w:val="00B46D9B"/>
    <w:rsid w:val="00B47260"/>
    <w:rsid w:val="00B472C4"/>
    <w:rsid w:val="00B474E7"/>
    <w:rsid w:val="00B4752A"/>
    <w:rsid w:val="00B476B6"/>
    <w:rsid w:val="00B477FC"/>
    <w:rsid w:val="00B47A39"/>
    <w:rsid w:val="00B47BED"/>
    <w:rsid w:val="00B47C5B"/>
    <w:rsid w:val="00B47F24"/>
    <w:rsid w:val="00B47F50"/>
    <w:rsid w:val="00B50308"/>
    <w:rsid w:val="00B503DB"/>
    <w:rsid w:val="00B506C6"/>
    <w:rsid w:val="00B50A26"/>
    <w:rsid w:val="00B50AD3"/>
    <w:rsid w:val="00B50B24"/>
    <w:rsid w:val="00B50B54"/>
    <w:rsid w:val="00B50CE5"/>
    <w:rsid w:val="00B50EDC"/>
    <w:rsid w:val="00B51115"/>
    <w:rsid w:val="00B51416"/>
    <w:rsid w:val="00B51521"/>
    <w:rsid w:val="00B51529"/>
    <w:rsid w:val="00B5195B"/>
    <w:rsid w:val="00B519B1"/>
    <w:rsid w:val="00B51A02"/>
    <w:rsid w:val="00B51DEE"/>
    <w:rsid w:val="00B520A1"/>
    <w:rsid w:val="00B524DC"/>
    <w:rsid w:val="00B52708"/>
    <w:rsid w:val="00B52867"/>
    <w:rsid w:val="00B528BF"/>
    <w:rsid w:val="00B528D3"/>
    <w:rsid w:val="00B52A26"/>
    <w:rsid w:val="00B52B26"/>
    <w:rsid w:val="00B52BA2"/>
    <w:rsid w:val="00B52C73"/>
    <w:rsid w:val="00B52D56"/>
    <w:rsid w:val="00B52EA0"/>
    <w:rsid w:val="00B531D3"/>
    <w:rsid w:val="00B5347E"/>
    <w:rsid w:val="00B534FA"/>
    <w:rsid w:val="00B53644"/>
    <w:rsid w:val="00B53700"/>
    <w:rsid w:val="00B53769"/>
    <w:rsid w:val="00B53778"/>
    <w:rsid w:val="00B537BF"/>
    <w:rsid w:val="00B53A05"/>
    <w:rsid w:val="00B53AF0"/>
    <w:rsid w:val="00B53DC1"/>
    <w:rsid w:val="00B53F87"/>
    <w:rsid w:val="00B53FD1"/>
    <w:rsid w:val="00B540BC"/>
    <w:rsid w:val="00B540EF"/>
    <w:rsid w:val="00B5432A"/>
    <w:rsid w:val="00B5452F"/>
    <w:rsid w:val="00B54583"/>
    <w:rsid w:val="00B545E3"/>
    <w:rsid w:val="00B54617"/>
    <w:rsid w:val="00B546DA"/>
    <w:rsid w:val="00B54730"/>
    <w:rsid w:val="00B5484B"/>
    <w:rsid w:val="00B54855"/>
    <w:rsid w:val="00B5490C"/>
    <w:rsid w:val="00B54968"/>
    <w:rsid w:val="00B54AE9"/>
    <w:rsid w:val="00B54C78"/>
    <w:rsid w:val="00B54C8B"/>
    <w:rsid w:val="00B54CA6"/>
    <w:rsid w:val="00B552A7"/>
    <w:rsid w:val="00B5553A"/>
    <w:rsid w:val="00B5559C"/>
    <w:rsid w:val="00B555E4"/>
    <w:rsid w:val="00B55848"/>
    <w:rsid w:val="00B5588E"/>
    <w:rsid w:val="00B5588F"/>
    <w:rsid w:val="00B558C2"/>
    <w:rsid w:val="00B55A76"/>
    <w:rsid w:val="00B55C0C"/>
    <w:rsid w:val="00B55C47"/>
    <w:rsid w:val="00B55D61"/>
    <w:rsid w:val="00B55DBE"/>
    <w:rsid w:val="00B55DF7"/>
    <w:rsid w:val="00B55DF9"/>
    <w:rsid w:val="00B560A2"/>
    <w:rsid w:val="00B561D3"/>
    <w:rsid w:val="00B56577"/>
    <w:rsid w:val="00B5682B"/>
    <w:rsid w:val="00B5692C"/>
    <w:rsid w:val="00B56980"/>
    <w:rsid w:val="00B569D0"/>
    <w:rsid w:val="00B56C4C"/>
    <w:rsid w:val="00B56C71"/>
    <w:rsid w:val="00B56E8C"/>
    <w:rsid w:val="00B56ED2"/>
    <w:rsid w:val="00B56ED5"/>
    <w:rsid w:val="00B56F04"/>
    <w:rsid w:val="00B57040"/>
    <w:rsid w:val="00B5706C"/>
    <w:rsid w:val="00B573EC"/>
    <w:rsid w:val="00B57457"/>
    <w:rsid w:val="00B57576"/>
    <w:rsid w:val="00B57589"/>
    <w:rsid w:val="00B57636"/>
    <w:rsid w:val="00B576C2"/>
    <w:rsid w:val="00B578E1"/>
    <w:rsid w:val="00B578ED"/>
    <w:rsid w:val="00B57A34"/>
    <w:rsid w:val="00B57B28"/>
    <w:rsid w:val="00B57BA8"/>
    <w:rsid w:val="00B57C4C"/>
    <w:rsid w:val="00B57CBA"/>
    <w:rsid w:val="00B57D9E"/>
    <w:rsid w:val="00B57F16"/>
    <w:rsid w:val="00B60110"/>
    <w:rsid w:val="00B6022A"/>
    <w:rsid w:val="00B6029E"/>
    <w:rsid w:val="00B603FB"/>
    <w:rsid w:val="00B60515"/>
    <w:rsid w:val="00B60521"/>
    <w:rsid w:val="00B6054E"/>
    <w:rsid w:val="00B60654"/>
    <w:rsid w:val="00B6078C"/>
    <w:rsid w:val="00B60902"/>
    <w:rsid w:val="00B60C57"/>
    <w:rsid w:val="00B60D16"/>
    <w:rsid w:val="00B60DB3"/>
    <w:rsid w:val="00B60E79"/>
    <w:rsid w:val="00B6104A"/>
    <w:rsid w:val="00B6111F"/>
    <w:rsid w:val="00B6122A"/>
    <w:rsid w:val="00B6122D"/>
    <w:rsid w:val="00B61313"/>
    <w:rsid w:val="00B61838"/>
    <w:rsid w:val="00B61A75"/>
    <w:rsid w:val="00B61E81"/>
    <w:rsid w:val="00B61FD4"/>
    <w:rsid w:val="00B62024"/>
    <w:rsid w:val="00B62154"/>
    <w:rsid w:val="00B62372"/>
    <w:rsid w:val="00B623A7"/>
    <w:rsid w:val="00B6280B"/>
    <w:rsid w:val="00B629E1"/>
    <w:rsid w:val="00B62CFC"/>
    <w:rsid w:val="00B62D22"/>
    <w:rsid w:val="00B62DEA"/>
    <w:rsid w:val="00B62EE4"/>
    <w:rsid w:val="00B63039"/>
    <w:rsid w:val="00B630DA"/>
    <w:rsid w:val="00B6333D"/>
    <w:rsid w:val="00B6347B"/>
    <w:rsid w:val="00B634EA"/>
    <w:rsid w:val="00B6350E"/>
    <w:rsid w:val="00B63702"/>
    <w:rsid w:val="00B638EB"/>
    <w:rsid w:val="00B63923"/>
    <w:rsid w:val="00B63A81"/>
    <w:rsid w:val="00B63B7F"/>
    <w:rsid w:val="00B63C69"/>
    <w:rsid w:val="00B63E7A"/>
    <w:rsid w:val="00B6415D"/>
    <w:rsid w:val="00B641CF"/>
    <w:rsid w:val="00B64204"/>
    <w:rsid w:val="00B6425D"/>
    <w:rsid w:val="00B643B9"/>
    <w:rsid w:val="00B64467"/>
    <w:rsid w:val="00B645BE"/>
    <w:rsid w:val="00B6461D"/>
    <w:rsid w:val="00B6472D"/>
    <w:rsid w:val="00B64BB5"/>
    <w:rsid w:val="00B64C18"/>
    <w:rsid w:val="00B64C51"/>
    <w:rsid w:val="00B64C8D"/>
    <w:rsid w:val="00B64DDE"/>
    <w:rsid w:val="00B64E85"/>
    <w:rsid w:val="00B64F73"/>
    <w:rsid w:val="00B65056"/>
    <w:rsid w:val="00B650F3"/>
    <w:rsid w:val="00B651A0"/>
    <w:rsid w:val="00B652FA"/>
    <w:rsid w:val="00B65524"/>
    <w:rsid w:val="00B6577E"/>
    <w:rsid w:val="00B65810"/>
    <w:rsid w:val="00B65BC8"/>
    <w:rsid w:val="00B65BCB"/>
    <w:rsid w:val="00B65D43"/>
    <w:rsid w:val="00B65F2E"/>
    <w:rsid w:val="00B65F75"/>
    <w:rsid w:val="00B660B1"/>
    <w:rsid w:val="00B66318"/>
    <w:rsid w:val="00B6637F"/>
    <w:rsid w:val="00B6663C"/>
    <w:rsid w:val="00B6683F"/>
    <w:rsid w:val="00B668E3"/>
    <w:rsid w:val="00B66961"/>
    <w:rsid w:val="00B669CA"/>
    <w:rsid w:val="00B66BD1"/>
    <w:rsid w:val="00B66C14"/>
    <w:rsid w:val="00B66C57"/>
    <w:rsid w:val="00B66C7E"/>
    <w:rsid w:val="00B66F1B"/>
    <w:rsid w:val="00B670F0"/>
    <w:rsid w:val="00B6713F"/>
    <w:rsid w:val="00B67140"/>
    <w:rsid w:val="00B67284"/>
    <w:rsid w:val="00B672DD"/>
    <w:rsid w:val="00B67410"/>
    <w:rsid w:val="00B67710"/>
    <w:rsid w:val="00B67968"/>
    <w:rsid w:val="00B67A53"/>
    <w:rsid w:val="00B67A6A"/>
    <w:rsid w:val="00B67A70"/>
    <w:rsid w:val="00B67B34"/>
    <w:rsid w:val="00B67B59"/>
    <w:rsid w:val="00B67F1E"/>
    <w:rsid w:val="00B67FA4"/>
    <w:rsid w:val="00B67FB1"/>
    <w:rsid w:val="00B70020"/>
    <w:rsid w:val="00B70032"/>
    <w:rsid w:val="00B7025F"/>
    <w:rsid w:val="00B70384"/>
    <w:rsid w:val="00B70451"/>
    <w:rsid w:val="00B70477"/>
    <w:rsid w:val="00B705C7"/>
    <w:rsid w:val="00B70638"/>
    <w:rsid w:val="00B708D7"/>
    <w:rsid w:val="00B709B3"/>
    <w:rsid w:val="00B70AD1"/>
    <w:rsid w:val="00B70C59"/>
    <w:rsid w:val="00B70F83"/>
    <w:rsid w:val="00B70FAE"/>
    <w:rsid w:val="00B71086"/>
    <w:rsid w:val="00B711C4"/>
    <w:rsid w:val="00B711F9"/>
    <w:rsid w:val="00B7126D"/>
    <w:rsid w:val="00B713B6"/>
    <w:rsid w:val="00B71677"/>
    <w:rsid w:val="00B7180F"/>
    <w:rsid w:val="00B718E5"/>
    <w:rsid w:val="00B719A8"/>
    <w:rsid w:val="00B71C95"/>
    <w:rsid w:val="00B71E76"/>
    <w:rsid w:val="00B72076"/>
    <w:rsid w:val="00B724A8"/>
    <w:rsid w:val="00B724F1"/>
    <w:rsid w:val="00B7258B"/>
    <w:rsid w:val="00B726A9"/>
    <w:rsid w:val="00B7273A"/>
    <w:rsid w:val="00B72847"/>
    <w:rsid w:val="00B7288B"/>
    <w:rsid w:val="00B728BC"/>
    <w:rsid w:val="00B72987"/>
    <w:rsid w:val="00B729BD"/>
    <w:rsid w:val="00B72C3C"/>
    <w:rsid w:val="00B72C7E"/>
    <w:rsid w:val="00B72CB8"/>
    <w:rsid w:val="00B72D43"/>
    <w:rsid w:val="00B731E3"/>
    <w:rsid w:val="00B73603"/>
    <w:rsid w:val="00B738A1"/>
    <w:rsid w:val="00B739E6"/>
    <w:rsid w:val="00B73AB3"/>
    <w:rsid w:val="00B73B18"/>
    <w:rsid w:val="00B73B2D"/>
    <w:rsid w:val="00B73B6C"/>
    <w:rsid w:val="00B73B7A"/>
    <w:rsid w:val="00B73C13"/>
    <w:rsid w:val="00B73CA6"/>
    <w:rsid w:val="00B73D36"/>
    <w:rsid w:val="00B73DC0"/>
    <w:rsid w:val="00B7435D"/>
    <w:rsid w:val="00B7441C"/>
    <w:rsid w:val="00B7455A"/>
    <w:rsid w:val="00B746C3"/>
    <w:rsid w:val="00B74C3C"/>
    <w:rsid w:val="00B74F5C"/>
    <w:rsid w:val="00B74F6C"/>
    <w:rsid w:val="00B74F86"/>
    <w:rsid w:val="00B7500C"/>
    <w:rsid w:val="00B75478"/>
    <w:rsid w:val="00B75508"/>
    <w:rsid w:val="00B75552"/>
    <w:rsid w:val="00B75702"/>
    <w:rsid w:val="00B75895"/>
    <w:rsid w:val="00B75B15"/>
    <w:rsid w:val="00B75C3F"/>
    <w:rsid w:val="00B75C6B"/>
    <w:rsid w:val="00B75C8B"/>
    <w:rsid w:val="00B75E57"/>
    <w:rsid w:val="00B76106"/>
    <w:rsid w:val="00B76107"/>
    <w:rsid w:val="00B76138"/>
    <w:rsid w:val="00B76161"/>
    <w:rsid w:val="00B76221"/>
    <w:rsid w:val="00B7644C"/>
    <w:rsid w:val="00B766E7"/>
    <w:rsid w:val="00B7674F"/>
    <w:rsid w:val="00B76757"/>
    <w:rsid w:val="00B76A3A"/>
    <w:rsid w:val="00B76B13"/>
    <w:rsid w:val="00B76C2B"/>
    <w:rsid w:val="00B76CB7"/>
    <w:rsid w:val="00B76DBD"/>
    <w:rsid w:val="00B76F5D"/>
    <w:rsid w:val="00B772A5"/>
    <w:rsid w:val="00B77311"/>
    <w:rsid w:val="00B773FA"/>
    <w:rsid w:val="00B778C6"/>
    <w:rsid w:val="00B77A0D"/>
    <w:rsid w:val="00B77B68"/>
    <w:rsid w:val="00B77D35"/>
    <w:rsid w:val="00B77DB2"/>
    <w:rsid w:val="00B77DC3"/>
    <w:rsid w:val="00B77EFC"/>
    <w:rsid w:val="00B77F8A"/>
    <w:rsid w:val="00B80003"/>
    <w:rsid w:val="00B8008D"/>
    <w:rsid w:val="00B8021D"/>
    <w:rsid w:val="00B80285"/>
    <w:rsid w:val="00B8038A"/>
    <w:rsid w:val="00B803A8"/>
    <w:rsid w:val="00B8059D"/>
    <w:rsid w:val="00B806E7"/>
    <w:rsid w:val="00B807F1"/>
    <w:rsid w:val="00B8088D"/>
    <w:rsid w:val="00B80A14"/>
    <w:rsid w:val="00B80B2C"/>
    <w:rsid w:val="00B80C5F"/>
    <w:rsid w:val="00B80C6F"/>
    <w:rsid w:val="00B80CF6"/>
    <w:rsid w:val="00B80F67"/>
    <w:rsid w:val="00B810C0"/>
    <w:rsid w:val="00B8111A"/>
    <w:rsid w:val="00B8123B"/>
    <w:rsid w:val="00B816C4"/>
    <w:rsid w:val="00B8171D"/>
    <w:rsid w:val="00B81736"/>
    <w:rsid w:val="00B8199F"/>
    <w:rsid w:val="00B819F1"/>
    <w:rsid w:val="00B81A2A"/>
    <w:rsid w:val="00B81B92"/>
    <w:rsid w:val="00B81C90"/>
    <w:rsid w:val="00B81DF8"/>
    <w:rsid w:val="00B81F04"/>
    <w:rsid w:val="00B81FB6"/>
    <w:rsid w:val="00B82075"/>
    <w:rsid w:val="00B82397"/>
    <w:rsid w:val="00B823C7"/>
    <w:rsid w:val="00B823D0"/>
    <w:rsid w:val="00B82409"/>
    <w:rsid w:val="00B824A8"/>
    <w:rsid w:val="00B82637"/>
    <w:rsid w:val="00B82653"/>
    <w:rsid w:val="00B82882"/>
    <w:rsid w:val="00B82A09"/>
    <w:rsid w:val="00B82BCB"/>
    <w:rsid w:val="00B82D2E"/>
    <w:rsid w:val="00B8301F"/>
    <w:rsid w:val="00B83127"/>
    <w:rsid w:val="00B8331F"/>
    <w:rsid w:val="00B83357"/>
    <w:rsid w:val="00B833C1"/>
    <w:rsid w:val="00B83514"/>
    <w:rsid w:val="00B8360A"/>
    <w:rsid w:val="00B8367E"/>
    <w:rsid w:val="00B836DF"/>
    <w:rsid w:val="00B83734"/>
    <w:rsid w:val="00B83804"/>
    <w:rsid w:val="00B83958"/>
    <w:rsid w:val="00B83A20"/>
    <w:rsid w:val="00B83BE2"/>
    <w:rsid w:val="00B83CE2"/>
    <w:rsid w:val="00B83D0B"/>
    <w:rsid w:val="00B840D6"/>
    <w:rsid w:val="00B84128"/>
    <w:rsid w:val="00B841C1"/>
    <w:rsid w:val="00B84217"/>
    <w:rsid w:val="00B84403"/>
    <w:rsid w:val="00B845A2"/>
    <w:rsid w:val="00B846BC"/>
    <w:rsid w:val="00B848C9"/>
    <w:rsid w:val="00B84A97"/>
    <w:rsid w:val="00B84AD6"/>
    <w:rsid w:val="00B84B02"/>
    <w:rsid w:val="00B84B6C"/>
    <w:rsid w:val="00B84CDB"/>
    <w:rsid w:val="00B84D88"/>
    <w:rsid w:val="00B84D89"/>
    <w:rsid w:val="00B84E69"/>
    <w:rsid w:val="00B85025"/>
    <w:rsid w:val="00B85210"/>
    <w:rsid w:val="00B853BC"/>
    <w:rsid w:val="00B85469"/>
    <w:rsid w:val="00B857BF"/>
    <w:rsid w:val="00B858B3"/>
    <w:rsid w:val="00B85B47"/>
    <w:rsid w:val="00B85DDE"/>
    <w:rsid w:val="00B85F54"/>
    <w:rsid w:val="00B860D4"/>
    <w:rsid w:val="00B8627D"/>
    <w:rsid w:val="00B862CA"/>
    <w:rsid w:val="00B86374"/>
    <w:rsid w:val="00B8643A"/>
    <w:rsid w:val="00B86491"/>
    <w:rsid w:val="00B864FB"/>
    <w:rsid w:val="00B86596"/>
    <w:rsid w:val="00B866FF"/>
    <w:rsid w:val="00B8695C"/>
    <w:rsid w:val="00B8698C"/>
    <w:rsid w:val="00B86A2C"/>
    <w:rsid w:val="00B86A33"/>
    <w:rsid w:val="00B86A57"/>
    <w:rsid w:val="00B86A7C"/>
    <w:rsid w:val="00B86D67"/>
    <w:rsid w:val="00B86DFE"/>
    <w:rsid w:val="00B87103"/>
    <w:rsid w:val="00B87105"/>
    <w:rsid w:val="00B871E7"/>
    <w:rsid w:val="00B87637"/>
    <w:rsid w:val="00B876A6"/>
    <w:rsid w:val="00B877E5"/>
    <w:rsid w:val="00B878A7"/>
    <w:rsid w:val="00B87974"/>
    <w:rsid w:val="00B87B12"/>
    <w:rsid w:val="00B87E5A"/>
    <w:rsid w:val="00B87F74"/>
    <w:rsid w:val="00B90148"/>
    <w:rsid w:val="00B90233"/>
    <w:rsid w:val="00B902E0"/>
    <w:rsid w:val="00B903AB"/>
    <w:rsid w:val="00B90457"/>
    <w:rsid w:val="00B90611"/>
    <w:rsid w:val="00B908FA"/>
    <w:rsid w:val="00B90975"/>
    <w:rsid w:val="00B90CD5"/>
    <w:rsid w:val="00B90CFC"/>
    <w:rsid w:val="00B90FD2"/>
    <w:rsid w:val="00B9119C"/>
    <w:rsid w:val="00B9131F"/>
    <w:rsid w:val="00B9139E"/>
    <w:rsid w:val="00B9140F"/>
    <w:rsid w:val="00B91674"/>
    <w:rsid w:val="00B917C9"/>
    <w:rsid w:val="00B91A4D"/>
    <w:rsid w:val="00B91B31"/>
    <w:rsid w:val="00B91B35"/>
    <w:rsid w:val="00B91BD5"/>
    <w:rsid w:val="00B91C41"/>
    <w:rsid w:val="00B91C44"/>
    <w:rsid w:val="00B91DCA"/>
    <w:rsid w:val="00B91F35"/>
    <w:rsid w:val="00B91F40"/>
    <w:rsid w:val="00B91F46"/>
    <w:rsid w:val="00B91F77"/>
    <w:rsid w:val="00B921E0"/>
    <w:rsid w:val="00B92462"/>
    <w:rsid w:val="00B9248B"/>
    <w:rsid w:val="00B924A3"/>
    <w:rsid w:val="00B92630"/>
    <w:rsid w:val="00B92763"/>
    <w:rsid w:val="00B9291F"/>
    <w:rsid w:val="00B9294A"/>
    <w:rsid w:val="00B92A17"/>
    <w:rsid w:val="00B92A35"/>
    <w:rsid w:val="00B92C50"/>
    <w:rsid w:val="00B92CE5"/>
    <w:rsid w:val="00B92D1A"/>
    <w:rsid w:val="00B92D5C"/>
    <w:rsid w:val="00B92E4C"/>
    <w:rsid w:val="00B9317D"/>
    <w:rsid w:val="00B93228"/>
    <w:rsid w:val="00B933D4"/>
    <w:rsid w:val="00B93724"/>
    <w:rsid w:val="00B937AE"/>
    <w:rsid w:val="00B937E8"/>
    <w:rsid w:val="00B93978"/>
    <w:rsid w:val="00B93BD5"/>
    <w:rsid w:val="00B93D24"/>
    <w:rsid w:val="00B94148"/>
    <w:rsid w:val="00B941C0"/>
    <w:rsid w:val="00B942A4"/>
    <w:rsid w:val="00B94310"/>
    <w:rsid w:val="00B9431C"/>
    <w:rsid w:val="00B9437C"/>
    <w:rsid w:val="00B94449"/>
    <w:rsid w:val="00B94710"/>
    <w:rsid w:val="00B94789"/>
    <w:rsid w:val="00B94871"/>
    <w:rsid w:val="00B94938"/>
    <w:rsid w:val="00B94A51"/>
    <w:rsid w:val="00B94B1F"/>
    <w:rsid w:val="00B94B37"/>
    <w:rsid w:val="00B94B74"/>
    <w:rsid w:val="00B94BB5"/>
    <w:rsid w:val="00B94C1C"/>
    <w:rsid w:val="00B94D6B"/>
    <w:rsid w:val="00B94E46"/>
    <w:rsid w:val="00B9503B"/>
    <w:rsid w:val="00B9510D"/>
    <w:rsid w:val="00B95254"/>
    <w:rsid w:val="00B95597"/>
    <w:rsid w:val="00B95637"/>
    <w:rsid w:val="00B9568E"/>
    <w:rsid w:val="00B95776"/>
    <w:rsid w:val="00B9581B"/>
    <w:rsid w:val="00B95856"/>
    <w:rsid w:val="00B95C21"/>
    <w:rsid w:val="00B95C44"/>
    <w:rsid w:val="00B95CFD"/>
    <w:rsid w:val="00B95D5E"/>
    <w:rsid w:val="00B95DB8"/>
    <w:rsid w:val="00B95EAF"/>
    <w:rsid w:val="00B95FE2"/>
    <w:rsid w:val="00B96104"/>
    <w:rsid w:val="00B9612F"/>
    <w:rsid w:val="00B9622F"/>
    <w:rsid w:val="00B964E0"/>
    <w:rsid w:val="00B96533"/>
    <w:rsid w:val="00B969D0"/>
    <w:rsid w:val="00B96A6C"/>
    <w:rsid w:val="00B96BAC"/>
    <w:rsid w:val="00B96BB1"/>
    <w:rsid w:val="00B96C7E"/>
    <w:rsid w:val="00B96CE4"/>
    <w:rsid w:val="00B96D28"/>
    <w:rsid w:val="00B96D66"/>
    <w:rsid w:val="00B96F23"/>
    <w:rsid w:val="00B97011"/>
    <w:rsid w:val="00B97253"/>
    <w:rsid w:val="00B9739B"/>
    <w:rsid w:val="00B9746A"/>
    <w:rsid w:val="00B976DB"/>
    <w:rsid w:val="00B97905"/>
    <w:rsid w:val="00B97F3F"/>
    <w:rsid w:val="00BA005C"/>
    <w:rsid w:val="00BA0227"/>
    <w:rsid w:val="00BA0459"/>
    <w:rsid w:val="00BA04F2"/>
    <w:rsid w:val="00BA0671"/>
    <w:rsid w:val="00BA073A"/>
    <w:rsid w:val="00BA0809"/>
    <w:rsid w:val="00BA0A7D"/>
    <w:rsid w:val="00BA0BF2"/>
    <w:rsid w:val="00BA0CAF"/>
    <w:rsid w:val="00BA0E53"/>
    <w:rsid w:val="00BA0F9D"/>
    <w:rsid w:val="00BA0FCD"/>
    <w:rsid w:val="00BA1027"/>
    <w:rsid w:val="00BA1175"/>
    <w:rsid w:val="00BA12E8"/>
    <w:rsid w:val="00BA1436"/>
    <w:rsid w:val="00BA1448"/>
    <w:rsid w:val="00BA15E3"/>
    <w:rsid w:val="00BA1649"/>
    <w:rsid w:val="00BA1821"/>
    <w:rsid w:val="00BA1876"/>
    <w:rsid w:val="00BA1AD0"/>
    <w:rsid w:val="00BA1AE4"/>
    <w:rsid w:val="00BA1B6F"/>
    <w:rsid w:val="00BA1E12"/>
    <w:rsid w:val="00BA1E85"/>
    <w:rsid w:val="00BA1F0D"/>
    <w:rsid w:val="00BA2033"/>
    <w:rsid w:val="00BA206F"/>
    <w:rsid w:val="00BA20D3"/>
    <w:rsid w:val="00BA2372"/>
    <w:rsid w:val="00BA241A"/>
    <w:rsid w:val="00BA2427"/>
    <w:rsid w:val="00BA2441"/>
    <w:rsid w:val="00BA2451"/>
    <w:rsid w:val="00BA253E"/>
    <w:rsid w:val="00BA2544"/>
    <w:rsid w:val="00BA2DA5"/>
    <w:rsid w:val="00BA2E08"/>
    <w:rsid w:val="00BA2F15"/>
    <w:rsid w:val="00BA300C"/>
    <w:rsid w:val="00BA301D"/>
    <w:rsid w:val="00BA3060"/>
    <w:rsid w:val="00BA30DA"/>
    <w:rsid w:val="00BA3133"/>
    <w:rsid w:val="00BA32D6"/>
    <w:rsid w:val="00BA3387"/>
    <w:rsid w:val="00BA3500"/>
    <w:rsid w:val="00BA35C2"/>
    <w:rsid w:val="00BA3751"/>
    <w:rsid w:val="00BA3910"/>
    <w:rsid w:val="00BA3C79"/>
    <w:rsid w:val="00BA3CF3"/>
    <w:rsid w:val="00BA3D7F"/>
    <w:rsid w:val="00BA3DFB"/>
    <w:rsid w:val="00BA3FAD"/>
    <w:rsid w:val="00BA4294"/>
    <w:rsid w:val="00BA431C"/>
    <w:rsid w:val="00BA44D1"/>
    <w:rsid w:val="00BA44F6"/>
    <w:rsid w:val="00BA4537"/>
    <w:rsid w:val="00BA4610"/>
    <w:rsid w:val="00BA4688"/>
    <w:rsid w:val="00BA478C"/>
    <w:rsid w:val="00BA4915"/>
    <w:rsid w:val="00BA49D5"/>
    <w:rsid w:val="00BA4B0E"/>
    <w:rsid w:val="00BA4C9B"/>
    <w:rsid w:val="00BA4CFB"/>
    <w:rsid w:val="00BA4E83"/>
    <w:rsid w:val="00BA51AD"/>
    <w:rsid w:val="00BA52FA"/>
    <w:rsid w:val="00BA54E8"/>
    <w:rsid w:val="00BA5553"/>
    <w:rsid w:val="00BA557D"/>
    <w:rsid w:val="00BA575B"/>
    <w:rsid w:val="00BA58D2"/>
    <w:rsid w:val="00BA5ADE"/>
    <w:rsid w:val="00BA5C70"/>
    <w:rsid w:val="00BA5C8D"/>
    <w:rsid w:val="00BA5E50"/>
    <w:rsid w:val="00BA5F13"/>
    <w:rsid w:val="00BA61B2"/>
    <w:rsid w:val="00BA6400"/>
    <w:rsid w:val="00BA6412"/>
    <w:rsid w:val="00BA6445"/>
    <w:rsid w:val="00BA655E"/>
    <w:rsid w:val="00BA67D0"/>
    <w:rsid w:val="00BA691E"/>
    <w:rsid w:val="00BA69D1"/>
    <w:rsid w:val="00BA6BA3"/>
    <w:rsid w:val="00BA6BFD"/>
    <w:rsid w:val="00BA6DE1"/>
    <w:rsid w:val="00BA6EDC"/>
    <w:rsid w:val="00BA6F03"/>
    <w:rsid w:val="00BA706E"/>
    <w:rsid w:val="00BA70F0"/>
    <w:rsid w:val="00BA71CA"/>
    <w:rsid w:val="00BA7221"/>
    <w:rsid w:val="00BA7268"/>
    <w:rsid w:val="00BA72EA"/>
    <w:rsid w:val="00BA73A4"/>
    <w:rsid w:val="00BA73BE"/>
    <w:rsid w:val="00BA74BE"/>
    <w:rsid w:val="00BA757E"/>
    <w:rsid w:val="00BA761A"/>
    <w:rsid w:val="00BA77E6"/>
    <w:rsid w:val="00BA780D"/>
    <w:rsid w:val="00BA7A2A"/>
    <w:rsid w:val="00BA7A7C"/>
    <w:rsid w:val="00BA7CA3"/>
    <w:rsid w:val="00BA7EA1"/>
    <w:rsid w:val="00BA7EB0"/>
    <w:rsid w:val="00BA7F17"/>
    <w:rsid w:val="00BA7F35"/>
    <w:rsid w:val="00BA7FE8"/>
    <w:rsid w:val="00BB0012"/>
    <w:rsid w:val="00BB0229"/>
    <w:rsid w:val="00BB02D2"/>
    <w:rsid w:val="00BB02EB"/>
    <w:rsid w:val="00BB034F"/>
    <w:rsid w:val="00BB03FC"/>
    <w:rsid w:val="00BB0700"/>
    <w:rsid w:val="00BB0717"/>
    <w:rsid w:val="00BB07B4"/>
    <w:rsid w:val="00BB08C3"/>
    <w:rsid w:val="00BB0C98"/>
    <w:rsid w:val="00BB0CDD"/>
    <w:rsid w:val="00BB1086"/>
    <w:rsid w:val="00BB128A"/>
    <w:rsid w:val="00BB1346"/>
    <w:rsid w:val="00BB13A6"/>
    <w:rsid w:val="00BB14F5"/>
    <w:rsid w:val="00BB1BF5"/>
    <w:rsid w:val="00BB1EEB"/>
    <w:rsid w:val="00BB1F16"/>
    <w:rsid w:val="00BB1F5E"/>
    <w:rsid w:val="00BB20B6"/>
    <w:rsid w:val="00BB2103"/>
    <w:rsid w:val="00BB22EE"/>
    <w:rsid w:val="00BB2408"/>
    <w:rsid w:val="00BB2522"/>
    <w:rsid w:val="00BB2595"/>
    <w:rsid w:val="00BB262C"/>
    <w:rsid w:val="00BB26F5"/>
    <w:rsid w:val="00BB2792"/>
    <w:rsid w:val="00BB2A3C"/>
    <w:rsid w:val="00BB2A96"/>
    <w:rsid w:val="00BB2BBC"/>
    <w:rsid w:val="00BB2E30"/>
    <w:rsid w:val="00BB2F63"/>
    <w:rsid w:val="00BB31BD"/>
    <w:rsid w:val="00BB3299"/>
    <w:rsid w:val="00BB33FD"/>
    <w:rsid w:val="00BB3A82"/>
    <w:rsid w:val="00BB3D04"/>
    <w:rsid w:val="00BB3D8D"/>
    <w:rsid w:val="00BB4094"/>
    <w:rsid w:val="00BB452E"/>
    <w:rsid w:val="00BB45CF"/>
    <w:rsid w:val="00BB4798"/>
    <w:rsid w:val="00BB48D2"/>
    <w:rsid w:val="00BB4996"/>
    <w:rsid w:val="00BB4D0D"/>
    <w:rsid w:val="00BB5008"/>
    <w:rsid w:val="00BB52B6"/>
    <w:rsid w:val="00BB54C4"/>
    <w:rsid w:val="00BB5653"/>
    <w:rsid w:val="00BB5816"/>
    <w:rsid w:val="00BB5842"/>
    <w:rsid w:val="00BB58D9"/>
    <w:rsid w:val="00BB59CB"/>
    <w:rsid w:val="00BB5AE0"/>
    <w:rsid w:val="00BB5C82"/>
    <w:rsid w:val="00BB5D1A"/>
    <w:rsid w:val="00BB5DA9"/>
    <w:rsid w:val="00BB5E25"/>
    <w:rsid w:val="00BB5F6C"/>
    <w:rsid w:val="00BB5FB4"/>
    <w:rsid w:val="00BB6127"/>
    <w:rsid w:val="00BB6266"/>
    <w:rsid w:val="00BB63C9"/>
    <w:rsid w:val="00BB6434"/>
    <w:rsid w:val="00BB661C"/>
    <w:rsid w:val="00BB6631"/>
    <w:rsid w:val="00BB68A9"/>
    <w:rsid w:val="00BB6C13"/>
    <w:rsid w:val="00BB6DB0"/>
    <w:rsid w:val="00BB6F52"/>
    <w:rsid w:val="00BB70A5"/>
    <w:rsid w:val="00BB70A6"/>
    <w:rsid w:val="00BB7166"/>
    <w:rsid w:val="00BB723F"/>
    <w:rsid w:val="00BB7349"/>
    <w:rsid w:val="00BB738C"/>
    <w:rsid w:val="00BB7741"/>
    <w:rsid w:val="00BB7821"/>
    <w:rsid w:val="00BB7867"/>
    <w:rsid w:val="00BB79D8"/>
    <w:rsid w:val="00BB7AC2"/>
    <w:rsid w:val="00BB7B81"/>
    <w:rsid w:val="00BB7D47"/>
    <w:rsid w:val="00BB7D56"/>
    <w:rsid w:val="00BB7D6E"/>
    <w:rsid w:val="00BB7E2A"/>
    <w:rsid w:val="00BB7EAE"/>
    <w:rsid w:val="00BC008F"/>
    <w:rsid w:val="00BC0264"/>
    <w:rsid w:val="00BC027D"/>
    <w:rsid w:val="00BC050C"/>
    <w:rsid w:val="00BC062A"/>
    <w:rsid w:val="00BC0676"/>
    <w:rsid w:val="00BC0743"/>
    <w:rsid w:val="00BC07B1"/>
    <w:rsid w:val="00BC0A39"/>
    <w:rsid w:val="00BC0AD8"/>
    <w:rsid w:val="00BC0E1C"/>
    <w:rsid w:val="00BC0FB7"/>
    <w:rsid w:val="00BC106D"/>
    <w:rsid w:val="00BC11E2"/>
    <w:rsid w:val="00BC139F"/>
    <w:rsid w:val="00BC13F9"/>
    <w:rsid w:val="00BC15C0"/>
    <w:rsid w:val="00BC1629"/>
    <w:rsid w:val="00BC166F"/>
    <w:rsid w:val="00BC183A"/>
    <w:rsid w:val="00BC18C2"/>
    <w:rsid w:val="00BC1A17"/>
    <w:rsid w:val="00BC1B97"/>
    <w:rsid w:val="00BC1D7F"/>
    <w:rsid w:val="00BC1D8A"/>
    <w:rsid w:val="00BC1E36"/>
    <w:rsid w:val="00BC1E80"/>
    <w:rsid w:val="00BC1F81"/>
    <w:rsid w:val="00BC1F8B"/>
    <w:rsid w:val="00BC1F93"/>
    <w:rsid w:val="00BC207E"/>
    <w:rsid w:val="00BC21EF"/>
    <w:rsid w:val="00BC23AE"/>
    <w:rsid w:val="00BC23D3"/>
    <w:rsid w:val="00BC246F"/>
    <w:rsid w:val="00BC247E"/>
    <w:rsid w:val="00BC250F"/>
    <w:rsid w:val="00BC2822"/>
    <w:rsid w:val="00BC2B6C"/>
    <w:rsid w:val="00BC2CC2"/>
    <w:rsid w:val="00BC2EF6"/>
    <w:rsid w:val="00BC2F92"/>
    <w:rsid w:val="00BC2FC4"/>
    <w:rsid w:val="00BC31A8"/>
    <w:rsid w:val="00BC32A8"/>
    <w:rsid w:val="00BC32C9"/>
    <w:rsid w:val="00BC3399"/>
    <w:rsid w:val="00BC33BC"/>
    <w:rsid w:val="00BC33F4"/>
    <w:rsid w:val="00BC345E"/>
    <w:rsid w:val="00BC3607"/>
    <w:rsid w:val="00BC3633"/>
    <w:rsid w:val="00BC378E"/>
    <w:rsid w:val="00BC37E0"/>
    <w:rsid w:val="00BC38CE"/>
    <w:rsid w:val="00BC3C69"/>
    <w:rsid w:val="00BC3D20"/>
    <w:rsid w:val="00BC3D4E"/>
    <w:rsid w:val="00BC3DE4"/>
    <w:rsid w:val="00BC406E"/>
    <w:rsid w:val="00BC4183"/>
    <w:rsid w:val="00BC426A"/>
    <w:rsid w:val="00BC4659"/>
    <w:rsid w:val="00BC46B9"/>
    <w:rsid w:val="00BC46D6"/>
    <w:rsid w:val="00BC4805"/>
    <w:rsid w:val="00BC4853"/>
    <w:rsid w:val="00BC48DC"/>
    <w:rsid w:val="00BC492C"/>
    <w:rsid w:val="00BC4980"/>
    <w:rsid w:val="00BC4E25"/>
    <w:rsid w:val="00BC5043"/>
    <w:rsid w:val="00BC5116"/>
    <w:rsid w:val="00BC53F0"/>
    <w:rsid w:val="00BC54DF"/>
    <w:rsid w:val="00BC5655"/>
    <w:rsid w:val="00BC578C"/>
    <w:rsid w:val="00BC5814"/>
    <w:rsid w:val="00BC5941"/>
    <w:rsid w:val="00BC5AA2"/>
    <w:rsid w:val="00BC5AB6"/>
    <w:rsid w:val="00BC5ABF"/>
    <w:rsid w:val="00BC5DC8"/>
    <w:rsid w:val="00BC6011"/>
    <w:rsid w:val="00BC6051"/>
    <w:rsid w:val="00BC6052"/>
    <w:rsid w:val="00BC60F2"/>
    <w:rsid w:val="00BC62B6"/>
    <w:rsid w:val="00BC62BE"/>
    <w:rsid w:val="00BC6396"/>
    <w:rsid w:val="00BC64A4"/>
    <w:rsid w:val="00BC64E4"/>
    <w:rsid w:val="00BC6501"/>
    <w:rsid w:val="00BC650A"/>
    <w:rsid w:val="00BC65E1"/>
    <w:rsid w:val="00BC686A"/>
    <w:rsid w:val="00BC68CF"/>
    <w:rsid w:val="00BC6B0E"/>
    <w:rsid w:val="00BC6B7B"/>
    <w:rsid w:val="00BC6C0B"/>
    <w:rsid w:val="00BC6CAC"/>
    <w:rsid w:val="00BC7313"/>
    <w:rsid w:val="00BC74B6"/>
    <w:rsid w:val="00BC74DB"/>
    <w:rsid w:val="00BC7519"/>
    <w:rsid w:val="00BC76B8"/>
    <w:rsid w:val="00BC7715"/>
    <w:rsid w:val="00BC7829"/>
    <w:rsid w:val="00BC7964"/>
    <w:rsid w:val="00BC7BFC"/>
    <w:rsid w:val="00BC7C43"/>
    <w:rsid w:val="00BC7E6C"/>
    <w:rsid w:val="00BC7F6C"/>
    <w:rsid w:val="00BD0296"/>
    <w:rsid w:val="00BD03A2"/>
    <w:rsid w:val="00BD0509"/>
    <w:rsid w:val="00BD05B8"/>
    <w:rsid w:val="00BD06BD"/>
    <w:rsid w:val="00BD099E"/>
    <w:rsid w:val="00BD0A0F"/>
    <w:rsid w:val="00BD0A46"/>
    <w:rsid w:val="00BD0C60"/>
    <w:rsid w:val="00BD0CFB"/>
    <w:rsid w:val="00BD0E0B"/>
    <w:rsid w:val="00BD0F3A"/>
    <w:rsid w:val="00BD11A1"/>
    <w:rsid w:val="00BD11A6"/>
    <w:rsid w:val="00BD1345"/>
    <w:rsid w:val="00BD1611"/>
    <w:rsid w:val="00BD177D"/>
    <w:rsid w:val="00BD1848"/>
    <w:rsid w:val="00BD18DF"/>
    <w:rsid w:val="00BD1998"/>
    <w:rsid w:val="00BD1B2D"/>
    <w:rsid w:val="00BD1BE6"/>
    <w:rsid w:val="00BD1D35"/>
    <w:rsid w:val="00BD1D36"/>
    <w:rsid w:val="00BD1EBD"/>
    <w:rsid w:val="00BD1F00"/>
    <w:rsid w:val="00BD21ED"/>
    <w:rsid w:val="00BD2289"/>
    <w:rsid w:val="00BD24CE"/>
    <w:rsid w:val="00BD2657"/>
    <w:rsid w:val="00BD27C3"/>
    <w:rsid w:val="00BD27DB"/>
    <w:rsid w:val="00BD2803"/>
    <w:rsid w:val="00BD2884"/>
    <w:rsid w:val="00BD2905"/>
    <w:rsid w:val="00BD2912"/>
    <w:rsid w:val="00BD2A7D"/>
    <w:rsid w:val="00BD2B8D"/>
    <w:rsid w:val="00BD2C0C"/>
    <w:rsid w:val="00BD2C20"/>
    <w:rsid w:val="00BD2C55"/>
    <w:rsid w:val="00BD2F1F"/>
    <w:rsid w:val="00BD2F62"/>
    <w:rsid w:val="00BD3188"/>
    <w:rsid w:val="00BD31D2"/>
    <w:rsid w:val="00BD32B1"/>
    <w:rsid w:val="00BD3544"/>
    <w:rsid w:val="00BD3943"/>
    <w:rsid w:val="00BD39FF"/>
    <w:rsid w:val="00BD3C2E"/>
    <w:rsid w:val="00BD3C3E"/>
    <w:rsid w:val="00BD3D9B"/>
    <w:rsid w:val="00BD3E87"/>
    <w:rsid w:val="00BD3FEC"/>
    <w:rsid w:val="00BD420B"/>
    <w:rsid w:val="00BD4337"/>
    <w:rsid w:val="00BD4384"/>
    <w:rsid w:val="00BD4470"/>
    <w:rsid w:val="00BD457F"/>
    <w:rsid w:val="00BD461E"/>
    <w:rsid w:val="00BD4843"/>
    <w:rsid w:val="00BD48A8"/>
    <w:rsid w:val="00BD48B6"/>
    <w:rsid w:val="00BD499F"/>
    <w:rsid w:val="00BD49C9"/>
    <w:rsid w:val="00BD4C0C"/>
    <w:rsid w:val="00BD4C40"/>
    <w:rsid w:val="00BD4E5F"/>
    <w:rsid w:val="00BD4EC8"/>
    <w:rsid w:val="00BD4FCB"/>
    <w:rsid w:val="00BD4FF0"/>
    <w:rsid w:val="00BD5054"/>
    <w:rsid w:val="00BD52CB"/>
    <w:rsid w:val="00BD5318"/>
    <w:rsid w:val="00BD5368"/>
    <w:rsid w:val="00BD5A95"/>
    <w:rsid w:val="00BD5ACD"/>
    <w:rsid w:val="00BD5B07"/>
    <w:rsid w:val="00BD5D0A"/>
    <w:rsid w:val="00BD5D7B"/>
    <w:rsid w:val="00BD5FCE"/>
    <w:rsid w:val="00BD5FEA"/>
    <w:rsid w:val="00BD624D"/>
    <w:rsid w:val="00BD62C2"/>
    <w:rsid w:val="00BD632C"/>
    <w:rsid w:val="00BD655F"/>
    <w:rsid w:val="00BD6578"/>
    <w:rsid w:val="00BD66C9"/>
    <w:rsid w:val="00BD66F3"/>
    <w:rsid w:val="00BD681D"/>
    <w:rsid w:val="00BD6900"/>
    <w:rsid w:val="00BD69C7"/>
    <w:rsid w:val="00BD6AFC"/>
    <w:rsid w:val="00BD6C0F"/>
    <w:rsid w:val="00BD6DD1"/>
    <w:rsid w:val="00BD6DE6"/>
    <w:rsid w:val="00BD6E30"/>
    <w:rsid w:val="00BD6F42"/>
    <w:rsid w:val="00BD6F58"/>
    <w:rsid w:val="00BD6FCC"/>
    <w:rsid w:val="00BD6FE2"/>
    <w:rsid w:val="00BD704D"/>
    <w:rsid w:val="00BD71A2"/>
    <w:rsid w:val="00BD7208"/>
    <w:rsid w:val="00BD7209"/>
    <w:rsid w:val="00BD72B0"/>
    <w:rsid w:val="00BD7485"/>
    <w:rsid w:val="00BD7498"/>
    <w:rsid w:val="00BD76D7"/>
    <w:rsid w:val="00BD7725"/>
    <w:rsid w:val="00BD77A6"/>
    <w:rsid w:val="00BD7C06"/>
    <w:rsid w:val="00BD7C4C"/>
    <w:rsid w:val="00BD7D45"/>
    <w:rsid w:val="00BD7D87"/>
    <w:rsid w:val="00BD7F41"/>
    <w:rsid w:val="00BE0074"/>
    <w:rsid w:val="00BE00DB"/>
    <w:rsid w:val="00BE00E0"/>
    <w:rsid w:val="00BE0194"/>
    <w:rsid w:val="00BE01A5"/>
    <w:rsid w:val="00BE027F"/>
    <w:rsid w:val="00BE044E"/>
    <w:rsid w:val="00BE0554"/>
    <w:rsid w:val="00BE060B"/>
    <w:rsid w:val="00BE0908"/>
    <w:rsid w:val="00BE0A14"/>
    <w:rsid w:val="00BE0A33"/>
    <w:rsid w:val="00BE0A85"/>
    <w:rsid w:val="00BE0AD3"/>
    <w:rsid w:val="00BE0BCC"/>
    <w:rsid w:val="00BE0C64"/>
    <w:rsid w:val="00BE0CEF"/>
    <w:rsid w:val="00BE0DED"/>
    <w:rsid w:val="00BE0E1C"/>
    <w:rsid w:val="00BE0F27"/>
    <w:rsid w:val="00BE0FC9"/>
    <w:rsid w:val="00BE116D"/>
    <w:rsid w:val="00BE123D"/>
    <w:rsid w:val="00BE1341"/>
    <w:rsid w:val="00BE1384"/>
    <w:rsid w:val="00BE14F5"/>
    <w:rsid w:val="00BE14F7"/>
    <w:rsid w:val="00BE1559"/>
    <w:rsid w:val="00BE1651"/>
    <w:rsid w:val="00BE18F8"/>
    <w:rsid w:val="00BE1A6C"/>
    <w:rsid w:val="00BE1C77"/>
    <w:rsid w:val="00BE1CA7"/>
    <w:rsid w:val="00BE1CD6"/>
    <w:rsid w:val="00BE1CE2"/>
    <w:rsid w:val="00BE1E46"/>
    <w:rsid w:val="00BE1EBE"/>
    <w:rsid w:val="00BE21A1"/>
    <w:rsid w:val="00BE2611"/>
    <w:rsid w:val="00BE2655"/>
    <w:rsid w:val="00BE26CD"/>
    <w:rsid w:val="00BE2735"/>
    <w:rsid w:val="00BE2810"/>
    <w:rsid w:val="00BE2883"/>
    <w:rsid w:val="00BE28B2"/>
    <w:rsid w:val="00BE294E"/>
    <w:rsid w:val="00BE2BDA"/>
    <w:rsid w:val="00BE2CE9"/>
    <w:rsid w:val="00BE307B"/>
    <w:rsid w:val="00BE315B"/>
    <w:rsid w:val="00BE319D"/>
    <w:rsid w:val="00BE34FC"/>
    <w:rsid w:val="00BE377C"/>
    <w:rsid w:val="00BE37E8"/>
    <w:rsid w:val="00BE3803"/>
    <w:rsid w:val="00BE397B"/>
    <w:rsid w:val="00BE39D2"/>
    <w:rsid w:val="00BE3A7D"/>
    <w:rsid w:val="00BE3A8C"/>
    <w:rsid w:val="00BE3D80"/>
    <w:rsid w:val="00BE3DB6"/>
    <w:rsid w:val="00BE3E64"/>
    <w:rsid w:val="00BE3F9E"/>
    <w:rsid w:val="00BE412D"/>
    <w:rsid w:val="00BE439D"/>
    <w:rsid w:val="00BE46C3"/>
    <w:rsid w:val="00BE4704"/>
    <w:rsid w:val="00BE47F8"/>
    <w:rsid w:val="00BE48B4"/>
    <w:rsid w:val="00BE4947"/>
    <w:rsid w:val="00BE4BB2"/>
    <w:rsid w:val="00BE4C4C"/>
    <w:rsid w:val="00BE4C8C"/>
    <w:rsid w:val="00BE4D78"/>
    <w:rsid w:val="00BE4F09"/>
    <w:rsid w:val="00BE4F77"/>
    <w:rsid w:val="00BE4FB9"/>
    <w:rsid w:val="00BE5018"/>
    <w:rsid w:val="00BE51DA"/>
    <w:rsid w:val="00BE51F8"/>
    <w:rsid w:val="00BE55FC"/>
    <w:rsid w:val="00BE566E"/>
    <w:rsid w:val="00BE5925"/>
    <w:rsid w:val="00BE5A99"/>
    <w:rsid w:val="00BE5BD7"/>
    <w:rsid w:val="00BE5C72"/>
    <w:rsid w:val="00BE5D96"/>
    <w:rsid w:val="00BE5FA3"/>
    <w:rsid w:val="00BE601F"/>
    <w:rsid w:val="00BE63EC"/>
    <w:rsid w:val="00BE664C"/>
    <w:rsid w:val="00BE66A6"/>
    <w:rsid w:val="00BE6948"/>
    <w:rsid w:val="00BE696C"/>
    <w:rsid w:val="00BE6A60"/>
    <w:rsid w:val="00BE6CC6"/>
    <w:rsid w:val="00BE6D6A"/>
    <w:rsid w:val="00BE6EA1"/>
    <w:rsid w:val="00BE7005"/>
    <w:rsid w:val="00BE745C"/>
    <w:rsid w:val="00BE76D5"/>
    <w:rsid w:val="00BE77F4"/>
    <w:rsid w:val="00BE79DE"/>
    <w:rsid w:val="00BE7B61"/>
    <w:rsid w:val="00BE7CE2"/>
    <w:rsid w:val="00BE7E35"/>
    <w:rsid w:val="00BE7E8E"/>
    <w:rsid w:val="00BE7F82"/>
    <w:rsid w:val="00BE7FCB"/>
    <w:rsid w:val="00BF003E"/>
    <w:rsid w:val="00BF0268"/>
    <w:rsid w:val="00BF0425"/>
    <w:rsid w:val="00BF0445"/>
    <w:rsid w:val="00BF05DE"/>
    <w:rsid w:val="00BF0773"/>
    <w:rsid w:val="00BF07D1"/>
    <w:rsid w:val="00BF0A54"/>
    <w:rsid w:val="00BF0A7E"/>
    <w:rsid w:val="00BF0E83"/>
    <w:rsid w:val="00BF10C4"/>
    <w:rsid w:val="00BF1204"/>
    <w:rsid w:val="00BF1241"/>
    <w:rsid w:val="00BF1429"/>
    <w:rsid w:val="00BF1635"/>
    <w:rsid w:val="00BF16C9"/>
    <w:rsid w:val="00BF1813"/>
    <w:rsid w:val="00BF184F"/>
    <w:rsid w:val="00BF19A1"/>
    <w:rsid w:val="00BF19A2"/>
    <w:rsid w:val="00BF1A17"/>
    <w:rsid w:val="00BF1B13"/>
    <w:rsid w:val="00BF1CB5"/>
    <w:rsid w:val="00BF1D23"/>
    <w:rsid w:val="00BF1F09"/>
    <w:rsid w:val="00BF2241"/>
    <w:rsid w:val="00BF2322"/>
    <w:rsid w:val="00BF25A6"/>
    <w:rsid w:val="00BF260F"/>
    <w:rsid w:val="00BF266D"/>
    <w:rsid w:val="00BF2857"/>
    <w:rsid w:val="00BF29C5"/>
    <w:rsid w:val="00BF29CD"/>
    <w:rsid w:val="00BF29FB"/>
    <w:rsid w:val="00BF2AC1"/>
    <w:rsid w:val="00BF2D04"/>
    <w:rsid w:val="00BF2D58"/>
    <w:rsid w:val="00BF2DB4"/>
    <w:rsid w:val="00BF2E23"/>
    <w:rsid w:val="00BF2E32"/>
    <w:rsid w:val="00BF2FE3"/>
    <w:rsid w:val="00BF3028"/>
    <w:rsid w:val="00BF307B"/>
    <w:rsid w:val="00BF3307"/>
    <w:rsid w:val="00BF334A"/>
    <w:rsid w:val="00BF373D"/>
    <w:rsid w:val="00BF375D"/>
    <w:rsid w:val="00BF3A6D"/>
    <w:rsid w:val="00BF3AD0"/>
    <w:rsid w:val="00BF3CA2"/>
    <w:rsid w:val="00BF3D35"/>
    <w:rsid w:val="00BF3EA8"/>
    <w:rsid w:val="00BF3F86"/>
    <w:rsid w:val="00BF403F"/>
    <w:rsid w:val="00BF413F"/>
    <w:rsid w:val="00BF419A"/>
    <w:rsid w:val="00BF42E3"/>
    <w:rsid w:val="00BF42F0"/>
    <w:rsid w:val="00BF454C"/>
    <w:rsid w:val="00BF4660"/>
    <w:rsid w:val="00BF47CE"/>
    <w:rsid w:val="00BF4912"/>
    <w:rsid w:val="00BF49A3"/>
    <w:rsid w:val="00BF4B05"/>
    <w:rsid w:val="00BF4B2B"/>
    <w:rsid w:val="00BF4B3B"/>
    <w:rsid w:val="00BF4D5D"/>
    <w:rsid w:val="00BF4DD2"/>
    <w:rsid w:val="00BF4E78"/>
    <w:rsid w:val="00BF4E8F"/>
    <w:rsid w:val="00BF4EAA"/>
    <w:rsid w:val="00BF4F80"/>
    <w:rsid w:val="00BF5096"/>
    <w:rsid w:val="00BF50BC"/>
    <w:rsid w:val="00BF5194"/>
    <w:rsid w:val="00BF5254"/>
    <w:rsid w:val="00BF5401"/>
    <w:rsid w:val="00BF55BE"/>
    <w:rsid w:val="00BF5723"/>
    <w:rsid w:val="00BF583A"/>
    <w:rsid w:val="00BF5918"/>
    <w:rsid w:val="00BF5B80"/>
    <w:rsid w:val="00BF5BE8"/>
    <w:rsid w:val="00BF6145"/>
    <w:rsid w:val="00BF61AA"/>
    <w:rsid w:val="00BF637C"/>
    <w:rsid w:val="00BF642C"/>
    <w:rsid w:val="00BF642D"/>
    <w:rsid w:val="00BF66E0"/>
    <w:rsid w:val="00BF67A8"/>
    <w:rsid w:val="00BF67C9"/>
    <w:rsid w:val="00BF67F1"/>
    <w:rsid w:val="00BF6807"/>
    <w:rsid w:val="00BF6849"/>
    <w:rsid w:val="00BF69DF"/>
    <w:rsid w:val="00BF6AEE"/>
    <w:rsid w:val="00BF6BA7"/>
    <w:rsid w:val="00BF6BD8"/>
    <w:rsid w:val="00BF6C10"/>
    <w:rsid w:val="00BF6C73"/>
    <w:rsid w:val="00BF6CB8"/>
    <w:rsid w:val="00BF6D79"/>
    <w:rsid w:val="00BF6D7C"/>
    <w:rsid w:val="00BF6D9B"/>
    <w:rsid w:val="00BF6FE9"/>
    <w:rsid w:val="00BF702E"/>
    <w:rsid w:val="00BF7035"/>
    <w:rsid w:val="00BF73AB"/>
    <w:rsid w:val="00BF748C"/>
    <w:rsid w:val="00BF74BD"/>
    <w:rsid w:val="00BF74E9"/>
    <w:rsid w:val="00BF766D"/>
    <w:rsid w:val="00BF77AA"/>
    <w:rsid w:val="00BF7842"/>
    <w:rsid w:val="00BF7880"/>
    <w:rsid w:val="00BF79F0"/>
    <w:rsid w:val="00BF7C12"/>
    <w:rsid w:val="00BF7D3B"/>
    <w:rsid w:val="00C00006"/>
    <w:rsid w:val="00C00417"/>
    <w:rsid w:val="00C005C8"/>
    <w:rsid w:val="00C00644"/>
    <w:rsid w:val="00C0074D"/>
    <w:rsid w:val="00C00870"/>
    <w:rsid w:val="00C00A3B"/>
    <w:rsid w:val="00C00D34"/>
    <w:rsid w:val="00C00DF7"/>
    <w:rsid w:val="00C0106B"/>
    <w:rsid w:val="00C010A4"/>
    <w:rsid w:val="00C0132F"/>
    <w:rsid w:val="00C0139A"/>
    <w:rsid w:val="00C0140D"/>
    <w:rsid w:val="00C014D7"/>
    <w:rsid w:val="00C015E7"/>
    <w:rsid w:val="00C01646"/>
    <w:rsid w:val="00C01788"/>
    <w:rsid w:val="00C01AFC"/>
    <w:rsid w:val="00C01CF2"/>
    <w:rsid w:val="00C01D80"/>
    <w:rsid w:val="00C01E9F"/>
    <w:rsid w:val="00C01FCF"/>
    <w:rsid w:val="00C0219A"/>
    <w:rsid w:val="00C024C3"/>
    <w:rsid w:val="00C025E2"/>
    <w:rsid w:val="00C026C7"/>
    <w:rsid w:val="00C028FC"/>
    <w:rsid w:val="00C02AA8"/>
    <w:rsid w:val="00C02BCB"/>
    <w:rsid w:val="00C02BEA"/>
    <w:rsid w:val="00C02D6C"/>
    <w:rsid w:val="00C02E05"/>
    <w:rsid w:val="00C03103"/>
    <w:rsid w:val="00C033B1"/>
    <w:rsid w:val="00C034B7"/>
    <w:rsid w:val="00C034F6"/>
    <w:rsid w:val="00C0355A"/>
    <w:rsid w:val="00C03686"/>
    <w:rsid w:val="00C036AB"/>
    <w:rsid w:val="00C036EB"/>
    <w:rsid w:val="00C03710"/>
    <w:rsid w:val="00C03723"/>
    <w:rsid w:val="00C03888"/>
    <w:rsid w:val="00C038E0"/>
    <w:rsid w:val="00C0392B"/>
    <w:rsid w:val="00C03DFD"/>
    <w:rsid w:val="00C03E64"/>
    <w:rsid w:val="00C03E6E"/>
    <w:rsid w:val="00C03F1C"/>
    <w:rsid w:val="00C03F21"/>
    <w:rsid w:val="00C04102"/>
    <w:rsid w:val="00C0420F"/>
    <w:rsid w:val="00C0421B"/>
    <w:rsid w:val="00C0428E"/>
    <w:rsid w:val="00C04306"/>
    <w:rsid w:val="00C04435"/>
    <w:rsid w:val="00C044CF"/>
    <w:rsid w:val="00C04709"/>
    <w:rsid w:val="00C04884"/>
    <w:rsid w:val="00C0499F"/>
    <w:rsid w:val="00C04BCA"/>
    <w:rsid w:val="00C04C1D"/>
    <w:rsid w:val="00C04D5F"/>
    <w:rsid w:val="00C04DFE"/>
    <w:rsid w:val="00C04E96"/>
    <w:rsid w:val="00C04F2E"/>
    <w:rsid w:val="00C04FB5"/>
    <w:rsid w:val="00C051D0"/>
    <w:rsid w:val="00C051DD"/>
    <w:rsid w:val="00C0524C"/>
    <w:rsid w:val="00C05391"/>
    <w:rsid w:val="00C0539C"/>
    <w:rsid w:val="00C0559C"/>
    <w:rsid w:val="00C055E0"/>
    <w:rsid w:val="00C05627"/>
    <w:rsid w:val="00C0568F"/>
    <w:rsid w:val="00C056E2"/>
    <w:rsid w:val="00C056FD"/>
    <w:rsid w:val="00C05A02"/>
    <w:rsid w:val="00C05A74"/>
    <w:rsid w:val="00C05AE5"/>
    <w:rsid w:val="00C05AF5"/>
    <w:rsid w:val="00C05D2B"/>
    <w:rsid w:val="00C05D85"/>
    <w:rsid w:val="00C05E43"/>
    <w:rsid w:val="00C05FED"/>
    <w:rsid w:val="00C06013"/>
    <w:rsid w:val="00C06411"/>
    <w:rsid w:val="00C06612"/>
    <w:rsid w:val="00C066F9"/>
    <w:rsid w:val="00C06701"/>
    <w:rsid w:val="00C0688C"/>
    <w:rsid w:val="00C068F9"/>
    <w:rsid w:val="00C06CE0"/>
    <w:rsid w:val="00C06DA8"/>
    <w:rsid w:val="00C06E17"/>
    <w:rsid w:val="00C06E88"/>
    <w:rsid w:val="00C07432"/>
    <w:rsid w:val="00C07732"/>
    <w:rsid w:val="00C07739"/>
    <w:rsid w:val="00C077F3"/>
    <w:rsid w:val="00C0781B"/>
    <w:rsid w:val="00C07986"/>
    <w:rsid w:val="00C07A4C"/>
    <w:rsid w:val="00C07A7B"/>
    <w:rsid w:val="00C07B57"/>
    <w:rsid w:val="00C07DF6"/>
    <w:rsid w:val="00C07EB2"/>
    <w:rsid w:val="00C07F03"/>
    <w:rsid w:val="00C10166"/>
    <w:rsid w:val="00C101EF"/>
    <w:rsid w:val="00C103E9"/>
    <w:rsid w:val="00C1043C"/>
    <w:rsid w:val="00C104CD"/>
    <w:rsid w:val="00C1079E"/>
    <w:rsid w:val="00C108D9"/>
    <w:rsid w:val="00C10A79"/>
    <w:rsid w:val="00C10D26"/>
    <w:rsid w:val="00C10E18"/>
    <w:rsid w:val="00C10EA0"/>
    <w:rsid w:val="00C10F07"/>
    <w:rsid w:val="00C10FD4"/>
    <w:rsid w:val="00C11129"/>
    <w:rsid w:val="00C11158"/>
    <w:rsid w:val="00C111BD"/>
    <w:rsid w:val="00C1129E"/>
    <w:rsid w:val="00C115D2"/>
    <w:rsid w:val="00C11721"/>
    <w:rsid w:val="00C11741"/>
    <w:rsid w:val="00C117D2"/>
    <w:rsid w:val="00C11A3C"/>
    <w:rsid w:val="00C11B07"/>
    <w:rsid w:val="00C11BBF"/>
    <w:rsid w:val="00C11C58"/>
    <w:rsid w:val="00C11DB7"/>
    <w:rsid w:val="00C11DC9"/>
    <w:rsid w:val="00C11F70"/>
    <w:rsid w:val="00C11FEF"/>
    <w:rsid w:val="00C12179"/>
    <w:rsid w:val="00C122FE"/>
    <w:rsid w:val="00C12351"/>
    <w:rsid w:val="00C12888"/>
    <w:rsid w:val="00C1297A"/>
    <w:rsid w:val="00C12A2D"/>
    <w:rsid w:val="00C12A54"/>
    <w:rsid w:val="00C12A74"/>
    <w:rsid w:val="00C12A87"/>
    <w:rsid w:val="00C12D17"/>
    <w:rsid w:val="00C12F00"/>
    <w:rsid w:val="00C12F41"/>
    <w:rsid w:val="00C131D9"/>
    <w:rsid w:val="00C134F4"/>
    <w:rsid w:val="00C135B7"/>
    <w:rsid w:val="00C13651"/>
    <w:rsid w:val="00C1379C"/>
    <w:rsid w:val="00C13910"/>
    <w:rsid w:val="00C13A43"/>
    <w:rsid w:val="00C13B0F"/>
    <w:rsid w:val="00C13E1D"/>
    <w:rsid w:val="00C145A3"/>
    <w:rsid w:val="00C145E8"/>
    <w:rsid w:val="00C1460C"/>
    <w:rsid w:val="00C1480E"/>
    <w:rsid w:val="00C14823"/>
    <w:rsid w:val="00C14873"/>
    <w:rsid w:val="00C14D15"/>
    <w:rsid w:val="00C14F0A"/>
    <w:rsid w:val="00C14F35"/>
    <w:rsid w:val="00C14FCF"/>
    <w:rsid w:val="00C15005"/>
    <w:rsid w:val="00C151CF"/>
    <w:rsid w:val="00C15302"/>
    <w:rsid w:val="00C15450"/>
    <w:rsid w:val="00C15461"/>
    <w:rsid w:val="00C15587"/>
    <w:rsid w:val="00C15A97"/>
    <w:rsid w:val="00C15AEF"/>
    <w:rsid w:val="00C15B18"/>
    <w:rsid w:val="00C15E31"/>
    <w:rsid w:val="00C16210"/>
    <w:rsid w:val="00C16344"/>
    <w:rsid w:val="00C16476"/>
    <w:rsid w:val="00C164CE"/>
    <w:rsid w:val="00C16B53"/>
    <w:rsid w:val="00C16F0E"/>
    <w:rsid w:val="00C16F27"/>
    <w:rsid w:val="00C16F32"/>
    <w:rsid w:val="00C1700A"/>
    <w:rsid w:val="00C1734F"/>
    <w:rsid w:val="00C1739D"/>
    <w:rsid w:val="00C17522"/>
    <w:rsid w:val="00C1756A"/>
    <w:rsid w:val="00C17606"/>
    <w:rsid w:val="00C17628"/>
    <w:rsid w:val="00C176E3"/>
    <w:rsid w:val="00C17746"/>
    <w:rsid w:val="00C1782C"/>
    <w:rsid w:val="00C17853"/>
    <w:rsid w:val="00C17937"/>
    <w:rsid w:val="00C17B5D"/>
    <w:rsid w:val="00C17B90"/>
    <w:rsid w:val="00C17C58"/>
    <w:rsid w:val="00C17E65"/>
    <w:rsid w:val="00C17EC2"/>
    <w:rsid w:val="00C20062"/>
    <w:rsid w:val="00C2013D"/>
    <w:rsid w:val="00C20181"/>
    <w:rsid w:val="00C20182"/>
    <w:rsid w:val="00C201FB"/>
    <w:rsid w:val="00C20227"/>
    <w:rsid w:val="00C20249"/>
    <w:rsid w:val="00C2027C"/>
    <w:rsid w:val="00C20598"/>
    <w:rsid w:val="00C20637"/>
    <w:rsid w:val="00C2074B"/>
    <w:rsid w:val="00C20903"/>
    <w:rsid w:val="00C20A93"/>
    <w:rsid w:val="00C20BF1"/>
    <w:rsid w:val="00C20C45"/>
    <w:rsid w:val="00C20D44"/>
    <w:rsid w:val="00C20F27"/>
    <w:rsid w:val="00C21010"/>
    <w:rsid w:val="00C213BB"/>
    <w:rsid w:val="00C214AE"/>
    <w:rsid w:val="00C215FA"/>
    <w:rsid w:val="00C21646"/>
    <w:rsid w:val="00C217F0"/>
    <w:rsid w:val="00C21839"/>
    <w:rsid w:val="00C219D4"/>
    <w:rsid w:val="00C219E7"/>
    <w:rsid w:val="00C21BC7"/>
    <w:rsid w:val="00C21DD6"/>
    <w:rsid w:val="00C21E54"/>
    <w:rsid w:val="00C2203C"/>
    <w:rsid w:val="00C2203D"/>
    <w:rsid w:val="00C222B1"/>
    <w:rsid w:val="00C222F4"/>
    <w:rsid w:val="00C224AC"/>
    <w:rsid w:val="00C225E4"/>
    <w:rsid w:val="00C225F2"/>
    <w:rsid w:val="00C22628"/>
    <w:rsid w:val="00C227A2"/>
    <w:rsid w:val="00C227B4"/>
    <w:rsid w:val="00C227F4"/>
    <w:rsid w:val="00C22974"/>
    <w:rsid w:val="00C2299C"/>
    <w:rsid w:val="00C229D7"/>
    <w:rsid w:val="00C22B0E"/>
    <w:rsid w:val="00C22D44"/>
    <w:rsid w:val="00C22E9D"/>
    <w:rsid w:val="00C22FCA"/>
    <w:rsid w:val="00C2306E"/>
    <w:rsid w:val="00C2313E"/>
    <w:rsid w:val="00C2318E"/>
    <w:rsid w:val="00C234E1"/>
    <w:rsid w:val="00C2379B"/>
    <w:rsid w:val="00C23891"/>
    <w:rsid w:val="00C23999"/>
    <w:rsid w:val="00C23CAA"/>
    <w:rsid w:val="00C23E46"/>
    <w:rsid w:val="00C23EFC"/>
    <w:rsid w:val="00C23F83"/>
    <w:rsid w:val="00C23FB7"/>
    <w:rsid w:val="00C241FC"/>
    <w:rsid w:val="00C2423A"/>
    <w:rsid w:val="00C242F5"/>
    <w:rsid w:val="00C2440C"/>
    <w:rsid w:val="00C24479"/>
    <w:rsid w:val="00C24512"/>
    <w:rsid w:val="00C2468B"/>
    <w:rsid w:val="00C24718"/>
    <w:rsid w:val="00C247C1"/>
    <w:rsid w:val="00C24865"/>
    <w:rsid w:val="00C24A9B"/>
    <w:rsid w:val="00C24DDF"/>
    <w:rsid w:val="00C24F00"/>
    <w:rsid w:val="00C24FC4"/>
    <w:rsid w:val="00C251AE"/>
    <w:rsid w:val="00C252CD"/>
    <w:rsid w:val="00C252EF"/>
    <w:rsid w:val="00C2542C"/>
    <w:rsid w:val="00C25748"/>
    <w:rsid w:val="00C25901"/>
    <w:rsid w:val="00C25941"/>
    <w:rsid w:val="00C25978"/>
    <w:rsid w:val="00C259A0"/>
    <w:rsid w:val="00C25B0F"/>
    <w:rsid w:val="00C25B8F"/>
    <w:rsid w:val="00C25BDD"/>
    <w:rsid w:val="00C25C10"/>
    <w:rsid w:val="00C25C36"/>
    <w:rsid w:val="00C26007"/>
    <w:rsid w:val="00C2604A"/>
    <w:rsid w:val="00C261B8"/>
    <w:rsid w:val="00C26535"/>
    <w:rsid w:val="00C2664C"/>
    <w:rsid w:val="00C26902"/>
    <w:rsid w:val="00C26A1F"/>
    <w:rsid w:val="00C26A6C"/>
    <w:rsid w:val="00C26B4C"/>
    <w:rsid w:val="00C26BA2"/>
    <w:rsid w:val="00C26C73"/>
    <w:rsid w:val="00C26DC4"/>
    <w:rsid w:val="00C271E3"/>
    <w:rsid w:val="00C27321"/>
    <w:rsid w:val="00C2778F"/>
    <w:rsid w:val="00C27835"/>
    <w:rsid w:val="00C27B29"/>
    <w:rsid w:val="00C27BAA"/>
    <w:rsid w:val="00C27BDF"/>
    <w:rsid w:val="00C27C01"/>
    <w:rsid w:val="00C27C70"/>
    <w:rsid w:val="00C27CAC"/>
    <w:rsid w:val="00C27D89"/>
    <w:rsid w:val="00C27E41"/>
    <w:rsid w:val="00C27ECA"/>
    <w:rsid w:val="00C27F64"/>
    <w:rsid w:val="00C27FF2"/>
    <w:rsid w:val="00C30018"/>
    <w:rsid w:val="00C3026D"/>
    <w:rsid w:val="00C30413"/>
    <w:rsid w:val="00C3052F"/>
    <w:rsid w:val="00C305DA"/>
    <w:rsid w:val="00C30967"/>
    <w:rsid w:val="00C3098E"/>
    <w:rsid w:val="00C30B92"/>
    <w:rsid w:val="00C30C89"/>
    <w:rsid w:val="00C30D5E"/>
    <w:rsid w:val="00C30D65"/>
    <w:rsid w:val="00C30E48"/>
    <w:rsid w:val="00C31144"/>
    <w:rsid w:val="00C31345"/>
    <w:rsid w:val="00C3135F"/>
    <w:rsid w:val="00C313DD"/>
    <w:rsid w:val="00C31581"/>
    <w:rsid w:val="00C31796"/>
    <w:rsid w:val="00C317C0"/>
    <w:rsid w:val="00C317F0"/>
    <w:rsid w:val="00C3181B"/>
    <w:rsid w:val="00C31912"/>
    <w:rsid w:val="00C319A3"/>
    <w:rsid w:val="00C31BA0"/>
    <w:rsid w:val="00C31C4A"/>
    <w:rsid w:val="00C31CF4"/>
    <w:rsid w:val="00C31D38"/>
    <w:rsid w:val="00C31FF4"/>
    <w:rsid w:val="00C321EE"/>
    <w:rsid w:val="00C325AD"/>
    <w:rsid w:val="00C325E8"/>
    <w:rsid w:val="00C325F5"/>
    <w:rsid w:val="00C326B4"/>
    <w:rsid w:val="00C326EE"/>
    <w:rsid w:val="00C32FF0"/>
    <w:rsid w:val="00C33374"/>
    <w:rsid w:val="00C334DC"/>
    <w:rsid w:val="00C335B1"/>
    <w:rsid w:val="00C335D7"/>
    <w:rsid w:val="00C3375E"/>
    <w:rsid w:val="00C33AE6"/>
    <w:rsid w:val="00C33EDC"/>
    <w:rsid w:val="00C33FED"/>
    <w:rsid w:val="00C33FF4"/>
    <w:rsid w:val="00C34021"/>
    <w:rsid w:val="00C344B0"/>
    <w:rsid w:val="00C3451E"/>
    <w:rsid w:val="00C34591"/>
    <w:rsid w:val="00C34654"/>
    <w:rsid w:val="00C3470D"/>
    <w:rsid w:val="00C34718"/>
    <w:rsid w:val="00C347FA"/>
    <w:rsid w:val="00C34896"/>
    <w:rsid w:val="00C34A98"/>
    <w:rsid w:val="00C34AA7"/>
    <w:rsid w:val="00C34BC0"/>
    <w:rsid w:val="00C34C93"/>
    <w:rsid w:val="00C34D18"/>
    <w:rsid w:val="00C3539F"/>
    <w:rsid w:val="00C354BA"/>
    <w:rsid w:val="00C354E7"/>
    <w:rsid w:val="00C357C2"/>
    <w:rsid w:val="00C3593A"/>
    <w:rsid w:val="00C35B51"/>
    <w:rsid w:val="00C35BA3"/>
    <w:rsid w:val="00C35D37"/>
    <w:rsid w:val="00C35E4B"/>
    <w:rsid w:val="00C35FB2"/>
    <w:rsid w:val="00C3603F"/>
    <w:rsid w:val="00C360F6"/>
    <w:rsid w:val="00C360FA"/>
    <w:rsid w:val="00C36177"/>
    <w:rsid w:val="00C361B6"/>
    <w:rsid w:val="00C362C5"/>
    <w:rsid w:val="00C3638C"/>
    <w:rsid w:val="00C363D5"/>
    <w:rsid w:val="00C363DC"/>
    <w:rsid w:val="00C3672C"/>
    <w:rsid w:val="00C36777"/>
    <w:rsid w:val="00C367AD"/>
    <w:rsid w:val="00C367BD"/>
    <w:rsid w:val="00C36809"/>
    <w:rsid w:val="00C3680E"/>
    <w:rsid w:val="00C3681A"/>
    <w:rsid w:val="00C3690F"/>
    <w:rsid w:val="00C36A14"/>
    <w:rsid w:val="00C36AB1"/>
    <w:rsid w:val="00C36C96"/>
    <w:rsid w:val="00C36CD2"/>
    <w:rsid w:val="00C36FA9"/>
    <w:rsid w:val="00C370C9"/>
    <w:rsid w:val="00C371BF"/>
    <w:rsid w:val="00C371FF"/>
    <w:rsid w:val="00C37283"/>
    <w:rsid w:val="00C37368"/>
    <w:rsid w:val="00C37507"/>
    <w:rsid w:val="00C3757A"/>
    <w:rsid w:val="00C3786B"/>
    <w:rsid w:val="00C37891"/>
    <w:rsid w:val="00C37986"/>
    <w:rsid w:val="00C379E8"/>
    <w:rsid w:val="00C37AAB"/>
    <w:rsid w:val="00C37B2D"/>
    <w:rsid w:val="00C37F93"/>
    <w:rsid w:val="00C37FA2"/>
    <w:rsid w:val="00C4004E"/>
    <w:rsid w:val="00C400AB"/>
    <w:rsid w:val="00C40271"/>
    <w:rsid w:val="00C403AC"/>
    <w:rsid w:val="00C40486"/>
    <w:rsid w:val="00C404D6"/>
    <w:rsid w:val="00C404DA"/>
    <w:rsid w:val="00C40714"/>
    <w:rsid w:val="00C407DA"/>
    <w:rsid w:val="00C4087D"/>
    <w:rsid w:val="00C4097C"/>
    <w:rsid w:val="00C40A69"/>
    <w:rsid w:val="00C40ADA"/>
    <w:rsid w:val="00C40DAF"/>
    <w:rsid w:val="00C40E06"/>
    <w:rsid w:val="00C40EB0"/>
    <w:rsid w:val="00C40EC1"/>
    <w:rsid w:val="00C411A8"/>
    <w:rsid w:val="00C411CF"/>
    <w:rsid w:val="00C41277"/>
    <w:rsid w:val="00C4144B"/>
    <w:rsid w:val="00C41526"/>
    <w:rsid w:val="00C41689"/>
    <w:rsid w:val="00C416C3"/>
    <w:rsid w:val="00C417C1"/>
    <w:rsid w:val="00C41811"/>
    <w:rsid w:val="00C418B2"/>
    <w:rsid w:val="00C41A75"/>
    <w:rsid w:val="00C41C1E"/>
    <w:rsid w:val="00C41C85"/>
    <w:rsid w:val="00C41D1D"/>
    <w:rsid w:val="00C41DA9"/>
    <w:rsid w:val="00C41DBE"/>
    <w:rsid w:val="00C41F43"/>
    <w:rsid w:val="00C42133"/>
    <w:rsid w:val="00C421A8"/>
    <w:rsid w:val="00C42303"/>
    <w:rsid w:val="00C4279F"/>
    <w:rsid w:val="00C42908"/>
    <w:rsid w:val="00C42B64"/>
    <w:rsid w:val="00C42F86"/>
    <w:rsid w:val="00C42FCC"/>
    <w:rsid w:val="00C43117"/>
    <w:rsid w:val="00C43140"/>
    <w:rsid w:val="00C43257"/>
    <w:rsid w:val="00C432B4"/>
    <w:rsid w:val="00C435A8"/>
    <w:rsid w:val="00C43731"/>
    <w:rsid w:val="00C437A5"/>
    <w:rsid w:val="00C4380B"/>
    <w:rsid w:val="00C4390D"/>
    <w:rsid w:val="00C43A39"/>
    <w:rsid w:val="00C43ABD"/>
    <w:rsid w:val="00C43C37"/>
    <w:rsid w:val="00C43CCC"/>
    <w:rsid w:val="00C4415A"/>
    <w:rsid w:val="00C44263"/>
    <w:rsid w:val="00C442C0"/>
    <w:rsid w:val="00C44465"/>
    <w:rsid w:val="00C44572"/>
    <w:rsid w:val="00C446BC"/>
    <w:rsid w:val="00C4470B"/>
    <w:rsid w:val="00C4472E"/>
    <w:rsid w:val="00C44806"/>
    <w:rsid w:val="00C448D5"/>
    <w:rsid w:val="00C44905"/>
    <w:rsid w:val="00C449D2"/>
    <w:rsid w:val="00C44A70"/>
    <w:rsid w:val="00C44B0F"/>
    <w:rsid w:val="00C44BAF"/>
    <w:rsid w:val="00C44BC0"/>
    <w:rsid w:val="00C44C8A"/>
    <w:rsid w:val="00C44CE1"/>
    <w:rsid w:val="00C450CC"/>
    <w:rsid w:val="00C450F2"/>
    <w:rsid w:val="00C4519B"/>
    <w:rsid w:val="00C45216"/>
    <w:rsid w:val="00C453A3"/>
    <w:rsid w:val="00C453D2"/>
    <w:rsid w:val="00C45523"/>
    <w:rsid w:val="00C4599E"/>
    <w:rsid w:val="00C45B1B"/>
    <w:rsid w:val="00C45B81"/>
    <w:rsid w:val="00C45B8A"/>
    <w:rsid w:val="00C45BA0"/>
    <w:rsid w:val="00C45D5F"/>
    <w:rsid w:val="00C460CA"/>
    <w:rsid w:val="00C461D8"/>
    <w:rsid w:val="00C46229"/>
    <w:rsid w:val="00C46439"/>
    <w:rsid w:val="00C465C0"/>
    <w:rsid w:val="00C465C3"/>
    <w:rsid w:val="00C466B9"/>
    <w:rsid w:val="00C46772"/>
    <w:rsid w:val="00C4678B"/>
    <w:rsid w:val="00C4682F"/>
    <w:rsid w:val="00C46883"/>
    <w:rsid w:val="00C46891"/>
    <w:rsid w:val="00C468A2"/>
    <w:rsid w:val="00C46953"/>
    <w:rsid w:val="00C469C7"/>
    <w:rsid w:val="00C469E2"/>
    <w:rsid w:val="00C46B7D"/>
    <w:rsid w:val="00C46C9B"/>
    <w:rsid w:val="00C46D4A"/>
    <w:rsid w:val="00C46D9F"/>
    <w:rsid w:val="00C46E97"/>
    <w:rsid w:val="00C46EA1"/>
    <w:rsid w:val="00C46F4C"/>
    <w:rsid w:val="00C46FB5"/>
    <w:rsid w:val="00C470C4"/>
    <w:rsid w:val="00C474AC"/>
    <w:rsid w:val="00C47514"/>
    <w:rsid w:val="00C47522"/>
    <w:rsid w:val="00C47758"/>
    <w:rsid w:val="00C477C5"/>
    <w:rsid w:val="00C478A4"/>
    <w:rsid w:val="00C479D4"/>
    <w:rsid w:val="00C47AA6"/>
    <w:rsid w:val="00C47BB3"/>
    <w:rsid w:val="00C47D00"/>
    <w:rsid w:val="00C50088"/>
    <w:rsid w:val="00C5014F"/>
    <w:rsid w:val="00C501DA"/>
    <w:rsid w:val="00C50495"/>
    <w:rsid w:val="00C5057E"/>
    <w:rsid w:val="00C50621"/>
    <w:rsid w:val="00C507FD"/>
    <w:rsid w:val="00C509FE"/>
    <w:rsid w:val="00C50B2F"/>
    <w:rsid w:val="00C50B78"/>
    <w:rsid w:val="00C50E90"/>
    <w:rsid w:val="00C5103D"/>
    <w:rsid w:val="00C51168"/>
    <w:rsid w:val="00C5131C"/>
    <w:rsid w:val="00C51403"/>
    <w:rsid w:val="00C514D5"/>
    <w:rsid w:val="00C51530"/>
    <w:rsid w:val="00C51542"/>
    <w:rsid w:val="00C51569"/>
    <w:rsid w:val="00C51910"/>
    <w:rsid w:val="00C51997"/>
    <w:rsid w:val="00C51BF9"/>
    <w:rsid w:val="00C51CC0"/>
    <w:rsid w:val="00C51D21"/>
    <w:rsid w:val="00C51D9D"/>
    <w:rsid w:val="00C51DD2"/>
    <w:rsid w:val="00C51EAD"/>
    <w:rsid w:val="00C5209B"/>
    <w:rsid w:val="00C521A2"/>
    <w:rsid w:val="00C522CA"/>
    <w:rsid w:val="00C52383"/>
    <w:rsid w:val="00C5262A"/>
    <w:rsid w:val="00C52655"/>
    <w:rsid w:val="00C52CD3"/>
    <w:rsid w:val="00C52F76"/>
    <w:rsid w:val="00C53137"/>
    <w:rsid w:val="00C53191"/>
    <w:rsid w:val="00C5335E"/>
    <w:rsid w:val="00C535BF"/>
    <w:rsid w:val="00C535D5"/>
    <w:rsid w:val="00C53897"/>
    <w:rsid w:val="00C53901"/>
    <w:rsid w:val="00C53908"/>
    <w:rsid w:val="00C53A19"/>
    <w:rsid w:val="00C53BC7"/>
    <w:rsid w:val="00C53D12"/>
    <w:rsid w:val="00C53D36"/>
    <w:rsid w:val="00C53D4A"/>
    <w:rsid w:val="00C53D75"/>
    <w:rsid w:val="00C53D80"/>
    <w:rsid w:val="00C5424A"/>
    <w:rsid w:val="00C542A4"/>
    <w:rsid w:val="00C5446A"/>
    <w:rsid w:val="00C5453E"/>
    <w:rsid w:val="00C5467B"/>
    <w:rsid w:val="00C54790"/>
    <w:rsid w:val="00C5488F"/>
    <w:rsid w:val="00C548D1"/>
    <w:rsid w:val="00C54A2E"/>
    <w:rsid w:val="00C54C40"/>
    <w:rsid w:val="00C54E32"/>
    <w:rsid w:val="00C55023"/>
    <w:rsid w:val="00C5510A"/>
    <w:rsid w:val="00C55323"/>
    <w:rsid w:val="00C554F6"/>
    <w:rsid w:val="00C5575E"/>
    <w:rsid w:val="00C55789"/>
    <w:rsid w:val="00C557CD"/>
    <w:rsid w:val="00C558B7"/>
    <w:rsid w:val="00C558CB"/>
    <w:rsid w:val="00C55908"/>
    <w:rsid w:val="00C559C3"/>
    <w:rsid w:val="00C55A48"/>
    <w:rsid w:val="00C55AF8"/>
    <w:rsid w:val="00C55C65"/>
    <w:rsid w:val="00C55CF0"/>
    <w:rsid w:val="00C55E65"/>
    <w:rsid w:val="00C55EA4"/>
    <w:rsid w:val="00C55EAF"/>
    <w:rsid w:val="00C5607C"/>
    <w:rsid w:val="00C5622B"/>
    <w:rsid w:val="00C5625A"/>
    <w:rsid w:val="00C56339"/>
    <w:rsid w:val="00C56654"/>
    <w:rsid w:val="00C566EA"/>
    <w:rsid w:val="00C56787"/>
    <w:rsid w:val="00C56A8D"/>
    <w:rsid w:val="00C56E81"/>
    <w:rsid w:val="00C56FC5"/>
    <w:rsid w:val="00C57020"/>
    <w:rsid w:val="00C5704C"/>
    <w:rsid w:val="00C570C6"/>
    <w:rsid w:val="00C57116"/>
    <w:rsid w:val="00C572EE"/>
    <w:rsid w:val="00C573F9"/>
    <w:rsid w:val="00C57463"/>
    <w:rsid w:val="00C574C0"/>
    <w:rsid w:val="00C57745"/>
    <w:rsid w:val="00C577C9"/>
    <w:rsid w:val="00C5786F"/>
    <w:rsid w:val="00C57876"/>
    <w:rsid w:val="00C57BEF"/>
    <w:rsid w:val="00C57CD5"/>
    <w:rsid w:val="00C57D80"/>
    <w:rsid w:val="00C57DFC"/>
    <w:rsid w:val="00C57EE6"/>
    <w:rsid w:val="00C57F1D"/>
    <w:rsid w:val="00C5F715"/>
    <w:rsid w:val="00C60080"/>
    <w:rsid w:val="00C600C5"/>
    <w:rsid w:val="00C600DE"/>
    <w:rsid w:val="00C60340"/>
    <w:rsid w:val="00C60567"/>
    <w:rsid w:val="00C605C1"/>
    <w:rsid w:val="00C606EE"/>
    <w:rsid w:val="00C60A34"/>
    <w:rsid w:val="00C60BAA"/>
    <w:rsid w:val="00C60BD9"/>
    <w:rsid w:val="00C60C53"/>
    <w:rsid w:val="00C60D98"/>
    <w:rsid w:val="00C60E97"/>
    <w:rsid w:val="00C60F68"/>
    <w:rsid w:val="00C61162"/>
    <w:rsid w:val="00C611B4"/>
    <w:rsid w:val="00C61321"/>
    <w:rsid w:val="00C61638"/>
    <w:rsid w:val="00C616D2"/>
    <w:rsid w:val="00C6170B"/>
    <w:rsid w:val="00C6182F"/>
    <w:rsid w:val="00C61A5E"/>
    <w:rsid w:val="00C61A5F"/>
    <w:rsid w:val="00C61AF1"/>
    <w:rsid w:val="00C61CF3"/>
    <w:rsid w:val="00C61D1A"/>
    <w:rsid w:val="00C61E81"/>
    <w:rsid w:val="00C61FE3"/>
    <w:rsid w:val="00C61FF5"/>
    <w:rsid w:val="00C620F5"/>
    <w:rsid w:val="00C6224B"/>
    <w:rsid w:val="00C625C6"/>
    <w:rsid w:val="00C625CD"/>
    <w:rsid w:val="00C6291A"/>
    <w:rsid w:val="00C62C10"/>
    <w:rsid w:val="00C62C70"/>
    <w:rsid w:val="00C62E4B"/>
    <w:rsid w:val="00C62F96"/>
    <w:rsid w:val="00C630C2"/>
    <w:rsid w:val="00C6312C"/>
    <w:rsid w:val="00C632BC"/>
    <w:rsid w:val="00C63329"/>
    <w:rsid w:val="00C633E5"/>
    <w:rsid w:val="00C633FB"/>
    <w:rsid w:val="00C63534"/>
    <w:rsid w:val="00C63536"/>
    <w:rsid w:val="00C636AD"/>
    <w:rsid w:val="00C6377E"/>
    <w:rsid w:val="00C63A93"/>
    <w:rsid w:val="00C63AE5"/>
    <w:rsid w:val="00C63C8B"/>
    <w:rsid w:val="00C63D1B"/>
    <w:rsid w:val="00C63F08"/>
    <w:rsid w:val="00C64030"/>
    <w:rsid w:val="00C64111"/>
    <w:rsid w:val="00C64166"/>
    <w:rsid w:val="00C6425A"/>
    <w:rsid w:val="00C642C1"/>
    <w:rsid w:val="00C644B6"/>
    <w:rsid w:val="00C64503"/>
    <w:rsid w:val="00C64586"/>
    <w:rsid w:val="00C6483F"/>
    <w:rsid w:val="00C6485B"/>
    <w:rsid w:val="00C64889"/>
    <w:rsid w:val="00C64A9C"/>
    <w:rsid w:val="00C64CCA"/>
    <w:rsid w:val="00C64D48"/>
    <w:rsid w:val="00C64EB0"/>
    <w:rsid w:val="00C65050"/>
    <w:rsid w:val="00C650F8"/>
    <w:rsid w:val="00C652B4"/>
    <w:rsid w:val="00C654AD"/>
    <w:rsid w:val="00C655BC"/>
    <w:rsid w:val="00C65670"/>
    <w:rsid w:val="00C656B1"/>
    <w:rsid w:val="00C65763"/>
    <w:rsid w:val="00C657E2"/>
    <w:rsid w:val="00C65A97"/>
    <w:rsid w:val="00C65ADA"/>
    <w:rsid w:val="00C65B47"/>
    <w:rsid w:val="00C65BB7"/>
    <w:rsid w:val="00C65F58"/>
    <w:rsid w:val="00C66556"/>
    <w:rsid w:val="00C665C0"/>
    <w:rsid w:val="00C6686A"/>
    <w:rsid w:val="00C66A26"/>
    <w:rsid w:val="00C66A6B"/>
    <w:rsid w:val="00C66E32"/>
    <w:rsid w:val="00C66F95"/>
    <w:rsid w:val="00C66FC1"/>
    <w:rsid w:val="00C66FE7"/>
    <w:rsid w:val="00C67096"/>
    <w:rsid w:val="00C670D5"/>
    <w:rsid w:val="00C676C9"/>
    <w:rsid w:val="00C67769"/>
    <w:rsid w:val="00C677A3"/>
    <w:rsid w:val="00C67850"/>
    <w:rsid w:val="00C678D5"/>
    <w:rsid w:val="00C679A6"/>
    <w:rsid w:val="00C679B9"/>
    <w:rsid w:val="00C67A96"/>
    <w:rsid w:val="00C67D34"/>
    <w:rsid w:val="00C67FCB"/>
    <w:rsid w:val="00C7014B"/>
    <w:rsid w:val="00C7019F"/>
    <w:rsid w:val="00C703A4"/>
    <w:rsid w:val="00C70404"/>
    <w:rsid w:val="00C70479"/>
    <w:rsid w:val="00C704EB"/>
    <w:rsid w:val="00C70668"/>
    <w:rsid w:val="00C70758"/>
    <w:rsid w:val="00C70770"/>
    <w:rsid w:val="00C7077B"/>
    <w:rsid w:val="00C708B2"/>
    <w:rsid w:val="00C708BC"/>
    <w:rsid w:val="00C7096E"/>
    <w:rsid w:val="00C70A7E"/>
    <w:rsid w:val="00C70BF1"/>
    <w:rsid w:val="00C70C7E"/>
    <w:rsid w:val="00C70DD5"/>
    <w:rsid w:val="00C71014"/>
    <w:rsid w:val="00C710A1"/>
    <w:rsid w:val="00C7128C"/>
    <w:rsid w:val="00C714E6"/>
    <w:rsid w:val="00C71598"/>
    <w:rsid w:val="00C715FD"/>
    <w:rsid w:val="00C715FE"/>
    <w:rsid w:val="00C71624"/>
    <w:rsid w:val="00C71670"/>
    <w:rsid w:val="00C71726"/>
    <w:rsid w:val="00C71755"/>
    <w:rsid w:val="00C717B2"/>
    <w:rsid w:val="00C71805"/>
    <w:rsid w:val="00C718FA"/>
    <w:rsid w:val="00C7199F"/>
    <w:rsid w:val="00C71C39"/>
    <w:rsid w:val="00C71D62"/>
    <w:rsid w:val="00C71FF9"/>
    <w:rsid w:val="00C72056"/>
    <w:rsid w:val="00C720AB"/>
    <w:rsid w:val="00C72A02"/>
    <w:rsid w:val="00C72A52"/>
    <w:rsid w:val="00C72B3C"/>
    <w:rsid w:val="00C72D89"/>
    <w:rsid w:val="00C72DCA"/>
    <w:rsid w:val="00C72F5B"/>
    <w:rsid w:val="00C730A0"/>
    <w:rsid w:val="00C7317D"/>
    <w:rsid w:val="00C735BD"/>
    <w:rsid w:val="00C736F3"/>
    <w:rsid w:val="00C73911"/>
    <w:rsid w:val="00C73A0B"/>
    <w:rsid w:val="00C73A9B"/>
    <w:rsid w:val="00C73C88"/>
    <w:rsid w:val="00C73CA5"/>
    <w:rsid w:val="00C73D09"/>
    <w:rsid w:val="00C73D79"/>
    <w:rsid w:val="00C73FD8"/>
    <w:rsid w:val="00C7429F"/>
    <w:rsid w:val="00C743D0"/>
    <w:rsid w:val="00C744A5"/>
    <w:rsid w:val="00C7455B"/>
    <w:rsid w:val="00C747AE"/>
    <w:rsid w:val="00C74A79"/>
    <w:rsid w:val="00C74A91"/>
    <w:rsid w:val="00C74BD1"/>
    <w:rsid w:val="00C75039"/>
    <w:rsid w:val="00C756B2"/>
    <w:rsid w:val="00C756B7"/>
    <w:rsid w:val="00C75793"/>
    <w:rsid w:val="00C759F7"/>
    <w:rsid w:val="00C75ADE"/>
    <w:rsid w:val="00C75B54"/>
    <w:rsid w:val="00C75BC2"/>
    <w:rsid w:val="00C75F73"/>
    <w:rsid w:val="00C76037"/>
    <w:rsid w:val="00C760C7"/>
    <w:rsid w:val="00C7616E"/>
    <w:rsid w:val="00C76349"/>
    <w:rsid w:val="00C7642D"/>
    <w:rsid w:val="00C764D7"/>
    <w:rsid w:val="00C76787"/>
    <w:rsid w:val="00C769FD"/>
    <w:rsid w:val="00C76A3A"/>
    <w:rsid w:val="00C76A4E"/>
    <w:rsid w:val="00C76C72"/>
    <w:rsid w:val="00C76CE2"/>
    <w:rsid w:val="00C76D2C"/>
    <w:rsid w:val="00C76DEC"/>
    <w:rsid w:val="00C76F36"/>
    <w:rsid w:val="00C76F5F"/>
    <w:rsid w:val="00C770CA"/>
    <w:rsid w:val="00C77320"/>
    <w:rsid w:val="00C77440"/>
    <w:rsid w:val="00C7752D"/>
    <w:rsid w:val="00C775FD"/>
    <w:rsid w:val="00C77750"/>
    <w:rsid w:val="00C77879"/>
    <w:rsid w:val="00C778CB"/>
    <w:rsid w:val="00C778D8"/>
    <w:rsid w:val="00C7796C"/>
    <w:rsid w:val="00C77985"/>
    <w:rsid w:val="00C77B6D"/>
    <w:rsid w:val="00C77B81"/>
    <w:rsid w:val="00C77EBE"/>
    <w:rsid w:val="00C80042"/>
    <w:rsid w:val="00C80053"/>
    <w:rsid w:val="00C80262"/>
    <w:rsid w:val="00C80265"/>
    <w:rsid w:val="00C8030E"/>
    <w:rsid w:val="00C803BD"/>
    <w:rsid w:val="00C8089F"/>
    <w:rsid w:val="00C80AEA"/>
    <w:rsid w:val="00C80D1E"/>
    <w:rsid w:val="00C80E04"/>
    <w:rsid w:val="00C80E9F"/>
    <w:rsid w:val="00C80F37"/>
    <w:rsid w:val="00C81026"/>
    <w:rsid w:val="00C8107E"/>
    <w:rsid w:val="00C81438"/>
    <w:rsid w:val="00C8154A"/>
    <w:rsid w:val="00C8174A"/>
    <w:rsid w:val="00C81876"/>
    <w:rsid w:val="00C818DA"/>
    <w:rsid w:val="00C81AFE"/>
    <w:rsid w:val="00C81B2C"/>
    <w:rsid w:val="00C81C88"/>
    <w:rsid w:val="00C81CC2"/>
    <w:rsid w:val="00C81D70"/>
    <w:rsid w:val="00C81D8C"/>
    <w:rsid w:val="00C81F19"/>
    <w:rsid w:val="00C820E3"/>
    <w:rsid w:val="00C821DE"/>
    <w:rsid w:val="00C82530"/>
    <w:rsid w:val="00C82539"/>
    <w:rsid w:val="00C825C0"/>
    <w:rsid w:val="00C8289E"/>
    <w:rsid w:val="00C828F6"/>
    <w:rsid w:val="00C82AE3"/>
    <w:rsid w:val="00C82AE4"/>
    <w:rsid w:val="00C82C77"/>
    <w:rsid w:val="00C82D1B"/>
    <w:rsid w:val="00C82D27"/>
    <w:rsid w:val="00C82D53"/>
    <w:rsid w:val="00C82D8E"/>
    <w:rsid w:val="00C82E2B"/>
    <w:rsid w:val="00C82FCA"/>
    <w:rsid w:val="00C83180"/>
    <w:rsid w:val="00C83213"/>
    <w:rsid w:val="00C83245"/>
    <w:rsid w:val="00C83418"/>
    <w:rsid w:val="00C8343A"/>
    <w:rsid w:val="00C83500"/>
    <w:rsid w:val="00C83513"/>
    <w:rsid w:val="00C83528"/>
    <w:rsid w:val="00C8355E"/>
    <w:rsid w:val="00C835C2"/>
    <w:rsid w:val="00C835DA"/>
    <w:rsid w:val="00C836A0"/>
    <w:rsid w:val="00C8375C"/>
    <w:rsid w:val="00C83769"/>
    <w:rsid w:val="00C837AA"/>
    <w:rsid w:val="00C83A5E"/>
    <w:rsid w:val="00C83B22"/>
    <w:rsid w:val="00C83C0D"/>
    <w:rsid w:val="00C83E49"/>
    <w:rsid w:val="00C83E4C"/>
    <w:rsid w:val="00C83E58"/>
    <w:rsid w:val="00C84029"/>
    <w:rsid w:val="00C840FA"/>
    <w:rsid w:val="00C84157"/>
    <w:rsid w:val="00C841D4"/>
    <w:rsid w:val="00C8425A"/>
    <w:rsid w:val="00C842F5"/>
    <w:rsid w:val="00C84463"/>
    <w:rsid w:val="00C8446B"/>
    <w:rsid w:val="00C844D7"/>
    <w:rsid w:val="00C845A4"/>
    <w:rsid w:val="00C8461D"/>
    <w:rsid w:val="00C8475B"/>
    <w:rsid w:val="00C847C2"/>
    <w:rsid w:val="00C84B14"/>
    <w:rsid w:val="00C84B45"/>
    <w:rsid w:val="00C84D63"/>
    <w:rsid w:val="00C84DA7"/>
    <w:rsid w:val="00C84DC0"/>
    <w:rsid w:val="00C84E9D"/>
    <w:rsid w:val="00C85038"/>
    <w:rsid w:val="00C85051"/>
    <w:rsid w:val="00C854A3"/>
    <w:rsid w:val="00C85540"/>
    <w:rsid w:val="00C85718"/>
    <w:rsid w:val="00C85A40"/>
    <w:rsid w:val="00C85C39"/>
    <w:rsid w:val="00C85F72"/>
    <w:rsid w:val="00C86056"/>
    <w:rsid w:val="00C86084"/>
    <w:rsid w:val="00C8612E"/>
    <w:rsid w:val="00C862E8"/>
    <w:rsid w:val="00C8642F"/>
    <w:rsid w:val="00C86459"/>
    <w:rsid w:val="00C86528"/>
    <w:rsid w:val="00C865AD"/>
    <w:rsid w:val="00C866A1"/>
    <w:rsid w:val="00C8685D"/>
    <w:rsid w:val="00C868FD"/>
    <w:rsid w:val="00C86A44"/>
    <w:rsid w:val="00C86BAE"/>
    <w:rsid w:val="00C86BB2"/>
    <w:rsid w:val="00C86BF6"/>
    <w:rsid w:val="00C86D08"/>
    <w:rsid w:val="00C86E27"/>
    <w:rsid w:val="00C87375"/>
    <w:rsid w:val="00C87403"/>
    <w:rsid w:val="00C8749A"/>
    <w:rsid w:val="00C874D4"/>
    <w:rsid w:val="00C877F3"/>
    <w:rsid w:val="00C879FA"/>
    <w:rsid w:val="00C87A03"/>
    <w:rsid w:val="00C87A9D"/>
    <w:rsid w:val="00C87BB6"/>
    <w:rsid w:val="00C87C59"/>
    <w:rsid w:val="00C87E89"/>
    <w:rsid w:val="00C87F8E"/>
    <w:rsid w:val="00C90003"/>
    <w:rsid w:val="00C9007E"/>
    <w:rsid w:val="00C900F0"/>
    <w:rsid w:val="00C90420"/>
    <w:rsid w:val="00C90501"/>
    <w:rsid w:val="00C90674"/>
    <w:rsid w:val="00C9088A"/>
    <w:rsid w:val="00C90950"/>
    <w:rsid w:val="00C90982"/>
    <w:rsid w:val="00C90B34"/>
    <w:rsid w:val="00C90D8D"/>
    <w:rsid w:val="00C90E0C"/>
    <w:rsid w:val="00C90E64"/>
    <w:rsid w:val="00C910B0"/>
    <w:rsid w:val="00C9117C"/>
    <w:rsid w:val="00C9149D"/>
    <w:rsid w:val="00C918F8"/>
    <w:rsid w:val="00C91989"/>
    <w:rsid w:val="00C91B06"/>
    <w:rsid w:val="00C91E00"/>
    <w:rsid w:val="00C920C0"/>
    <w:rsid w:val="00C920DD"/>
    <w:rsid w:val="00C92322"/>
    <w:rsid w:val="00C924E9"/>
    <w:rsid w:val="00C92504"/>
    <w:rsid w:val="00C925D3"/>
    <w:rsid w:val="00C9270F"/>
    <w:rsid w:val="00C9271D"/>
    <w:rsid w:val="00C927E4"/>
    <w:rsid w:val="00C92C4B"/>
    <w:rsid w:val="00C92CDA"/>
    <w:rsid w:val="00C92DCB"/>
    <w:rsid w:val="00C92E16"/>
    <w:rsid w:val="00C93270"/>
    <w:rsid w:val="00C932F2"/>
    <w:rsid w:val="00C93507"/>
    <w:rsid w:val="00C93659"/>
    <w:rsid w:val="00C936D5"/>
    <w:rsid w:val="00C93B06"/>
    <w:rsid w:val="00C93B64"/>
    <w:rsid w:val="00C93D5B"/>
    <w:rsid w:val="00C94098"/>
    <w:rsid w:val="00C940C2"/>
    <w:rsid w:val="00C940F0"/>
    <w:rsid w:val="00C94397"/>
    <w:rsid w:val="00C94445"/>
    <w:rsid w:val="00C94467"/>
    <w:rsid w:val="00C94686"/>
    <w:rsid w:val="00C94785"/>
    <w:rsid w:val="00C94931"/>
    <w:rsid w:val="00C94D1B"/>
    <w:rsid w:val="00C9514F"/>
    <w:rsid w:val="00C95182"/>
    <w:rsid w:val="00C951CC"/>
    <w:rsid w:val="00C95234"/>
    <w:rsid w:val="00C95590"/>
    <w:rsid w:val="00C95B48"/>
    <w:rsid w:val="00C95F69"/>
    <w:rsid w:val="00C95FD7"/>
    <w:rsid w:val="00C9622C"/>
    <w:rsid w:val="00C963D4"/>
    <w:rsid w:val="00C9651E"/>
    <w:rsid w:val="00C9689E"/>
    <w:rsid w:val="00C96943"/>
    <w:rsid w:val="00C96A3B"/>
    <w:rsid w:val="00C96A4A"/>
    <w:rsid w:val="00C96A5B"/>
    <w:rsid w:val="00C96C10"/>
    <w:rsid w:val="00C96C95"/>
    <w:rsid w:val="00C96E13"/>
    <w:rsid w:val="00C96F62"/>
    <w:rsid w:val="00C970D8"/>
    <w:rsid w:val="00C971FC"/>
    <w:rsid w:val="00C97303"/>
    <w:rsid w:val="00C9730F"/>
    <w:rsid w:val="00C973F8"/>
    <w:rsid w:val="00C973FF"/>
    <w:rsid w:val="00C97507"/>
    <w:rsid w:val="00C9752D"/>
    <w:rsid w:val="00C97559"/>
    <w:rsid w:val="00C9786F"/>
    <w:rsid w:val="00C97919"/>
    <w:rsid w:val="00C97994"/>
    <w:rsid w:val="00C97C19"/>
    <w:rsid w:val="00C97C3A"/>
    <w:rsid w:val="00C97C8D"/>
    <w:rsid w:val="00C97D05"/>
    <w:rsid w:val="00C97D21"/>
    <w:rsid w:val="00CA001B"/>
    <w:rsid w:val="00CA0098"/>
    <w:rsid w:val="00CA00F6"/>
    <w:rsid w:val="00CA01A4"/>
    <w:rsid w:val="00CA01AA"/>
    <w:rsid w:val="00CA03C3"/>
    <w:rsid w:val="00CA0660"/>
    <w:rsid w:val="00CA088B"/>
    <w:rsid w:val="00CA09B9"/>
    <w:rsid w:val="00CA09F7"/>
    <w:rsid w:val="00CA0A39"/>
    <w:rsid w:val="00CA0ACA"/>
    <w:rsid w:val="00CA0B05"/>
    <w:rsid w:val="00CA0CA4"/>
    <w:rsid w:val="00CA12B6"/>
    <w:rsid w:val="00CA12C7"/>
    <w:rsid w:val="00CA1370"/>
    <w:rsid w:val="00CA13AC"/>
    <w:rsid w:val="00CA16B0"/>
    <w:rsid w:val="00CA1842"/>
    <w:rsid w:val="00CA1B41"/>
    <w:rsid w:val="00CA1D3E"/>
    <w:rsid w:val="00CA1EDC"/>
    <w:rsid w:val="00CA210D"/>
    <w:rsid w:val="00CA22D4"/>
    <w:rsid w:val="00CA22F0"/>
    <w:rsid w:val="00CA23AE"/>
    <w:rsid w:val="00CA24FB"/>
    <w:rsid w:val="00CA265B"/>
    <w:rsid w:val="00CA29E7"/>
    <w:rsid w:val="00CA2A7E"/>
    <w:rsid w:val="00CA2B1C"/>
    <w:rsid w:val="00CA2C45"/>
    <w:rsid w:val="00CA2CC8"/>
    <w:rsid w:val="00CA2E84"/>
    <w:rsid w:val="00CA31F4"/>
    <w:rsid w:val="00CA3299"/>
    <w:rsid w:val="00CA3316"/>
    <w:rsid w:val="00CA3348"/>
    <w:rsid w:val="00CA35D3"/>
    <w:rsid w:val="00CA370D"/>
    <w:rsid w:val="00CA3851"/>
    <w:rsid w:val="00CA3852"/>
    <w:rsid w:val="00CA3A38"/>
    <w:rsid w:val="00CA3CBA"/>
    <w:rsid w:val="00CA3D5C"/>
    <w:rsid w:val="00CA3DCC"/>
    <w:rsid w:val="00CA3E7B"/>
    <w:rsid w:val="00CA3F82"/>
    <w:rsid w:val="00CA4083"/>
    <w:rsid w:val="00CA40A3"/>
    <w:rsid w:val="00CA4228"/>
    <w:rsid w:val="00CA4386"/>
    <w:rsid w:val="00CA43AF"/>
    <w:rsid w:val="00CA452B"/>
    <w:rsid w:val="00CA4735"/>
    <w:rsid w:val="00CA477B"/>
    <w:rsid w:val="00CA479B"/>
    <w:rsid w:val="00CA48E2"/>
    <w:rsid w:val="00CA4912"/>
    <w:rsid w:val="00CA4A4B"/>
    <w:rsid w:val="00CA4BCF"/>
    <w:rsid w:val="00CA4CA2"/>
    <w:rsid w:val="00CA4DE8"/>
    <w:rsid w:val="00CA4E77"/>
    <w:rsid w:val="00CA4F08"/>
    <w:rsid w:val="00CA5262"/>
    <w:rsid w:val="00CA5513"/>
    <w:rsid w:val="00CA5792"/>
    <w:rsid w:val="00CA5909"/>
    <w:rsid w:val="00CA5929"/>
    <w:rsid w:val="00CA5A1A"/>
    <w:rsid w:val="00CA5C11"/>
    <w:rsid w:val="00CA5FD0"/>
    <w:rsid w:val="00CA6049"/>
    <w:rsid w:val="00CA6130"/>
    <w:rsid w:val="00CA61AC"/>
    <w:rsid w:val="00CA62E2"/>
    <w:rsid w:val="00CA634E"/>
    <w:rsid w:val="00CA64D3"/>
    <w:rsid w:val="00CA661C"/>
    <w:rsid w:val="00CA66AE"/>
    <w:rsid w:val="00CA6725"/>
    <w:rsid w:val="00CA6770"/>
    <w:rsid w:val="00CA6AC3"/>
    <w:rsid w:val="00CA6F22"/>
    <w:rsid w:val="00CA7203"/>
    <w:rsid w:val="00CA73C3"/>
    <w:rsid w:val="00CA748B"/>
    <w:rsid w:val="00CA75D3"/>
    <w:rsid w:val="00CA78C7"/>
    <w:rsid w:val="00CA799E"/>
    <w:rsid w:val="00CA7D48"/>
    <w:rsid w:val="00CA7D62"/>
    <w:rsid w:val="00CA7E41"/>
    <w:rsid w:val="00CA7EAE"/>
    <w:rsid w:val="00CA7FCC"/>
    <w:rsid w:val="00CB01D4"/>
    <w:rsid w:val="00CB05F7"/>
    <w:rsid w:val="00CB06E2"/>
    <w:rsid w:val="00CB097E"/>
    <w:rsid w:val="00CB09ED"/>
    <w:rsid w:val="00CB0B11"/>
    <w:rsid w:val="00CB0CAB"/>
    <w:rsid w:val="00CB0DEC"/>
    <w:rsid w:val="00CB0E35"/>
    <w:rsid w:val="00CB0EA3"/>
    <w:rsid w:val="00CB0F98"/>
    <w:rsid w:val="00CB11F0"/>
    <w:rsid w:val="00CB1329"/>
    <w:rsid w:val="00CB1381"/>
    <w:rsid w:val="00CB145F"/>
    <w:rsid w:val="00CB17CA"/>
    <w:rsid w:val="00CB192F"/>
    <w:rsid w:val="00CB1A7B"/>
    <w:rsid w:val="00CB1B53"/>
    <w:rsid w:val="00CB1D56"/>
    <w:rsid w:val="00CB1D75"/>
    <w:rsid w:val="00CB1E41"/>
    <w:rsid w:val="00CB1E5B"/>
    <w:rsid w:val="00CB1FE3"/>
    <w:rsid w:val="00CB229E"/>
    <w:rsid w:val="00CB22EA"/>
    <w:rsid w:val="00CB2344"/>
    <w:rsid w:val="00CB2448"/>
    <w:rsid w:val="00CB2557"/>
    <w:rsid w:val="00CB2626"/>
    <w:rsid w:val="00CB275A"/>
    <w:rsid w:val="00CB284A"/>
    <w:rsid w:val="00CB2B8F"/>
    <w:rsid w:val="00CB2CCF"/>
    <w:rsid w:val="00CB2CD2"/>
    <w:rsid w:val="00CB2DBD"/>
    <w:rsid w:val="00CB2E2A"/>
    <w:rsid w:val="00CB2ECB"/>
    <w:rsid w:val="00CB2EDA"/>
    <w:rsid w:val="00CB319F"/>
    <w:rsid w:val="00CB335B"/>
    <w:rsid w:val="00CB3468"/>
    <w:rsid w:val="00CB34C1"/>
    <w:rsid w:val="00CB34D4"/>
    <w:rsid w:val="00CB36BC"/>
    <w:rsid w:val="00CB373C"/>
    <w:rsid w:val="00CB3BE0"/>
    <w:rsid w:val="00CB3C57"/>
    <w:rsid w:val="00CB4131"/>
    <w:rsid w:val="00CB41DF"/>
    <w:rsid w:val="00CB439E"/>
    <w:rsid w:val="00CB456C"/>
    <w:rsid w:val="00CB4773"/>
    <w:rsid w:val="00CB47D7"/>
    <w:rsid w:val="00CB4850"/>
    <w:rsid w:val="00CB4A23"/>
    <w:rsid w:val="00CB4A24"/>
    <w:rsid w:val="00CB4A35"/>
    <w:rsid w:val="00CB4C0A"/>
    <w:rsid w:val="00CB4D22"/>
    <w:rsid w:val="00CB4D7E"/>
    <w:rsid w:val="00CB53F3"/>
    <w:rsid w:val="00CB55E7"/>
    <w:rsid w:val="00CB5863"/>
    <w:rsid w:val="00CB58EE"/>
    <w:rsid w:val="00CB5912"/>
    <w:rsid w:val="00CB5934"/>
    <w:rsid w:val="00CB596A"/>
    <w:rsid w:val="00CB59ED"/>
    <w:rsid w:val="00CB5AAD"/>
    <w:rsid w:val="00CB5C5E"/>
    <w:rsid w:val="00CB5EB0"/>
    <w:rsid w:val="00CB601E"/>
    <w:rsid w:val="00CB6047"/>
    <w:rsid w:val="00CB63B9"/>
    <w:rsid w:val="00CB6447"/>
    <w:rsid w:val="00CB65AA"/>
    <w:rsid w:val="00CB6805"/>
    <w:rsid w:val="00CB6818"/>
    <w:rsid w:val="00CB6996"/>
    <w:rsid w:val="00CB69D6"/>
    <w:rsid w:val="00CB69FF"/>
    <w:rsid w:val="00CB6A52"/>
    <w:rsid w:val="00CB6A81"/>
    <w:rsid w:val="00CB6BF7"/>
    <w:rsid w:val="00CB6C37"/>
    <w:rsid w:val="00CB6C8F"/>
    <w:rsid w:val="00CB6E43"/>
    <w:rsid w:val="00CB6E58"/>
    <w:rsid w:val="00CB6E92"/>
    <w:rsid w:val="00CB701B"/>
    <w:rsid w:val="00CB70ED"/>
    <w:rsid w:val="00CB7153"/>
    <w:rsid w:val="00CB7181"/>
    <w:rsid w:val="00CB71F3"/>
    <w:rsid w:val="00CB7215"/>
    <w:rsid w:val="00CB721C"/>
    <w:rsid w:val="00CB7532"/>
    <w:rsid w:val="00CB759D"/>
    <w:rsid w:val="00CB774F"/>
    <w:rsid w:val="00CB795F"/>
    <w:rsid w:val="00CB7AA0"/>
    <w:rsid w:val="00CB7BA0"/>
    <w:rsid w:val="00CB7C84"/>
    <w:rsid w:val="00CB7FF2"/>
    <w:rsid w:val="00CC015A"/>
    <w:rsid w:val="00CC0207"/>
    <w:rsid w:val="00CC02B2"/>
    <w:rsid w:val="00CC04C9"/>
    <w:rsid w:val="00CC05A9"/>
    <w:rsid w:val="00CC0671"/>
    <w:rsid w:val="00CC0691"/>
    <w:rsid w:val="00CC0A4A"/>
    <w:rsid w:val="00CC0AAE"/>
    <w:rsid w:val="00CC0DE6"/>
    <w:rsid w:val="00CC1027"/>
    <w:rsid w:val="00CC11AF"/>
    <w:rsid w:val="00CC17F6"/>
    <w:rsid w:val="00CC18B0"/>
    <w:rsid w:val="00CC18E1"/>
    <w:rsid w:val="00CC1923"/>
    <w:rsid w:val="00CC195A"/>
    <w:rsid w:val="00CC1AAC"/>
    <w:rsid w:val="00CC1F0F"/>
    <w:rsid w:val="00CC1F54"/>
    <w:rsid w:val="00CC2128"/>
    <w:rsid w:val="00CC2731"/>
    <w:rsid w:val="00CC27F9"/>
    <w:rsid w:val="00CC2834"/>
    <w:rsid w:val="00CC289E"/>
    <w:rsid w:val="00CC2998"/>
    <w:rsid w:val="00CC29FB"/>
    <w:rsid w:val="00CC2A1A"/>
    <w:rsid w:val="00CC2B17"/>
    <w:rsid w:val="00CC2B1D"/>
    <w:rsid w:val="00CC2BAF"/>
    <w:rsid w:val="00CC2C32"/>
    <w:rsid w:val="00CC2C41"/>
    <w:rsid w:val="00CC32B4"/>
    <w:rsid w:val="00CC3432"/>
    <w:rsid w:val="00CC3439"/>
    <w:rsid w:val="00CC34D9"/>
    <w:rsid w:val="00CC361D"/>
    <w:rsid w:val="00CC37BA"/>
    <w:rsid w:val="00CC3888"/>
    <w:rsid w:val="00CC3903"/>
    <w:rsid w:val="00CC3BE6"/>
    <w:rsid w:val="00CC3C07"/>
    <w:rsid w:val="00CC3F4A"/>
    <w:rsid w:val="00CC3F7E"/>
    <w:rsid w:val="00CC40E3"/>
    <w:rsid w:val="00CC4446"/>
    <w:rsid w:val="00CC4734"/>
    <w:rsid w:val="00CC4803"/>
    <w:rsid w:val="00CC4820"/>
    <w:rsid w:val="00CC4A5E"/>
    <w:rsid w:val="00CC4BC2"/>
    <w:rsid w:val="00CC4F10"/>
    <w:rsid w:val="00CC4F42"/>
    <w:rsid w:val="00CC52E4"/>
    <w:rsid w:val="00CC5319"/>
    <w:rsid w:val="00CC5354"/>
    <w:rsid w:val="00CC5446"/>
    <w:rsid w:val="00CC5462"/>
    <w:rsid w:val="00CC548E"/>
    <w:rsid w:val="00CC5505"/>
    <w:rsid w:val="00CC5567"/>
    <w:rsid w:val="00CC56AA"/>
    <w:rsid w:val="00CC57B4"/>
    <w:rsid w:val="00CC58C6"/>
    <w:rsid w:val="00CC58E6"/>
    <w:rsid w:val="00CC5987"/>
    <w:rsid w:val="00CC5C6C"/>
    <w:rsid w:val="00CC5E6D"/>
    <w:rsid w:val="00CC6045"/>
    <w:rsid w:val="00CC60E9"/>
    <w:rsid w:val="00CC611B"/>
    <w:rsid w:val="00CC614B"/>
    <w:rsid w:val="00CC662D"/>
    <w:rsid w:val="00CC66EB"/>
    <w:rsid w:val="00CC6763"/>
    <w:rsid w:val="00CC6B72"/>
    <w:rsid w:val="00CC6E58"/>
    <w:rsid w:val="00CC6F41"/>
    <w:rsid w:val="00CC6F63"/>
    <w:rsid w:val="00CC7043"/>
    <w:rsid w:val="00CC7058"/>
    <w:rsid w:val="00CC7328"/>
    <w:rsid w:val="00CC7461"/>
    <w:rsid w:val="00CC7A7C"/>
    <w:rsid w:val="00CC7C92"/>
    <w:rsid w:val="00CC7CAC"/>
    <w:rsid w:val="00CC7F73"/>
    <w:rsid w:val="00CC7FE1"/>
    <w:rsid w:val="00CD035F"/>
    <w:rsid w:val="00CD03A0"/>
    <w:rsid w:val="00CD03E3"/>
    <w:rsid w:val="00CD040D"/>
    <w:rsid w:val="00CD05C6"/>
    <w:rsid w:val="00CD0898"/>
    <w:rsid w:val="00CD0A4B"/>
    <w:rsid w:val="00CD0A59"/>
    <w:rsid w:val="00CD0B99"/>
    <w:rsid w:val="00CD0CB6"/>
    <w:rsid w:val="00CD0F6D"/>
    <w:rsid w:val="00CD0F91"/>
    <w:rsid w:val="00CD11C9"/>
    <w:rsid w:val="00CD146F"/>
    <w:rsid w:val="00CD15C8"/>
    <w:rsid w:val="00CD1895"/>
    <w:rsid w:val="00CD196E"/>
    <w:rsid w:val="00CD1A18"/>
    <w:rsid w:val="00CD1CCA"/>
    <w:rsid w:val="00CD1D32"/>
    <w:rsid w:val="00CD1F1B"/>
    <w:rsid w:val="00CD2117"/>
    <w:rsid w:val="00CD240D"/>
    <w:rsid w:val="00CD24D4"/>
    <w:rsid w:val="00CD2546"/>
    <w:rsid w:val="00CD25BB"/>
    <w:rsid w:val="00CD25C6"/>
    <w:rsid w:val="00CD2776"/>
    <w:rsid w:val="00CD27AB"/>
    <w:rsid w:val="00CD28B5"/>
    <w:rsid w:val="00CD2C9F"/>
    <w:rsid w:val="00CD2DF6"/>
    <w:rsid w:val="00CD2F49"/>
    <w:rsid w:val="00CD305D"/>
    <w:rsid w:val="00CD3063"/>
    <w:rsid w:val="00CD30B6"/>
    <w:rsid w:val="00CD310D"/>
    <w:rsid w:val="00CD3292"/>
    <w:rsid w:val="00CD33D8"/>
    <w:rsid w:val="00CD33F7"/>
    <w:rsid w:val="00CD33F9"/>
    <w:rsid w:val="00CD34D2"/>
    <w:rsid w:val="00CD353F"/>
    <w:rsid w:val="00CD3541"/>
    <w:rsid w:val="00CD372E"/>
    <w:rsid w:val="00CD391D"/>
    <w:rsid w:val="00CD3C00"/>
    <w:rsid w:val="00CD3C51"/>
    <w:rsid w:val="00CD3CE8"/>
    <w:rsid w:val="00CD3EE1"/>
    <w:rsid w:val="00CD3F61"/>
    <w:rsid w:val="00CD3FD4"/>
    <w:rsid w:val="00CD43B3"/>
    <w:rsid w:val="00CD451F"/>
    <w:rsid w:val="00CD4606"/>
    <w:rsid w:val="00CD47D3"/>
    <w:rsid w:val="00CD488E"/>
    <w:rsid w:val="00CD49F6"/>
    <w:rsid w:val="00CD4A2F"/>
    <w:rsid w:val="00CD4A95"/>
    <w:rsid w:val="00CD4ACA"/>
    <w:rsid w:val="00CD4AFE"/>
    <w:rsid w:val="00CD4B05"/>
    <w:rsid w:val="00CD4C18"/>
    <w:rsid w:val="00CD4C53"/>
    <w:rsid w:val="00CD4CE7"/>
    <w:rsid w:val="00CD5282"/>
    <w:rsid w:val="00CD52C0"/>
    <w:rsid w:val="00CD5572"/>
    <w:rsid w:val="00CD560E"/>
    <w:rsid w:val="00CD5641"/>
    <w:rsid w:val="00CD585A"/>
    <w:rsid w:val="00CD5888"/>
    <w:rsid w:val="00CD58E0"/>
    <w:rsid w:val="00CD59A4"/>
    <w:rsid w:val="00CD5B81"/>
    <w:rsid w:val="00CD5D18"/>
    <w:rsid w:val="00CD5FF7"/>
    <w:rsid w:val="00CD60BF"/>
    <w:rsid w:val="00CD6142"/>
    <w:rsid w:val="00CD61E8"/>
    <w:rsid w:val="00CD620F"/>
    <w:rsid w:val="00CD624C"/>
    <w:rsid w:val="00CD6303"/>
    <w:rsid w:val="00CD63EE"/>
    <w:rsid w:val="00CD64CA"/>
    <w:rsid w:val="00CD654C"/>
    <w:rsid w:val="00CD6626"/>
    <w:rsid w:val="00CD66D9"/>
    <w:rsid w:val="00CD66ED"/>
    <w:rsid w:val="00CD66FF"/>
    <w:rsid w:val="00CD6778"/>
    <w:rsid w:val="00CD67B7"/>
    <w:rsid w:val="00CD685D"/>
    <w:rsid w:val="00CD69A7"/>
    <w:rsid w:val="00CD6BFF"/>
    <w:rsid w:val="00CD6C52"/>
    <w:rsid w:val="00CD6C74"/>
    <w:rsid w:val="00CD6CFC"/>
    <w:rsid w:val="00CD6DE4"/>
    <w:rsid w:val="00CD6EA4"/>
    <w:rsid w:val="00CD6FD9"/>
    <w:rsid w:val="00CD70EE"/>
    <w:rsid w:val="00CD7133"/>
    <w:rsid w:val="00CD725F"/>
    <w:rsid w:val="00CD7598"/>
    <w:rsid w:val="00CD7618"/>
    <w:rsid w:val="00CD76C5"/>
    <w:rsid w:val="00CD78AE"/>
    <w:rsid w:val="00CD78CA"/>
    <w:rsid w:val="00CD7AFC"/>
    <w:rsid w:val="00CD7B7C"/>
    <w:rsid w:val="00CD7C4C"/>
    <w:rsid w:val="00CD7CD9"/>
    <w:rsid w:val="00CD7DE7"/>
    <w:rsid w:val="00CD7EA4"/>
    <w:rsid w:val="00CD7FEA"/>
    <w:rsid w:val="00CE013B"/>
    <w:rsid w:val="00CE03D2"/>
    <w:rsid w:val="00CE0537"/>
    <w:rsid w:val="00CE065F"/>
    <w:rsid w:val="00CE07FA"/>
    <w:rsid w:val="00CE0AA3"/>
    <w:rsid w:val="00CE0AE5"/>
    <w:rsid w:val="00CE0BD4"/>
    <w:rsid w:val="00CE0BF5"/>
    <w:rsid w:val="00CE0C3E"/>
    <w:rsid w:val="00CE0C3F"/>
    <w:rsid w:val="00CE0D20"/>
    <w:rsid w:val="00CE0DA0"/>
    <w:rsid w:val="00CE0DB7"/>
    <w:rsid w:val="00CE0DE8"/>
    <w:rsid w:val="00CE0EAC"/>
    <w:rsid w:val="00CE0F23"/>
    <w:rsid w:val="00CE0FA6"/>
    <w:rsid w:val="00CE106C"/>
    <w:rsid w:val="00CE1388"/>
    <w:rsid w:val="00CE155B"/>
    <w:rsid w:val="00CE167A"/>
    <w:rsid w:val="00CE16A5"/>
    <w:rsid w:val="00CE18B7"/>
    <w:rsid w:val="00CE1913"/>
    <w:rsid w:val="00CE1979"/>
    <w:rsid w:val="00CE19E7"/>
    <w:rsid w:val="00CE1CC7"/>
    <w:rsid w:val="00CE1D38"/>
    <w:rsid w:val="00CE1D41"/>
    <w:rsid w:val="00CE1D64"/>
    <w:rsid w:val="00CE1DB4"/>
    <w:rsid w:val="00CE1F40"/>
    <w:rsid w:val="00CE1F66"/>
    <w:rsid w:val="00CE2189"/>
    <w:rsid w:val="00CE21ED"/>
    <w:rsid w:val="00CE23CE"/>
    <w:rsid w:val="00CE25D9"/>
    <w:rsid w:val="00CE263B"/>
    <w:rsid w:val="00CE2673"/>
    <w:rsid w:val="00CE2718"/>
    <w:rsid w:val="00CE2B4A"/>
    <w:rsid w:val="00CE2BDE"/>
    <w:rsid w:val="00CE2C10"/>
    <w:rsid w:val="00CE2EC2"/>
    <w:rsid w:val="00CE2F00"/>
    <w:rsid w:val="00CE2FA8"/>
    <w:rsid w:val="00CE30CC"/>
    <w:rsid w:val="00CE30E0"/>
    <w:rsid w:val="00CE3884"/>
    <w:rsid w:val="00CE3893"/>
    <w:rsid w:val="00CE39D5"/>
    <w:rsid w:val="00CE39DC"/>
    <w:rsid w:val="00CE3A61"/>
    <w:rsid w:val="00CE3E57"/>
    <w:rsid w:val="00CE3F0A"/>
    <w:rsid w:val="00CE3FC8"/>
    <w:rsid w:val="00CE41D2"/>
    <w:rsid w:val="00CE42D4"/>
    <w:rsid w:val="00CE4420"/>
    <w:rsid w:val="00CE4449"/>
    <w:rsid w:val="00CE45BE"/>
    <w:rsid w:val="00CE460B"/>
    <w:rsid w:val="00CE46D7"/>
    <w:rsid w:val="00CE4A49"/>
    <w:rsid w:val="00CE4B75"/>
    <w:rsid w:val="00CE4E2D"/>
    <w:rsid w:val="00CE502B"/>
    <w:rsid w:val="00CE52C1"/>
    <w:rsid w:val="00CE52FD"/>
    <w:rsid w:val="00CE530F"/>
    <w:rsid w:val="00CE5530"/>
    <w:rsid w:val="00CE5986"/>
    <w:rsid w:val="00CE59DA"/>
    <w:rsid w:val="00CE5B85"/>
    <w:rsid w:val="00CE5BE6"/>
    <w:rsid w:val="00CE5C55"/>
    <w:rsid w:val="00CE5D41"/>
    <w:rsid w:val="00CE62DD"/>
    <w:rsid w:val="00CE62F3"/>
    <w:rsid w:val="00CE631D"/>
    <w:rsid w:val="00CE638D"/>
    <w:rsid w:val="00CE6567"/>
    <w:rsid w:val="00CE66B2"/>
    <w:rsid w:val="00CE6B09"/>
    <w:rsid w:val="00CE6B43"/>
    <w:rsid w:val="00CE6C0F"/>
    <w:rsid w:val="00CE6CC8"/>
    <w:rsid w:val="00CE6FA3"/>
    <w:rsid w:val="00CE7037"/>
    <w:rsid w:val="00CE7164"/>
    <w:rsid w:val="00CE722B"/>
    <w:rsid w:val="00CE74A4"/>
    <w:rsid w:val="00CE7504"/>
    <w:rsid w:val="00CE76BD"/>
    <w:rsid w:val="00CE76E4"/>
    <w:rsid w:val="00CE7750"/>
    <w:rsid w:val="00CE7767"/>
    <w:rsid w:val="00CE7788"/>
    <w:rsid w:val="00CE7870"/>
    <w:rsid w:val="00CE78F1"/>
    <w:rsid w:val="00CE7A12"/>
    <w:rsid w:val="00CE7A47"/>
    <w:rsid w:val="00CE7B0D"/>
    <w:rsid w:val="00CE7C0E"/>
    <w:rsid w:val="00CE7C19"/>
    <w:rsid w:val="00CE7D95"/>
    <w:rsid w:val="00CE7DDC"/>
    <w:rsid w:val="00CE7E37"/>
    <w:rsid w:val="00CF000A"/>
    <w:rsid w:val="00CF00A3"/>
    <w:rsid w:val="00CF012B"/>
    <w:rsid w:val="00CF0228"/>
    <w:rsid w:val="00CF02B9"/>
    <w:rsid w:val="00CF02D1"/>
    <w:rsid w:val="00CF04BF"/>
    <w:rsid w:val="00CF0848"/>
    <w:rsid w:val="00CF0ADB"/>
    <w:rsid w:val="00CF0BB0"/>
    <w:rsid w:val="00CF1128"/>
    <w:rsid w:val="00CF1147"/>
    <w:rsid w:val="00CF1540"/>
    <w:rsid w:val="00CF15D3"/>
    <w:rsid w:val="00CF17E0"/>
    <w:rsid w:val="00CF1AE2"/>
    <w:rsid w:val="00CF1B8F"/>
    <w:rsid w:val="00CF1C02"/>
    <w:rsid w:val="00CF1C90"/>
    <w:rsid w:val="00CF1F0C"/>
    <w:rsid w:val="00CF2244"/>
    <w:rsid w:val="00CF25FC"/>
    <w:rsid w:val="00CF291C"/>
    <w:rsid w:val="00CF2973"/>
    <w:rsid w:val="00CF2A29"/>
    <w:rsid w:val="00CF2A8B"/>
    <w:rsid w:val="00CF2D58"/>
    <w:rsid w:val="00CF2F0D"/>
    <w:rsid w:val="00CF2F99"/>
    <w:rsid w:val="00CF3296"/>
    <w:rsid w:val="00CF3656"/>
    <w:rsid w:val="00CF372B"/>
    <w:rsid w:val="00CF37F2"/>
    <w:rsid w:val="00CF3BE8"/>
    <w:rsid w:val="00CF3D17"/>
    <w:rsid w:val="00CF3D8F"/>
    <w:rsid w:val="00CF3DD6"/>
    <w:rsid w:val="00CF3E08"/>
    <w:rsid w:val="00CF4284"/>
    <w:rsid w:val="00CF434B"/>
    <w:rsid w:val="00CF4476"/>
    <w:rsid w:val="00CF44F5"/>
    <w:rsid w:val="00CF45BD"/>
    <w:rsid w:val="00CF464F"/>
    <w:rsid w:val="00CF47E9"/>
    <w:rsid w:val="00CF4852"/>
    <w:rsid w:val="00CF48B1"/>
    <w:rsid w:val="00CF4AC9"/>
    <w:rsid w:val="00CF4C38"/>
    <w:rsid w:val="00CF4C3E"/>
    <w:rsid w:val="00CF4CC8"/>
    <w:rsid w:val="00CF53D7"/>
    <w:rsid w:val="00CF5742"/>
    <w:rsid w:val="00CF5776"/>
    <w:rsid w:val="00CF581E"/>
    <w:rsid w:val="00CF5A6F"/>
    <w:rsid w:val="00CF5C3B"/>
    <w:rsid w:val="00CF5ED1"/>
    <w:rsid w:val="00CF5EEE"/>
    <w:rsid w:val="00CF5F00"/>
    <w:rsid w:val="00CF5FC4"/>
    <w:rsid w:val="00CF6246"/>
    <w:rsid w:val="00CF65AB"/>
    <w:rsid w:val="00CF660A"/>
    <w:rsid w:val="00CF67B0"/>
    <w:rsid w:val="00CF67C7"/>
    <w:rsid w:val="00CF687F"/>
    <w:rsid w:val="00CF6893"/>
    <w:rsid w:val="00CF690A"/>
    <w:rsid w:val="00CF69D4"/>
    <w:rsid w:val="00CF6A37"/>
    <w:rsid w:val="00CF6B28"/>
    <w:rsid w:val="00CF6CD2"/>
    <w:rsid w:val="00CF6D04"/>
    <w:rsid w:val="00CF6D47"/>
    <w:rsid w:val="00CF6D51"/>
    <w:rsid w:val="00CF6DD8"/>
    <w:rsid w:val="00CF6DE6"/>
    <w:rsid w:val="00CF6F6B"/>
    <w:rsid w:val="00CF6FF8"/>
    <w:rsid w:val="00CF7002"/>
    <w:rsid w:val="00CF71ED"/>
    <w:rsid w:val="00CF7304"/>
    <w:rsid w:val="00CF7313"/>
    <w:rsid w:val="00CF7424"/>
    <w:rsid w:val="00CF74DB"/>
    <w:rsid w:val="00CF75CA"/>
    <w:rsid w:val="00CF75E8"/>
    <w:rsid w:val="00CF7667"/>
    <w:rsid w:val="00CF7812"/>
    <w:rsid w:val="00CF7886"/>
    <w:rsid w:val="00CF7895"/>
    <w:rsid w:val="00CF796A"/>
    <w:rsid w:val="00CF79EE"/>
    <w:rsid w:val="00CF7CEC"/>
    <w:rsid w:val="00CF7D6C"/>
    <w:rsid w:val="00CF7D7D"/>
    <w:rsid w:val="00CF7E92"/>
    <w:rsid w:val="00CF7ED2"/>
    <w:rsid w:val="00CF7F37"/>
    <w:rsid w:val="00D00275"/>
    <w:rsid w:val="00D00402"/>
    <w:rsid w:val="00D00508"/>
    <w:rsid w:val="00D00524"/>
    <w:rsid w:val="00D0052E"/>
    <w:rsid w:val="00D00647"/>
    <w:rsid w:val="00D00660"/>
    <w:rsid w:val="00D0067F"/>
    <w:rsid w:val="00D00683"/>
    <w:rsid w:val="00D00749"/>
    <w:rsid w:val="00D0074C"/>
    <w:rsid w:val="00D007B8"/>
    <w:rsid w:val="00D0081E"/>
    <w:rsid w:val="00D0087F"/>
    <w:rsid w:val="00D008D0"/>
    <w:rsid w:val="00D0094D"/>
    <w:rsid w:val="00D00A32"/>
    <w:rsid w:val="00D00AFB"/>
    <w:rsid w:val="00D010C4"/>
    <w:rsid w:val="00D01460"/>
    <w:rsid w:val="00D01505"/>
    <w:rsid w:val="00D019A8"/>
    <w:rsid w:val="00D019DC"/>
    <w:rsid w:val="00D01A30"/>
    <w:rsid w:val="00D01A31"/>
    <w:rsid w:val="00D01AE6"/>
    <w:rsid w:val="00D01BF0"/>
    <w:rsid w:val="00D01C5D"/>
    <w:rsid w:val="00D01DA9"/>
    <w:rsid w:val="00D01FE4"/>
    <w:rsid w:val="00D02392"/>
    <w:rsid w:val="00D02620"/>
    <w:rsid w:val="00D02786"/>
    <w:rsid w:val="00D0278B"/>
    <w:rsid w:val="00D02CF5"/>
    <w:rsid w:val="00D02EBD"/>
    <w:rsid w:val="00D02F4A"/>
    <w:rsid w:val="00D03157"/>
    <w:rsid w:val="00D0324E"/>
    <w:rsid w:val="00D03271"/>
    <w:rsid w:val="00D03288"/>
    <w:rsid w:val="00D0328B"/>
    <w:rsid w:val="00D0350C"/>
    <w:rsid w:val="00D03600"/>
    <w:rsid w:val="00D038EA"/>
    <w:rsid w:val="00D0398C"/>
    <w:rsid w:val="00D03A24"/>
    <w:rsid w:val="00D03AB0"/>
    <w:rsid w:val="00D03B26"/>
    <w:rsid w:val="00D03CEA"/>
    <w:rsid w:val="00D03D7B"/>
    <w:rsid w:val="00D03DE2"/>
    <w:rsid w:val="00D0402F"/>
    <w:rsid w:val="00D04287"/>
    <w:rsid w:val="00D0430F"/>
    <w:rsid w:val="00D04485"/>
    <w:rsid w:val="00D044C4"/>
    <w:rsid w:val="00D04536"/>
    <w:rsid w:val="00D04910"/>
    <w:rsid w:val="00D04C14"/>
    <w:rsid w:val="00D04C79"/>
    <w:rsid w:val="00D04E27"/>
    <w:rsid w:val="00D04EA7"/>
    <w:rsid w:val="00D04F90"/>
    <w:rsid w:val="00D05486"/>
    <w:rsid w:val="00D0551E"/>
    <w:rsid w:val="00D05686"/>
    <w:rsid w:val="00D0572D"/>
    <w:rsid w:val="00D05843"/>
    <w:rsid w:val="00D05864"/>
    <w:rsid w:val="00D05876"/>
    <w:rsid w:val="00D05886"/>
    <w:rsid w:val="00D05911"/>
    <w:rsid w:val="00D05A45"/>
    <w:rsid w:val="00D05BDB"/>
    <w:rsid w:val="00D05BDF"/>
    <w:rsid w:val="00D05C3B"/>
    <w:rsid w:val="00D05ED3"/>
    <w:rsid w:val="00D05FEA"/>
    <w:rsid w:val="00D06005"/>
    <w:rsid w:val="00D061E1"/>
    <w:rsid w:val="00D06282"/>
    <w:rsid w:val="00D065A1"/>
    <w:rsid w:val="00D067E1"/>
    <w:rsid w:val="00D0686A"/>
    <w:rsid w:val="00D06934"/>
    <w:rsid w:val="00D06B8C"/>
    <w:rsid w:val="00D06CD6"/>
    <w:rsid w:val="00D06CDB"/>
    <w:rsid w:val="00D06D40"/>
    <w:rsid w:val="00D06EC9"/>
    <w:rsid w:val="00D06ED0"/>
    <w:rsid w:val="00D06ED1"/>
    <w:rsid w:val="00D06F76"/>
    <w:rsid w:val="00D070EF"/>
    <w:rsid w:val="00D07351"/>
    <w:rsid w:val="00D0749C"/>
    <w:rsid w:val="00D074E0"/>
    <w:rsid w:val="00D07681"/>
    <w:rsid w:val="00D076F1"/>
    <w:rsid w:val="00D0784D"/>
    <w:rsid w:val="00D07872"/>
    <w:rsid w:val="00D07879"/>
    <w:rsid w:val="00D078CA"/>
    <w:rsid w:val="00D07F89"/>
    <w:rsid w:val="00D07FE0"/>
    <w:rsid w:val="00D07FF0"/>
    <w:rsid w:val="00D100A3"/>
    <w:rsid w:val="00D10126"/>
    <w:rsid w:val="00D102AC"/>
    <w:rsid w:val="00D103EC"/>
    <w:rsid w:val="00D10475"/>
    <w:rsid w:val="00D10628"/>
    <w:rsid w:val="00D10633"/>
    <w:rsid w:val="00D1075E"/>
    <w:rsid w:val="00D1076C"/>
    <w:rsid w:val="00D10785"/>
    <w:rsid w:val="00D107EF"/>
    <w:rsid w:val="00D1085F"/>
    <w:rsid w:val="00D108E9"/>
    <w:rsid w:val="00D10912"/>
    <w:rsid w:val="00D109C4"/>
    <w:rsid w:val="00D10A5A"/>
    <w:rsid w:val="00D10A72"/>
    <w:rsid w:val="00D10B49"/>
    <w:rsid w:val="00D10DFF"/>
    <w:rsid w:val="00D11022"/>
    <w:rsid w:val="00D11273"/>
    <w:rsid w:val="00D114B4"/>
    <w:rsid w:val="00D11505"/>
    <w:rsid w:val="00D1150A"/>
    <w:rsid w:val="00D11766"/>
    <w:rsid w:val="00D1193E"/>
    <w:rsid w:val="00D1208E"/>
    <w:rsid w:val="00D120B1"/>
    <w:rsid w:val="00D123A5"/>
    <w:rsid w:val="00D123FF"/>
    <w:rsid w:val="00D1241A"/>
    <w:rsid w:val="00D12593"/>
    <w:rsid w:val="00D1262D"/>
    <w:rsid w:val="00D12641"/>
    <w:rsid w:val="00D128E3"/>
    <w:rsid w:val="00D12B15"/>
    <w:rsid w:val="00D12B46"/>
    <w:rsid w:val="00D12BD7"/>
    <w:rsid w:val="00D12C8A"/>
    <w:rsid w:val="00D12CE6"/>
    <w:rsid w:val="00D130DC"/>
    <w:rsid w:val="00D132CD"/>
    <w:rsid w:val="00D134C9"/>
    <w:rsid w:val="00D134CC"/>
    <w:rsid w:val="00D135ED"/>
    <w:rsid w:val="00D1363D"/>
    <w:rsid w:val="00D136AC"/>
    <w:rsid w:val="00D136C3"/>
    <w:rsid w:val="00D13701"/>
    <w:rsid w:val="00D1378E"/>
    <w:rsid w:val="00D1386A"/>
    <w:rsid w:val="00D138AB"/>
    <w:rsid w:val="00D13B34"/>
    <w:rsid w:val="00D13BCD"/>
    <w:rsid w:val="00D13D58"/>
    <w:rsid w:val="00D13F5D"/>
    <w:rsid w:val="00D1446F"/>
    <w:rsid w:val="00D14554"/>
    <w:rsid w:val="00D146CE"/>
    <w:rsid w:val="00D14748"/>
    <w:rsid w:val="00D14888"/>
    <w:rsid w:val="00D148C4"/>
    <w:rsid w:val="00D148FD"/>
    <w:rsid w:val="00D1493E"/>
    <w:rsid w:val="00D14986"/>
    <w:rsid w:val="00D1498D"/>
    <w:rsid w:val="00D14A29"/>
    <w:rsid w:val="00D14ABA"/>
    <w:rsid w:val="00D14CD5"/>
    <w:rsid w:val="00D14E25"/>
    <w:rsid w:val="00D14F42"/>
    <w:rsid w:val="00D1526A"/>
    <w:rsid w:val="00D153A9"/>
    <w:rsid w:val="00D153B1"/>
    <w:rsid w:val="00D153B8"/>
    <w:rsid w:val="00D154B4"/>
    <w:rsid w:val="00D154D0"/>
    <w:rsid w:val="00D154ED"/>
    <w:rsid w:val="00D15607"/>
    <w:rsid w:val="00D15C41"/>
    <w:rsid w:val="00D15DB3"/>
    <w:rsid w:val="00D15DFD"/>
    <w:rsid w:val="00D15E7B"/>
    <w:rsid w:val="00D15FE0"/>
    <w:rsid w:val="00D16022"/>
    <w:rsid w:val="00D16356"/>
    <w:rsid w:val="00D16426"/>
    <w:rsid w:val="00D1645B"/>
    <w:rsid w:val="00D1661B"/>
    <w:rsid w:val="00D16656"/>
    <w:rsid w:val="00D1668A"/>
    <w:rsid w:val="00D16813"/>
    <w:rsid w:val="00D16A4D"/>
    <w:rsid w:val="00D16B16"/>
    <w:rsid w:val="00D16BA7"/>
    <w:rsid w:val="00D16C26"/>
    <w:rsid w:val="00D16F04"/>
    <w:rsid w:val="00D16F69"/>
    <w:rsid w:val="00D16F70"/>
    <w:rsid w:val="00D170DD"/>
    <w:rsid w:val="00D170F5"/>
    <w:rsid w:val="00D17326"/>
    <w:rsid w:val="00D1739A"/>
    <w:rsid w:val="00D174E6"/>
    <w:rsid w:val="00D174EF"/>
    <w:rsid w:val="00D17593"/>
    <w:rsid w:val="00D17957"/>
    <w:rsid w:val="00D17B96"/>
    <w:rsid w:val="00D17C43"/>
    <w:rsid w:val="00D17DDB"/>
    <w:rsid w:val="00D17EE6"/>
    <w:rsid w:val="00D17EF1"/>
    <w:rsid w:val="00D20127"/>
    <w:rsid w:val="00D201BE"/>
    <w:rsid w:val="00D202B2"/>
    <w:rsid w:val="00D203E2"/>
    <w:rsid w:val="00D2047A"/>
    <w:rsid w:val="00D204A4"/>
    <w:rsid w:val="00D205DC"/>
    <w:rsid w:val="00D206CC"/>
    <w:rsid w:val="00D20893"/>
    <w:rsid w:val="00D208BA"/>
    <w:rsid w:val="00D2090F"/>
    <w:rsid w:val="00D209AB"/>
    <w:rsid w:val="00D20A05"/>
    <w:rsid w:val="00D20AA4"/>
    <w:rsid w:val="00D20CA2"/>
    <w:rsid w:val="00D20CD0"/>
    <w:rsid w:val="00D20CE2"/>
    <w:rsid w:val="00D20E32"/>
    <w:rsid w:val="00D20E34"/>
    <w:rsid w:val="00D21105"/>
    <w:rsid w:val="00D211B9"/>
    <w:rsid w:val="00D21387"/>
    <w:rsid w:val="00D21406"/>
    <w:rsid w:val="00D215B8"/>
    <w:rsid w:val="00D215C2"/>
    <w:rsid w:val="00D21726"/>
    <w:rsid w:val="00D21989"/>
    <w:rsid w:val="00D21C42"/>
    <w:rsid w:val="00D21E7B"/>
    <w:rsid w:val="00D21F7D"/>
    <w:rsid w:val="00D22205"/>
    <w:rsid w:val="00D22301"/>
    <w:rsid w:val="00D224C7"/>
    <w:rsid w:val="00D2272A"/>
    <w:rsid w:val="00D2273C"/>
    <w:rsid w:val="00D22761"/>
    <w:rsid w:val="00D2283F"/>
    <w:rsid w:val="00D2289C"/>
    <w:rsid w:val="00D22A0C"/>
    <w:rsid w:val="00D22D0F"/>
    <w:rsid w:val="00D22D10"/>
    <w:rsid w:val="00D23394"/>
    <w:rsid w:val="00D233CA"/>
    <w:rsid w:val="00D233EB"/>
    <w:rsid w:val="00D23496"/>
    <w:rsid w:val="00D23535"/>
    <w:rsid w:val="00D235B7"/>
    <w:rsid w:val="00D236BD"/>
    <w:rsid w:val="00D2388A"/>
    <w:rsid w:val="00D23908"/>
    <w:rsid w:val="00D239EA"/>
    <w:rsid w:val="00D23B9E"/>
    <w:rsid w:val="00D23CAC"/>
    <w:rsid w:val="00D23D01"/>
    <w:rsid w:val="00D23D42"/>
    <w:rsid w:val="00D23F0A"/>
    <w:rsid w:val="00D23F5B"/>
    <w:rsid w:val="00D23FBC"/>
    <w:rsid w:val="00D240BE"/>
    <w:rsid w:val="00D24100"/>
    <w:rsid w:val="00D24191"/>
    <w:rsid w:val="00D2420E"/>
    <w:rsid w:val="00D2431A"/>
    <w:rsid w:val="00D246F6"/>
    <w:rsid w:val="00D2472D"/>
    <w:rsid w:val="00D24774"/>
    <w:rsid w:val="00D24861"/>
    <w:rsid w:val="00D24A0F"/>
    <w:rsid w:val="00D24AF0"/>
    <w:rsid w:val="00D24AF4"/>
    <w:rsid w:val="00D24BCC"/>
    <w:rsid w:val="00D24DE0"/>
    <w:rsid w:val="00D24E93"/>
    <w:rsid w:val="00D24EA8"/>
    <w:rsid w:val="00D24EC0"/>
    <w:rsid w:val="00D24F37"/>
    <w:rsid w:val="00D24F91"/>
    <w:rsid w:val="00D25254"/>
    <w:rsid w:val="00D2533F"/>
    <w:rsid w:val="00D2535F"/>
    <w:rsid w:val="00D25393"/>
    <w:rsid w:val="00D25741"/>
    <w:rsid w:val="00D25A5C"/>
    <w:rsid w:val="00D25D8F"/>
    <w:rsid w:val="00D26071"/>
    <w:rsid w:val="00D265C6"/>
    <w:rsid w:val="00D266CC"/>
    <w:rsid w:val="00D2682F"/>
    <w:rsid w:val="00D26842"/>
    <w:rsid w:val="00D268E7"/>
    <w:rsid w:val="00D26AEB"/>
    <w:rsid w:val="00D26FC1"/>
    <w:rsid w:val="00D26FE7"/>
    <w:rsid w:val="00D2728D"/>
    <w:rsid w:val="00D273C1"/>
    <w:rsid w:val="00D273C9"/>
    <w:rsid w:val="00D27689"/>
    <w:rsid w:val="00D277EB"/>
    <w:rsid w:val="00D27890"/>
    <w:rsid w:val="00D2795B"/>
    <w:rsid w:val="00D27AA9"/>
    <w:rsid w:val="00D27AF4"/>
    <w:rsid w:val="00D27B45"/>
    <w:rsid w:val="00D27E13"/>
    <w:rsid w:val="00D27F77"/>
    <w:rsid w:val="00D300A0"/>
    <w:rsid w:val="00D30377"/>
    <w:rsid w:val="00D305D8"/>
    <w:rsid w:val="00D30AFD"/>
    <w:rsid w:val="00D30C1C"/>
    <w:rsid w:val="00D30D4C"/>
    <w:rsid w:val="00D30DDD"/>
    <w:rsid w:val="00D30E83"/>
    <w:rsid w:val="00D30F6E"/>
    <w:rsid w:val="00D3102A"/>
    <w:rsid w:val="00D310E1"/>
    <w:rsid w:val="00D3121D"/>
    <w:rsid w:val="00D312C0"/>
    <w:rsid w:val="00D312F3"/>
    <w:rsid w:val="00D31300"/>
    <w:rsid w:val="00D3142C"/>
    <w:rsid w:val="00D3148C"/>
    <w:rsid w:val="00D31496"/>
    <w:rsid w:val="00D314E5"/>
    <w:rsid w:val="00D31527"/>
    <w:rsid w:val="00D31556"/>
    <w:rsid w:val="00D3159C"/>
    <w:rsid w:val="00D3186B"/>
    <w:rsid w:val="00D319EF"/>
    <w:rsid w:val="00D31B8C"/>
    <w:rsid w:val="00D31CD8"/>
    <w:rsid w:val="00D31D55"/>
    <w:rsid w:val="00D31E0F"/>
    <w:rsid w:val="00D31F6D"/>
    <w:rsid w:val="00D32100"/>
    <w:rsid w:val="00D322A7"/>
    <w:rsid w:val="00D32367"/>
    <w:rsid w:val="00D323D7"/>
    <w:rsid w:val="00D324A4"/>
    <w:rsid w:val="00D3250E"/>
    <w:rsid w:val="00D32533"/>
    <w:rsid w:val="00D325A9"/>
    <w:rsid w:val="00D32711"/>
    <w:rsid w:val="00D3287C"/>
    <w:rsid w:val="00D3294A"/>
    <w:rsid w:val="00D32987"/>
    <w:rsid w:val="00D329D5"/>
    <w:rsid w:val="00D32A34"/>
    <w:rsid w:val="00D32B86"/>
    <w:rsid w:val="00D32B88"/>
    <w:rsid w:val="00D32D60"/>
    <w:rsid w:val="00D32DB2"/>
    <w:rsid w:val="00D32DCB"/>
    <w:rsid w:val="00D32EBC"/>
    <w:rsid w:val="00D32EE1"/>
    <w:rsid w:val="00D330A0"/>
    <w:rsid w:val="00D33351"/>
    <w:rsid w:val="00D33353"/>
    <w:rsid w:val="00D33378"/>
    <w:rsid w:val="00D33467"/>
    <w:rsid w:val="00D334D9"/>
    <w:rsid w:val="00D33652"/>
    <w:rsid w:val="00D336EC"/>
    <w:rsid w:val="00D33705"/>
    <w:rsid w:val="00D337AC"/>
    <w:rsid w:val="00D337F6"/>
    <w:rsid w:val="00D338CC"/>
    <w:rsid w:val="00D33990"/>
    <w:rsid w:val="00D33B69"/>
    <w:rsid w:val="00D33B85"/>
    <w:rsid w:val="00D33C24"/>
    <w:rsid w:val="00D33CF7"/>
    <w:rsid w:val="00D3402F"/>
    <w:rsid w:val="00D34156"/>
    <w:rsid w:val="00D341CB"/>
    <w:rsid w:val="00D34211"/>
    <w:rsid w:val="00D342BC"/>
    <w:rsid w:val="00D34396"/>
    <w:rsid w:val="00D343C1"/>
    <w:rsid w:val="00D344E0"/>
    <w:rsid w:val="00D3477C"/>
    <w:rsid w:val="00D34795"/>
    <w:rsid w:val="00D3489B"/>
    <w:rsid w:val="00D348E5"/>
    <w:rsid w:val="00D34A71"/>
    <w:rsid w:val="00D34B55"/>
    <w:rsid w:val="00D34BCC"/>
    <w:rsid w:val="00D34CA5"/>
    <w:rsid w:val="00D34CD7"/>
    <w:rsid w:val="00D34CDE"/>
    <w:rsid w:val="00D34D75"/>
    <w:rsid w:val="00D34E14"/>
    <w:rsid w:val="00D34E6F"/>
    <w:rsid w:val="00D34E75"/>
    <w:rsid w:val="00D352D9"/>
    <w:rsid w:val="00D353C0"/>
    <w:rsid w:val="00D35403"/>
    <w:rsid w:val="00D356A9"/>
    <w:rsid w:val="00D358BE"/>
    <w:rsid w:val="00D359CB"/>
    <w:rsid w:val="00D35AD1"/>
    <w:rsid w:val="00D35B67"/>
    <w:rsid w:val="00D35C7F"/>
    <w:rsid w:val="00D35DC5"/>
    <w:rsid w:val="00D35EDE"/>
    <w:rsid w:val="00D35F1E"/>
    <w:rsid w:val="00D3610E"/>
    <w:rsid w:val="00D36150"/>
    <w:rsid w:val="00D3623A"/>
    <w:rsid w:val="00D363B9"/>
    <w:rsid w:val="00D366B1"/>
    <w:rsid w:val="00D36756"/>
    <w:rsid w:val="00D36798"/>
    <w:rsid w:val="00D367D3"/>
    <w:rsid w:val="00D36907"/>
    <w:rsid w:val="00D369EE"/>
    <w:rsid w:val="00D369F4"/>
    <w:rsid w:val="00D36A73"/>
    <w:rsid w:val="00D36BAC"/>
    <w:rsid w:val="00D36C04"/>
    <w:rsid w:val="00D36C9A"/>
    <w:rsid w:val="00D36EF7"/>
    <w:rsid w:val="00D37049"/>
    <w:rsid w:val="00D371DA"/>
    <w:rsid w:val="00D37293"/>
    <w:rsid w:val="00D372CE"/>
    <w:rsid w:val="00D37436"/>
    <w:rsid w:val="00D3747C"/>
    <w:rsid w:val="00D37681"/>
    <w:rsid w:val="00D37687"/>
    <w:rsid w:val="00D376D6"/>
    <w:rsid w:val="00D377F3"/>
    <w:rsid w:val="00D377F6"/>
    <w:rsid w:val="00D379D8"/>
    <w:rsid w:val="00D379EC"/>
    <w:rsid w:val="00D37B7B"/>
    <w:rsid w:val="00D37D00"/>
    <w:rsid w:val="00D40101"/>
    <w:rsid w:val="00D402B5"/>
    <w:rsid w:val="00D4049E"/>
    <w:rsid w:val="00D40589"/>
    <w:rsid w:val="00D40934"/>
    <w:rsid w:val="00D4093D"/>
    <w:rsid w:val="00D40AFC"/>
    <w:rsid w:val="00D40C77"/>
    <w:rsid w:val="00D40F60"/>
    <w:rsid w:val="00D412C6"/>
    <w:rsid w:val="00D413B1"/>
    <w:rsid w:val="00D4146B"/>
    <w:rsid w:val="00D418DB"/>
    <w:rsid w:val="00D419C1"/>
    <w:rsid w:val="00D41A4A"/>
    <w:rsid w:val="00D41A5B"/>
    <w:rsid w:val="00D41A75"/>
    <w:rsid w:val="00D41C9F"/>
    <w:rsid w:val="00D41CA4"/>
    <w:rsid w:val="00D41CF4"/>
    <w:rsid w:val="00D41DE5"/>
    <w:rsid w:val="00D41EB4"/>
    <w:rsid w:val="00D4220A"/>
    <w:rsid w:val="00D422B6"/>
    <w:rsid w:val="00D42308"/>
    <w:rsid w:val="00D4242F"/>
    <w:rsid w:val="00D42489"/>
    <w:rsid w:val="00D4264E"/>
    <w:rsid w:val="00D4275E"/>
    <w:rsid w:val="00D42A14"/>
    <w:rsid w:val="00D42AF6"/>
    <w:rsid w:val="00D42BCB"/>
    <w:rsid w:val="00D42D11"/>
    <w:rsid w:val="00D42E43"/>
    <w:rsid w:val="00D42F27"/>
    <w:rsid w:val="00D42F7E"/>
    <w:rsid w:val="00D43073"/>
    <w:rsid w:val="00D43074"/>
    <w:rsid w:val="00D43144"/>
    <w:rsid w:val="00D4314B"/>
    <w:rsid w:val="00D432CA"/>
    <w:rsid w:val="00D433C0"/>
    <w:rsid w:val="00D43464"/>
    <w:rsid w:val="00D43493"/>
    <w:rsid w:val="00D438FA"/>
    <w:rsid w:val="00D43A05"/>
    <w:rsid w:val="00D43B5B"/>
    <w:rsid w:val="00D4412C"/>
    <w:rsid w:val="00D442A6"/>
    <w:rsid w:val="00D4437E"/>
    <w:rsid w:val="00D4444B"/>
    <w:rsid w:val="00D44534"/>
    <w:rsid w:val="00D44A89"/>
    <w:rsid w:val="00D44AC2"/>
    <w:rsid w:val="00D44B9F"/>
    <w:rsid w:val="00D45311"/>
    <w:rsid w:val="00D455D0"/>
    <w:rsid w:val="00D455E5"/>
    <w:rsid w:val="00D45635"/>
    <w:rsid w:val="00D458AC"/>
    <w:rsid w:val="00D45963"/>
    <w:rsid w:val="00D459B5"/>
    <w:rsid w:val="00D459E7"/>
    <w:rsid w:val="00D45B36"/>
    <w:rsid w:val="00D45B83"/>
    <w:rsid w:val="00D45BF2"/>
    <w:rsid w:val="00D45C51"/>
    <w:rsid w:val="00D45DFD"/>
    <w:rsid w:val="00D45FE3"/>
    <w:rsid w:val="00D460EF"/>
    <w:rsid w:val="00D46270"/>
    <w:rsid w:val="00D462AB"/>
    <w:rsid w:val="00D4644C"/>
    <w:rsid w:val="00D466E2"/>
    <w:rsid w:val="00D46791"/>
    <w:rsid w:val="00D468B4"/>
    <w:rsid w:val="00D46A54"/>
    <w:rsid w:val="00D46AE9"/>
    <w:rsid w:val="00D46BA2"/>
    <w:rsid w:val="00D46DEC"/>
    <w:rsid w:val="00D46F91"/>
    <w:rsid w:val="00D46FAF"/>
    <w:rsid w:val="00D47490"/>
    <w:rsid w:val="00D4761E"/>
    <w:rsid w:val="00D4765F"/>
    <w:rsid w:val="00D476B9"/>
    <w:rsid w:val="00D4772C"/>
    <w:rsid w:val="00D47735"/>
    <w:rsid w:val="00D479A4"/>
    <w:rsid w:val="00D47C9E"/>
    <w:rsid w:val="00D47CA7"/>
    <w:rsid w:val="00D47E62"/>
    <w:rsid w:val="00D47ECF"/>
    <w:rsid w:val="00D50120"/>
    <w:rsid w:val="00D503C6"/>
    <w:rsid w:val="00D50483"/>
    <w:rsid w:val="00D50484"/>
    <w:rsid w:val="00D505CD"/>
    <w:rsid w:val="00D506FA"/>
    <w:rsid w:val="00D507AC"/>
    <w:rsid w:val="00D507CB"/>
    <w:rsid w:val="00D509F5"/>
    <w:rsid w:val="00D50C52"/>
    <w:rsid w:val="00D50CC3"/>
    <w:rsid w:val="00D50DC3"/>
    <w:rsid w:val="00D50E78"/>
    <w:rsid w:val="00D50EBC"/>
    <w:rsid w:val="00D51088"/>
    <w:rsid w:val="00D51298"/>
    <w:rsid w:val="00D512C9"/>
    <w:rsid w:val="00D5139B"/>
    <w:rsid w:val="00D5147C"/>
    <w:rsid w:val="00D5155D"/>
    <w:rsid w:val="00D515FC"/>
    <w:rsid w:val="00D51692"/>
    <w:rsid w:val="00D5214C"/>
    <w:rsid w:val="00D52833"/>
    <w:rsid w:val="00D529B9"/>
    <w:rsid w:val="00D52B97"/>
    <w:rsid w:val="00D52CB0"/>
    <w:rsid w:val="00D52EAD"/>
    <w:rsid w:val="00D52F56"/>
    <w:rsid w:val="00D530CA"/>
    <w:rsid w:val="00D53143"/>
    <w:rsid w:val="00D53186"/>
    <w:rsid w:val="00D53206"/>
    <w:rsid w:val="00D5327B"/>
    <w:rsid w:val="00D5342C"/>
    <w:rsid w:val="00D5344E"/>
    <w:rsid w:val="00D53990"/>
    <w:rsid w:val="00D539F9"/>
    <w:rsid w:val="00D53A96"/>
    <w:rsid w:val="00D53AFE"/>
    <w:rsid w:val="00D53CB6"/>
    <w:rsid w:val="00D53EB2"/>
    <w:rsid w:val="00D54106"/>
    <w:rsid w:val="00D54240"/>
    <w:rsid w:val="00D54328"/>
    <w:rsid w:val="00D54481"/>
    <w:rsid w:val="00D54848"/>
    <w:rsid w:val="00D548B3"/>
    <w:rsid w:val="00D549BB"/>
    <w:rsid w:val="00D54A84"/>
    <w:rsid w:val="00D54BDD"/>
    <w:rsid w:val="00D54C14"/>
    <w:rsid w:val="00D54D50"/>
    <w:rsid w:val="00D54F2F"/>
    <w:rsid w:val="00D54F9C"/>
    <w:rsid w:val="00D5506D"/>
    <w:rsid w:val="00D55109"/>
    <w:rsid w:val="00D55159"/>
    <w:rsid w:val="00D551A9"/>
    <w:rsid w:val="00D5520E"/>
    <w:rsid w:val="00D5532A"/>
    <w:rsid w:val="00D55462"/>
    <w:rsid w:val="00D556CF"/>
    <w:rsid w:val="00D55754"/>
    <w:rsid w:val="00D55B1E"/>
    <w:rsid w:val="00D55CAA"/>
    <w:rsid w:val="00D55D4E"/>
    <w:rsid w:val="00D55D66"/>
    <w:rsid w:val="00D55EC1"/>
    <w:rsid w:val="00D55EEE"/>
    <w:rsid w:val="00D561C7"/>
    <w:rsid w:val="00D562C7"/>
    <w:rsid w:val="00D563DE"/>
    <w:rsid w:val="00D56655"/>
    <w:rsid w:val="00D56728"/>
    <w:rsid w:val="00D56939"/>
    <w:rsid w:val="00D569D5"/>
    <w:rsid w:val="00D56A3A"/>
    <w:rsid w:val="00D56A97"/>
    <w:rsid w:val="00D56C34"/>
    <w:rsid w:val="00D56C46"/>
    <w:rsid w:val="00D56CCD"/>
    <w:rsid w:val="00D56E40"/>
    <w:rsid w:val="00D56EBE"/>
    <w:rsid w:val="00D56F06"/>
    <w:rsid w:val="00D56FF7"/>
    <w:rsid w:val="00D570F6"/>
    <w:rsid w:val="00D57166"/>
    <w:rsid w:val="00D571F1"/>
    <w:rsid w:val="00D57258"/>
    <w:rsid w:val="00D5727B"/>
    <w:rsid w:val="00D57372"/>
    <w:rsid w:val="00D57425"/>
    <w:rsid w:val="00D575A2"/>
    <w:rsid w:val="00D575C2"/>
    <w:rsid w:val="00D57A84"/>
    <w:rsid w:val="00D57C51"/>
    <w:rsid w:val="00D57DD4"/>
    <w:rsid w:val="00D57F54"/>
    <w:rsid w:val="00D57F61"/>
    <w:rsid w:val="00D57FE9"/>
    <w:rsid w:val="00D601DC"/>
    <w:rsid w:val="00D60269"/>
    <w:rsid w:val="00D6040F"/>
    <w:rsid w:val="00D604B0"/>
    <w:rsid w:val="00D606FB"/>
    <w:rsid w:val="00D60999"/>
    <w:rsid w:val="00D60D2F"/>
    <w:rsid w:val="00D610E8"/>
    <w:rsid w:val="00D6120F"/>
    <w:rsid w:val="00D6123D"/>
    <w:rsid w:val="00D61250"/>
    <w:rsid w:val="00D61351"/>
    <w:rsid w:val="00D613E8"/>
    <w:rsid w:val="00D6171E"/>
    <w:rsid w:val="00D617F5"/>
    <w:rsid w:val="00D61A02"/>
    <w:rsid w:val="00D61A5A"/>
    <w:rsid w:val="00D61AD2"/>
    <w:rsid w:val="00D61B17"/>
    <w:rsid w:val="00D61EF3"/>
    <w:rsid w:val="00D61F6A"/>
    <w:rsid w:val="00D62043"/>
    <w:rsid w:val="00D62323"/>
    <w:rsid w:val="00D62357"/>
    <w:rsid w:val="00D625F6"/>
    <w:rsid w:val="00D62663"/>
    <w:rsid w:val="00D6267C"/>
    <w:rsid w:val="00D6287A"/>
    <w:rsid w:val="00D62892"/>
    <w:rsid w:val="00D62954"/>
    <w:rsid w:val="00D62A11"/>
    <w:rsid w:val="00D62A61"/>
    <w:rsid w:val="00D62ABC"/>
    <w:rsid w:val="00D62B35"/>
    <w:rsid w:val="00D6304A"/>
    <w:rsid w:val="00D63136"/>
    <w:rsid w:val="00D6320C"/>
    <w:rsid w:val="00D633E9"/>
    <w:rsid w:val="00D63478"/>
    <w:rsid w:val="00D63619"/>
    <w:rsid w:val="00D639D8"/>
    <w:rsid w:val="00D63A46"/>
    <w:rsid w:val="00D63CDA"/>
    <w:rsid w:val="00D63DBB"/>
    <w:rsid w:val="00D63DDE"/>
    <w:rsid w:val="00D63F13"/>
    <w:rsid w:val="00D640B0"/>
    <w:rsid w:val="00D6425D"/>
    <w:rsid w:val="00D6426C"/>
    <w:rsid w:val="00D64383"/>
    <w:rsid w:val="00D6450D"/>
    <w:rsid w:val="00D645DA"/>
    <w:rsid w:val="00D64654"/>
    <w:rsid w:val="00D647A0"/>
    <w:rsid w:val="00D6480B"/>
    <w:rsid w:val="00D64AD1"/>
    <w:rsid w:val="00D64AE6"/>
    <w:rsid w:val="00D64B07"/>
    <w:rsid w:val="00D64B40"/>
    <w:rsid w:val="00D64BA4"/>
    <w:rsid w:val="00D64CF7"/>
    <w:rsid w:val="00D64D23"/>
    <w:rsid w:val="00D64DBA"/>
    <w:rsid w:val="00D6510E"/>
    <w:rsid w:val="00D6543B"/>
    <w:rsid w:val="00D65594"/>
    <w:rsid w:val="00D655A6"/>
    <w:rsid w:val="00D655EA"/>
    <w:rsid w:val="00D6573B"/>
    <w:rsid w:val="00D65777"/>
    <w:rsid w:val="00D658F1"/>
    <w:rsid w:val="00D65DD5"/>
    <w:rsid w:val="00D65F4B"/>
    <w:rsid w:val="00D66060"/>
    <w:rsid w:val="00D662C3"/>
    <w:rsid w:val="00D6635A"/>
    <w:rsid w:val="00D66635"/>
    <w:rsid w:val="00D66802"/>
    <w:rsid w:val="00D66DB6"/>
    <w:rsid w:val="00D66F4A"/>
    <w:rsid w:val="00D66F96"/>
    <w:rsid w:val="00D670F1"/>
    <w:rsid w:val="00D67568"/>
    <w:rsid w:val="00D676FA"/>
    <w:rsid w:val="00D6784A"/>
    <w:rsid w:val="00D67855"/>
    <w:rsid w:val="00D6787C"/>
    <w:rsid w:val="00D67B37"/>
    <w:rsid w:val="00D67D20"/>
    <w:rsid w:val="00D67DE8"/>
    <w:rsid w:val="00D67E0A"/>
    <w:rsid w:val="00D67FE6"/>
    <w:rsid w:val="00D70090"/>
    <w:rsid w:val="00D7010A"/>
    <w:rsid w:val="00D701E9"/>
    <w:rsid w:val="00D7050F"/>
    <w:rsid w:val="00D706A0"/>
    <w:rsid w:val="00D706C7"/>
    <w:rsid w:val="00D7072B"/>
    <w:rsid w:val="00D7072C"/>
    <w:rsid w:val="00D70844"/>
    <w:rsid w:val="00D708FC"/>
    <w:rsid w:val="00D70AB4"/>
    <w:rsid w:val="00D70DA8"/>
    <w:rsid w:val="00D70DB0"/>
    <w:rsid w:val="00D70E13"/>
    <w:rsid w:val="00D70FD0"/>
    <w:rsid w:val="00D70FE0"/>
    <w:rsid w:val="00D7120A"/>
    <w:rsid w:val="00D7136C"/>
    <w:rsid w:val="00D715E9"/>
    <w:rsid w:val="00D71786"/>
    <w:rsid w:val="00D71837"/>
    <w:rsid w:val="00D71D2C"/>
    <w:rsid w:val="00D71E0F"/>
    <w:rsid w:val="00D71E7F"/>
    <w:rsid w:val="00D72032"/>
    <w:rsid w:val="00D721EC"/>
    <w:rsid w:val="00D722DF"/>
    <w:rsid w:val="00D72619"/>
    <w:rsid w:val="00D72968"/>
    <w:rsid w:val="00D729B1"/>
    <w:rsid w:val="00D72BDB"/>
    <w:rsid w:val="00D72BF9"/>
    <w:rsid w:val="00D72CEE"/>
    <w:rsid w:val="00D72F55"/>
    <w:rsid w:val="00D72F9D"/>
    <w:rsid w:val="00D73145"/>
    <w:rsid w:val="00D73252"/>
    <w:rsid w:val="00D732B7"/>
    <w:rsid w:val="00D736D1"/>
    <w:rsid w:val="00D7380F"/>
    <w:rsid w:val="00D738E7"/>
    <w:rsid w:val="00D73C2B"/>
    <w:rsid w:val="00D73D66"/>
    <w:rsid w:val="00D73E3B"/>
    <w:rsid w:val="00D73E4A"/>
    <w:rsid w:val="00D73E67"/>
    <w:rsid w:val="00D73EC8"/>
    <w:rsid w:val="00D73FB7"/>
    <w:rsid w:val="00D7409C"/>
    <w:rsid w:val="00D740B7"/>
    <w:rsid w:val="00D743B2"/>
    <w:rsid w:val="00D7451D"/>
    <w:rsid w:val="00D746A1"/>
    <w:rsid w:val="00D746AC"/>
    <w:rsid w:val="00D747BF"/>
    <w:rsid w:val="00D74A26"/>
    <w:rsid w:val="00D74BF6"/>
    <w:rsid w:val="00D74C29"/>
    <w:rsid w:val="00D74DF3"/>
    <w:rsid w:val="00D74F18"/>
    <w:rsid w:val="00D74F94"/>
    <w:rsid w:val="00D74FE1"/>
    <w:rsid w:val="00D75227"/>
    <w:rsid w:val="00D755C2"/>
    <w:rsid w:val="00D756E7"/>
    <w:rsid w:val="00D75886"/>
    <w:rsid w:val="00D758B7"/>
    <w:rsid w:val="00D75A34"/>
    <w:rsid w:val="00D75CFB"/>
    <w:rsid w:val="00D75DAE"/>
    <w:rsid w:val="00D75EEB"/>
    <w:rsid w:val="00D75F58"/>
    <w:rsid w:val="00D75F77"/>
    <w:rsid w:val="00D7604B"/>
    <w:rsid w:val="00D76302"/>
    <w:rsid w:val="00D7676D"/>
    <w:rsid w:val="00D769C0"/>
    <w:rsid w:val="00D76AF8"/>
    <w:rsid w:val="00D76B62"/>
    <w:rsid w:val="00D76CC7"/>
    <w:rsid w:val="00D76D1F"/>
    <w:rsid w:val="00D76D4C"/>
    <w:rsid w:val="00D76FCF"/>
    <w:rsid w:val="00D77223"/>
    <w:rsid w:val="00D77226"/>
    <w:rsid w:val="00D77298"/>
    <w:rsid w:val="00D776D8"/>
    <w:rsid w:val="00D77A04"/>
    <w:rsid w:val="00D77A99"/>
    <w:rsid w:val="00D77BE8"/>
    <w:rsid w:val="00D77C09"/>
    <w:rsid w:val="00D77CE0"/>
    <w:rsid w:val="00D77D60"/>
    <w:rsid w:val="00D77E40"/>
    <w:rsid w:val="00D77E53"/>
    <w:rsid w:val="00D77F36"/>
    <w:rsid w:val="00D80003"/>
    <w:rsid w:val="00D8001C"/>
    <w:rsid w:val="00D80175"/>
    <w:rsid w:val="00D80355"/>
    <w:rsid w:val="00D803A5"/>
    <w:rsid w:val="00D80622"/>
    <w:rsid w:val="00D8073F"/>
    <w:rsid w:val="00D808E6"/>
    <w:rsid w:val="00D80949"/>
    <w:rsid w:val="00D80975"/>
    <w:rsid w:val="00D80A20"/>
    <w:rsid w:val="00D80EC7"/>
    <w:rsid w:val="00D81191"/>
    <w:rsid w:val="00D814E0"/>
    <w:rsid w:val="00D816BE"/>
    <w:rsid w:val="00D818D8"/>
    <w:rsid w:val="00D819ED"/>
    <w:rsid w:val="00D81A35"/>
    <w:rsid w:val="00D81C2B"/>
    <w:rsid w:val="00D81D10"/>
    <w:rsid w:val="00D81D4A"/>
    <w:rsid w:val="00D81FCD"/>
    <w:rsid w:val="00D8225B"/>
    <w:rsid w:val="00D82395"/>
    <w:rsid w:val="00D82515"/>
    <w:rsid w:val="00D82616"/>
    <w:rsid w:val="00D828DB"/>
    <w:rsid w:val="00D82C23"/>
    <w:rsid w:val="00D82CE5"/>
    <w:rsid w:val="00D82EE0"/>
    <w:rsid w:val="00D830A2"/>
    <w:rsid w:val="00D8320F"/>
    <w:rsid w:val="00D83294"/>
    <w:rsid w:val="00D834C2"/>
    <w:rsid w:val="00D8365B"/>
    <w:rsid w:val="00D8381C"/>
    <w:rsid w:val="00D838F5"/>
    <w:rsid w:val="00D83910"/>
    <w:rsid w:val="00D83939"/>
    <w:rsid w:val="00D8395B"/>
    <w:rsid w:val="00D83A19"/>
    <w:rsid w:val="00D83ACB"/>
    <w:rsid w:val="00D83B01"/>
    <w:rsid w:val="00D83B49"/>
    <w:rsid w:val="00D83E96"/>
    <w:rsid w:val="00D83EB6"/>
    <w:rsid w:val="00D83F14"/>
    <w:rsid w:val="00D840D0"/>
    <w:rsid w:val="00D840E7"/>
    <w:rsid w:val="00D843C5"/>
    <w:rsid w:val="00D84719"/>
    <w:rsid w:val="00D8482F"/>
    <w:rsid w:val="00D849C6"/>
    <w:rsid w:val="00D84B42"/>
    <w:rsid w:val="00D84B86"/>
    <w:rsid w:val="00D84E77"/>
    <w:rsid w:val="00D84EBB"/>
    <w:rsid w:val="00D84F67"/>
    <w:rsid w:val="00D85157"/>
    <w:rsid w:val="00D853FD"/>
    <w:rsid w:val="00D854C2"/>
    <w:rsid w:val="00D854E0"/>
    <w:rsid w:val="00D85627"/>
    <w:rsid w:val="00D8595A"/>
    <w:rsid w:val="00D85A81"/>
    <w:rsid w:val="00D85B6F"/>
    <w:rsid w:val="00D85BBA"/>
    <w:rsid w:val="00D85C2A"/>
    <w:rsid w:val="00D85C8A"/>
    <w:rsid w:val="00D85CB7"/>
    <w:rsid w:val="00D85E82"/>
    <w:rsid w:val="00D85FD7"/>
    <w:rsid w:val="00D86039"/>
    <w:rsid w:val="00D86064"/>
    <w:rsid w:val="00D8624F"/>
    <w:rsid w:val="00D86352"/>
    <w:rsid w:val="00D8640A"/>
    <w:rsid w:val="00D86476"/>
    <w:rsid w:val="00D86551"/>
    <w:rsid w:val="00D8667A"/>
    <w:rsid w:val="00D86730"/>
    <w:rsid w:val="00D868ED"/>
    <w:rsid w:val="00D86A74"/>
    <w:rsid w:val="00D86B3E"/>
    <w:rsid w:val="00D86C4A"/>
    <w:rsid w:val="00D86CF7"/>
    <w:rsid w:val="00D86E05"/>
    <w:rsid w:val="00D86F25"/>
    <w:rsid w:val="00D86F78"/>
    <w:rsid w:val="00D8715C"/>
    <w:rsid w:val="00D874F8"/>
    <w:rsid w:val="00D87550"/>
    <w:rsid w:val="00D8762B"/>
    <w:rsid w:val="00D87742"/>
    <w:rsid w:val="00D877C5"/>
    <w:rsid w:val="00D878A5"/>
    <w:rsid w:val="00D87A13"/>
    <w:rsid w:val="00D87DAB"/>
    <w:rsid w:val="00D87E26"/>
    <w:rsid w:val="00D87F1B"/>
    <w:rsid w:val="00D900A0"/>
    <w:rsid w:val="00D900C3"/>
    <w:rsid w:val="00D90105"/>
    <w:rsid w:val="00D90219"/>
    <w:rsid w:val="00D9039B"/>
    <w:rsid w:val="00D904FE"/>
    <w:rsid w:val="00D9052A"/>
    <w:rsid w:val="00D907C2"/>
    <w:rsid w:val="00D9087F"/>
    <w:rsid w:val="00D90D06"/>
    <w:rsid w:val="00D90DD1"/>
    <w:rsid w:val="00D90F24"/>
    <w:rsid w:val="00D91042"/>
    <w:rsid w:val="00D91240"/>
    <w:rsid w:val="00D91266"/>
    <w:rsid w:val="00D9153C"/>
    <w:rsid w:val="00D9183D"/>
    <w:rsid w:val="00D91945"/>
    <w:rsid w:val="00D91CB1"/>
    <w:rsid w:val="00D922B5"/>
    <w:rsid w:val="00D922BD"/>
    <w:rsid w:val="00D922F7"/>
    <w:rsid w:val="00D92340"/>
    <w:rsid w:val="00D92476"/>
    <w:rsid w:val="00D924CA"/>
    <w:rsid w:val="00D924EE"/>
    <w:rsid w:val="00D925EA"/>
    <w:rsid w:val="00D9268E"/>
    <w:rsid w:val="00D9277F"/>
    <w:rsid w:val="00D92795"/>
    <w:rsid w:val="00D92906"/>
    <w:rsid w:val="00D9291C"/>
    <w:rsid w:val="00D92A18"/>
    <w:rsid w:val="00D92C8E"/>
    <w:rsid w:val="00D9302F"/>
    <w:rsid w:val="00D93270"/>
    <w:rsid w:val="00D932DC"/>
    <w:rsid w:val="00D932E5"/>
    <w:rsid w:val="00D93636"/>
    <w:rsid w:val="00D937E0"/>
    <w:rsid w:val="00D93891"/>
    <w:rsid w:val="00D938F5"/>
    <w:rsid w:val="00D9396B"/>
    <w:rsid w:val="00D93BF0"/>
    <w:rsid w:val="00D93C63"/>
    <w:rsid w:val="00D93CA1"/>
    <w:rsid w:val="00D93DA8"/>
    <w:rsid w:val="00D93E1D"/>
    <w:rsid w:val="00D94037"/>
    <w:rsid w:val="00D94055"/>
    <w:rsid w:val="00D941B4"/>
    <w:rsid w:val="00D941DA"/>
    <w:rsid w:val="00D941E3"/>
    <w:rsid w:val="00D9422F"/>
    <w:rsid w:val="00D943DC"/>
    <w:rsid w:val="00D94645"/>
    <w:rsid w:val="00D946DF"/>
    <w:rsid w:val="00D94706"/>
    <w:rsid w:val="00D94C96"/>
    <w:rsid w:val="00D94F60"/>
    <w:rsid w:val="00D94F76"/>
    <w:rsid w:val="00D94FB0"/>
    <w:rsid w:val="00D9510E"/>
    <w:rsid w:val="00D95123"/>
    <w:rsid w:val="00D951A1"/>
    <w:rsid w:val="00D95249"/>
    <w:rsid w:val="00D953D3"/>
    <w:rsid w:val="00D95480"/>
    <w:rsid w:val="00D955AC"/>
    <w:rsid w:val="00D9570B"/>
    <w:rsid w:val="00D95963"/>
    <w:rsid w:val="00D959DC"/>
    <w:rsid w:val="00D95B42"/>
    <w:rsid w:val="00D95D5F"/>
    <w:rsid w:val="00D95E0D"/>
    <w:rsid w:val="00D95EAD"/>
    <w:rsid w:val="00D95EF7"/>
    <w:rsid w:val="00D961E2"/>
    <w:rsid w:val="00D96420"/>
    <w:rsid w:val="00D96451"/>
    <w:rsid w:val="00D964D3"/>
    <w:rsid w:val="00D9659D"/>
    <w:rsid w:val="00D96993"/>
    <w:rsid w:val="00D96A94"/>
    <w:rsid w:val="00D96D15"/>
    <w:rsid w:val="00D97053"/>
    <w:rsid w:val="00D9714E"/>
    <w:rsid w:val="00D971BE"/>
    <w:rsid w:val="00D971C7"/>
    <w:rsid w:val="00D971E4"/>
    <w:rsid w:val="00D97462"/>
    <w:rsid w:val="00D9749B"/>
    <w:rsid w:val="00D9766F"/>
    <w:rsid w:val="00D9775A"/>
    <w:rsid w:val="00D978F2"/>
    <w:rsid w:val="00D97B1D"/>
    <w:rsid w:val="00D97B9D"/>
    <w:rsid w:val="00D97C7D"/>
    <w:rsid w:val="00D97D51"/>
    <w:rsid w:val="00D97ED2"/>
    <w:rsid w:val="00D97F4F"/>
    <w:rsid w:val="00DA0072"/>
    <w:rsid w:val="00DA02BD"/>
    <w:rsid w:val="00DA0334"/>
    <w:rsid w:val="00DA0643"/>
    <w:rsid w:val="00DA0913"/>
    <w:rsid w:val="00DA091B"/>
    <w:rsid w:val="00DA0938"/>
    <w:rsid w:val="00DA0B5E"/>
    <w:rsid w:val="00DA0BDE"/>
    <w:rsid w:val="00DA0D3C"/>
    <w:rsid w:val="00DA0FE4"/>
    <w:rsid w:val="00DA10C1"/>
    <w:rsid w:val="00DA11C6"/>
    <w:rsid w:val="00DA12F2"/>
    <w:rsid w:val="00DA14D3"/>
    <w:rsid w:val="00DA1783"/>
    <w:rsid w:val="00DA17C8"/>
    <w:rsid w:val="00DA1935"/>
    <w:rsid w:val="00DA1C36"/>
    <w:rsid w:val="00DA1CA8"/>
    <w:rsid w:val="00DA1E7A"/>
    <w:rsid w:val="00DA1E7F"/>
    <w:rsid w:val="00DA1FDE"/>
    <w:rsid w:val="00DA214B"/>
    <w:rsid w:val="00DA23D7"/>
    <w:rsid w:val="00DA2428"/>
    <w:rsid w:val="00DA2458"/>
    <w:rsid w:val="00DA24C9"/>
    <w:rsid w:val="00DA25D8"/>
    <w:rsid w:val="00DA2657"/>
    <w:rsid w:val="00DA2689"/>
    <w:rsid w:val="00DA28CF"/>
    <w:rsid w:val="00DA2B83"/>
    <w:rsid w:val="00DA2BF8"/>
    <w:rsid w:val="00DA2DDE"/>
    <w:rsid w:val="00DA2E11"/>
    <w:rsid w:val="00DA30C0"/>
    <w:rsid w:val="00DA3176"/>
    <w:rsid w:val="00DA3294"/>
    <w:rsid w:val="00DA33E0"/>
    <w:rsid w:val="00DA3596"/>
    <w:rsid w:val="00DA3899"/>
    <w:rsid w:val="00DA3A1D"/>
    <w:rsid w:val="00DA3AAE"/>
    <w:rsid w:val="00DA3C37"/>
    <w:rsid w:val="00DA3E06"/>
    <w:rsid w:val="00DA3FDC"/>
    <w:rsid w:val="00DA413B"/>
    <w:rsid w:val="00DA41AA"/>
    <w:rsid w:val="00DA4383"/>
    <w:rsid w:val="00DA44B0"/>
    <w:rsid w:val="00DA47E9"/>
    <w:rsid w:val="00DA47ED"/>
    <w:rsid w:val="00DA49AA"/>
    <w:rsid w:val="00DA49B5"/>
    <w:rsid w:val="00DA4A15"/>
    <w:rsid w:val="00DA4B1A"/>
    <w:rsid w:val="00DA4BC9"/>
    <w:rsid w:val="00DA4EAA"/>
    <w:rsid w:val="00DA4EF5"/>
    <w:rsid w:val="00DA4FDA"/>
    <w:rsid w:val="00DA50E0"/>
    <w:rsid w:val="00DA527A"/>
    <w:rsid w:val="00DA52CA"/>
    <w:rsid w:val="00DA5392"/>
    <w:rsid w:val="00DA539E"/>
    <w:rsid w:val="00DA5473"/>
    <w:rsid w:val="00DA54DC"/>
    <w:rsid w:val="00DA5565"/>
    <w:rsid w:val="00DA55AE"/>
    <w:rsid w:val="00DA564C"/>
    <w:rsid w:val="00DA5B43"/>
    <w:rsid w:val="00DA5C6B"/>
    <w:rsid w:val="00DA6062"/>
    <w:rsid w:val="00DA608B"/>
    <w:rsid w:val="00DA61FB"/>
    <w:rsid w:val="00DA640C"/>
    <w:rsid w:val="00DA652B"/>
    <w:rsid w:val="00DA685F"/>
    <w:rsid w:val="00DA6999"/>
    <w:rsid w:val="00DA69E0"/>
    <w:rsid w:val="00DA6B31"/>
    <w:rsid w:val="00DA6C82"/>
    <w:rsid w:val="00DA6CC8"/>
    <w:rsid w:val="00DA6D07"/>
    <w:rsid w:val="00DA6DA5"/>
    <w:rsid w:val="00DA6EB8"/>
    <w:rsid w:val="00DA6F50"/>
    <w:rsid w:val="00DA703C"/>
    <w:rsid w:val="00DA7085"/>
    <w:rsid w:val="00DA71EE"/>
    <w:rsid w:val="00DA7384"/>
    <w:rsid w:val="00DA7441"/>
    <w:rsid w:val="00DA762B"/>
    <w:rsid w:val="00DA768C"/>
    <w:rsid w:val="00DA76BB"/>
    <w:rsid w:val="00DA7954"/>
    <w:rsid w:val="00DA797F"/>
    <w:rsid w:val="00DA79BF"/>
    <w:rsid w:val="00DA7B7A"/>
    <w:rsid w:val="00DA7BB3"/>
    <w:rsid w:val="00DA7C70"/>
    <w:rsid w:val="00DA7CA1"/>
    <w:rsid w:val="00DA7D6E"/>
    <w:rsid w:val="00DA7DEE"/>
    <w:rsid w:val="00DA7DFB"/>
    <w:rsid w:val="00DA7E60"/>
    <w:rsid w:val="00DA7FAB"/>
    <w:rsid w:val="00DA8F42"/>
    <w:rsid w:val="00DB0112"/>
    <w:rsid w:val="00DB0123"/>
    <w:rsid w:val="00DB0231"/>
    <w:rsid w:val="00DB029E"/>
    <w:rsid w:val="00DB0580"/>
    <w:rsid w:val="00DB05AC"/>
    <w:rsid w:val="00DB0656"/>
    <w:rsid w:val="00DB0745"/>
    <w:rsid w:val="00DB0835"/>
    <w:rsid w:val="00DB0CEC"/>
    <w:rsid w:val="00DB0DB7"/>
    <w:rsid w:val="00DB0F44"/>
    <w:rsid w:val="00DB105C"/>
    <w:rsid w:val="00DB1441"/>
    <w:rsid w:val="00DB1597"/>
    <w:rsid w:val="00DB18E7"/>
    <w:rsid w:val="00DB197A"/>
    <w:rsid w:val="00DB19C9"/>
    <w:rsid w:val="00DB1B13"/>
    <w:rsid w:val="00DB1C4F"/>
    <w:rsid w:val="00DB1CC7"/>
    <w:rsid w:val="00DB1D6E"/>
    <w:rsid w:val="00DB200A"/>
    <w:rsid w:val="00DB21B8"/>
    <w:rsid w:val="00DB22FD"/>
    <w:rsid w:val="00DB26F4"/>
    <w:rsid w:val="00DB2748"/>
    <w:rsid w:val="00DB27EB"/>
    <w:rsid w:val="00DB284F"/>
    <w:rsid w:val="00DB2A8A"/>
    <w:rsid w:val="00DB2BB5"/>
    <w:rsid w:val="00DB2D81"/>
    <w:rsid w:val="00DB2DC0"/>
    <w:rsid w:val="00DB3005"/>
    <w:rsid w:val="00DB3020"/>
    <w:rsid w:val="00DB324D"/>
    <w:rsid w:val="00DB329A"/>
    <w:rsid w:val="00DB32B8"/>
    <w:rsid w:val="00DB33E5"/>
    <w:rsid w:val="00DB35D1"/>
    <w:rsid w:val="00DB36C7"/>
    <w:rsid w:val="00DB3914"/>
    <w:rsid w:val="00DB3A25"/>
    <w:rsid w:val="00DB3AF9"/>
    <w:rsid w:val="00DB3B94"/>
    <w:rsid w:val="00DB3BB6"/>
    <w:rsid w:val="00DB3CC8"/>
    <w:rsid w:val="00DB3D5B"/>
    <w:rsid w:val="00DB3FA0"/>
    <w:rsid w:val="00DB40B6"/>
    <w:rsid w:val="00DB4101"/>
    <w:rsid w:val="00DB42CC"/>
    <w:rsid w:val="00DB4400"/>
    <w:rsid w:val="00DB4440"/>
    <w:rsid w:val="00DB44D3"/>
    <w:rsid w:val="00DB44DA"/>
    <w:rsid w:val="00DB4716"/>
    <w:rsid w:val="00DB4731"/>
    <w:rsid w:val="00DB4891"/>
    <w:rsid w:val="00DB48F4"/>
    <w:rsid w:val="00DB493B"/>
    <w:rsid w:val="00DB493F"/>
    <w:rsid w:val="00DB4A1C"/>
    <w:rsid w:val="00DB4B22"/>
    <w:rsid w:val="00DB4CF5"/>
    <w:rsid w:val="00DB4E50"/>
    <w:rsid w:val="00DB50FE"/>
    <w:rsid w:val="00DB51AD"/>
    <w:rsid w:val="00DB52AB"/>
    <w:rsid w:val="00DB52CE"/>
    <w:rsid w:val="00DB5375"/>
    <w:rsid w:val="00DB55D1"/>
    <w:rsid w:val="00DB5845"/>
    <w:rsid w:val="00DB586E"/>
    <w:rsid w:val="00DB59CD"/>
    <w:rsid w:val="00DB5AB2"/>
    <w:rsid w:val="00DB5CFC"/>
    <w:rsid w:val="00DB5E4A"/>
    <w:rsid w:val="00DB5F5A"/>
    <w:rsid w:val="00DB5F66"/>
    <w:rsid w:val="00DB5F84"/>
    <w:rsid w:val="00DB61C4"/>
    <w:rsid w:val="00DB61D8"/>
    <w:rsid w:val="00DB6296"/>
    <w:rsid w:val="00DB6401"/>
    <w:rsid w:val="00DB65C9"/>
    <w:rsid w:val="00DB65D6"/>
    <w:rsid w:val="00DB66C2"/>
    <w:rsid w:val="00DB6704"/>
    <w:rsid w:val="00DB67ED"/>
    <w:rsid w:val="00DB689E"/>
    <w:rsid w:val="00DB68FE"/>
    <w:rsid w:val="00DB6949"/>
    <w:rsid w:val="00DB69D1"/>
    <w:rsid w:val="00DB6CA3"/>
    <w:rsid w:val="00DB6D76"/>
    <w:rsid w:val="00DB6ED2"/>
    <w:rsid w:val="00DB7127"/>
    <w:rsid w:val="00DB71AA"/>
    <w:rsid w:val="00DB78E9"/>
    <w:rsid w:val="00DB79A3"/>
    <w:rsid w:val="00DB7BFA"/>
    <w:rsid w:val="00DB7FF0"/>
    <w:rsid w:val="00DC026D"/>
    <w:rsid w:val="00DC033E"/>
    <w:rsid w:val="00DC038D"/>
    <w:rsid w:val="00DC040D"/>
    <w:rsid w:val="00DC04C3"/>
    <w:rsid w:val="00DC0538"/>
    <w:rsid w:val="00DC0745"/>
    <w:rsid w:val="00DC0A23"/>
    <w:rsid w:val="00DC0AA1"/>
    <w:rsid w:val="00DC0AE5"/>
    <w:rsid w:val="00DC0C04"/>
    <w:rsid w:val="00DC0F13"/>
    <w:rsid w:val="00DC1038"/>
    <w:rsid w:val="00DC1066"/>
    <w:rsid w:val="00DC13AA"/>
    <w:rsid w:val="00DC1462"/>
    <w:rsid w:val="00DC147D"/>
    <w:rsid w:val="00DC16F4"/>
    <w:rsid w:val="00DC1799"/>
    <w:rsid w:val="00DC1878"/>
    <w:rsid w:val="00DC189E"/>
    <w:rsid w:val="00DC1961"/>
    <w:rsid w:val="00DC1C3D"/>
    <w:rsid w:val="00DC1D6E"/>
    <w:rsid w:val="00DC1D94"/>
    <w:rsid w:val="00DC1DA3"/>
    <w:rsid w:val="00DC21C5"/>
    <w:rsid w:val="00DC2264"/>
    <w:rsid w:val="00DC242B"/>
    <w:rsid w:val="00DC255D"/>
    <w:rsid w:val="00DC2662"/>
    <w:rsid w:val="00DC279D"/>
    <w:rsid w:val="00DC2BE1"/>
    <w:rsid w:val="00DC2E10"/>
    <w:rsid w:val="00DC2E78"/>
    <w:rsid w:val="00DC2E88"/>
    <w:rsid w:val="00DC2F24"/>
    <w:rsid w:val="00DC3189"/>
    <w:rsid w:val="00DC3201"/>
    <w:rsid w:val="00DC330E"/>
    <w:rsid w:val="00DC3513"/>
    <w:rsid w:val="00DC3633"/>
    <w:rsid w:val="00DC36F8"/>
    <w:rsid w:val="00DC3796"/>
    <w:rsid w:val="00DC3849"/>
    <w:rsid w:val="00DC3C0B"/>
    <w:rsid w:val="00DC3C6B"/>
    <w:rsid w:val="00DC3ECC"/>
    <w:rsid w:val="00DC417B"/>
    <w:rsid w:val="00DC4314"/>
    <w:rsid w:val="00DC43A4"/>
    <w:rsid w:val="00DC4478"/>
    <w:rsid w:val="00DC4510"/>
    <w:rsid w:val="00DC46BA"/>
    <w:rsid w:val="00DC46C1"/>
    <w:rsid w:val="00DC475E"/>
    <w:rsid w:val="00DC4937"/>
    <w:rsid w:val="00DC49C1"/>
    <w:rsid w:val="00DC49F6"/>
    <w:rsid w:val="00DC4BF2"/>
    <w:rsid w:val="00DC4C1D"/>
    <w:rsid w:val="00DC4C2B"/>
    <w:rsid w:val="00DC4C69"/>
    <w:rsid w:val="00DC4D90"/>
    <w:rsid w:val="00DC5048"/>
    <w:rsid w:val="00DC505F"/>
    <w:rsid w:val="00DC51D4"/>
    <w:rsid w:val="00DC5225"/>
    <w:rsid w:val="00DC52A8"/>
    <w:rsid w:val="00DC5537"/>
    <w:rsid w:val="00DC56F0"/>
    <w:rsid w:val="00DC59C9"/>
    <w:rsid w:val="00DC5AAE"/>
    <w:rsid w:val="00DC5B1B"/>
    <w:rsid w:val="00DC5B55"/>
    <w:rsid w:val="00DC5B7C"/>
    <w:rsid w:val="00DC5C40"/>
    <w:rsid w:val="00DC5C88"/>
    <w:rsid w:val="00DC5E44"/>
    <w:rsid w:val="00DC5E8D"/>
    <w:rsid w:val="00DC60D4"/>
    <w:rsid w:val="00DC6270"/>
    <w:rsid w:val="00DC6368"/>
    <w:rsid w:val="00DC6799"/>
    <w:rsid w:val="00DC67C0"/>
    <w:rsid w:val="00DC686F"/>
    <w:rsid w:val="00DC6B32"/>
    <w:rsid w:val="00DC6BDD"/>
    <w:rsid w:val="00DC6E51"/>
    <w:rsid w:val="00DC6EB6"/>
    <w:rsid w:val="00DC6FC8"/>
    <w:rsid w:val="00DC70DD"/>
    <w:rsid w:val="00DC70EE"/>
    <w:rsid w:val="00DC71C5"/>
    <w:rsid w:val="00DC7410"/>
    <w:rsid w:val="00DC741C"/>
    <w:rsid w:val="00DC7546"/>
    <w:rsid w:val="00DC7620"/>
    <w:rsid w:val="00DC772F"/>
    <w:rsid w:val="00DC776A"/>
    <w:rsid w:val="00DC780E"/>
    <w:rsid w:val="00DC78ED"/>
    <w:rsid w:val="00DC7A0D"/>
    <w:rsid w:val="00DC7B6E"/>
    <w:rsid w:val="00DC7B77"/>
    <w:rsid w:val="00DC7E1D"/>
    <w:rsid w:val="00DC7EF5"/>
    <w:rsid w:val="00DC7F0F"/>
    <w:rsid w:val="00DC7FAB"/>
    <w:rsid w:val="00DD006E"/>
    <w:rsid w:val="00DD015E"/>
    <w:rsid w:val="00DD0194"/>
    <w:rsid w:val="00DD01CB"/>
    <w:rsid w:val="00DD0241"/>
    <w:rsid w:val="00DD0268"/>
    <w:rsid w:val="00DD03BA"/>
    <w:rsid w:val="00DD0411"/>
    <w:rsid w:val="00DD0596"/>
    <w:rsid w:val="00DD0B8A"/>
    <w:rsid w:val="00DD0C36"/>
    <w:rsid w:val="00DD0C3A"/>
    <w:rsid w:val="00DD0C44"/>
    <w:rsid w:val="00DD0D40"/>
    <w:rsid w:val="00DD0D79"/>
    <w:rsid w:val="00DD0E66"/>
    <w:rsid w:val="00DD0ECB"/>
    <w:rsid w:val="00DD1058"/>
    <w:rsid w:val="00DD1228"/>
    <w:rsid w:val="00DD136D"/>
    <w:rsid w:val="00DD1392"/>
    <w:rsid w:val="00DD1549"/>
    <w:rsid w:val="00DD15B2"/>
    <w:rsid w:val="00DD170E"/>
    <w:rsid w:val="00DD1909"/>
    <w:rsid w:val="00DD1A94"/>
    <w:rsid w:val="00DD1C79"/>
    <w:rsid w:val="00DD1D7B"/>
    <w:rsid w:val="00DD1F90"/>
    <w:rsid w:val="00DD2105"/>
    <w:rsid w:val="00DD2491"/>
    <w:rsid w:val="00DD257B"/>
    <w:rsid w:val="00DD25D5"/>
    <w:rsid w:val="00DD271A"/>
    <w:rsid w:val="00DD2827"/>
    <w:rsid w:val="00DD299D"/>
    <w:rsid w:val="00DD29E7"/>
    <w:rsid w:val="00DD2A23"/>
    <w:rsid w:val="00DD2ABC"/>
    <w:rsid w:val="00DD2ABF"/>
    <w:rsid w:val="00DD2BFD"/>
    <w:rsid w:val="00DD2C27"/>
    <w:rsid w:val="00DD2C77"/>
    <w:rsid w:val="00DD2EE1"/>
    <w:rsid w:val="00DD2F6E"/>
    <w:rsid w:val="00DD2FEA"/>
    <w:rsid w:val="00DD312F"/>
    <w:rsid w:val="00DD316B"/>
    <w:rsid w:val="00DD31A8"/>
    <w:rsid w:val="00DD31EF"/>
    <w:rsid w:val="00DD3232"/>
    <w:rsid w:val="00DD32E2"/>
    <w:rsid w:val="00DD3472"/>
    <w:rsid w:val="00DD389C"/>
    <w:rsid w:val="00DD3925"/>
    <w:rsid w:val="00DD3965"/>
    <w:rsid w:val="00DD39EA"/>
    <w:rsid w:val="00DD3A31"/>
    <w:rsid w:val="00DD3AFA"/>
    <w:rsid w:val="00DD3B7A"/>
    <w:rsid w:val="00DD3EC0"/>
    <w:rsid w:val="00DD3FC6"/>
    <w:rsid w:val="00DD40C7"/>
    <w:rsid w:val="00DD41E0"/>
    <w:rsid w:val="00DD43AF"/>
    <w:rsid w:val="00DD452A"/>
    <w:rsid w:val="00DD45FF"/>
    <w:rsid w:val="00DD46FC"/>
    <w:rsid w:val="00DD4A21"/>
    <w:rsid w:val="00DD4A3D"/>
    <w:rsid w:val="00DD4A93"/>
    <w:rsid w:val="00DD4B08"/>
    <w:rsid w:val="00DD4BE1"/>
    <w:rsid w:val="00DD4CA6"/>
    <w:rsid w:val="00DD4DC7"/>
    <w:rsid w:val="00DD4E24"/>
    <w:rsid w:val="00DD51ED"/>
    <w:rsid w:val="00DD54FE"/>
    <w:rsid w:val="00DD5680"/>
    <w:rsid w:val="00DD574E"/>
    <w:rsid w:val="00DD59DB"/>
    <w:rsid w:val="00DD5EF8"/>
    <w:rsid w:val="00DD5F00"/>
    <w:rsid w:val="00DD5FD2"/>
    <w:rsid w:val="00DD610B"/>
    <w:rsid w:val="00DD61C1"/>
    <w:rsid w:val="00DD649B"/>
    <w:rsid w:val="00DD64A8"/>
    <w:rsid w:val="00DD6814"/>
    <w:rsid w:val="00DD6865"/>
    <w:rsid w:val="00DD6B17"/>
    <w:rsid w:val="00DD6B7F"/>
    <w:rsid w:val="00DD6E5F"/>
    <w:rsid w:val="00DD6FD4"/>
    <w:rsid w:val="00DD70ED"/>
    <w:rsid w:val="00DD7161"/>
    <w:rsid w:val="00DD7187"/>
    <w:rsid w:val="00DD7262"/>
    <w:rsid w:val="00DD72C6"/>
    <w:rsid w:val="00DD73D6"/>
    <w:rsid w:val="00DD7478"/>
    <w:rsid w:val="00DD7657"/>
    <w:rsid w:val="00DD7737"/>
    <w:rsid w:val="00DD77BF"/>
    <w:rsid w:val="00DD7865"/>
    <w:rsid w:val="00DD7A5D"/>
    <w:rsid w:val="00DD7B69"/>
    <w:rsid w:val="00DD7BF9"/>
    <w:rsid w:val="00DD7C64"/>
    <w:rsid w:val="00DD7DD5"/>
    <w:rsid w:val="00DE0021"/>
    <w:rsid w:val="00DE0527"/>
    <w:rsid w:val="00DE0746"/>
    <w:rsid w:val="00DE074B"/>
    <w:rsid w:val="00DE0763"/>
    <w:rsid w:val="00DE0869"/>
    <w:rsid w:val="00DE0989"/>
    <w:rsid w:val="00DE099F"/>
    <w:rsid w:val="00DE09F1"/>
    <w:rsid w:val="00DE09F5"/>
    <w:rsid w:val="00DE0A55"/>
    <w:rsid w:val="00DE0DAA"/>
    <w:rsid w:val="00DE0ECA"/>
    <w:rsid w:val="00DE1166"/>
    <w:rsid w:val="00DE12F4"/>
    <w:rsid w:val="00DE14F1"/>
    <w:rsid w:val="00DE1596"/>
    <w:rsid w:val="00DE1606"/>
    <w:rsid w:val="00DE177D"/>
    <w:rsid w:val="00DE195D"/>
    <w:rsid w:val="00DE19A0"/>
    <w:rsid w:val="00DE1AD9"/>
    <w:rsid w:val="00DE1BA5"/>
    <w:rsid w:val="00DE1CD5"/>
    <w:rsid w:val="00DE1D4D"/>
    <w:rsid w:val="00DE1D57"/>
    <w:rsid w:val="00DE1DB5"/>
    <w:rsid w:val="00DE1DC8"/>
    <w:rsid w:val="00DE2164"/>
    <w:rsid w:val="00DE228F"/>
    <w:rsid w:val="00DE2376"/>
    <w:rsid w:val="00DE23EC"/>
    <w:rsid w:val="00DE25DC"/>
    <w:rsid w:val="00DE2B53"/>
    <w:rsid w:val="00DE2D5D"/>
    <w:rsid w:val="00DE3077"/>
    <w:rsid w:val="00DE3189"/>
    <w:rsid w:val="00DE3298"/>
    <w:rsid w:val="00DE3369"/>
    <w:rsid w:val="00DE349E"/>
    <w:rsid w:val="00DE36B4"/>
    <w:rsid w:val="00DE36F9"/>
    <w:rsid w:val="00DE3898"/>
    <w:rsid w:val="00DE399C"/>
    <w:rsid w:val="00DE3AEC"/>
    <w:rsid w:val="00DE3B07"/>
    <w:rsid w:val="00DE3C58"/>
    <w:rsid w:val="00DE3CC0"/>
    <w:rsid w:val="00DE3DDE"/>
    <w:rsid w:val="00DE3E04"/>
    <w:rsid w:val="00DE3E2B"/>
    <w:rsid w:val="00DE3EF2"/>
    <w:rsid w:val="00DE3FF7"/>
    <w:rsid w:val="00DE407A"/>
    <w:rsid w:val="00DE414F"/>
    <w:rsid w:val="00DE41B1"/>
    <w:rsid w:val="00DE4259"/>
    <w:rsid w:val="00DE458E"/>
    <w:rsid w:val="00DE459C"/>
    <w:rsid w:val="00DE474A"/>
    <w:rsid w:val="00DE48B0"/>
    <w:rsid w:val="00DE494B"/>
    <w:rsid w:val="00DE4A87"/>
    <w:rsid w:val="00DE4AF6"/>
    <w:rsid w:val="00DE4C57"/>
    <w:rsid w:val="00DE4EEF"/>
    <w:rsid w:val="00DE4F5E"/>
    <w:rsid w:val="00DE4F75"/>
    <w:rsid w:val="00DE51F5"/>
    <w:rsid w:val="00DE52BB"/>
    <w:rsid w:val="00DE54AD"/>
    <w:rsid w:val="00DE56FB"/>
    <w:rsid w:val="00DE58F5"/>
    <w:rsid w:val="00DE598F"/>
    <w:rsid w:val="00DE5B30"/>
    <w:rsid w:val="00DE5C9F"/>
    <w:rsid w:val="00DE5CEB"/>
    <w:rsid w:val="00DE5FAA"/>
    <w:rsid w:val="00DE6213"/>
    <w:rsid w:val="00DE63B7"/>
    <w:rsid w:val="00DE65A5"/>
    <w:rsid w:val="00DE65D9"/>
    <w:rsid w:val="00DE665D"/>
    <w:rsid w:val="00DE68AE"/>
    <w:rsid w:val="00DE6A6D"/>
    <w:rsid w:val="00DE6D8D"/>
    <w:rsid w:val="00DE6DE2"/>
    <w:rsid w:val="00DE6FE8"/>
    <w:rsid w:val="00DE708A"/>
    <w:rsid w:val="00DE7138"/>
    <w:rsid w:val="00DE7369"/>
    <w:rsid w:val="00DE7427"/>
    <w:rsid w:val="00DE7554"/>
    <w:rsid w:val="00DE7613"/>
    <w:rsid w:val="00DE762B"/>
    <w:rsid w:val="00DE76C2"/>
    <w:rsid w:val="00DE7708"/>
    <w:rsid w:val="00DE78EC"/>
    <w:rsid w:val="00DE7B24"/>
    <w:rsid w:val="00DE7D9F"/>
    <w:rsid w:val="00DF06BE"/>
    <w:rsid w:val="00DF0C34"/>
    <w:rsid w:val="00DF0CD2"/>
    <w:rsid w:val="00DF1011"/>
    <w:rsid w:val="00DF1215"/>
    <w:rsid w:val="00DF12C1"/>
    <w:rsid w:val="00DF1354"/>
    <w:rsid w:val="00DF140E"/>
    <w:rsid w:val="00DF156B"/>
    <w:rsid w:val="00DF157C"/>
    <w:rsid w:val="00DF1704"/>
    <w:rsid w:val="00DF1950"/>
    <w:rsid w:val="00DF1986"/>
    <w:rsid w:val="00DF1997"/>
    <w:rsid w:val="00DF1B1C"/>
    <w:rsid w:val="00DF1B46"/>
    <w:rsid w:val="00DF1D7D"/>
    <w:rsid w:val="00DF1DF4"/>
    <w:rsid w:val="00DF1F60"/>
    <w:rsid w:val="00DF1F74"/>
    <w:rsid w:val="00DF1F76"/>
    <w:rsid w:val="00DF234C"/>
    <w:rsid w:val="00DF248B"/>
    <w:rsid w:val="00DF256E"/>
    <w:rsid w:val="00DF2629"/>
    <w:rsid w:val="00DF2681"/>
    <w:rsid w:val="00DF285C"/>
    <w:rsid w:val="00DF2912"/>
    <w:rsid w:val="00DF2A6B"/>
    <w:rsid w:val="00DF2E17"/>
    <w:rsid w:val="00DF2E50"/>
    <w:rsid w:val="00DF30EE"/>
    <w:rsid w:val="00DF3126"/>
    <w:rsid w:val="00DF3338"/>
    <w:rsid w:val="00DF3363"/>
    <w:rsid w:val="00DF33BB"/>
    <w:rsid w:val="00DF33CA"/>
    <w:rsid w:val="00DF35DC"/>
    <w:rsid w:val="00DF3669"/>
    <w:rsid w:val="00DF3724"/>
    <w:rsid w:val="00DF3BB0"/>
    <w:rsid w:val="00DF3CF2"/>
    <w:rsid w:val="00DF4193"/>
    <w:rsid w:val="00DF4266"/>
    <w:rsid w:val="00DF43E9"/>
    <w:rsid w:val="00DF469F"/>
    <w:rsid w:val="00DF47EF"/>
    <w:rsid w:val="00DF4FB2"/>
    <w:rsid w:val="00DF51E4"/>
    <w:rsid w:val="00DF5356"/>
    <w:rsid w:val="00DF588E"/>
    <w:rsid w:val="00DF5B10"/>
    <w:rsid w:val="00DF6146"/>
    <w:rsid w:val="00DF6169"/>
    <w:rsid w:val="00DF642D"/>
    <w:rsid w:val="00DF6583"/>
    <w:rsid w:val="00DF66BD"/>
    <w:rsid w:val="00DF681F"/>
    <w:rsid w:val="00DF6968"/>
    <w:rsid w:val="00DF6ABB"/>
    <w:rsid w:val="00DF6BA5"/>
    <w:rsid w:val="00DF6CF1"/>
    <w:rsid w:val="00DF6D46"/>
    <w:rsid w:val="00DF6E98"/>
    <w:rsid w:val="00DF7136"/>
    <w:rsid w:val="00DF7147"/>
    <w:rsid w:val="00DF71ED"/>
    <w:rsid w:val="00DF720D"/>
    <w:rsid w:val="00DF7412"/>
    <w:rsid w:val="00DF74DE"/>
    <w:rsid w:val="00DF756F"/>
    <w:rsid w:val="00DF760D"/>
    <w:rsid w:val="00DF76B2"/>
    <w:rsid w:val="00DF7772"/>
    <w:rsid w:val="00DF77FF"/>
    <w:rsid w:val="00DF7838"/>
    <w:rsid w:val="00DF78AD"/>
    <w:rsid w:val="00DF7DD1"/>
    <w:rsid w:val="00DF7E56"/>
    <w:rsid w:val="00DF7EC1"/>
    <w:rsid w:val="00E00399"/>
    <w:rsid w:val="00E003AA"/>
    <w:rsid w:val="00E0075F"/>
    <w:rsid w:val="00E007AD"/>
    <w:rsid w:val="00E00837"/>
    <w:rsid w:val="00E0092B"/>
    <w:rsid w:val="00E00FBA"/>
    <w:rsid w:val="00E0102C"/>
    <w:rsid w:val="00E01098"/>
    <w:rsid w:val="00E010D2"/>
    <w:rsid w:val="00E0118E"/>
    <w:rsid w:val="00E01324"/>
    <w:rsid w:val="00E014D7"/>
    <w:rsid w:val="00E0170B"/>
    <w:rsid w:val="00E017A0"/>
    <w:rsid w:val="00E017EF"/>
    <w:rsid w:val="00E019C9"/>
    <w:rsid w:val="00E01BA3"/>
    <w:rsid w:val="00E01BCC"/>
    <w:rsid w:val="00E01BD5"/>
    <w:rsid w:val="00E01C27"/>
    <w:rsid w:val="00E01EF5"/>
    <w:rsid w:val="00E020D7"/>
    <w:rsid w:val="00E02261"/>
    <w:rsid w:val="00E023E1"/>
    <w:rsid w:val="00E023E5"/>
    <w:rsid w:val="00E024C9"/>
    <w:rsid w:val="00E02582"/>
    <w:rsid w:val="00E0270A"/>
    <w:rsid w:val="00E02888"/>
    <w:rsid w:val="00E02957"/>
    <w:rsid w:val="00E029D1"/>
    <w:rsid w:val="00E02ACF"/>
    <w:rsid w:val="00E02B32"/>
    <w:rsid w:val="00E02B95"/>
    <w:rsid w:val="00E02D81"/>
    <w:rsid w:val="00E02F43"/>
    <w:rsid w:val="00E02FA3"/>
    <w:rsid w:val="00E0302C"/>
    <w:rsid w:val="00E030BF"/>
    <w:rsid w:val="00E033B2"/>
    <w:rsid w:val="00E034FD"/>
    <w:rsid w:val="00E0389E"/>
    <w:rsid w:val="00E0390C"/>
    <w:rsid w:val="00E039F5"/>
    <w:rsid w:val="00E03A2F"/>
    <w:rsid w:val="00E03B81"/>
    <w:rsid w:val="00E03EFA"/>
    <w:rsid w:val="00E0401E"/>
    <w:rsid w:val="00E040A3"/>
    <w:rsid w:val="00E04180"/>
    <w:rsid w:val="00E042A6"/>
    <w:rsid w:val="00E042E3"/>
    <w:rsid w:val="00E04544"/>
    <w:rsid w:val="00E0461A"/>
    <w:rsid w:val="00E04827"/>
    <w:rsid w:val="00E04A0C"/>
    <w:rsid w:val="00E04A73"/>
    <w:rsid w:val="00E04D2F"/>
    <w:rsid w:val="00E04DFE"/>
    <w:rsid w:val="00E04E0F"/>
    <w:rsid w:val="00E0504A"/>
    <w:rsid w:val="00E052A5"/>
    <w:rsid w:val="00E052FC"/>
    <w:rsid w:val="00E05394"/>
    <w:rsid w:val="00E05421"/>
    <w:rsid w:val="00E058ED"/>
    <w:rsid w:val="00E05AA5"/>
    <w:rsid w:val="00E05CA5"/>
    <w:rsid w:val="00E06028"/>
    <w:rsid w:val="00E06084"/>
    <w:rsid w:val="00E06385"/>
    <w:rsid w:val="00E06600"/>
    <w:rsid w:val="00E066EC"/>
    <w:rsid w:val="00E067FE"/>
    <w:rsid w:val="00E06A50"/>
    <w:rsid w:val="00E06D34"/>
    <w:rsid w:val="00E06DD5"/>
    <w:rsid w:val="00E06EE3"/>
    <w:rsid w:val="00E06F07"/>
    <w:rsid w:val="00E06F7C"/>
    <w:rsid w:val="00E07032"/>
    <w:rsid w:val="00E07086"/>
    <w:rsid w:val="00E0720A"/>
    <w:rsid w:val="00E07276"/>
    <w:rsid w:val="00E073F2"/>
    <w:rsid w:val="00E075A7"/>
    <w:rsid w:val="00E075E5"/>
    <w:rsid w:val="00E07677"/>
    <w:rsid w:val="00E0781F"/>
    <w:rsid w:val="00E07962"/>
    <w:rsid w:val="00E079FF"/>
    <w:rsid w:val="00E07A82"/>
    <w:rsid w:val="00E07B46"/>
    <w:rsid w:val="00E07E0B"/>
    <w:rsid w:val="00E07E65"/>
    <w:rsid w:val="00E07EFE"/>
    <w:rsid w:val="00E10053"/>
    <w:rsid w:val="00E101EC"/>
    <w:rsid w:val="00E10386"/>
    <w:rsid w:val="00E103D2"/>
    <w:rsid w:val="00E10460"/>
    <w:rsid w:val="00E10654"/>
    <w:rsid w:val="00E10825"/>
    <w:rsid w:val="00E10B97"/>
    <w:rsid w:val="00E10DB7"/>
    <w:rsid w:val="00E10E1C"/>
    <w:rsid w:val="00E10FB9"/>
    <w:rsid w:val="00E11028"/>
    <w:rsid w:val="00E115E0"/>
    <w:rsid w:val="00E115F1"/>
    <w:rsid w:val="00E1161D"/>
    <w:rsid w:val="00E1179F"/>
    <w:rsid w:val="00E117CF"/>
    <w:rsid w:val="00E11806"/>
    <w:rsid w:val="00E11817"/>
    <w:rsid w:val="00E118ED"/>
    <w:rsid w:val="00E11B44"/>
    <w:rsid w:val="00E11C94"/>
    <w:rsid w:val="00E11D14"/>
    <w:rsid w:val="00E11E0E"/>
    <w:rsid w:val="00E12052"/>
    <w:rsid w:val="00E12145"/>
    <w:rsid w:val="00E12187"/>
    <w:rsid w:val="00E122D8"/>
    <w:rsid w:val="00E12468"/>
    <w:rsid w:val="00E124B6"/>
    <w:rsid w:val="00E12533"/>
    <w:rsid w:val="00E126CA"/>
    <w:rsid w:val="00E128E8"/>
    <w:rsid w:val="00E12A22"/>
    <w:rsid w:val="00E12AA1"/>
    <w:rsid w:val="00E12AB1"/>
    <w:rsid w:val="00E12C36"/>
    <w:rsid w:val="00E12C58"/>
    <w:rsid w:val="00E12C93"/>
    <w:rsid w:val="00E12CF4"/>
    <w:rsid w:val="00E12F1A"/>
    <w:rsid w:val="00E12F37"/>
    <w:rsid w:val="00E12F7C"/>
    <w:rsid w:val="00E1309D"/>
    <w:rsid w:val="00E13439"/>
    <w:rsid w:val="00E134A9"/>
    <w:rsid w:val="00E1390E"/>
    <w:rsid w:val="00E139D3"/>
    <w:rsid w:val="00E13A4F"/>
    <w:rsid w:val="00E13E09"/>
    <w:rsid w:val="00E13E7A"/>
    <w:rsid w:val="00E13F5F"/>
    <w:rsid w:val="00E13FDE"/>
    <w:rsid w:val="00E140E6"/>
    <w:rsid w:val="00E1417F"/>
    <w:rsid w:val="00E1421A"/>
    <w:rsid w:val="00E142F5"/>
    <w:rsid w:val="00E14376"/>
    <w:rsid w:val="00E14377"/>
    <w:rsid w:val="00E14425"/>
    <w:rsid w:val="00E14570"/>
    <w:rsid w:val="00E145E0"/>
    <w:rsid w:val="00E14963"/>
    <w:rsid w:val="00E14CF9"/>
    <w:rsid w:val="00E14D48"/>
    <w:rsid w:val="00E15025"/>
    <w:rsid w:val="00E15032"/>
    <w:rsid w:val="00E15141"/>
    <w:rsid w:val="00E15209"/>
    <w:rsid w:val="00E15292"/>
    <w:rsid w:val="00E1530A"/>
    <w:rsid w:val="00E15531"/>
    <w:rsid w:val="00E1567D"/>
    <w:rsid w:val="00E157B4"/>
    <w:rsid w:val="00E157FB"/>
    <w:rsid w:val="00E15853"/>
    <w:rsid w:val="00E15878"/>
    <w:rsid w:val="00E15B8C"/>
    <w:rsid w:val="00E15D51"/>
    <w:rsid w:val="00E16169"/>
    <w:rsid w:val="00E1629B"/>
    <w:rsid w:val="00E16308"/>
    <w:rsid w:val="00E163D9"/>
    <w:rsid w:val="00E16534"/>
    <w:rsid w:val="00E1653C"/>
    <w:rsid w:val="00E167EA"/>
    <w:rsid w:val="00E1684E"/>
    <w:rsid w:val="00E16A2C"/>
    <w:rsid w:val="00E16CE1"/>
    <w:rsid w:val="00E16F6F"/>
    <w:rsid w:val="00E17042"/>
    <w:rsid w:val="00E171D0"/>
    <w:rsid w:val="00E1720A"/>
    <w:rsid w:val="00E172EF"/>
    <w:rsid w:val="00E17791"/>
    <w:rsid w:val="00E17817"/>
    <w:rsid w:val="00E1782E"/>
    <w:rsid w:val="00E17ACC"/>
    <w:rsid w:val="00E17C21"/>
    <w:rsid w:val="00E17E6A"/>
    <w:rsid w:val="00E17E86"/>
    <w:rsid w:val="00E200C9"/>
    <w:rsid w:val="00E20157"/>
    <w:rsid w:val="00E202F1"/>
    <w:rsid w:val="00E203BE"/>
    <w:rsid w:val="00E204AF"/>
    <w:rsid w:val="00E20563"/>
    <w:rsid w:val="00E20609"/>
    <w:rsid w:val="00E206F5"/>
    <w:rsid w:val="00E2085E"/>
    <w:rsid w:val="00E2099B"/>
    <w:rsid w:val="00E20C98"/>
    <w:rsid w:val="00E20CC6"/>
    <w:rsid w:val="00E20D91"/>
    <w:rsid w:val="00E20E46"/>
    <w:rsid w:val="00E20F83"/>
    <w:rsid w:val="00E2120C"/>
    <w:rsid w:val="00E21401"/>
    <w:rsid w:val="00E2142C"/>
    <w:rsid w:val="00E2152C"/>
    <w:rsid w:val="00E21628"/>
    <w:rsid w:val="00E216CF"/>
    <w:rsid w:val="00E21710"/>
    <w:rsid w:val="00E2174C"/>
    <w:rsid w:val="00E21776"/>
    <w:rsid w:val="00E21A55"/>
    <w:rsid w:val="00E21A74"/>
    <w:rsid w:val="00E21CA6"/>
    <w:rsid w:val="00E21CE9"/>
    <w:rsid w:val="00E21F2E"/>
    <w:rsid w:val="00E22446"/>
    <w:rsid w:val="00E224C8"/>
    <w:rsid w:val="00E227A2"/>
    <w:rsid w:val="00E22827"/>
    <w:rsid w:val="00E22977"/>
    <w:rsid w:val="00E2299E"/>
    <w:rsid w:val="00E22CDB"/>
    <w:rsid w:val="00E22D4C"/>
    <w:rsid w:val="00E22E71"/>
    <w:rsid w:val="00E22E9B"/>
    <w:rsid w:val="00E22EB0"/>
    <w:rsid w:val="00E22EB5"/>
    <w:rsid w:val="00E23051"/>
    <w:rsid w:val="00E230AB"/>
    <w:rsid w:val="00E230E9"/>
    <w:rsid w:val="00E23235"/>
    <w:rsid w:val="00E23369"/>
    <w:rsid w:val="00E23420"/>
    <w:rsid w:val="00E23547"/>
    <w:rsid w:val="00E2354E"/>
    <w:rsid w:val="00E235C8"/>
    <w:rsid w:val="00E23616"/>
    <w:rsid w:val="00E23668"/>
    <w:rsid w:val="00E23A68"/>
    <w:rsid w:val="00E23ADD"/>
    <w:rsid w:val="00E23AF8"/>
    <w:rsid w:val="00E23B8E"/>
    <w:rsid w:val="00E23CCB"/>
    <w:rsid w:val="00E23CE4"/>
    <w:rsid w:val="00E23F65"/>
    <w:rsid w:val="00E23FB1"/>
    <w:rsid w:val="00E23FFB"/>
    <w:rsid w:val="00E24006"/>
    <w:rsid w:val="00E2409F"/>
    <w:rsid w:val="00E24159"/>
    <w:rsid w:val="00E2432C"/>
    <w:rsid w:val="00E243C5"/>
    <w:rsid w:val="00E2448E"/>
    <w:rsid w:val="00E2449D"/>
    <w:rsid w:val="00E24550"/>
    <w:rsid w:val="00E245AB"/>
    <w:rsid w:val="00E246EB"/>
    <w:rsid w:val="00E24772"/>
    <w:rsid w:val="00E247CB"/>
    <w:rsid w:val="00E247E1"/>
    <w:rsid w:val="00E247FA"/>
    <w:rsid w:val="00E24868"/>
    <w:rsid w:val="00E24983"/>
    <w:rsid w:val="00E249CC"/>
    <w:rsid w:val="00E24A35"/>
    <w:rsid w:val="00E24C69"/>
    <w:rsid w:val="00E24E75"/>
    <w:rsid w:val="00E24EF7"/>
    <w:rsid w:val="00E24F51"/>
    <w:rsid w:val="00E250E6"/>
    <w:rsid w:val="00E2542B"/>
    <w:rsid w:val="00E254B6"/>
    <w:rsid w:val="00E254BA"/>
    <w:rsid w:val="00E2562E"/>
    <w:rsid w:val="00E25687"/>
    <w:rsid w:val="00E2571A"/>
    <w:rsid w:val="00E257EC"/>
    <w:rsid w:val="00E2593D"/>
    <w:rsid w:val="00E25A88"/>
    <w:rsid w:val="00E25C46"/>
    <w:rsid w:val="00E25D3A"/>
    <w:rsid w:val="00E25DB2"/>
    <w:rsid w:val="00E25EF3"/>
    <w:rsid w:val="00E2601B"/>
    <w:rsid w:val="00E26112"/>
    <w:rsid w:val="00E261CD"/>
    <w:rsid w:val="00E262F8"/>
    <w:rsid w:val="00E264F9"/>
    <w:rsid w:val="00E266F2"/>
    <w:rsid w:val="00E2673F"/>
    <w:rsid w:val="00E268A6"/>
    <w:rsid w:val="00E268FA"/>
    <w:rsid w:val="00E269E8"/>
    <w:rsid w:val="00E269F3"/>
    <w:rsid w:val="00E26A55"/>
    <w:rsid w:val="00E2705A"/>
    <w:rsid w:val="00E27110"/>
    <w:rsid w:val="00E271F4"/>
    <w:rsid w:val="00E2728E"/>
    <w:rsid w:val="00E272FC"/>
    <w:rsid w:val="00E27775"/>
    <w:rsid w:val="00E2781B"/>
    <w:rsid w:val="00E27865"/>
    <w:rsid w:val="00E278A9"/>
    <w:rsid w:val="00E27BA3"/>
    <w:rsid w:val="00E27DA5"/>
    <w:rsid w:val="00E27ED5"/>
    <w:rsid w:val="00E27F48"/>
    <w:rsid w:val="00E30002"/>
    <w:rsid w:val="00E304D1"/>
    <w:rsid w:val="00E304FD"/>
    <w:rsid w:val="00E306B7"/>
    <w:rsid w:val="00E30734"/>
    <w:rsid w:val="00E30936"/>
    <w:rsid w:val="00E30939"/>
    <w:rsid w:val="00E30A47"/>
    <w:rsid w:val="00E30C46"/>
    <w:rsid w:val="00E30D0D"/>
    <w:rsid w:val="00E30D8D"/>
    <w:rsid w:val="00E30ECA"/>
    <w:rsid w:val="00E312C5"/>
    <w:rsid w:val="00E314F8"/>
    <w:rsid w:val="00E31535"/>
    <w:rsid w:val="00E31544"/>
    <w:rsid w:val="00E3184F"/>
    <w:rsid w:val="00E3198D"/>
    <w:rsid w:val="00E319E3"/>
    <w:rsid w:val="00E31A69"/>
    <w:rsid w:val="00E31A93"/>
    <w:rsid w:val="00E31B03"/>
    <w:rsid w:val="00E31C5D"/>
    <w:rsid w:val="00E31D63"/>
    <w:rsid w:val="00E31DF9"/>
    <w:rsid w:val="00E3205E"/>
    <w:rsid w:val="00E32085"/>
    <w:rsid w:val="00E320FE"/>
    <w:rsid w:val="00E32215"/>
    <w:rsid w:val="00E32229"/>
    <w:rsid w:val="00E32235"/>
    <w:rsid w:val="00E32309"/>
    <w:rsid w:val="00E32396"/>
    <w:rsid w:val="00E324AF"/>
    <w:rsid w:val="00E324B3"/>
    <w:rsid w:val="00E325F3"/>
    <w:rsid w:val="00E327F3"/>
    <w:rsid w:val="00E3280F"/>
    <w:rsid w:val="00E3281F"/>
    <w:rsid w:val="00E328AE"/>
    <w:rsid w:val="00E32D71"/>
    <w:rsid w:val="00E32DD4"/>
    <w:rsid w:val="00E32EA3"/>
    <w:rsid w:val="00E3317D"/>
    <w:rsid w:val="00E33213"/>
    <w:rsid w:val="00E33524"/>
    <w:rsid w:val="00E33594"/>
    <w:rsid w:val="00E33633"/>
    <w:rsid w:val="00E338B4"/>
    <w:rsid w:val="00E33A3F"/>
    <w:rsid w:val="00E33A96"/>
    <w:rsid w:val="00E33E12"/>
    <w:rsid w:val="00E33E4A"/>
    <w:rsid w:val="00E33E92"/>
    <w:rsid w:val="00E33EDC"/>
    <w:rsid w:val="00E33F06"/>
    <w:rsid w:val="00E3401B"/>
    <w:rsid w:val="00E341FF"/>
    <w:rsid w:val="00E3431E"/>
    <w:rsid w:val="00E344C0"/>
    <w:rsid w:val="00E3454B"/>
    <w:rsid w:val="00E345C0"/>
    <w:rsid w:val="00E34807"/>
    <w:rsid w:val="00E34975"/>
    <w:rsid w:val="00E349AB"/>
    <w:rsid w:val="00E34A86"/>
    <w:rsid w:val="00E34C2F"/>
    <w:rsid w:val="00E34C46"/>
    <w:rsid w:val="00E34CC2"/>
    <w:rsid w:val="00E34DD5"/>
    <w:rsid w:val="00E34DF8"/>
    <w:rsid w:val="00E34F65"/>
    <w:rsid w:val="00E35027"/>
    <w:rsid w:val="00E35043"/>
    <w:rsid w:val="00E3525E"/>
    <w:rsid w:val="00E354D8"/>
    <w:rsid w:val="00E35581"/>
    <w:rsid w:val="00E35615"/>
    <w:rsid w:val="00E3571B"/>
    <w:rsid w:val="00E357B9"/>
    <w:rsid w:val="00E357BA"/>
    <w:rsid w:val="00E35872"/>
    <w:rsid w:val="00E3591E"/>
    <w:rsid w:val="00E35938"/>
    <w:rsid w:val="00E35A5C"/>
    <w:rsid w:val="00E35AE8"/>
    <w:rsid w:val="00E35CB8"/>
    <w:rsid w:val="00E35CCD"/>
    <w:rsid w:val="00E35D75"/>
    <w:rsid w:val="00E35F8F"/>
    <w:rsid w:val="00E36832"/>
    <w:rsid w:val="00E368AC"/>
    <w:rsid w:val="00E3697D"/>
    <w:rsid w:val="00E36A44"/>
    <w:rsid w:val="00E36BFF"/>
    <w:rsid w:val="00E36C39"/>
    <w:rsid w:val="00E36C67"/>
    <w:rsid w:val="00E36D3B"/>
    <w:rsid w:val="00E36E11"/>
    <w:rsid w:val="00E36E90"/>
    <w:rsid w:val="00E370CA"/>
    <w:rsid w:val="00E37253"/>
    <w:rsid w:val="00E374EA"/>
    <w:rsid w:val="00E375A1"/>
    <w:rsid w:val="00E3769D"/>
    <w:rsid w:val="00E378BD"/>
    <w:rsid w:val="00E37918"/>
    <w:rsid w:val="00E37A13"/>
    <w:rsid w:val="00E37A16"/>
    <w:rsid w:val="00E37A86"/>
    <w:rsid w:val="00E400A1"/>
    <w:rsid w:val="00E400DB"/>
    <w:rsid w:val="00E40154"/>
    <w:rsid w:val="00E40295"/>
    <w:rsid w:val="00E40345"/>
    <w:rsid w:val="00E40549"/>
    <w:rsid w:val="00E40615"/>
    <w:rsid w:val="00E4063D"/>
    <w:rsid w:val="00E407F9"/>
    <w:rsid w:val="00E40862"/>
    <w:rsid w:val="00E409CC"/>
    <w:rsid w:val="00E40B94"/>
    <w:rsid w:val="00E40CB0"/>
    <w:rsid w:val="00E40CC0"/>
    <w:rsid w:val="00E40E11"/>
    <w:rsid w:val="00E40F25"/>
    <w:rsid w:val="00E40F64"/>
    <w:rsid w:val="00E40FC3"/>
    <w:rsid w:val="00E4100D"/>
    <w:rsid w:val="00E410AD"/>
    <w:rsid w:val="00E410AF"/>
    <w:rsid w:val="00E412E4"/>
    <w:rsid w:val="00E41349"/>
    <w:rsid w:val="00E419E7"/>
    <w:rsid w:val="00E41D14"/>
    <w:rsid w:val="00E41DD1"/>
    <w:rsid w:val="00E42183"/>
    <w:rsid w:val="00E4221F"/>
    <w:rsid w:val="00E4239D"/>
    <w:rsid w:val="00E4266C"/>
    <w:rsid w:val="00E42770"/>
    <w:rsid w:val="00E427D2"/>
    <w:rsid w:val="00E42B0F"/>
    <w:rsid w:val="00E42E08"/>
    <w:rsid w:val="00E42E38"/>
    <w:rsid w:val="00E42EE4"/>
    <w:rsid w:val="00E42F1B"/>
    <w:rsid w:val="00E42F44"/>
    <w:rsid w:val="00E430EC"/>
    <w:rsid w:val="00E432F0"/>
    <w:rsid w:val="00E43333"/>
    <w:rsid w:val="00E4337C"/>
    <w:rsid w:val="00E433E6"/>
    <w:rsid w:val="00E434EA"/>
    <w:rsid w:val="00E4358E"/>
    <w:rsid w:val="00E435E6"/>
    <w:rsid w:val="00E43724"/>
    <w:rsid w:val="00E43729"/>
    <w:rsid w:val="00E4398D"/>
    <w:rsid w:val="00E43AD0"/>
    <w:rsid w:val="00E43E66"/>
    <w:rsid w:val="00E43F8A"/>
    <w:rsid w:val="00E43FDD"/>
    <w:rsid w:val="00E44110"/>
    <w:rsid w:val="00E441A1"/>
    <w:rsid w:val="00E441BB"/>
    <w:rsid w:val="00E44242"/>
    <w:rsid w:val="00E4424E"/>
    <w:rsid w:val="00E4444F"/>
    <w:rsid w:val="00E4447D"/>
    <w:rsid w:val="00E44492"/>
    <w:rsid w:val="00E444C5"/>
    <w:rsid w:val="00E44726"/>
    <w:rsid w:val="00E4485A"/>
    <w:rsid w:val="00E448DE"/>
    <w:rsid w:val="00E44CF6"/>
    <w:rsid w:val="00E44E76"/>
    <w:rsid w:val="00E44F0E"/>
    <w:rsid w:val="00E44F16"/>
    <w:rsid w:val="00E45092"/>
    <w:rsid w:val="00E45242"/>
    <w:rsid w:val="00E458EB"/>
    <w:rsid w:val="00E4593F"/>
    <w:rsid w:val="00E45D8D"/>
    <w:rsid w:val="00E45F57"/>
    <w:rsid w:val="00E461B3"/>
    <w:rsid w:val="00E46333"/>
    <w:rsid w:val="00E46359"/>
    <w:rsid w:val="00E463DF"/>
    <w:rsid w:val="00E464C0"/>
    <w:rsid w:val="00E465BE"/>
    <w:rsid w:val="00E467D8"/>
    <w:rsid w:val="00E4684B"/>
    <w:rsid w:val="00E469AE"/>
    <w:rsid w:val="00E46A96"/>
    <w:rsid w:val="00E46BC5"/>
    <w:rsid w:val="00E46DE8"/>
    <w:rsid w:val="00E46F54"/>
    <w:rsid w:val="00E475AC"/>
    <w:rsid w:val="00E477B1"/>
    <w:rsid w:val="00E47838"/>
    <w:rsid w:val="00E479F8"/>
    <w:rsid w:val="00E47B74"/>
    <w:rsid w:val="00E47C4B"/>
    <w:rsid w:val="00E47E87"/>
    <w:rsid w:val="00E47E9F"/>
    <w:rsid w:val="00E500F9"/>
    <w:rsid w:val="00E50245"/>
    <w:rsid w:val="00E5038D"/>
    <w:rsid w:val="00E50408"/>
    <w:rsid w:val="00E506A0"/>
    <w:rsid w:val="00E5081E"/>
    <w:rsid w:val="00E50846"/>
    <w:rsid w:val="00E50853"/>
    <w:rsid w:val="00E50935"/>
    <w:rsid w:val="00E509CD"/>
    <w:rsid w:val="00E50B48"/>
    <w:rsid w:val="00E50C0E"/>
    <w:rsid w:val="00E50DEA"/>
    <w:rsid w:val="00E5103C"/>
    <w:rsid w:val="00E5113D"/>
    <w:rsid w:val="00E511CE"/>
    <w:rsid w:val="00E51532"/>
    <w:rsid w:val="00E51699"/>
    <w:rsid w:val="00E5176A"/>
    <w:rsid w:val="00E51AE9"/>
    <w:rsid w:val="00E51B02"/>
    <w:rsid w:val="00E51C27"/>
    <w:rsid w:val="00E51CA2"/>
    <w:rsid w:val="00E51CEE"/>
    <w:rsid w:val="00E51EEF"/>
    <w:rsid w:val="00E51F45"/>
    <w:rsid w:val="00E5232F"/>
    <w:rsid w:val="00E5239D"/>
    <w:rsid w:val="00E523E6"/>
    <w:rsid w:val="00E52450"/>
    <w:rsid w:val="00E5277D"/>
    <w:rsid w:val="00E5283F"/>
    <w:rsid w:val="00E528D0"/>
    <w:rsid w:val="00E529B2"/>
    <w:rsid w:val="00E52BBB"/>
    <w:rsid w:val="00E52BF4"/>
    <w:rsid w:val="00E52DCB"/>
    <w:rsid w:val="00E52F1A"/>
    <w:rsid w:val="00E52F49"/>
    <w:rsid w:val="00E530E7"/>
    <w:rsid w:val="00E53118"/>
    <w:rsid w:val="00E53147"/>
    <w:rsid w:val="00E5315B"/>
    <w:rsid w:val="00E53443"/>
    <w:rsid w:val="00E5357E"/>
    <w:rsid w:val="00E535D4"/>
    <w:rsid w:val="00E537F7"/>
    <w:rsid w:val="00E53A01"/>
    <w:rsid w:val="00E53B0A"/>
    <w:rsid w:val="00E53B10"/>
    <w:rsid w:val="00E53C34"/>
    <w:rsid w:val="00E53F07"/>
    <w:rsid w:val="00E5401B"/>
    <w:rsid w:val="00E540D9"/>
    <w:rsid w:val="00E54241"/>
    <w:rsid w:val="00E54393"/>
    <w:rsid w:val="00E544B7"/>
    <w:rsid w:val="00E54935"/>
    <w:rsid w:val="00E5494B"/>
    <w:rsid w:val="00E549C6"/>
    <w:rsid w:val="00E54B4D"/>
    <w:rsid w:val="00E54C2A"/>
    <w:rsid w:val="00E54DFA"/>
    <w:rsid w:val="00E54F77"/>
    <w:rsid w:val="00E54FE6"/>
    <w:rsid w:val="00E550C8"/>
    <w:rsid w:val="00E5517A"/>
    <w:rsid w:val="00E55199"/>
    <w:rsid w:val="00E55316"/>
    <w:rsid w:val="00E55536"/>
    <w:rsid w:val="00E5559D"/>
    <w:rsid w:val="00E558E3"/>
    <w:rsid w:val="00E55994"/>
    <w:rsid w:val="00E55B1B"/>
    <w:rsid w:val="00E55EE1"/>
    <w:rsid w:val="00E55F4A"/>
    <w:rsid w:val="00E55F62"/>
    <w:rsid w:val="00E56080"/>
    <w:rsid w:val="00E560B8"/>
    <w:rsid w:val="00E560EB"/>
    <w:rsid w:val="00E561C4"/>
    <w:rsid w:val="00E562CD"/>
    <w:rsid w:val="00E563BB"/>
    <w:rsid w:val="00E563C3"/>
    <w:rsid w:val="00E565D3"/>
    <w:rsid w:val="00E56650"/>
    <w:rsid w:val="00E56C4F"/>
    <w:rsid w:val="00E56DAC"/>
    <w:rsid w:val="00E56DB5"/>
    <w:rsid w:val="00E56DF8"/>
    <w:rsid w:val="00E56E50"/>
    <w:rsid w:val="00E56EC5"/>
    <w:rsid w:val="00E570B7"/>
    <w:rsid w:val="00E5714D"/>
    <w:rsid w:val="00E57169"/>
    <w:rsid w:val="00E57387"/>
    <w:rsid w:val="00E573D0"/>
    <w:rsid w:val="00E5744B"/>
    <w:rsid w:val="00E57477"/>
    <w:rsid w:val="00E576C5"/>
    <w:rsid w:val="00E578B9"/>
    <w:rsid w:val="00E57938"/>
    <w:rsid w:val="00E57AE3"/>
    <w:rsid w:val="00E57F10"/>
    <w:rsid w:val="00E57F97"/>
    <w:rsid w:val="00E60085"/>
    <w:rsid w:val="00E600AA"/>
    <w:rsid w:val="00E601EB"/>
    <w:rsid w:val="00E60409"/>
    <w:rsid w:val="00E606AD"/>
    <w:rsid w:val="00E60737"/>
    <w:rsid w:val="00E60823"/>
    <w:rsid w:val="00E608A8"/>
    <w:rsid w:val="00E60AAA"/>
    <w:rsid w:val="00E61288"/>
    <w:rsid w:val="00E61463"/>
    <w:rsid w:val="00E614E9"/>
    <w:rsid w:val="00E614FE"/>
    <w:rsid w:val="00E61B22"/>
    <w:rsid w:val="00E62494"/>
    <w:rsid w:val="00E62C4A"/>
    <w:rsid w:val="00E62DED"/>
    <w:rsid w:val="00E62F6E"/>
    <w:rsid w:val="00E63502"/>
    <w:rsid w:val="00E6350E"/>
    <w:rsid w:val="00E636A9"/>
    <w:rsid w:val="00E636D3"/>
    <w:rsid w:val="00E63784"/>
    <w:rsid w:val="00E63B6E"/>
    <w:rsid w:val="00E63C25"/>
    <w:rsid w:val="00E63EB5"/>
    <w:rsid w:val="00E6407D"/>
    <w:rsid w:val="00E640F5"/>
    <w:rsid w:val="00E641A7"/>
    <w:rsid w:val="00E6430D"/>
    <w:rsid w:val="00E6442E"/>
    <w:rsid w:val="00E644B8"/>
    <w:rsid w:val="00E645F3"/>
    <w:rsid w:val="00E6467A"/>
    <w:rsid w:val="00E64681"/>
    <w:rsid w:val="00E64784"/>
    <w:rsid w:val="00E6478F"/>
    <w:rsid w:val="00E64AF4"/>
    <w:rsid w:val="00E64B15"/>
    <w:rsid w:val="00E64B63"/>
    <w:rsid w:val="00E64CCD"/>
    <w:rsid w:val="00E64F3D"/>
    <w:rsid w:val="00E64FA3"/>
    <w:rsid w:val="00E6506F"/>
    <w:rsid w:val="00E650AD"/>
    <w:rsid w:val="00E651BD"/>
    <w:rsid w:val="00E651D3"/>
    <w:rsid w:val="00E651F7"/>
    <w:rsid w:val="00E6533D"/>
    <w:rsid w:val="00E653A3"/>
    <w:rsid w:val="00E65629"/>
    <w:rsid w:val="00E656BB"/>
    <w:rsid w:val="00E65773"/>
    <w:rsid w:val="00E658E0"/>
    <w:rsid w:val="00E6591B"/>
    <w:rsid w:val="00E659E4"/>
    <w:rsid w:val="00E65B58"/>
    <w:rsid w:val="00E65B89"/>
    <w:rsid w:val="00E65B9C"/>
    <w:rsid w:val="00E65C61"/>
    <w:rsid w:val="00E65D7E"/>
    <w:rsid w:val="00E65FAE"/>
    <w:rsid w:val="00E65FD6"/>
    <w:rsid w:val="00E6600A"/>
    <w:rsid w:val="00E660DF"/>
    <w:rsid w:val="00E66130"/>
    <w:rsid w:val="00E6619A"/>
    <w:rsid w:val="00E6632A"/>
    <w:rsid w:val="00E6649D"/>
    <w:rsid w:val="00E6649F"/>
    <w:rsid w:val="00E66667"/>
    <w:rsid w:val="00E66721"/>
    <w:rsid w:val="00E66B0F"/>
    <w:rsid w:val="00E66B2A"/>
    <w:rsid w:val="00E66DE2"/>
    <w:rsid w:val="00E66E23"/>
    <w:rsid w:val="00E66E89"/>
    <w:rsid w:val="00E66E8B"/>
    <w:rsid w:val="00E6704C"/>
    <w:rsid w:val="00E6709D"/>
    <w:rsid w:val="00E67215"/>
    <w:rsid w:val="00E674CE"/>
    <w:rsid w:val="00E675DB"/>
    <w:rsid w:val="00E6769F"/>
    <w:rsid w:val="00E676F7"/>
    <w:rsid w:val="00E67833"/>
    <w:rsid w:val="00E679B2"/>
    <w:rsid w:val="00E67C15"/>
    <w:rsid w:val="00E67C28"/>
    <w:rsid w:val="00E67D6C"/>
    <w:rsid w:val="00E67DF4"/>
    <w:rsid w:val="00E67E17"/>
    <w:rsid w:val="00E67EFD"/>
    <w:rsid w:val="00E7002D"/>
    <w:rsid w:val="00E702DC"/>
    <w:rsid w:val="00E70394"/>
    <w:rsid w:val="00E7041A"/>
    <w:rsid w:val="00E70625"/>
    <w:rsid w:val="00E707F5"/>
    <w:rsid w:val="00E7083A"/>
    <w:rsid w:val="00E70AA0"/>
    <w:rsid w:val="00E70D75"/>
    <w:rsid w:val="00E70F84"/>
    <w:rsid w:val="00E70F99"/>
    <w:rsid w:val="00E71087"/>
    <w:rsid w:val="00E71123"/>
    <w:rsid w:val="00E711CB"/>
    <w:rsid w:val="00E713AE"/>
    <w:rsid w:val="00E71458"/>
    <w:rsid w:val="00E71604"/>
    <w:rsid w:val="00E716F0"/>
    <w:rsid w:val="00E71721"/>
    <w:rsid w:val="00E71786"/>
    <w:rsid w:val="00E718C3"/>
    <w:rsid w:val="00E7194D"/>
    <w:rsid w:val="00E71A5D"/>
    <w:rsid w:val="00E71B17"/>
    <w:rsid w:val="00E71BC0"/>
    <w:rsid w:val="00E71BD2"/>
    <w:rsid w:val="00E71C9B"/>
    <w:rsid w:val="00E71E40"/>
    <w:rsid w:val="00E71EC3"/>
    <w:rsid w:val="00E72062"/>
    <w:rsid w:val="00E72274"/>
    <w:rsid w:val="00E726C1"/>
    <w:rsid w:val="00E7293C"/>
    <w:rsid w:val="00E729D1"/>
    <w:rsid w:val="00E72A0C"/>
    <w:rsid w:val="00E72A15"/>
    <w:rsid w:val="00E72AA7"/>
    <w:rsid w:val="00E72ACE"/>
    <w:rsid w:val="00E72B8E"/>
    <w:rsid w:val="00E72C69"/>
    <w:rsid w:val="00E72EF7"/>
    <w:rsid w:val="00E7319F"/>
    <w:rsid w:val="00E73211"/>
    <w:rsid w:val="00E734E8"/>
    <w:rsid w:val="00E734EE"/>
    <w:rsid w:val="00E73791"/>
    <w:rsid w:val="00E738C7"/>
    <w:rsid w:val="00E73C3D"/>
    <w:rsid w:val="00E73D7E"/>
    <w:rsid w:val="00E73DC8"/>
    <w:rsid w:val="00E73E10"/>
    <w:rsid w:val="00E73E64"/>
    <w:rsid w:val="00E73E68"/>
    <w:rsid w:val="00E73E73"/>
    <w:rsid w:val="00E73ECE"/>
    <w:rsid w:val="00E74010"/>
    <w:rsid w:val="00E740F4"/>
    <w:rsid w:val="00E741C6"/>
    <w:rsid w:val="00E7440F"/>
    <w:rsid w:val="00E74584"/>
    <w:rsid w:val="00E74640"/>
    <w:rsid w:val="00E74944"/>
    <w:rsid w:val="00E74A33"/>
    <w:rsid w:val="00E74C80"/>
    <w:rsid w:val="00E74E23"/>
    <w:rsid w:val="00E74FB0"/>
    <w:rsid w:val="00E74FE7"/>
    <w:rsid w:val="00E75060"/>
    <w:rsid w:val="00E75065"/>
    <w:rsid w:val="00E75079"/>
    <w:rsid w:val="00E75247"/>
    <w:rsid w:val="00E752B8"/>
    <w:rsid w:val="00E75507"/>
    <w:rsid w:val="00E75AC4"/>
    <w:rsid w:val="00E75B5F"/>
    <w:rsid w:val="00E75D70"/>
    <w:rsid w:val="00E75E99"/>
    <w:rsid w:val="00E76088"/>
    <w:rsid w:val="00E761C7"/>
    <w:rsid w:val="00E76221"/>
    <w:rsid w:val="00E76271"/>
    <w:rsid w:val="00E76666"/>
    <w:rsid w:val="00E766B4"/>
    <w:rsid w:val="00E767C8"/>
    <w:rsid w:val="00E76886"/>
    <w:rsid w:val="00E768E3"/>
    <w:rsid w:val="00E7699C"/>
    <w:rsid w:val="00E76A0E"/>
    <w:rsid w:val="00E76ABC"/>
    <w:rsid w:val="00E76C9D"/>
    <w:rsid w:val="00E76F38"/>
    <w:rsid w:val="00E7709D"/>
    <w:rsid w:val="00E77171"/>
    <w:rsid w:val="00E7724A"/>
    <w:rsid w:val="00E77257"/>
    <w:rsid w:val="00E775C8"/>
    <w:rsid w:val="00E77798"/>
    <w:rsid w:val="00E77906"/>
    <w:rsid w:val="00E77A34"/>
    <w:rsid w:val="00E77A80"/>
    <w:rsid w:val="00E77A84"/>
    <w:rsid w:val="00E77D51"/>
    <w:rsid w:val="00E77DC6"/>
    <w:rsid w:val="00E77FD6"/>
    <w:rsid w:val="00E77FE5"/>
    <w:rsid w:val="00E800C6"/>
    <w:rsid w:val="00E80228"/>
    <w:rsid w:val="00E80293"/>
    <w:rsid w:val="00E802AE"/>
    <w:rsid w:val="00E802DA"/>
    <w:rsid w:val="00E8038D"/>
    <w:rsid w:val="00E80459"/>
    <w:rsid w:val="00E806F2"/>
    <w:rsid w:val="00E80829"/>
    <w:rsid w:val="00E80B73"/>
    <w:rsid w:val="00E80CD8"/>
    <w:rsid w:val="00E80EFE"/>
    <w:rsid w:val="00E80F2D"/>
    <w:rsid w:val="00E80F8B"/>
    <w:rsid w:val="00E8103F"/>
    <w:rsid w:val="00E810BD"/>
    <w:rsid w:val="00E812B7"/>
    <w:rsid w:val="00E813CB"/>
    <w:rsid w:val="00E81668"/>
    <w:rsid w:val="00E8167C"/>
    <w:rsid w:val="00E81843"/>
    <w:rsid w:val="00E81962"/>
    <w:rsid w:val="00E81E7F"/>
    <w:rsid w:val="00E8213A"/>
    <w:rsid w:val="00E82161"/>
    <w:rsid w:val="00E823D3"/>
    <w:rsid w:val="00E8244F"/>
    <w:rsid w:val="00E82488"/>
    <w:rsid w:val="00E824C7"/>
    <w:rsid w:val="00E8256E"/>
    <w:rsid w:val="00E825DB"/>
    <w:rsid w:val="00E82848"/>
    <w:rsid w:val="00E82925"/>
    <w:rsid w:val="00E82BA5"/>
    <w:rsid w:val="00E82DD7"/>
    <w:rsid w:val="00E82E0D"/>
    <w:rsid w:val="00E82FD5"/>
    <w:rsid w:val="00E830BE"/>
    <w:rsid w:val="00E83170"/>
    <w:rsid w:val="00E83313"/>
    <w:rsid w:val="00E833A3"/>
    <w:rsid w:val="00E83430"/>
    <w:rsid w:val="00E83466"/>
    <w:rsid w:val="00E839F8"/>
    <w:rsid w:val="00E83A1C"/>
    <w:rsid w:val="00E83A8D"/>
    <w:rsid w:val="00E83AC6"/>
    <w:rsid w:val="00E83B96"/>
    <w:rsid w:val="00E8407E"/>
    <w:rsid w:val="00E841D6"/>
    <w:rsid w:val="00E842BA"/>
    <w:rsid w:val="00E84440"/>
    <w:rsid w:val="00E846EF"/>
    <w:rsid w:val="00E8477C"/>
    <w:rsid w:val="00E84789"/>
    <w:rsid w:val="00E84809"/>
    <w:rsid w:val="00E84ADB"/>
    <w:rsid w:val="00E84B41"/>
    <w:rsid w:val="00E84C7C"/>
    <w:rsid w:val="00E84EBA"/>
    <w:rsid w:val="00E85038"/>
    <w:rsid w:val="00E850DF"/>
    <w:rsid w:val="00E85190"/>
    <w:rsid w:val="00E852FC"/>
    <w:rsid w:val="00E85388"/>
    <w:rsid w:val="00E853B5"/>
    <w:rsid w:val="00E8552A"/>
    <w:rsid w:val="00E8571D"/>
    <w:rsid w:val="00E85A48"/>
    <w:rsid w:val="00E85B26"/>
    <w:rsid w:val="00E85BEE"/>
    <w:rsid w:val="00E85D00"/>
    <w:rsid w:val="00E85E30"/>
    <w:rsid w:val="00E85EC9"/>
    <w:rsid w:val="00E85FC4"/>
    <w:rsid w:val="00E8602B"/>
    <w:rsid w:val="00E86089"/>
    <w:rsid w:val="00E860A9"/>
    <w:rsid w:val="00E860B7"/>
    <w:rsid w:val="00E860BF"/>
    <w:rsid w:val="00E86155"/>
    <w:rsid w:val="00E861A4"/>
    <w:rsid w:val="00E8625B"/>
    <w:rsid w:val="00E8625C"/>
    <w:rsid w:val="00E86371"/>
    <w:rsid w:val="00E86499"/>
    <w:rsid w:val="00E865F5"/>
    <w:rsid w:val="00E86709"/>
    <w:rsid w:val="00E867A9"/>
    <w:rsid w:val="00E8680B"/>
    <w:rsid w:val="00E868D2"/>
    <w:rsid w:val="00E868F8"/>
    <w:rsid w:val="00E868FF"/>
    <w:rsid w:val="00E86A37"/>
    <w:rsid w:val="00E86A48"/>
    <w:rsid w:val="00E86AB9"/>
    <w:rsid w:val="00E86B91"/>
    <w:rsid w:val="00E86CEF"/>
    <w:rsid w:val="00E86EC8"/>
    <w:rsid w:val="00E870A6"/>
    <w:rsid w:val="00E8718C"/>
    <w:rsid w:val="00E87253"/>
    <w:rsid w:val="00E872C0"/>
    <w:rsid w:val="00E87AC5"/>
    <w:rsid w:val="00E87B0B"/>
    <w:rsid w:val="00E87C7D"/>
    <w:rsid w:val="00E87CCE"/>
    <w:rsid w:val="00E87DD6"/>
    <w:rsid w:val="00E87F89"/>
    <w:rsid w:val="00E87FA3"/>
    <w:rsid w:val="00E87FAD"/>
    <w:rsid w:val="00E87FD9"/>
    <w:rsid w:val="00E9009F"/>
    <w:rsid w:val="00E9039F"/>
    <w:rsid w:val="00E903EE"/>
    <w:rsid w:val="00E90579"/>
    <w:rsid w:val="00E907B6"/>
    <w:rsid w:val="00E907F3"/>
    <w:rsid w:val="00E90A5C"/>
    <w:rsid w:val="00E90DA9"/>
    <w:rsid w:val="00E90DBA"/>
    <w:rsid w:val="00E90EFE"/>
    <w:rsid w:val="00E90F09"/>
    <w:rsid w:val="00E910A7"/>
    <w:rsid w:val="00E91465"/>
    <w:rsid w:val="00E914EA"/>
    <w:rsid w:val="00E91668"/>
    <w:rsid w:val="00E91718"/>
    <w:rsid w:val="00E918D1"/>
    <w:rsid w:val="00E91B01"/>
    <w:rsid w:val="00E91BE3"/>
    <w:rsid w:val="00E91BFF"/>
    <w:rsid w:val="00E91C62"/>
    <w:rsid w:val="00E91CF6"/>
    <w:rsid w:val="00E91D01"/>
    <w:rsid w:val="00E91E36"/>
    <w:rsid w:val="00E92578"/>
    <w:rsid w:val="00E927EB"/>
    <w:rsid w:val="00E928EA"/>
    <w:rsid w:val="00E92957"/>
    <w:rsid w:val="00E92CA9"/>
    <w:rsid w:val="00E93037"/>
    <w:rsid w:val="00E93287"/>
    <w:rsid w:val="00E932DD"/>
    <w:rsid w:val="00E93470"/>
    <w:rsid w:val="00E93602"/>
    <w:rsid w:val="00E9370F"/>
    <w:rsid w:val="00E93727"/>
    <w:rsid w:val="00E937AB"/>
    <w:rsid w:val="00E9387C"/>
    <w:rsid w:val="00E93984"/>
    <w:rsid w:val="00E93B3E"/>
    <w:rsid w:val="00E93EB2"/>
    <w:rsid w:val="00E93EDE"/>
    <w:rsid w:val="00E94282"/>
    <w:rsid w:val="00E942C8"/>
    <w:rsid w:val="00E94370"/>
    <w:rsid w:val="00E946EF"/>
    <w:rsid w:val="00E9471B"/>
    <w:rsid w:val="00E9471D"/>
    <w:rsid w:val="00E94DDC"/>
    <w:rsid w:val="00E94E67"/>
    <w:rsid w:val="00E94EEA"/>
    <w:rsid w:val="00E94FAF"/>
    <w:rsid w:val="00E9517C"/>
    <w:rsid w:val="00E95404"/>
    <w:rsid w:val="00E95672"/>
    <w:rsid w:val="00E95853"/>
    <w:rsid w:val="00E959C3"/>
    <w:rsid w:val="00E95BCA"/>
    <w:rsid w:val="00E95CAB"/>
    <w:rsid w:val="00E95E3D"/>
    <w:rsid w:val="00E9604E"/>
    <w:rsid w:val="00E961A5"/>
    <w:rsid w:val="00E96336"/>
    <w:rsid w:val="00E964E6"/>
    <w:rsid w:val="00E96633"/>
    <w:rsid w:val="00E966F4"/>
    <w:rsid w:val="00E96742"/>
    <w:rsid w:val="00E96881"/>
    <w:rsid w:val="00E968C4"/>
    <w:rsid w:val="00E969AB"/>
    <w:rsid w:val="00E96B6A"/>
    <w:rsid w:val="00E96CD1"/>
    <w:rsid w:val="00E96D53"/>
    <w:rsid w:val="00E96E91"/>
    <w:rsid w:val="00E96FB7"/>
    <w:rsid w:val="00E970F3"/>
    <w:rsid w:val="00E9714D"/>
    <w:rsid w:val="00E9726A"/>
    <w:rsid w:val="00E9734D"/>
    <w:rsid w:val="00E9736F"/>
    <w:rsid w:val="00E97439"/>
    <w:rsid w:val="00E97500"/>
    <w:rsid w:val="00E97518"/>
    <w:rsid w:val="00E97728"/>
    <w:rsid w:val="00E97868"/>
    <w:rsid w:val="00E97914"/>
    <w:rsid w:val="00E97A41"/>
    <w:rsid w:val="00E97AA9"/>
    <w:rsid w:val="00E97D85"/>
    <w:rsid w:val="00E97DE1"/>
    <w:rsid w:val="00E97E35"/>
    <w:rsid w:val="00EA010A"/>
    <w:rsid w:val="00EA018A"/>
    <w:rsid w:val="00EA038F"/>
    <w:rsid w:val="00EA0450"/>
    <w:rsid w:val="00EA04C1"/>
    <w:rsid w:val="00EA04FB"/>
    <w:rsid w:val="00EA05EA"/>
    <w:rsid w:val="00EA0670"/>
    <w:rsid w:val="00EA069D"/>
    <w:rsid w:val="00EA0740"/>
    <w:rsid w:val="00EA076C"/>
    <w:rsid w:val="00EA07A0"/>
    <w:rsid w:val="00EA07A7"/>
    <w:rsid w:val="00EA0801"/>
    <w:rsid w:val="00EA0833"/>
    <w:rsid w:val="00EA084A"/>
    <w:rsid w:val="00EA086A"/>
    <w:rsid w:val="00EA0A1F"/>
    <w:rsid w:val="00EA0A27"/>
    <w:rsid w:val="00EA0DC9"/>
    <w:rsid w:val="00EA0F89"/>
    <w:rsid w:val="00EA0FAC"/>
    <w:rsid w:val="00EA10D7"/>
    <w:rsid w:val="00EA11CA"/>
    <w:rsid w:val="00EA138D"/>
    <w:rsid w:val="00EA1435"/>
    <w:rsid w:val="00EA1471"/>
    <w:rsid w:val="00EA14C6"/>
    <w:rsid w:val="00EA15D1"/>
    <w:rsid w:val="00EA166D"/>
    <w:rsid w:val="00EA1B51"/>
    <w:rsid w:val="00EA1C21"/>
    <w:rsid w:val="00EA2024"/>
    <w:rsid w:val="00EA2178"/>
    <w:rsid w:val="00EA21BF"/>
    <w:rsid w:val="00EA25A9"/>
    <w:rsid w:val="00EA25D1"/>
    <w:rsid w:val="00EA2891"/>
    <w:rsid w:val="00EA28B9"/>
    <w:rsid w:val="00EA2AC6"/>
    <w:rsid w:val="00EA2D14"/>
    <w:rsid w:val="00EA2D94"/>
    <w:rsid w:val="00EA2DEE"/>
    <w:rsid w:val="00EA2E53"/>
    <w:rsid w:val="00EA30A6"/>
    <w:rsid w:val="00EA359E"/>
    <w:rsid w:val="00EA363D"/>
    <w:rsid w:val="00EA3708"/>
    <w:rsid w:val="00EA3A2F"/>
    <w:rsid w:val="00EA3B76"/>
    <w:rsid w:val="00EA3C3D"/>
    <w:rsid w:val="00EA3C9E"/>
    <w:rsid w:val="00EA3E84"/>
    <w:rsid w:val="00EA4113"/>
    <w:rsid w:val="00EA439B"/>
    <w:rsid w:val="00EA43F5"/>
    <w:rsid w:val="00EA44F5"/>
    <w:rsid w:val="00EA46CA"/>
    <w:rsid w:val="00EA471D"/>
    <w:rsid w:val="00EA4820"/>
    <w:rsid w:val="00EA4B6C"/>
    <w:rsid w:val="00EA4E91"/>
    <w:rsid w:val="00EA4EE1"/>
    <w:rsid w:val="00EA4F7C"/>
    <w:rsid w:val="00EA510D"/>
    <w:rsid w:val="00EA5173"/>
    <w:rsid w:val="00EA5225"/>
    <w:rsid w:val="00EA532C"/>
    <w:rsid w:val="00EA5338"/>
    <w:rsid w:val="00EA540A"/>
    <w:rsid w:val="00EA57FB"/>
    <w:rsid w:val="00EA5931"/>
    <w:rsid w:val="00EA5A81"/>
    <w:rsid w:val="00EA5AB7"/>
    <w:rsid w:val="00EA5CCC"/>
    <w:rsid w:val="00EA5D63"/>
    <w:rsid w:val="00EA5DDB"/>
    <w:rsid w:val="00EA5F15"/>
    <w:rsid w:val="00EA5F6A"/>
    <w:rsid w:val="00EA5F6F"/>
    <w:rsid w:val="00EA5F9C"/>
    <w:rsid w:val="00EA60D6"/>
    <w:rsid w:val="00EA62A9"/>
    <w:rsid w:val="00EA630E"/>
    <w:rsid w:val="00EA63A5"/>
    <w:rsid w:val="00EA643F"/>
    <w:rsid w:val="00EA657B"/>
    <w:rsid w:val="00EA6591"/>
    <w:rsid w:val="00EA6667"/>
    <w:rsid w:val="00EA66FB"/>
    <w:rsid w:val="00EA6721"/>
    <w:rsid w:val="00EA6841"/>
    <w:rsid w:val="00EA6934"/>
    <w:rsid w:val="00EA6C54"/>
    <w:rsid w:val="00EA6FBA"/>
    <w:rsid w:val="00EA7257"/>
    <w:rsid w:val="00EA7274"/>
    <w:rsid w:val="00EA7431"/>
    <w:rsid w:val="00EA7628"/>
    <w:rsid w:val="00EA762C"/>
    <w:rsid w:val="00EA7B95"/>
    <w:rsid w:val="00EA7BC9"/>
    <w:rsid w:val="00EA7C8F"/>
    <w:rsid w:val="00EA7D8B"/>
    <w:rsid w:val="00EA7DB5"/>
    <w:rsid w:val="00EA7E0E"/>
    <w:rsid w:val="00EB019F"/>
    <w:rsid w:val="00EB05BF"/>
    <w:rsid w:val="00EB077B"/>
    <w:rsid w:val="00EB0B39"/>
    <w:rsid w:val="00EB0B77"/>
    <w:rsid w:val="00EB0D25"/>
    <w:rsid w:val="00EB0D40"/>
    <w:rsid w:val="00EB0D96"/>
    <w:rsid w:val="00EB10C0"/>
    <w:rsid w:val="00EB11D0"/>
    <w:rsid w:val="00EB15B6"/>
    <w:rsid w:val="00EB17E8"/>
    <w:rsid w:val="00EB1841"/>
    <w:rsid w:val="00EB1845"/>
    <w:rsid w:val="00EB1ACD"/>
    <w:rsid w:val="00EB1C74"/>
    <w:rsid w:val="00EB1E32"/>
    <w:rsid w:val="00EB1EC2"/>
    <w:rsid w:val="00EB1EF8"/>
    <w:rsid w:val="00EB1F20"/>
    <w:rsid w:val="00EB20F3"/>
    <w:rsid w:val="00EB2154"/>
    <w:rsid w:val="00EB2260"/>
    <w:rsid w:val="00EB22FE"/>
    <w:rsid w:val="00EB23DE"/>
    <w:rsid w:val="00EB2686"/>
    <w:rsid w:val="00EB277E"/>
    <w:rsid w:val="00EB27AE"/>
    <w:rsid w:val="00EB290E"/>
    <w:rsid w:val="00EB2A40"/>
    <w:rsid w:val="00EB2A4E"/>
    <w:rsid w:val="00EB2B77"/>
    <w:rsid w:val="00EB2C3F"/>
    <w:rsid w:val="00EB2F3B"/>
    <w:rsid w:val="00EB3075"/>
    <w:rsid w:val="00EB31B5"/>
    <w:rsid w:val="00EB323F"/>
    <w:rsid w:val="00EB361F"/>
    <w:rsid w:val="00EB366C"/>
    <w:rsid w:val="00EB3671"/>
    <w:rsid w:val="00EB3691"/>
    <w:rsid w:val="00EB3820"/>
    <w:rsid w:val="00EB3958"/>
    <w:rsid w:val="00EB3AD5"/>
    <w:rsid w:val="00EB3B49"/>
    <w:rsid w:val="00EB3BA2"/>
    <w:rsid w:val="00EB407D"/>
    <w:rsid w:val="00EB4854"/>
    <w:rsid w:val="00EB4950"/>
    <w:rsid w:val="00EB4AEF"/>
    <w:rsid w:val="00EB4B98"/>
    <w:rsid w:val="00EB4CEC"/>
    <w:rsid w:val="00EB50A7"/>
    <w:rsid w:val="00EB50E4"/>
    <w:rsid w:val="00EB514B"/>
    <w:rsid w:val="00EB53DA"/>
    <w:rsid w:val="00EB53DB"/>
    <w:rsid w:val="00EB5404"/>
    <w:rsid w:val="00EB5583"/>
    <w:rsid w:val="00EB5586"/>
    <w:rsid w:val="00EB55CC"/>
    <w:rsid w:val="00EB5630"/>
    <w:rsid w:val="00EB56CC"/>
    <w:rsid w:val="00EB5BC9"/>
    <w:rsid w:val="00EB5DBA"/>
    <w:rsid w:val="00EB5F72"/>
    <w:rsid w:val="00EB5F9A"/>
    <w:rsid w:val="00EB5FC4"/>
    <w:rsid w:val="00EB5FCF"/>
    <w:rsid w:val="00EB60C3"/>
    <w:rsid w:val="00EB61E3"/>
    <w:rsid w:val="00EB61F5"/>
    <w:rsid w:val="00EB624B"/>
    <w:rsid w:val="00EB629F"/>
    <w:rsid w:val="00EB62CD"/>
    <w:rsid w:val="00EB64DC"/>
    <w:rsid w:val="00EB6523"/>
    <w:rsid w:val="00EB690D"/>
    <w:rsid w:val="00EB6A6F"/>
    <w:rsid w:val="00EB6AED"/>
    <w:rsid w:val="00EB6E8A"/>
    <w:rsid w:val="00EB6FAE"/>
    <w:rsid w:val="00EB7046"/>
    <w:rsid w:val="00EB70E6"/>
    <w:rsid w:val="00EB74EC"/>
    <w:rsid w:val="00EB7534"/>
    <w:rsid w:val="00EB75C0"/>
    <w:rsid w:val="00EB7B27"/>
    <w:rsid w:val="00EB7BA3"/>
    <w:rsid w:val="00EB7BC5"/>
    <w:rsid w:val="00EB7DC3"/>
    <w:rsid w:val="00EB7E5E"/>
    <w:rsid w:val="00EB7F8D"/>
    <w:rsid w:val="00EC0062"/>
    <w:rsid w:val="00EC015D"/>
    <w:rsid w:val="00EC069B"/>
    <w:rsid w:val="00EC07DE"/>
    <w:rsid w:val="00EC0AD4"/>
    <w:rsid w:val="00EC0B44"/>
    <w:rsid w:val="00EC0DB6"/>
    <w:rsid w:val="00EC0F2C"/>
    <w:rsid w:val="00EC102B"/>
    <w:rsid w:val="00EC1035"/>
    <w:rsid w:val="00EC1087"/>
    <w:rsid w:val="00EC117F"/>
    <w:rsid w:val="00EC130A"/>
    <w:rsid w:val="00EC13AD"/>
    <w:rsid w:val="00EC14A9"/>
    <w:rsid w:val="00EC15C8"/>
    <w:rsid w:val="00EC164D"/>
    <w:rsid w:val="00EC1687"/>
    <w:rsid w:val="00EC16D6"/>
    <w:rsid w:val="00EC17EE"/>
    <w:rsid w:val="00EC17F8"/>
    <w:rsid w:val="00EC1923"/>
    <w:rsid w:val="00EC1925"/>
    <w:rsid w:val="00EC1961"/>
    <w:rsid w:val="00EC1A21"/>
    <w:rsid w:val="00EC1C18"/>
    <w:rsid w:val="00EC1CF2"/>
    <w:rsid w:val="00EC1E48"/>
    <w:rsid w:val="00EC1E62"/>
    <w:rsid w:val="00EC1EA4"/>
    <w:rsid w:val="00EC21A6"/>
    <w:rsid w:val="00EC2297"/>
    <w:rsid w:val="00EC24E0"/>
    <w:rsid w:val="00EC25A6"/>
    <w:rsid w:val="00EC26EF"/>
    <w:rsid w:val="00EC2714"/>
    <w:rsid w:val="00EC276C"/>
    <w:rsid w:val="00EC278B"/>
    <w:rsid w:val="00EC2841"/>
    <w:rsid w:val="00EC29AE"/>
    <w:rsid w:val="00EC29D0"/>
    <w:rsid w:val="00EC2A29"/>
    <w:rsid w:val="00EC2A2F"/>
    <w:rsid w:val="00EC2C70"/>
    <w:rsid w:val="00EC2D07"/>
    <w:rsid w:val="00EC2E4F"/>
    <w:rsid w:val="00EC3093"/>
    <w:rsid w:val="00EC31A7"/>
    <w:rsid w:val="00EC3256"/>
    <w:rsid w:val="00EC32FE"/>
    <w:rsid w:val="00EC3426"/>
    <w:rsid w:val="00EC34F1"/>
    <w:rsid w:val="00EC398A"/>
    <w:rsid w:val="00EC3D22"/>
    <w:rsid w:val="00EC3D71"/>
    <w:rsid w:val="00EC3E58"/>
    <w:rsid w:val="00EC3E7A"/>
    <w:rsid w:val="00EC3F7B"/>
    <w:rsid w:val="00EC40CA"/>
    <w:rsid w:val="00EC418E"/>
    <w:rsid w:val="00EC41E9"/>
    <w:rsid w:val="00EC4272"/>
    <w:rsid w:val="00EC4380"/>
    <w:rsid w:val="00EC45BF"/>
    <w:rsid w:val="00EC4745"/>
    <w:rsid w:val="00EC48F9"/>
    <w:rsid w:val="00EC49A9"/>
    <w:rsid w:val="00EC4C5F"/>
    <w:rsid w:val="00EC4C8D"/>
    <w:rsid w:val="00EC4CB0"/>
    <w:rsid w:val="00EC4E39"/>
    <w:rsid w:val="00EC51E0"/>
    <w:rsid w:val="00EC5350"/>
    <w:rsid w:val="00EC558F"/>
    <w:rsid w:val="00EC5842"/>
    <w:rsid w:val="00EC58AB"/>
    <w:rsid w:val="00EC58E9"/>
    <w:rsid w:val="00EC59C5"/>
    <w:rsid w:val="00EC5BB3"/>
    <w:rsid w:val="00EC5BB6"/>
    <w:rsid w:val="00EC5BCE"/>
    <w:rsid w:val="00EC5D04"/>
    <w:rsid w:val="00EC5D21"/>
    <w:rsid w:val="00EC5D85"/>
    <w:rsid w:val="00EC5F5F"/>
    <w:rsid w:val="00EC5F69"/>
    <w:rsid w:val="00EC5FBC"/>
    <w:rsid w:val="00EC6000"/>
    <w:rsid w:val="00EC61F5"/>
    <w:rsid w:val="00EC6306"/>
    <w:rsid w:val="00EC635C"/>
    <w:rsid w:val="00EC6658"/>
    <w:rsid w:val="00EC698C"/>
    <w:rsid w:val="00EC6ACB"/>
    <w:rsid w:val="00EC6D0A"/>
    <w:rsid w:val="00EC7076"/>
    <w:rsid w:val="00EC70F2"/>
    <w:rsid w:val="00EC71DA"/>
    <w:rsid w:val="00EC71F6"/>
    <w:rsid w:val="00EC72F2"/>
    <w:rsid w:val="00EC74B8"/>
    <w:rsid w:val="00EC762F"/>
    <w:rsid w:val="00EC76D0"/>
    <w:rsid w:val="00EC77D5"/>
    <w:rsid w:val="00EC786F"/>
    <w:rsid w:val="00EC78B1"/>
    <w:rsid w:val="00EC79FD"/>
    <w:rsid w:val="00EC7B1F"/>
    <w:rsid w:val="00EC7CA6"/>
    <w:rsid w:val="00EC7CBE"/>
    <w:rsid w:val="00EC7F2D"/>
    <w:rsid w:val="00EC7FA4"/>
    <w:rsid w:val="00ED0101"/>
    <w:rsid w:val="00ED01D5"/>
    <w:rsid w:val="00ED026C"/>
    <w:rsid w:val="00ED0721"/>
    <w:rsid w:val="00ED0A7F"/>
    <w:rsid w:val="00ED0C3F"/>
    <w:rsid w:val="00ED0F9F"/>
    <w:rsid w:val="00ED10D3"/>
    <w:rsid w:val="00ED1194"/>
    <w:rsid w:val="00ED1471"/>
    <w:rsid w:val="00ED1488"/>
    <w:rsid w:val="00ED15E9"/>
    <w:rsid w:val="00ED1658"/>
    <w:rsid w:val="00ED16BB"/>
    <w:rsid w:val="00ED1716"/>
    <w:rsid w:val="00ED17CB"/>
    <w:rsid w:val="00ED194D"/>
    <w:rsid w:val="00ED1A88"/>
    <w:rsid w:val="00ED1C9C"/>
    <w:rsid w:val="00ED1DEE"/>
    <w:rsid w:val="00ED1EAF"/>
    <w:rsid w:val="00ED1FBE"/>
    <w:rsid w:val="00ED20B5"/>
    <w:rsid w:val="00ED22F7"/>
    <w:rsid w:val="00ED23FB"/>
    <w:rsid w:val="00ED2461"/>
    <w:rsid w:val="00ED2600"/>
    <w:rsid w:val="00ED2783"/>
    <w:rsid w:val="00ED27C2"/>
    <w:rsid w:val="00ED2900"/>
    <w:rsid w:val="00ED2D4F"/>
    <w:rsid w:val="00ED2DBE"/>
    <w:rsid w:val="00ED3161"/>
    <w:rsid w:val="00ED316C"/>
    <w:rsid w:val="00ED3227"/>
    <w:rsid w:val="00ED34A6"/>
    <w:rsid w:val="00ED34AC"/>
    <w:rsid w:val="00ED353B"/>
    <w:rsid w:val="00ED357C"/>
    <w:rsid w:val="00ED35C2"/>
    <w:rsid w:val="00ED3622"/>
    <w:rsid w:val="00ED36B2"/>
    <w:rsid w:val="00ED36F0"/>
    <w:rsid w:val="00ED373B"/>
    <w:rsid w:val="00ED37D6"/>
    <w:rsid w:val="00ED3990"/>
    <w:rsid w:val="00ED3C17"/>
    <w:rsid w:val="00ED3C53"/>
    <w:rsid w:val="00ED3D2C"/>
    <w:rsid w:val="00ED3EC2"/>
    <w:rsid w:val="00ED4098"/>
    <w:rsid w:val="00ED40E6"/>
    <w:rsid w:val="00ED4183"/>
    <w:rsid w:val="00ED41AE"/>
    <w:rsid w:val="00ED435E"/>
    <w:rsid w:val="00ED4366"/>
    <w:rsid w:val="00ED4464"/>
    <w:rsid w:val="00ED4516"/>
    <w:rsid w:val="00ED468D"/>
    <w:rsid w:val="00ED46DB"/>
    <w:rsid w:val="00ED481A"/>
    <w:rsid w:val="00ED48A9"/>
    <w:rsid w:val="00ED4B0F"/>
    <w:rsid w:val="00ED4C10"/>
    <w:rsid w:val="00ED4DB5"/>
    <w:rsid w:val="00ED4FBC"/>
    <w:rsid w:val="00ED513C"/>
    <w:rsid w:val="00ED53B0"/>
    <w:rsid w:val="00ED53DB"/>
    <w:rsid w:val="00ED53EB"/>
    <w:rsid w:val="00ED544B"/>
    <w:rsid w:val="00ED548F"/>
    <w:rsid w:val="00ED54B0"/>
    <w:rsid w:val="00ED5513"/>
    <w:rsid w:val="00ED570B"/>
    <w:rsid w:val="00ED5773"/>
    <w:rsid w:val="00ED58B9"/>
    <w:rsid w:val="00ED5A0E"/>
    <w:rsid w:val="00ED5B9D"/>
    <w:rsid w:val="00ED5C6E"/>
    <w:rsid w:val="00ED5C9D"/>
    <w:rsid w:val="00ED5D8F"/>
    <w:rsid w:val="00ED5ED0"/>
    <w:rsid w:val="00ED60BB"/>
    <w:rsid w:val="00ED621D"/>
    <w:rsid w:val="00ED6338"/>
    <w:rsid w:val="00ED6489"/>
    <w:rsid w:val="00ED655C"/>
    <w:rsid w:val="00ED6721"/>
    <w:rsid w:val="00ED697B"/>
    <w:rsid w:val="00ED69A8"/>
    <w:rsid w:val="00ED69EB"/>
    <w:rsid w:val="00ED6ADE"/>
    <w:rsid w:val="00ED6BE4"/>
    <w:rsid w:val="00ED6CE8"/>
    <w:rsid w:val="00ED6DEA"/>
    <w:rsid w:val="00ED6E23"/>
    <w:rsid w:val="00ED6E6F"/>
    <w:rsid w:val="00ED6E96"/>
    <w:rsid w:val="00ED7091"/>
    <w:rsid w:val="00ED70FD"/>
    <w:rsid w:val="00ED7161"/>
    <w:rsid w:val="00ED71F9"/>
    <w:rsid w:val="00ED7278"/>
    <w:rsid w:val="00ED729F"/>
    <w:rsid w:val="00ED7305"/>
    <w:rsid w:val="00ED752D"/>
    <w:rsid w:val="00ED77C2"/>
    <w:rsid w:val="00ED7833"/>
    <w:rsid w:val="00ED78EA"/>
    <w:rsid w:val="00ED7A67"/>
    <w:rsid w:val="00ED7AAE"/>
    <w:rsid w:val="00ED7CB0"/>
    <w:rsid w:val="00ED7E93"/>
    <w:rsid w:val="00ED7FD5"/>
    <w:rsid w:val="00EE0293"/>
    <w:rsid w:val="00EE02D9"/>
    <w:rsid w:val="00EE0391"/>
    <w:rsid w:val="00EE0420"/>
    <w:rsid w:val="00EE0645"/>
    <w:rsid w:val="00EE0676"/>
    <w:rsid w:val="00EE0854"/>
    <w:rsid w:val="00EE0919"/>
    <w:rsid w:val="00EE09EA"/>
    <w:rsid w:val="00EE0AE5"/>
    <w:rsid w:val="00EE0E64"/>
    <w:rsid w:val="00EE0F61"/>
    <w:rsid w:val="00EE0F62"/>
    <w:rsid w:val="00EE0FB9"/>
    <w:rsid w:val="00EE1162"/>
    <w:rsid w:val="00EE12B2"/>
    <w:rsid w:val="00EE12FB"/>
    <w:rsid w:val="00EE1531"/>
    <w:rsid w:val="00EE1536"/>
    <w:rsid w:val="00EE15CF"/>
    <w:rsid w:val="00EE15F6"/>
    <w:rsid w:val="00EE176A"/>
    <w:rsid w:val="00EE1833"/>
    <w:rsid w:val="00EE198D"/>
    <w:rsid w:val="00EE199D"/>
    <w:rsid w:val="00EE19F3"/>
    <w:rsid w:val="00EE1C04"/>
    <w:rsid w:val="00EE1C2D"/>
    <w:rsid w:val="00EE1CF0"/>
    <w:rsid w:val="00EE1D3E"/>
    <w:rsid w:val="00EE1FE7"/>
    <w:rsid w:val="00EE20DE"/>
    <w:rsid w:val="00EE23E0"/>
    <w:rsid w:val="00EE2411"/>
    <w:rsid w:val="00EE2421"/>
    <w:rsid w:val="00EE2426"/>
    <w:rsid w:val="00EE2484"/>
    <w:rsid w:val="00EE251E"/>
    <w:rsid w:val="00EE264F"/>
    <w:rsid w:val="00EE27F6"/>
    <w:rsid w:val="00EE2C2D"/>
    <w:rsid w:val="00EE2DE4"/>
    <w:rsid w:val="00EE2DF2"/>
    <w:rsid w:val="00EE3150"/>
    <w:rsid w:val="00EE318F"/>
    <w:rsid w:val="00EE31D4"/>
    <w:rsid w:val="00EE33B9"/>
    <w:rsid w:val="00EE33E0"/>
    <w:rsid w:val="00EE344E"/>
    <w:rsid w:val="00EE3559"/>
    <w:rsid w:val="00EE36DA"/>
    <w:rsid w:val="00EE390B"/>
    <w:rsid w:val="00EE3B3C"/>
    <w:rsid w:val="00EE3C9C"/>
    <w:rsid w:val="00EE3CC5"/>
    <w:rsid w:val="00EE3D00"/>
    <w:rsid w:val="00EE3FDF"/>
    <w:rsid w:val="00EE403A"/>
    <w:rsid w:val="00EE40BE"/>
    <w:rsid w:val="00EE4196"/>
    <w:rsid w:val="00EE4483"/>
    <w:rsid w:val="00EE45E2"/>
    <w:rsid w:val="00EE4765"/>
    <w:rsid w:val="00EE482F"/>
    <w:rsid w:val="00EE483C"/>
    <w:rsid w:val="00EE4894"/>
    <w:rsid w:val="00EE4928"/>
    <w:rsid w:val="00EE495A"/>
    <w:rsid w:val="00EE4ACC"/>
    <w:rsid w:val="00EE4CC8"/>
    <w:rsid w:val="00EE4D1A"/>
    <w:rsid w:val="00EE4F53"/>
    <w:rsid w:val="00EE5048"/>
    <w:rsid w:val="00EE54FB"/>
    <w:rsid w:val="00EE5671"/>
    <w:rsid w:val="00EE5702"/>
    <w:rsid w:val="00EE57E5"/>
    <w:rsid w:val="00EE5841"/>
    <w:rsid w:val="00EE58DC"/>
    <w:rsid w:val="00EE5A8D"/>
    <w:rsid w:val="00EE5C2E"/>
    <w:rsid w:val="00EE5D86"/>
    <w:rsid w:val="00EE5FCA"/>
    <w:rsid w:val="00EE60F3"/>
    <w:rsid w:val="00EE61E3"/>
    <w:rsid w:val="00EE6335"/>
    <w:rsid w:val="00EE652C"/>
    <w:rsid w:val="00EE66DB"/>
    <w:rsid w:val="00EE6766"/>
    <w:rsid w:val="00EE6770"/>
    <w:rsid w:val="00EE685C"/>
    <w:rsid w:val="00EE686E"/>
    <w:rsid w:val="00EE6878"/>
    <w:rsid w:val="00EE6ABA"/>
    <w:rsid w:val="00EE6AC9"/>
    <w:rsid w:val="00EE6DC6"/>
    <w:rsid w:val="00EE6E2B"/>
    <w:rsid w:val="00EE72DE"/>
    <w:rsid w:val="00EE7367"/>
    <w:rsid w:val="00EE792B"/>
    <w:rsid w:val="00EE7ADA"/>
    <w:rsid w:val="00EE7C14"/>
    <w:rsid w:val="00EE7D2E"/>
    <w:rsid w:val="00EE7DB9"/>
    <w:rsid w:val="00EE7E9F"/>
    <w:rsid w:val="00EF0058"/>
    <w:rsid w:val="00EF00CB"/>
    <w:rsid w:val="00EF033F"/>
    <w:rsid w:val="00EF034D"/>
    <w:rsid w:val="00EF03C0"/>
    <w:rsid w:val="00EF0438"/>
    <w:rsid w:val="00EF0543"/>
    <w:rsid w:val="00EF06A2"/>
    <w:rsid w:val="00EF0A1E"/>
    <w:rsid w:val="00EF0B00"/>
    <w:rsid w:val="00EF0EDD"/>
    <w:rsid w:val="00EF0F9B"/>
    <w:rsid w:val="00EF11FF"/>
    <w:rsid w:val="00EF12C4"/>
    <w:rsid w:val="00EF1483"/>
    <w:rsid w:val="00EF1493"/>
    <w:rsid w:val="00EF15B2"/>
    <w:rsid w:val="00EF166E"/>
    <w:rsid w:val="00EF173C"/>
    <w:rsid w:val="00EF1777"/>
    <w:rsid w:val="00EF1A23"/>
    <w:rsid w:val="00EF1A77"/>
    <w:rsid w:val="00EF1B41"/>
    <w:rsid w:val="00EF1B45"/>
    <w:rsid w:val="00EF1F03"/>
    <w:rsid w:val="00EF1F52"/>
    <w:rsid w:val="00EF200B"/>
    <w:rsid w:val="00EF20C2"/>
    <w:rsid w:val="00EF2425"/>
    <w:rsid w:val="00EF242D"/>
    <w:rsid w:val="00EF24AA"/>
    <w:rsid w:val="00EF2615"/>
    <w:rsid w:val="00EF26D7"/>
    <w:rsid w:val="00EF2901"/>
    <w:rsid w:val="00EF2A4E"/>
    <w:rsid w:val="00EF2AE9"/>
    <w:rsid w:val="00EF2ECB"/>
    <w:rsid w:val="00EF3038"/>
    <w:rsid w:val="00EF3039"/>
    <w:rsid w:val="00EF30B3"/>
    <w:rsid w:val="00EF30F8"/>
    <w:rsid w:val="00EF3232"/>
    <w:rsid w:val="00EF3248"/>
    <w:rsid w:val="00EF337B"/>
    <w:rsid w:val="00EF33FE"/>
    <w:rsid w:val="00EF35D7"/>
    <w:rsid w:val="00EF3897"/>
    <w:rsid w:val="00EF38E1"/>
    <w:rsid w:val="00EF39C7"/>
    <w:rsid w:val="00EF3AD7"/>
    <w:rsid w:val="00EF3B39"/>
    <w:rsid w:val="00EF3BA2"/>
    <w:rsid w:val="00EF3EB4"/>
    <w:rsid w:val="00EF42ED"/>
    <w:rsid w:val="00EF42FC"/>
    <w:rsid w:val="00EF4445"/>
    <w:rsid w:val="00EF453D"/>
    <w:rsid w:val="00EF4732"/>
    <w:rsid w:val="00EF4830"/>
    <w:rsid w:val="00EF4883"/>
    <w:rsid w:val="00EF4CE8"/>
    <w:rsid w:val="00EF50E0"/>
    <w:rsid w:val="00EF52F9"/>
    <w:rsid w:val="00EF53A7"/>
    <w:rsid w:val="00EF53CF"/>
    <w:rsid w:val="00EF542A"/>
    <w:rsid w:val="00EF5604"/>
    <w:rsid w:val="00EF572B"/>
    <w:rsid w:val="00EF58B9"/>
    <w:rsid w:val="00EF5B43"/>
    <w:rsid w:val="00EF5C5D"/>
    <w:rsid w:val="00EF5CF8"/>
    <w:rsid w:val="00EF5D47"/>
    <w:rsid w:val="00EF5EC9"/>
    <w:rsid w:val="00EF5F95"/>
    <w:rsid w:val="00EF60AF"/>
    <w:rsid w:val="00EF610E"/>
    <w:rsid w:val="00EF6394"/>
    <w:rsid w:val="00EF63F6"/>
    <w:rsid w:val="00EF6468"/>
    <w:rsid w:val="00EF68E6"/>
    <w:rsid w:val="00EF694E"/>
    <w:rsid w:val="00EF6ADF"/>
    <w:rsid w:val="00EF6B09"/>
    <w:rsid w:val="00EF6D09"/>
    <w:rsid w:val="00EF6DC4"/>
    <w:rsid w:val="00EF700E"/>
    <w:rsid w:val="00EF726B"/>
    <w:rsid w:val="00EF732C"/>
    <w:rsid w:val="00EF755B"/>
    <w:rsid w:val="00EF7732"/>
    <w:rsid w:val="00EF7758"/>
    <w:rsid w:val="00EF77A4"/>
    <w:rsid w:val="00EF7AD8"/>
    <w:rsid w:val="00EF7D11"/>
    <w:rsid w:val="00EF7F15"/>
    <w:rsid w:val="00F00010"/>
    <w:rsid w:val="00F0002A"/>
    <w:rsid w:val="00F0012B"/>
    <w:rsid w:val="00F00230"/>
    <w:rsid w:val="00F004D9"/>
    <w:rsid w:val="00F004E4"/>
    <w:rsid w:val="00F00672"/>
    <w:rsid w:val="00F00768"/>
    <w:rsid w:val="00F008EE"/>
    <w:rsid w:val="00F00A78"/>
    <w:rsid w:val="00F00B48"/>
    <w:rsid w:val="00F00C7E"/>
    <w:rsid w:val="00F00E0A"/>
    <w:rsid w:val="00F00F46"/>
    <w:rsid w:val="00F00F6A"/>
    <w:rsid w:val="00F012EB"/>
    <w:rsid w:val="00F015C9"/>
    <w:rsid w:val="00F01756"/>
    <w:rsid w:val="00F01850"/>
    <w:rsid w:val="00F01873"/>
    <w:rsid w:val="00F01A86"/>
    <w:rsid w:val="00F01BBD"/>
    <w:rsid w:val="00F01CFB"/>
    <w:rsid w:val="00F01FD0"/>
    <w:rsid w:val="00F0215B"/>
    <w:rsid w:val="00F0215E"/>
    <w:rsid w:val="00F0227F"/>
    <w:rsid w:val="00F02418"/>
    <w:rsid w:val="00F0255A"/>
    <w:rsid w:val="00F026A3"/>
    <w:rsid w:val="00F02949"/>
    <w:rsid w:val="00F02CAE"/>
    <w:rsid w:val="00F02CB0"/>
    <w:rsid w:val="00F02DB1"/>
    <w:rsid w:val="00F034DB"/>
    <w:rsid w:val="00F0354D"/>
    <w:rsid w:val="00F036EA"/>
    <w:rsid w:val="00F037E7"/>
    <w:rsid w:val="00F0381B"/>
    <w:rsid w:val="00F03851"/>
    <w:rsid w:val="00F038A8"/>
    <w:rsid w:val="00F038D0"/>
    <w:rsid w:val="00F03991"/>
    <w:rsid w:val="00F03BAB"/>
    <w:rsid w:val="00F03BFA"/>
    <w:rsid w:val="00F03CB9"/>
    <w:rsid w:val="00F03D44"/>
    <w:rsid w:val="00F03EE7"/>
    <w:rsid w:val="00F0406E"/>
    <w:rsid w:val="00F041B9"/>
    <w:rsid w:val="00F041D2"/>
    <w:rsid w:val="00F04220"/>
    <w:rsid w:val="00F046D4"/>
    <w:rsid w:val="00F04845"/>
    <w:rsid w:val="00F049EB"/>
    <w:rsid w:val="00F04B44"/>
    <w:rsid w:val="00F04DA5"/>
    <w:rsid w:val="00F04E11"/>
    <w:rsid w:val="00F04E43"/>
    <w:rsid w:val="00F04EB9"/>
    <w:rsid w:val="00F04F08"/>
    <w:rsid w:val="00F0535A"/>
    <w:rsid w:val="00F05564"/>
    <w:rsid w:val="00F056B2"/>
    <w:rsid w:val="00F0589E"/>
    <w:rsid w:val="00F05A25"/>
    <w:rsid w:val="00F05A83"/>
    <w:rsid w:val="00F05B06"/>
    <w:rsid w:val="00F05C2A"/>
    <w:rsid w:val="00F05C83"/>
    <w:rsid w:val="00F05D51"/>
    <w:rsid w:val="00F05E99"/>
    <w:rsid w:val="00F06156"/>
    <w:rsid w:val="00F061AE"/>
    <w:rsid w:val="00F062A4"/>
    <w:rsid w:val="00F06338"/>
    <w:rsid w:val="00F06394"/>
    <w:rsid w:val="00F06543"/>
    <w:rsid w:val="00F06659"/>
    <w:rsid w:val="00F06738"/>
    <w:rsid w:val="00F069B2"/>
    <w:rsid w:val="00F06B7B"/>
    <w:rsid w:val="00F06CC8"/>
    <w:rsid w:val="00F06F46"/>
    <w:rsid w:val="00F06F4C"/>
    <w:rsid w:val="00F06F96"/>
    <w:rsid w:val="00F06FDE"/>
    <w:rsid w:val="00F0700F"/>
    <w:rsid w:val="00F0709F"/>
    <w:rsid w:val="00F07122"/>
    <w:rsid w:val="00F072B9"/>
    <w:rsid w:val="00F074F9"/>
    <w:rsid w:val="00F07586"/>
    <w:rsid w:val="00F0761D"/>
    <w:rsid w:val="00F07793"/>
    <w:rsid w:val="00F078E9"/>
    <w:rsid w:val="00F07999"/>
    <w:rsid w:val="00F07B08"/>
    <w:rsid w:val="00F07B34"/>
    <w:rsid w:val="00F07B50"/>
    <w:rsid w:val="00F07B7C"/>
    <w:rsid w:val="00F07B8B"/>
    <w:rsid w:val="00F07BED"/>
    <w:rsid w:val="00F07C02"/>
    <w:rsid w:val="00F07C30"/>
    <w:rsid w:val="00F07D54"/>
    <w:rsid w:val="00F07FB9"/>
    <w:rsid w:val="00F07FBA"/>
    <w:rsid w:val="00F07FF9"/>
    <w:rsid w:val="00F10000"/>
    <w:rsid w:val="00F1035C"/>
    <w:rsid w:val="00F1040B"/>
    <w:rsid w:val="00F104BA"/>
    <w:rsid w:val="00F10541"/>
    <w:rsid w:val="00F105FD"/>
    <w:rsid w:val="00F106B2"/>
    <w:rsid w:val="00F1071C"/>
    <w:rsid w:val="00F109CE"/>
    <w:rsid w:val="00F10A00"/>
    <w:rsid w:val="00F10B08"/>
    <w:rsid w:val="00F10CD6"/>
    <w:rsid w:val="00F10CE1"/>
    <w:rsid w:val="00F10D5F"/>
    <w:rsid w:val="00F10DD4"/>
    <w:rsid w:val="00F10F03"/>
    <w:rsid w:val="00F11308"/>
    <w:rsid w:val="00F11337"/>
    <w:rsid w:val="00F113F7"/>
    <w:rsid w:val="00F114F4"/>
    <w:rsid w:val="00F11525"/>
    <w:rsid w:val="00F11528"/>
    <w:rsid w:val="00F11685"/>
    <w:rsid w:val="00F11828"/>
    <w:rsid w:val="00F11CC4"/>
    <w:rsid w:val="00F11DF4"/>
    <w:rsid w:val="00F11E6D"/>
    <w:rsid w:val="00F11EE7"/>
    <w:rsid w:val="00F11EEF"/>
    <w:rsid w:val="00F11F04"/>
    <w:rsid w:val="00F11F42"/>
    <w:rsid w:val="00F120A2"/>
    <w:rsid w:val="00F120E1"/>
    <w:rsid w:val="00F121B7"/>
    <w:rsid w:val="00F122D0"/>
    <w:rsid w:val="00F1235B"/>
    <w:rsid w:val="00F123FE"/>
    <w:rsid w:val="00F12422"/>
    <w:rsid w:val="00F1242C"/>
    <w:rsid w:val="00F1257F"/>
    <w:rsid w:val="00F127EE"/>
    <w:rsid w:val="00F1289F"/>
    <w:rsid w:val="00F12AF8"/>
    <w:rsid w:val="00F12DEC"/>
    <w:rsid w:val="00F13023"/>
    <w:rsid w:val="00F13077"/>
    <w:rsid w:val="00F13083"/>
    <w:rsid w:val="00F1319C"/>
    <w:rsid w:val="00F132DF"/>
    <w:rsid w:val="00F13360"/>
    <w:rsid w:val="00F13365"/>
    <w:rsid w:val="00F133A8"/>
    <w:rsid w:val="00F133E4"/>
    <w:rsid w:val="00F1347F"/>
    <w:rsid w:val="00F1357D"/>
    <w:rsid w:val="00F136BE"/>
    <w:rsid w:val="00F136EC"/>
    <w:rsid w:val="00F13772"/>
    <w:rsid w:val="00F137BD"/>
    <w:rsid w:val="00F1388F"/>
    <w:rsid w:val="00F139D1"/>
    <w:rsid w:val="00F13AF0"/>
    <w:rsid w:val="00F13D0D"/>
    <w:rsid w:val="00F13DE5"/>
    <w:rsid w:val="00F13DFB"/>
    <w:rsid w:val="00F140E3"/>
    <w:rsid w:val="00F14253"/>
    <w:rsid w:val="00F14610"/>
    <w:rsid w:val="00F1479A"/>
    <w:rsid w:val="00F14AE1"/>
    <w:rsid w:val="00F14C8A"/>
    <w:rsid w:val="00F14CF3"/>
    <w:rsid w:val="00F14E31"/>
    <w:rsid w:val="00F14FAD"/>
    <w:rsid w:val="00F151E4"/>
    <w:rsid w:val="00F1527E"/>
    <w:rsid w:val="00F1528E"/>
    <w:rsid w:val="00F1542D"/>
    <w:rsid w:val="00F15449"/>
    <w:rsid w:val="00F15523"/>
    <w:rsid w:val="00F15578"/>
    <w:rsid w:val="00F155AE"/>
    <w:rsid w:val="00F156F7"/>
    <w:rsid w:val="00F15757"/>
    <w:rsid w:val="00F1589B"/>
    <w:rsid w:val="00F158A3"/>
    <w:rsid w:val="00F15907"/>
    <w:rsid w:val="00F1596B"/>
    <w:rsid w:val="00F159E8"/>
    <w:rsid w:val="00F15A3A"/>
    <w:rsid w:val="00F15AC1"/>
    <w:rsid w:val="00F15D23"/>
    <w:rsid w:val="00F15FA4"/>
    <w:rsid w:val="00F15FE2"/>
    <w:rsid w:val="00F161C6"/>
    <w:rsid w:val="00F161E6"/>
    <w:rsid w:val="00F1627D"/>
    <w:rsid w:val="00F16549"/>
    <w:rsid w:val="00F1671B"/>
    <w:rsid w:val="00F16740"/>
    <w:rsid w:val="00F169C5"/>
    <w:rsid w:val="00F16B5C"/>
    <w:rsid w:val="00F16D56"/>
    <w:rsid w:val="00F16DEB"/>
    <w:rsid w:val="00F1756B"/>
    <w:rsid w:val="00F17738"/>
    <w:rsid w:val="00F177B5"/>
    <w:rsid w:val="00F17801"/>
    <w:rsid w:val="00F1782E"/>
    <w:rsid w:val="00F1787A"/>
    <w:rsid w:val="00F17884"/>
    <w:rsid w:val="00F17A01"/>
    <w:rsid w:val="00F17B48"/>
    <w:rsid w:val="00F17CC5"/>
    <w:rsid w:val="00F17D58"/>
    <w:rsid w:val="00F17E72"/>
    <w:rsid w:val="00F17E9B"/>
    <w:rsid w:val="00F20141"/>
    <w:rsid w:val="00F201F8"/>
    <w:rsid w:val="00F20275"/>
    <w:rsid w:val="00F20393"/>
    <w:rsid w:val="00F203E5"/>
    <w:rsid w:val="00F20510"/>
    <w:rsid w:val="00F20832"/>
    <w:rsid w:val="00F2092F"/>
    <w:rsid w:val="00F209C5"/>
    <w:rsid w:val="00F20AE3"/>
    <w:rsid w:val="00F20D58"/>
    <w:rsid w:val="00F20D9A"/>
    <w:rsid w:val="00F20EC0"/>
    <w:rsid w:val="00F21194"/>
    <w:rsid w:val="00F21504"/>
    <w:rsid w:val="00F21662"/>
    <w:rsid w:val="00F21839"/>
    <w:rsid w:val="00F219B2"/>
    <w:rsid w:val="00F21A13"/>
    <w:rsid w:val="00F21B98"/>
    <w:rsid w:val="00F21CE2"/>
    <w:rsid w:val="00F21DE2"/>
    <w:rsid w:val="00F21ED2"/>
    <w:rsid w:val="00F21F8F"/>
    <w:rsid w:val="00F22033"/>
    <w:rsid w:val="00F22225"/>
    <w:rsid w:val="00F2229D"/>
    <w:rsid w:val="00F22441"/>
    <w:rsid w:val="00F225CE"/>
    <w:rsid w:val="00F22943"/>
    <w:rsid w:val="00F2299D"/>
    <w:rsid w:val="00F22B06"/>
    <w:rsid w:val="00F22B0E"/>
    <w:rsid w:val="00F22FF5"/>
    <w:rsid w:val="00F23057"/>
    <w:rsid w:val="00F23218"/>
    <w:rsid w:val="00F2344F"/>
    <w:rsid w:val="00F23608"/>
    <w:rsid w:val="00F23B8B"/>
    <w:rsid w:val="00F23BB1"/>
    <w:rsid w:val="00F23BBD"/>
    <w:rsid w:val="00F23C98"/>
    <w:rsid w:val="00F23CAB"/>
    <w:rsid w:val="00F23FAD"/>
    <w:rsid w:val="00F24147"/>
    <w:rsid w:val="00F2417A"/>
    <w:rsid w:val="00F241AB"/>
    <w:rsid w:val="00F2429E"/>
    <w:rsid w:val="00F24303"/>
    <w:rsid w:val="00F24471"/>
    <w:rsid w:val="00F24520"/>
    <w:rsid w:val="00F24767"/>
    <w:rsid w:val="00F24779"/>
    <w:rsid w:val="00F24B35"/>
    <w:rsid w:val="00F24B7C"/>
    <w:rsid w:val="00F252DD"/>
    <w:rsid w:val="00F2539B"/>
    <w:rsid w:val="00F2558C"/>
    <w:rsid w:val="00F25661"/>
    <w:rsid w:val="00F256B4"/>
    <w:rsid w:val="00F2570C"/>
    <w:rsid w:val="00F257D6"/>
    <w:rsid w:val="00F25930"/>
    <w:rsid w:val="00F25998"/>
    <w:rsid w:val="00F25A51"/>
    <w:rsid w:val="00F25C9D"/>
    <w:rsid w:val="00F25D15"/>
    <w:rsid w:val="00F25F43"/>
    <w:rsid w:val="00F25FEC"/>
    <w:rsid w:val="00F26047"/>
    <w:rsid w:val="00F2639E"/>
    <w:rsid w:val="00F264E9"/>
    <w:rsid w:val="00F2681C"/>
    <w:rsid w:val="00F269C2"/>
    <w:rsid w:val="00F269D3"/>
    <w:rsid w:val="00F26C2F"/>
    <w:rsid w:val="00F26C62"/>
    <w:rsid w:val="00F26C95"/>
    <w:rsid w:val="00F26DA2"/>
    <w:rsid w:val="00F26E3F"/>
    <w:rsid w:val="00F26E81"/>
    <w:rsid w:val="00F26EF5"/>
    <w:rsid w:val="00F26EF6"/>
    <w:rsid w:val="00F27470"/>
    <w:rsid w:val="00F275C8"/>
    <w:rsid w:val="00F27979"/>
    <w:rsid w:val="00F279E4"/>
    <w:rsid w:val="00F27ADB"/>
    <w:rsid w:val="00F27AF2"/>
    <w:rsid w:val="00F27B63"/>
    <w:rsid w:val="00F27BA6"/>
    <w:rsid w:val="00F27BBF"/>
    <w:rsid w:val="00F27C45"/>
    <w:rsid w:val="00F27DFE"/>
    <w:rsid w:val="00F27E4D"/>
    <w:rsid w:val="00F27EBF"/>
    <w:rsid w:val="00F27F45"/>
    <w:rsid w:val="00F27F71"/>
    <w:rsid w:val="00F27F99"/>
    <w:rsid w:val="00F300C2"/>
    <w:rsid w:val="00F30127"/>
    <w:rsid w:val="00F302A4"/>
    <w:rsid w:val="00F302E8"/>
    <w:rsid w:val="00F30497"/>
    <w:rsid w:val="00F30729"/>
    <w:rsid w:val="00F3074F"/>
    <w:rsid w:val="00F30876"/>
    <w:rsid w:val="00F30E62"/>
    <w:rsid w:val="00F30E8D"/>
    <w:rsid w:val="00F31058"/>
    <w:rsid w:val="00F310DE"/>
    <w:rsid w:val="00F31158"/>
    <w:rsid w:val="00F311A7"/>
    <w:rsid w:val="00F3121B"/>
    <w:rsid w:val="00F31310"/>
    <w:rsid w:val="00F31502"/>
    <w:rsid w:val="00F3158C"/>
    <w:rsid w:val="00F3184E"/>
    <w:rsid w:val="00F319D1"/>
    <w:rsid w:val="00F31BDA"/>
    <w:rsid w:val="00F31D42"/>
    <w:rsid w:val="00F31D6F"/>
    <w:rsid w:val="00F31E9E"/>
    <w:rsid w:val="00F32271"/>
    <w:rsid w:val="00F32382"/>
    <w:rsid w:val="00F3251F"/>
    <w:rsid w:val="00F325AE"/>
    <w:rsid w:val="00F3280B"/>
    <w:rsid w:val="00F32949"/>
    <w:rsid w:val="00F329F8"/>
    <w:rsid w:val="00F32A31"/>
    <w:rsid w:val="00F32AF6"/>
    <w:rsid w:val="00F32BF8"/>
    <w:rsid w:val="00F32CD9"/>
    <w:rsid w:val="00F32D15"/>
    <w:rsid w:val="00F32EA7"/>
    <w:rsid w:val="00F33039"/>
    <w:rsid w:val="00F33177"/>
    <w:rsid w:val="00F33666"/>
    <w:rsid w:val="00F337CA"/>
    <w:rsid w:val="00F33CC0"/>
    <w:rsid w:val="00F33E1E"/>
    <w:rsid w:val="00F34142"/>
    <w:rsid w:val="00F34283"/>
    <w:rsid w:val="00F34357"/>
    <w:rsid w:val="00F344A4"/>
    <w:rsid w:val="00F345B6"/>
    <w:rsid w:val="00F345F1"/>
    <w:rsid w:val="00F3477E"/>
    <w:rsid w:val="00F34849"/>
    <w:rsid w:val="00F34867"/>
    <w:rsid w:val="00F34A2E"/>
    <w:rsid w:val="00F34B51"/>
    <w:rsid w:val="00F34B52"/>
    <w:rsid w:val="00F34CF2"/>
    <w:rsid w:val="00F34DAD"/>
    <w:rsid w:val="00F34DFC"/>
    <w:rsid w:val="00F34E04"/>
    <w:rsid w:val="00F35076"/>
    <w:rsid w:val="00F350A1"/>
    <w:rsid w:val="00F350A5"/>
    <w:rsid w:val="00F351BE"/>
    <w:rsid w:val="00F351C0"/>
    <w:rsid w:val="00F35264"/>
    <w:rsid w:val="00F353ED"/>
    <w:rsid w:val="00F354D3"/>
    <w:rsid w:val="00F35521"/>
    <w:rsid w:val="00F356B0"/>
    <w:rsid w:val="00F358A5"/>
    <w:rsid w:val="00F358D5"/>
    <w:rsid w:val="00F3591A"/>
    <w:rsid w:val="00F3591D"/>
    <w:rsid w:val="00F35FE3"/>
    <w:rsid w:val="00F360AC"/>
    <w:rsid w:val="00F3664E"/>
    <w:rsid w:val="00F3680C"/>
    <w:rsid w:val="00F368CA"/>
    <w:rsid w:val="00F369A9"/>
    <w:rsid w:val="00F36BF7"/>
    <w:rsid w:val="00F36CC2"/>
    <w:rsid w:val="00F36F91"/>
    <w:rsid w:val="00F36FC4"/>
    <w:rsid w:val="00F370FD"/>
    <w:rsid w:val="00F371A9"/>
    <w:rsid w:val="00F371BC"/>
    <w:rsid w:val="00F372FC"/>
    <w:rsid w:val="00F3738E"/>
    <w:rsid w:val="00F37495"/>
    <w:rsid w:val="00F374CF"/>
    <w:rsid w:val="00F3757F"/>
    <w:rsid w:val="00F37AD9"/>
    <w:rsid w:val="00F4008B"/>
    <w:rsid w:val="00F4022D"/>
    <w:rsid w:val="00F40268"/>
    <w:rsid w:val="00F4038C"/>
    <w:rsid w:val="00F40568"/>
    <w:rsid w:val="00F405B7"/>
    <w:rsid w:val="00F407AA"/>
    <w:rsid w:val="00F409D1"/>
    <w:rsid w:val="00F40B9E"/>
    <w:rsid w:val="00F40E11"/>
    <w:rsid w:val="00F40E3B"/>
    <w:rsid w:val="00F40E3E"/>
    <w:rsid w:val="00F40EAD"/>
    <w:rsid w:val="00F40F31"/>
    <w:rsid w:val="00F40FE5"/>
    <w:rsid w:val="00F4122C"/>
    <w:rsid w:val="00F4126E"/>
    <w:rsid w:val="00F4144A"/>
    <w:rsid w:val="00F4157B"/>
    <w:rsid w:val="00F41660"/>
    <w:rsid w:val="00F41749"/>
    <w:rsid w:val="00F417A7"/>
    <w:rsid w:val="00F418C5"/>
    <w:rsid w:val="00F41958"/>
    <w:rsid w:val="00F41C7E"/>
    <w:rsid w:val="00F41E82"/>
    <w:rsid w:val="00F4269B"/>
    <w:rsid w:val="00F42766"/>
    <w:rsid w:val="00F42A1B"/>
    <w:rsid w:val="00F42B93"/>
    <w:rsid w:val="00F42C63"/>
    <w:rsid w:val="00F42D65"/>
    <w:rsid w:val="00F42D8B"/>
    <w:rsid w:val="00F42DE2"/>
    <w:rsid w:val="00F430ED"/>
    <w:rsid w:val="00F43160"/>
    <w:rsid w:val="00F431CB"/>
    <w:rsid w:val="00F433B3"/>
    <w:rsid w:val="00F43413"/>
    <w:rsid w:val="00F434B1"/>
    <w:rsid w:val="00F435CC"/>
    <w:rsid w:val="00F43629"/>
    <w:rsid w:val="00F43702"/>
    <w:rsid w:val="00F437E3"/>
    <w:rsid w:val="00F4385F"/>
    <w:rsid w:val="00F43940"/>
    <w:rsid w:val="00F43BD2"/>
    <w:rsid w:val="00F43BE8"/>
    <w:rsid w:val="00F43C38"/>
    <w:rsid w:val="00F43DC1"/>
    <w:rsid w:val="00F43EAD"/>
    <w:rsid w:val="00F43FF3"/>
    <w:rsid w:val="00F44001"/>
    <w:rsid w:val="00F44144"/>
    <w:rsid w:val="00F44249"/>
    <w:rsid w:val="00F44346"/>
    <w:rsid w:val="00F443A4"/>
    <w:rsid w:val="00F443EF"/>
    <w:rsid w:val="00F44557"/>
    <w:rsid w:val="00F445A8"/>
    <w:rsid w:val="00F44657"/>
    <w:rsid w:val="00F4486E"/>
    <w:rsid w:val="00F448C5"/>
    <w:rsid w:val="00F4490D"/>
    <w:rsid w:val="00F4490E"/>
    <w:rsid w:val="00F44A8B"/>
    <w:rsid w:val="00F44AFA"/>
    <w:rsid w:val="00F44AFE"/>
    <w:rsid w:val="00F44B0F"/>
    <w:rsid w:val="00F44BBB"/>
    <w:rsid w:val="00F44C31"/>
    <w:rsid w:val="00F44C32"/>
    <w:rsid w:val="00F44C81"/>
    <w:rsid w:val="00F44CAB"/>
    <w:rsid w:val="00F44CEC"/>
    <w:rsid w:val="00F44F21"/>
    <w:rsid w:val="00F450EB"/>
    <w:rsid w:val="00F451B1"/>
    <w:rsid w:val="00F452A3"/>
    <w:rsid w:val="00F452FE"/>
    <w:rsid w:val="00F455D1"/>
    <w:rsid w:val="00F457CB"/>
    <w:rsid w:val="00F457EB"/>
    <w:rsid w:val="00F459B4"/>
    <w:rsid w:val="00F45AA0"/>
    <w:rsid w:val="00F45AD1"/>
    <w:rsid w:val="00F45CDA"/>
    <w:rsid w:val="00F45D0F"/>
    <w:rsid w:val="00F45D1E"/>
    <w:rsid w:val="00F45E72"/>
    <w:rsid w:val="00F460E0"/>
    <w:rsid w:val="00F462B6"/>
    <w:rsid w:val="00F462FC"/>
    <w:rsid w:val="00F463F4"/>
    <w:rsid w:val="00F46607"/>
    <w:rsid w:val="00F46652"/>
    <w:rsid w:val="00F4674D"/>
    <w:rsid w:val="00F46A23"/>
    <w:rsid w:val="00F46AAF"/>
    <w:rsid w:val="00F46CA5"/>
    <w:rsid w:val="00F46CA6"/>
    <w:rsid w:val="00F46FF1"/>
    <w:rsid w:val="00F4711B"/>
    <w:rsid w:val="00F47598"/>
    <w:rsid w:val="00F47757"/>
    <w:rsid w:val="00F478E4"/>
    <w:rsid w:val="00F47D40"/>
    <w:rsid w:val="00F47E5B"/>
    <w:rsid w:val="00F47EF6"/>
    <w:rsid w:val="00F47FEE"/>
    <w:rsid w:val="00F500AA"/>
    <w:rsid w:val="00F50136"/>
    <w:rsid w:val="00F50256"/>
    <w:rsid w:val="00F502D1"/>
    <w:rsid w:val="00F503C2"/>
    <w:rsid w:val="00F50435"/>
    <w:rsid w:val="00F5064D"/>
    <w:rsid w:val="00F5086D"/>
    <w:rsid w:val="00F50895"/>
    <w:rsid w:val="00F508DA"/>
    <w:rsid w:val="00F50A77"/>
    <w:rsid w:val="00F50AF8"/>
    <w:rsid w:val="00F50D75"/>
    <w:rsid w:val="00F50E63"/>
    <w:rsid w:val="00F50F67"/>
    <w:rsid w:val="00F51451"/>
    <w:rsid w:val="00F514C4"/>
    <w:rsid w:val="00F51504"/>
    <w:rsid w:val="00F51525"/>
    <w:rsid w:val="00F51649"/>
    <w:rsid w:val="00F51742"/>
    <w:rsid w:val="00F51765"/>
    <w:rsid w:val="00F5177A"/>
    <w:rsid w:val="00F51818"/>
    <w:rsid w:val="00F518A4"/>
    <w:rsid w:val="00F518F7"/>
    <w:rsid w:val="00F51AD9"/>
    <w:rsid w:val="00F51BD5"/>
    <w:rsid w:val="00F5218E"/>
    <w:rsid w:val="00F52368"/>
    <w:rsid w:val="00F52472"/>
    <w:rsid w:val="00F52570"/>
    <w:rsid w:val="00F5257E"/>
    <w:rsid w:val="00F52616"/>
    <w:rsid w:val="00F52781"/>
    <w:rsid w:val="00F52963"/>
    <w:rsid w:val="00F52A98"/>
    <w:rsid w:val="00F52AFA"/>
    <w:rsid w:val="00F52DD6"/>
    <w:rsid w:val="00F53079"/>
    <w:rsid w:val="00F53257"/>
    <w:rsid w:val="00F5328E"/>
    <w:rsid w:val="00F535F7"/>
    <w:rsid w:val="00F536B1"/>
    <w:rsid w:val="00F536BB"/>
    <w:rsid w:val="00F53A8D"/>
    <w:rsid w:val="00F53B50"/>
    <w:rsid w:val="00F540E3"/>
    <w:rsid w:val="00F54291"/>
    <w:rsid w:val="00F542DD"/>
    <w:rsid w:val="00F5445A"/>
    <w:rsid w:val="00F54783"/>
    <w:rsid w:val="00F54A31"/>
    <w:rsid w:val="00F54CF1"/>
    <w:rsid w:val="00F54E45"/>
    <w:rsid w:val="00F54F23"/>
    <w:rsid w:val="00F55010"/>
    <w:rsid w:val="00F5506A"/>
    <w:rsid w:val="00F5508C"/>
    <w:rsid w:val="00F552D8"/>
    <w:rsid w:val="00F552E8"/>
    <w:rsid w:val="00F55303"/>
    <w:rsid w:val="00F55611"/>
    <w:rsid w:val="00F5568A"/>
    <w:rsid w:val="00F556AB"/>
    <w:rsid w:val="00F556C6"/>
    <w:rsid w:val="00F557B4"/>
    <w:rsid w:val="00F558D1"/>
    <w:rsid w:val="00F559F2"/>
    <w:rsid w:val="00F55A3E"/>
    <w:rsid w:val="00F55A83"/>
    <w:rsid w:val="00F55AE2"/>
    <w:rsid w:val="00F55AFD"/>
    <w:rsid w:val="00F55B6B"/>
    <w:rsid w:val="00F55E1D"/>
    <w:rsid w:val="00F55E69"/>
    <w:rsid w:val="00F5604A"/>
    <w:rsid w:val="00F561E2"/>
    <w:rsid w:val="00F56281"/>
    <w:rsid w:val="00F56294"/>
    <w:rsid w:val="00F5641C"/>
    <w:rsid w:val="00F565BC"/>
    <w:rsid w:val="00F56793"/>
    <w:rsid w:val="00F567B7"/>
    <w:rsid w:val="00F56AA7"/>
    <w:rsid w:val="00F56AED"/>
    <w:rsid w:val="00F56B6C"/>
    <w:rsid w:val="00F56CBA"/>
    <w:rsid w:val="00F56D99"/>
    <w:rsid w:val="00F57207"/>
    <w:rsid w:val="00F572C5"/>
    <w:rsid w:val="00F57308"/>
    <w:rsid w:val="00F5775A"/>
    <w:rsid w:val="00F57BF0"/>
    <w:rsid w:val="00F57C6F"/>
    <w:rsid w:val="00F57D2A"/>
    <w:rsid w:val="00F57E07"/>
    <w:rsid w:val="00F57E63"/>
    <w:rsid w:val="00F57E7A"/>
    <w:rsid w:val="00F57FBC"/>
    <w:rsid w:val="00F60200"/>
    <w:rsid w:val="00F60282"/>
    <w:rsid w:val="00F6036E"/>
    <w:rsid w:val="00F605A3"/>
    <w:rsid w:val="00F608FD"/>
    <w:rsid w:val="00F60938"/>
    <w:rsid w:val="00F60A0A"/>
    <w:rsid w:val="00F60A6B"/>
    <w:rsid w:val="00F60AA3"/>
    <w:rsid w:val="00F60C09"/>
    <w:rsid w:val="00F60CB1"/>
    <w:rsid w:val="00F60F5D"/>
    <w:rsid w:val="00F61185"/>
    <w:rsid w:val="00F611A1"/>
    <w:rsid w:val="00F6131F"/>
    <w:rsid w:val="00F615B4"/>
    <w:rsid w:val="00F61718"/>
    <w:rsid w:val="00F6186F"/>
    <w:rsid w:val="00F6196E"/>
    <w:rsid w:val="00F61DA8"/>
    <w:rsid w:val="00F61F17"/>
    <w:rsid w:val="00F61FD4"/>
    <w:rsid w:val="00F6217D"/>
    <w:rsid w:val="00F6241F"/>
    <w:rsid w:val="00F624B9"/>
    <w:rsid w:val="00F62532"/>
    <w:rsid w:val="00F62773"/>
    <w:rsid w:val="00F627A5"/>
    <w:rsid w:val="00F62847"/>
    <w:rsid w:val="00F62A67"/>
    <w:rsid w:val="00F62A6A"/>
    <w:rsid w:val="00F62B79"/>
    <w:rsid w:val="00F62C1B"/>
    <w:rsid w:val="00F6308D"/>
    <w:rsid w:val="00F632A2"/>
    <w:rsid w:val="00F63358"/>
    <w:rsid w:val="00F6357B"/>
    <w:rsid w:val="00F63769"/>
    <w:rsid w:val="00F637FB"/>
    <w:rsid w:val="00F639BE"/>
    <w:rsid w:val="00F63A3A"/>
    <w:rsid w:val="00F63AE6"/>
    <w:rsid w:val="00F63B1E"/>
    <w:rsid w:val="00F63C36"/>
    <w:rsid w:val="00F63EDE"/>
    <w:rsid w:val="00F63EF7"/>
    <w:rsid w:val="00F64092"/>
    <w:rsid w:val="00F64112"/>
    <w:rsid w:val="00F641A0"/>
    <w:rsid w:val="00F642D4"/>
    <w:rsid w:val="00F6430D"/>
    <w:rsid w:val="00F643CC"/>
    <w:rsid w:val="00F64701"/>
    <w:rsid w:val="00F6483E"/>
    <w:rsid w:val="00F64A5D"/>
    <w:rsid w:val="00F64A65"/>
    <w:rsid w:val="00F64AC6"/>
    <w:rsid w:val="00F64C4F"/>
    <w:rsid w:val="00F64E15"/>
    <w:rsid w:val="00F64E6C"/>
    <w:rsid w:val="00F650F3"/>
    <w:rsid w:val="00F65117"/>
    <w:rsid w:val="00F65216"/>
    <w:rsid w:val="00F65292"/>
    <w:rsid w:val="00F655DD"/>
    <w:rsid w:val="00F656AD"/>
    <w:rsid w:val="00F65705"/>
    <w:rsid w:val="00F6574C"/>
    <w:rsid w:val="00F65AEB"/>
    <w:rsid w:val="00F65B58"/>
    <w:rsid w:val="00F65DCF"/>
    <w:rsid w:val="00F65DDF"/>
    <w:rsid w:val="00F65F5B"/>
    <w:rsid w:val="00F66056"/>
    <w:rsid w:val="00F66142"/>
    <w:rsid w:val="00F661F8"/>
    <w:rsid w:val="00F6644D"/>
    <w:rsid w:val="00F66579"/>
    <w:rsid w:val="00F66966"/>
    <w:rsid w:val="00F669F8"/>
    <w:rsid w:val="00F66AD6"/>
    <w:rsid w:val="00F66DDF"/>
    <w:rsid w:val="00F66E61"/>
    <w:rsid w:val="00F66FB9"/>
    <w:rsid w:val="00F67118"/>
    <w:rsid w:val="00F671F0"/>
    <w:rsid w:val="00F6758D"/>
    <w:rsid w:val="00F67977"/>
    <w:rsid w:val="00F67A0F"/>
    <w:rsid w:val="00F67B89"/>
    <w:rsid w:val="00F67D8B"/>
    <w:rsid w:val="00F67DA0"/>
    <w:rsid w:val="00F70368"/>
    <w:rsid w:val="00F70701"/>
    <w:rsid w:val="00F70711"/>
    <w:rsid w:val="00F7086E"/>
    <w:rsid w:val="00F709AF"/>
    <w:rsid w:val="00F70A0C"/>
    <w:rsid w:val="00F70A33"/>
    <w:rsid w:val="00F70A72"/>
    <w:rsid w:val="00F70AC6"/>
    <w:rsid w:val="00F70DCF"/>
    <w:rsid w:val="00F70DD3"/>
    <w:rsid w:val="00F710DB"/>
    <w:rsid w:val="00F7123D"/>
    <w:rsid w:val="00F713A7"/>
    <w:rsid w:val="00F715B3"/>
    <w:rsid w:val="00F71632"/>
    <w:rsid w:val="00F7163D"/>
    <w:rsid w:val="00F71914"/>
    <w:rsid w:val="00F7194B"/>
    <w:rsid w:val="00F71C97"/>
    <w:rsid w:val="00F71E38"/>
    <w:rsid w:val="00F72038"/>
    <w:rsid w:val="00F720C3"/>
    <w:rsid w:val="00F7221B"/>
    <w:rsid w:val="00F72444"/>
    <w:rsid w:val="00F72490"/>
    <w:rsid w:val="00F72512"/>
    <w:rsid w:val="00F72639"/>
    <w:rsid w:val="00F7268D"/>
    <w:rsid w:val="00F72691"/>
    <w:rsid w:val="00F728ED"/>
    <w:rsid w:val="00F7298B"/>
    <w:rsid w:val="00F72AAF"/>
    <w:rsid w:val="00F72D93"/>
    <w:rsid w:val="00F72E9B"/>
    <w:rsid w:val="00F72FDD"/>
    <w:rsid w:val="00F73191"/>
    <w:rsid w:val="00F73358"/>
    <w:rsid w:val="00F7342B"/>
    <w:rsid w:val="00F73521"/>
    <w:rsid w:val="00F7353C"/>
    <w:rsid w:val="00F73562"/>
    <w:rsid w:val="00F73585"/>
    <w:rsid w:val="00F73604"/>
    <w:rsid w:val="00F73628"/>
    <w:rsid w:val="00F7378B"/>
    <w:rsid w:val="00F73922"/>
    <w:rsid w:val="00F7393A"/>
    <w:rsid w:val="00F73A53"/>
    <w:rsid w:val="00F73ACF"/>
    <w:rsid w:val="00F73AFB"/>
    <w:rsid w:val="00F73C26"/>
    <w:rsid w:val="00F73F36"/>
    <w:rsid w:val="00F73FA5"/>
    <w:rsid w:val="00F740D5"/>
    <w:rsid w:val="00F740FC"/>
    <w:rsid w:val="00F74266"/>
    <w:rsid w:val="00F742DD"/>
    <w:rsid w:val="00F74349"/>
    <w:rsid w:val="00F744C5"/>
    <w:rsid w:val="00F745FF"/>
    <w:rsid w:val="00F74777"/>
    <w:rsid w:val="00F747C6"/>
    <w:rsid w:val="00F747CA"/>
    <w:rsid w:val="00F74813"/>
    <w:rsid w:val="00F7492C"/>
    <w:rsid w:val="00F74A1A"/>
    <w:rsid w:val="00F74B9B"/>
    <w:rsid w:val="00F74D09"/>
    <w:rsid w:val="00F74EC6"/>
    <w:rsid w:val="00F75057"/>
    <w:rsid w:val="00F75184"/>
    <w:rsid w:val="00F75359"/>
    <w:rsid w:val="00F75367"/>
    <w:rsid w:val="00F753E7"/>
    <w:rsid w:val="00F754B2"/>
    <w:rsid w:val="00F75760"/>
    <w:rsid w:val="00F757E8"/>
    <w:rsid w:val="00F75963"/>
    <w:rsid w:val="00F75984"/>
    <w:rsid w:val="00F75A6C"/>
    <w:rsid w:val="00F75AEB"/>
    <w:rsid w:val="00F75D9C"/>
    <w:rsid w:val="00F75F0D"/>
    <w:rsid w:val="00F761B9"/>
    <w:rsid w:val="00F76257"/>
    <w:rsid w:val="00F763F5"/>
    <w:rsid w:val="00F7657A"/>
    <w:rsid w:val="00F7657B"/>
    <w:rsid w:val="00F7671D"/>
    <w:rsid w:val="00F7692F"/>
    <w:rsid w:val="00F76BBE"/>
    <w:rsid w:val="00F76C67"/>
    <w:rsid w:val="00F76C8A"/>
    <w:rsid w:val="00F76CD8"/>
    <w:rsid w:val="00F76D1E"/>
    <w:rsid w:val="00F76DF5"/>
    <w:rsid w:val="00F77008"/>
    <w:rsid w:val="00F77295"/>
    <w:rsid w:val="00F773E2"/>
    <w:rsid w:val="00F778F1"/>
    <w:rsid w:val="00F77A2E"/>
    <w:rsid w:val="00F77A4C"/>
    <w:rsid w:val="00F77A8E"/>
    <w:rsid w:val="00F77AF0"/>
    <w:rsid w:val="00F77B92"/>
    <w:rsid w:val="00F77C37"/>
    <w:rsid w:val="00F77CC3"/>
    <w:rsid w:val="00F77FBC"/>
    <w:rsid w:val="00F80161"/>
    <w:rsid w:val="00F802BB"/>
    <w:rsid w:val="00F803F6"/>
    <w:rsid w:val="00F80598"/>
    <w:rsid w:val="00F80610"/>
    <w:rsid w:val="00F80789"/>
    <w:rsid w:val="00F80C04"/>
    <w:rsid w:val="00F80CD1"/>
    <w:rsid w:val="00F80D27"/>
    <w:rsid w:val="00F80E1E"/>
    <w:rsid w:val="00F80E49"/>
    <w:rsid w:val="00F80EA0"/>
    <w:rsid w:val="00F80F65"/>
    <w:rsid w:val="00F81062"/>
    <w:rsid w:val="00F8130B"/>
    <w:rsid w:val="00F8131C"/>
    <w:rsid w:val="00F8158B"/>
    <w:rsid w:val="00F815A1"/>
    <w:rsid w:val="00F8167C"/>
    <w:rsid w:val="00F81704"/>
    <w:rsid w:val="00F81756"/>
    <w:rsid w:val="00F817AD"/>
    <w:rsid w:val="00F817F0"/>
    <w:rsid w:val="00F8183D"/>
    <w:rsid w:val="00F8185F"/>
    <w:rsid w:val="00F819AD"/>
    <w:rsid w:val="00F819C9"/>
    <w:rsid w:val="00F81AA4"/>
    <w:rsid w:val="00F81E14"/>
    <w:rsid w:val="00F81E21"/>
    <w:rsid w:val="00F81EC0"/>
    <w:rsid w:val="00F82071"/>
    <w:rsid w:val="00F82228"/>
    <w:rsid w:val="00F82240"/>
    <w:rsid w:val="00F82282"/>
    <w:rsid w:val="00F82533"/>
    <w:rsid w:val="00F826C0"/>
    <w:rsid w:val="00F82947"/>
    <w:rsid w:val="00F82B36"/>
    <w:rsid w:val="00F82D33"/>
    <w:rsid w:val="00F82DB3"/>
    <w:rsid w:val="00F82DB6"/>
    <w:rsid w:val="00F82E19"/>
    <w:rsid w:val="00F82E30"/>
    <w:rsid w:val="00F82FF9"/>
    <w:rsid w:val="00F83289"/>
    <w:rsid w:val="00F83680"/>
    <w:rsid w:val="00F837C5"/>
    <w:rsid w:val="00F838F6"/>
    <w:rsid w:val="00F83B51"/>
    <w:rsid w:val="00F83C06"/>
    <w:rsid w:val="00F83C13"/>
    <w:rsid w:val="00F83E47"/>
    <w:rsid w:val="00F83EE8"/>
    <w:rsid w:val="00F83F83"/>
    <w:rsid w:val="00F8421F"/>
    <w:rsid w:val="00F8446F"/>
    <w:rsid w:val="00F8466D"/>
    <w:rsid w:val="00F8470A"/>
    <w:rsid w:val="00F847A3"/>
    <w:rsid w:val="00F847AF"/>
    <w:rsid w:val="00F84854"/>
    <w:rsid w:val="00F84A80"/>
    <w:rsid w:val="00F84C2F"/>
    <w:rsid w:val="00F84C63"/>
    <w:rsid w:val="00F84D18"/>
    <w:rsid w:val="00F84E4B"/>
    <w:rsid w:val="00F84F20"/>
    <w:rsid w:val="00F85258"/>
    <w:rsid w:val="00F852B9"/>
    <w:rsid w:val="00F852F6"/>
    <w:rsid w:val="00F8534C"/>
    <w:rsid w:val="00F856CE"/>
    <w:rsid w:val="00F85720"/>
    <w:rsid w:val="00F857B4"/>
    <w:rsid w:val="00F858C3"/>
    <w:rsid w:val="00F85937"/>
    <w:rsid w:val="00F859DF"/>
    <w:rsid w:val="00F85A81"/>
    <w:rsid w:val="00F85B55"/>
    <w:rsid w:val="00F85C3C"/>
    <w:rsid w:val="00F85D13"/>
    <w:rsid w:val="00F85E24"/>
    <w:rsid w:val="00F85E61"/>
    <w:rsid w:val="00F85FA5"/>
    <w:rsid w:val="00F861FA"/>
    <w:rsid w:val="00F86766"/>
    <w:rsid w:val="00F869EC"/>
    <w:rsid w:val="00F86A09"/>
    <w:rsid w:val="00F86A9A"/>
    <w:rsid w:val="00F86AC9"/>
    <w:rsid w:val="00F86AD0"/>
    <w:rsid w:val="00F86CE0"/>
    <w:rsid w:val="00F86DB9"/>
    <w:rsid w:val="00F86EF8"/>
    <w:rsid w:val="00F86F8F"/>
    <w:rsid w:val="00F87024"/>
    <w:rsid w:val="00F8705F"/>
    <w:rsid w:val="00F87072"/>
    <w:rsid w:val="00F8727F"/>
    <w:rsid w:val="00F8729E"/>
    <w:rsid w:val="00F872DF"/>
    <w:rsid w:val="00F875BB"/>
    <w:rsid w:val="00F876DD"/>
    <w:rsid w:val="00F87909"/>
    <w:rsid w:val="00F87A7F"/>
    <w:rsid w:val="00F87AD4"/>
    <w:rsid w:val="00F87C2D"/>
    <w:rsid w:val="00F87E8A"/>
    <w:rsid w:val="00F90273"/>
    <w:rsid w:val="00F902AC"/>
    <w:rsid w:val="00F903B8"/>
    <w:rsid w:val="00F903BE"/>
    <w:rsid w:val="00F904ED"/>
    <w:rsid w:val="00F9067E"/>
    <w:rsid w:val="00F9077B"/>
    <w:rsid w:val="00F9099D"/>
    <w:rsid w:val="00F909D5"/>
    <w:rsid w:val="00F90A1F"/>
    <w:rsid w:val="00F90A49"/>
    <w:rsid w:val="00F90D3A"/>
    <w:rsid w:val="00F90DBD"/>
    <w:rsid w:val="00F90E44"/>
    <w:rsid w:val="00F91069"/>
    <w:rsid w:val="00F91148"/>
    <w:rsid w:val="00F91317"/>
    <w:rsid w:val="00F913DA"/>
    <w:rsid w:val="00F913FA"/>
    <w:rsid w:val="00F91598"/>
    <w:rsid w:val="00F91794"/>
    <w:rsid w:val="00F917F9"/>
    <w:rsid w:val="00F9186A"/>
    <w:rsid w:val="00F918D1"/>
    <w:rsid w:val="00F91A28"/>
    <w:rsid w:val="00F91DF2"/>
    <w:rsid w:val="00F91E2A"/>
    <w:rsid w:val="00F91EFE"/>
    <w:rsid w:val="00F91F21"/>
    <w:rsid w:val="00F921A6"/>
    <w:rsid w:val="00F92399"/>
    <w:rsid w:val="00F92556"/>
    <w:rsid w:val="00F92636"/>
    <w:rsid w:val="00F9287D"/>
    <w:rsid w:val="00F928CC"/>
    <w:rsid w:val="00F92B04"/>
    <w:rsid w:val="00F92B18"/>
    <w:rsid w:val="00F92BFD"/>
    <w:rsid w:val="00F92DD4"/>
    <w:rsid w:val="00F92DDF"/>
    <w:rsid w:val="00F92E27"/>
    <w:rsid w:val="00F92E2E"/>
    <w:rsid w:val="00F92E8F"/>
    <w:rsid w:val="00F92F5E"/>
    <w:rsid w:val="00F92FD8"/>
    <w:rsid w:val="00F9318A"/>
    <w:rsid w:val="00F934B6"/>
    <w:rsid w:val="00F935A5"/>
    <w:rsid w:val="00F935BB"/>
    <w:rsid w:val="00F9376B"/>
    <w:rsid w:val="00F937D6"/>
    <w:rsid w:val="00F93C56"/>
    <w:rsid w:val="00F93C98"/>
    <w:rsid w:val="00F93F15"/>
    <w:rsid w:val="00F940A4"/>
    <w:rsid w:val="00F943A4"/>
    <w:rsid w:val="00F94647"/>
    <w:rsid w:val="00F94897"/>
    <w:rsid w:val="00F94A20"/>
    <w:rsid w:val="00F94AF6"/>
    <w:rsid w:val="00F94E52"/>
    <w:rsid w:val="00F94E6C"/>
    <w:rsid w:val="00F94E74"/>
    <w:rsid w:val="00F94F0E"/>
    <w:rsid w:val="00F95247"/>
    <w:rsid w:val="00F95538"/>
    <w:rsid w:val="00F9553D"/>
    <w:rsid w:val="00F95556"/>
    <w:rsid w:val="00F95883"/>
    <w:rsid w:val="00F958A5"/>
    <w:rsid w:val="00F959BB"/>
    <w:rsid w:val="00F959FD"/>
    <w:rsid w:val="00F95A80"/>
    <w:rsid w:val="00F95AC5"/>
    <w:rsid w:val="00F95B76"/>
    <w:rsid w:val="00F95DB7"/>
    <w:rsid w:val="00F95EC1"/>
    <w:rsid w:val="00F95F17"/>
    <w:rsid w:val="00F96037"/>
    <w:rsid w:val="00F96047"/>
    <w:rsid w:val="00F9606E"/>
    <w:rsid w:val="00F962A8"/>
    <w:rsid w:val="00F96303"/>
    <w:rsid w:val="00F963BB"/>
    <w:rsid w:val="00F969CE"/>
    <w:rsid w:val="00F96BFA"/>
    <w:rsid w:val="00F96BFE"/>
    <w:rsid w:val="00F96CC9"/>
    <w:rsid w:val="00F96DD4"/>
    <w:rsid w:val="00F9714D"/>
    <w:rsid w:val="00F9715C"/>
    <w:rsid w:val="00F975FE"/>
    <w:rsid w:val="00F97674"/>
    <w:rsid w:val="00F97679"/>
    <w:rsid w:val="00F97711"/>
    <w:rsid w:val="00F97B90"/>
    <w:rsid w:val="00F97BF5"/>
    <w:rsid w:val="00F97E94"/>
    <w:rsid w:val="00FA02EA"/>
    <w:rsid w:val="00FA0737"/>
    <w:rsid w:val="00FA0789"/>
    <w:rsid w:val="00FA07BC"/>
    <w:rsid w:val="00FA09AE"/>
    <w:rsid w:val="00FA0C61"/>
    <w:rsid w:val="00FA0D01"/>
    <w:rsid w:val="00FA0D0A"/>
    <w:rsid w:val="00FA0D59"/>
    <w:rsid w:val="00FA0DFE"/>
    <w:rsid w:val="00FA0E88"/>
    <w:rsid w:val="00FA108D"/>
    <w:rsid w:val="00FA1230"/>
    <w:rsid w:val="00FA1295"/>
    <w:rsid w:val="00FA149C"/>
    <w:rsid w:val="00FA14E9"/>
    <w:rsid w:val="00FA16A1"/>
    <w:rsid w:val="00FA17A8"/>
    <w:rsid w:val="00FA1AC4"/>
    <w:rsid w:val="00FA1B4A"/>
    <w:rsid w:val="00FA1C68"/>
    <w:rsid w:val="00FA1CCC"/>
    <w:rsid w:val="00FA1EB5"/>
    <w:rsid w:val="00FA2293"/>
    <w:rsid w:val="00FA22B8"/>
    <w:rsid w:val="00FA22CD"/>
    <w:rsid w:val="00FA23C3"/>
    <w:rsid w:val="00FA24BB"/>
    <w:rsid w:val="00FA24D7"/>
    <w:rsid w:val="00FA2599"/>
    <w:rsid w:val="00FA2708"/>
    <w:rsid w:val="00FA285B"/>
    <w:rsid w:val="00FA2A71"/>
    <w:rsid w:val="00FA2B45"/>
    <w:rsid w:val="00FA2C34"/>
    <w:rsid w:val="00FA2D13"/>
    <w:rsid w:val="00FA2D26"/>
    <w:rsid w:val="00FA2DBD"/>
    <w:rsid w:val="00FA2EF9"/>
    <w:rsid w:val="00FA2F22"/>
    <w:rsid w:val="00FA3091"/>
    <w:rsid w:val="00FA3142"/>
    <w:rsid w:val="00FA32C6"/>
    <w:rsid w:val="00FA3653"/>
    <w:rsid w:val="00FA3786"/>
    <w:rsid w:val="00FA3A4B"/>
    <w:rsid w:val="00FA3AD7"/>
    <w:rsid w:val="00FA3CA9"/>
    <w:rsid w:val="00FA3D33"/>
    <w:rsid w:val="00FA3E69"/>
    <w:rsid w:val="00FA3EA3"/>
    <w:rsid w:val="00FA3FAA"/>
    <w:rsid w:val="00FA4036"/>
    <w:rsid w:val="00FA41C4"/>
    <w:rsid w:val="00FA421F"/>
    <w:rsid w:val="00FA4486"/>
    <w:rsid w:val="00FA4603"/>
    <w:rsid w:val="00FA46AF"/>
    <w:rsid w:val="00FA478A"/>
    <w:rsid w:val="00FA4A0C"/>
    <w:rsid w:val="00FA4C72"/>
    <w:rsid w:val="00FA4CC8"/>
    <w:rsid w:val="00FA4D26"/>
    <w:rsid w:val="00FA4F62"/>
    <w:rsid w:val="00FA4FF0"/>
    <w:rsid w:val="00FA506C"/>
    <w:rsid w:val="00FA5190"/>
    <w:rsid w:val="00FA52C3"/>
    <w:rsid w:val="00FA5401"/>
    <w:rsid w:val="00FA552B"/>
    <w:rsid w:val="00FA555E"/>
    <w:rsid w:val="00FA5582"/>
    <w:rsid w:val="00FA5D7D"/>
    <w:rsid w:val="00FA5F04"/>
    <w:rsid w:val="00FA5F5A"/>
    <w:rsid w:val="00FA5F97"/>
    <w:rsid w:val="00FA5FA1"/>
    <w:rsid w:val="00FA622D"/>
    <w:rsid w:val="00FA6314"/>
    <w:rsid w:val="00FA63A5"/>
    <w:rsid w:val="00FA647B"/>
    <w:rsid w:val="00FA6543"/>
    <w:rsid w:val="00FA658B"/>
    <w:rsid w:val="00FA675D"/>
    <w:rsid w:val="00FA6B22"/>
    <w:rsid w:val="00FA6B6D"/>
    <w:rsid w:val="00FA6B81"/>
    <w:rsid w:val="00FA6E4F"/>
    <w:rsid w:val="00FA6E56"/>
    <w:rsid w:val="00FA6E90"/>
    <w:rsid w:val="00FA6FCC"/>
    <w:rsid w:val="00FA7263"/>
    <w:rsid w:val="00FA748F"/>
    <w:rsid w:val="00FA750D"/>
    <w:rsid w:val="00FA750E"/>
    <w:rsid w:val="00FA758B"/>
    <w:rsid w:val="00FA75D1"/>
    <w:rsid w:val="00FA77A6"/>
    <w:rsid w:val="00FA796D"/>
    <w:rsid w:val="00FA79E7"/>
    <w:rsid w:val="00FA7AAA"/>
    <w:rsid w:val="00FA7AC2"/>
    <w:rsid w:val="00FA7CF0"/>
    <w:rsid w:val="00FA7E19"/>
    <w:rsid w:val="00FA7E8C"/>
    <w:rsid w:val="00FA7F00"/>
    <w:rsid w:val="00FA7FFA"/>
    <w:rsid w:val="00FB0194"/>
    <w:rsid w:val="00FB0319"/>
    <w:rsid w:val="00FB038C"/>
    <w:rsid w:val="00FB0533"/>
    <w:rsid w:val="00FB0555"/>
    <w:rsid w:val="00FB0627"/>
    <w:rsid w:val="00FB064F"/>
    <w:rsid w:val="00FB0704"/>
    <w:rsid w:val="00FB0710"/>
    <w:rsid w:val="00FB0745"/>
    <w:rsid w:val="00FB09B6"/>
    <w:rsid w:val="00FB0A16"/>
    <w:rsid w:val="00FB0A6B"/>
    <w:rsid w:val="00FB0A80"/>
    <w:rsid w:val="00FB0AA0"/>
    <w:rsid w:val="00FB0D4E"/>
    <w:rsid w:val="00FB0D6A"/>
    <w:rsid w:val="00FB101F"/>
    <w:rsid w:val="00FB1145"/>
    <w:rsid w:val="00FB120D"/>
    <w:rsid w:val="00FB1264"/>
    <w:rsid w:val="00FB12F6"/>
    <w:rsid w:val="00FB13FD"/>
    <w:rsid w:val="00FB14AF"/>
    <w:rsid w:val="00FB154C"/>
    <w:rsid w:val="00FB15E4"/>
    <w:rsid w:val="00FB17AA"/>
    <w:rsid w:val="00FB18C9"/>
    <w:rsid w:val="00FB1969"/>
    <w:rsid w:val="00FB1B13"/>
    <w:rsid w:val="00FB1BE6"/>
    <w:rsid w:val="00FB1C2E"/>
    <w:rsid w:val="00FB1D2A"/>
    <w:rsid w:val="00FB1E2A"/>
    <w:rsid w:val="00FB1E51"/>
    <w:rsid w:val="00FB2257"/>
    <w:rsid w:val="00FB234D"/>
    <w:rsid w:val="00FB234E"/>
    <w:rsid w:val="00FB23C0"/>
    <w:rsid w:val="00FB2429"/>
    <w:rsid w:val="00FB24C7"/>
    <w:rsid w:val="00FB2529"/>
    <w:rsid w:val="00FB25DC"/>
    <w:rsid w:val="00FB25F5"/>
    <w:rsid w:val="00FB275E"/>
    <w:rsid w:val="00FB294C"/>
    <w:rsid w:val="00FB2C4D"/>
    <w:rsid w:val="00FB2CB9"/>
    <w:rsid w:val="00FB2D6B"/>
    <w:rsid w:val="00FB2D8B"/>
    <w:rsid w:val="00FB2F2B"/>
    <w:rsid w:val="00FB2F88"/>
    <w:rsid w:val="00FB307E"/>
    <w:rsid w:val="00FB30F6"/>
    <w:rsid w:val="00FB316E"/>
    <w:rsid w:val="00FB31D2"/>
    <w:rsid w:val="00FB37A6"/>
    <w:rsid w:val="00FB3AAD"/>
    <w:rsid w:val="00FB3BEB"/>
    <w:rsid w:val="00FB3E6D"/>
    <w:rsid w:val="00FB3E87"/>
    <w:rsid w:val="00FB3FB2"/>
    <w:rsid w:val="00FB40C8"/>
    <w:rsid w:val="00FB40FA"/>
    <w:rsid w:val="00FB41DD"/>
    <w:rsid w:val="00FB41E5"/>
    <w:rsid w:val="00FB429D"/>
    <w:rsid w:val="00FB47F3"/>
    <w:rsid w:val="00FB4BDF"/>
    <w:rsid w:val="00FB4C51"/>
    <w:rsid w:val="00FB4DD4"/>
    <w:rsid w:val="00FB4E05"/>
    <w:rsid w:val="00FB4E09"/>
    <w:rsid w:val="00FB4E6A"/>
    <w:rsid w:val="00FB513D"/>
    <w:rsid w:val="00FB536D"/>
    <w:rsid w:val="00FB53E0"/>
    <w:rsid w:val="00FB5700"/>
    <w:rsid w:val="00FB5719"/>
    <w:rsid w:val="00FB5754"/>
    <w:rsid w:val="00FB576F"/>
    <w:rsid w:val="00FB586E"/>
    <w:rsid w:val="00FB59F4"/>
    <w:rsid w:val="00FB5B09"/>
    <w:rsid w:val="00FB5B11"/>
    <w:rsid w:val="00FB5B6B"/>
    <w:rsid w:val="00FB5BBE"/>
    <w:rsid w:val="00FB5D98"/>
    <w:rsid w:val="00FB5E51"/>
    <w:rsid w:val="00FB5F8B"/>
    <w:rsid w:val="00FB608A"/>
    <w:rsid w:val="00FB618A"/>
    <w:rsid w:val="00FB6254"/>
    <w:rsid w:val="00FB6440"/>
    <w:rsid w:val="00FB64EF"/>
    <w:rsid w:val="00FB65E6"/>
    <w:rsid w:val="00FB693F"/>
    <w:rsid w:val="00FB694B"/>
    <w:rsid w:val="00FB6A85"/>
    <w:rsid w:val="00FB6B80"/>
    <w:rsid w:val="00FB6F8A"/>
    <w:rsid w:val="00FB7022"/>
    <w:rsid w:val="00FB702E"/>
    <w:rsid w:val="00FB703C"/>
    <w:rsid w:val="00FB70D3"/>
    <w:rsid w:val="00FB71A1"/>
    <w:rsid w:val="00FB71F5"/>
    <w:rsid w:val="00FB72F8"/>
    <w:rsid w:val="00FB74B0"/>
    <w:rsid w:val="00FB75E4"/>
    <w:rsid w:val="00FB7697"/>
    <w:rsid w:val="00FB771C"/>
    <w:rsid w:val="00FB799D"/>
    <w:rsid w:val="00FB7A34"/>
    <w:rsid w:val="00FB7A4B"/>
    <w:rsid w:val="00FB7B54"/>
    <w:rsid w:val="00FB7B83"/>
    <w:rsid w:val="00FB7F4F"/>
    <w:rsid w:val="00FC026A"/>
    <w:rsid w:val="00FC0296"/>
    <w:rsid w:val="00FC04AF"/>
    <w:rsid w:val="00FC04D2"/>
    <w:rsid w:val="00FC04EB"/>
    <w:rsid w:val="00FC068F"/>
    <w:rsid w:val="00FC06E5"/>
    <w:rsid w:val="00FC07D9"/>
    <w:rsid w:val="00FC0AB1"/>
    <w:rsid w:val="00FC0AD0"/>
    <w:rsid w:val="00FC0B50"/>
    <w:rsid w:val="00FC0B57"/>
    <w:rsid w:val="00FC0B62"/>
    <w:rsid w:val="00FC0D19"/>
    <w:rsid w:val="00FC0E06"/>
    <w:rsid w:val="00FC0E2C"/>
    <w:rsid w:val="00FC0EB7"/>
    <w:rsid w:val="00FC1155"/>
    <w:rsid w:val="00FC1357"/>
    <w:rsid w:val="00FC1427"/>
    <w:rsid w:val="00FC1558"/>
    <w:rsid w:val="00FC156E"/>
    <w:rsid w:val="00FC172D"/>
    <w:rsid w:val="00FC176A"/>
    <w:rsid w:val="00FC194A"/>
    <w:rsid w:val="00FC1A14"/>
    <w:rsid w:val="00FC1C95"/>
    <w:rsid w:val="00FC1DBB"/>
    <w:rsid w:val="00FC1FEE"/>
    <w:rsid w:val="00FC23CB"/>
    <w:rsid w:val="00FC2436"/>
    <w:rsid w:val="00FC244D"/>
    <w:rsid w:val="00FC2605"/>
    <w:rsid w:val="00FC272B"/>
    <w:rsid w:val="00FC2790"/>
    <w:rsid w:val="00FC2832"/>
    <w:rsid w:val="00FC287A"/>
    <w:rsid w:val="00FC290F"/>
    <w:rsid w:val="00FC29C4"/>
    <w:rsid w:val="00FC29E2"/>
    <w:rsid w:val="00FC2A39"/>
    <w:rsid w:val="00FC2A52"/>
    <w:rsid w:val="00FC2C07"/>
    <w:rsid w:val="00FC2D3A"/>
    <w:rsid w:val="00FC2D5B"/>
    <w:rsid w:val="00FC2DFE"/>
    <w:rsid w:val="00FC30EB"/>
    <w:rsid w:val="00FC32D7"/>
    <w:rsid w:val="00FC3415"/>
    <w:rsid w:val="00FC3476"/>
    <w:rsid w:val="00FC3693"/>
    <w:rsid w:val="00FC395E"/>
    <w:rsid w:val="00FC3A63"/>
    <w:rsid w:val="00FC3ABB"/>
    <w:rsid w:val="00FC3B78"/>
    <w:rsid w:val="00FC3CEB"/>
    <w:rsid w:val="00FC3F5B"/>
    <w:rsid w:val="00FC407E"/>
    <w:rsid w:val="00FC40CB"/>
    <w:rsid w:val="00FC4123"/>
    <w:rsid w:val="00FC41BC"/>
    <w:rsid w:val="00FC4558"/>
    <w:rsid w:val="00FC45C8"/>
    <w:rsid w:val="00FC4636"/>
    <w:rsid w:val="00FC4913"/>
    <w:rsid w:val="00FC4A0D"/>
    <w:rsid w:val="00FC4AC2"/>
    <w:rsid w:val="00FC4BF6"/>
    <w:rsid w:val="00FC4D00"/>
    <w:rsid w:val="00FC4E1B"/>
    <w:rsid w:val="00FC4E8C"/>
    <w:rsid w:val="00FC4F27"/>
    <w:rsid w:val="00FC50FC"/>
    <w:rsid w:val="00FC5178"/>
    <w:rsid w:val="00FC5317"/>
    <w:rsid w:val="00FC5383"/>
    <w:rsid w:val="00FC53B8"/>
    <w:rsid w:val="00FC57E9"/>
    <w:rsid w:val="00FC5A85"/>
    <w:rsid w:val="00FC5C04"/>
    <w:rsid w:val="00FC5C48"/>
    <w:rsid w:val="00FC5C7F"/>
    <w:rsid w:val="00FC5E24"/>
    <w:rsid w:val="00FC5E60"/>
    <w:rsid w:val="00FC62A5"/>
    <w:rsid w:val="00FC63CE"/>
    <w:rsid w:val="00FC640D"/>
    <w:rsid w:val="00FC647B"/>
    <w:rsid w:val="00FC6762"/>
    <w:rsid w:val="00FC67E9"/>
    <w:rsid w:val="00FC680E"/>
    <w:rsid w:val="00FC69C4"/>
    <w:rsid w:val="00FC6AD9"/>
    <w:rsid w:val="00FC6CD8"/>
    <w:rsid w:val="00FC6D1C"/>
    <w:rsid w:val="00FC6F33"/>
    <w:rsid w:val="00FC6F49"/>
    <w:rsid w:val="00FC6F93"/>
    <w:rsid w:val="00FC70C9"/>
    <w:rsid w:val="00FC71F1"/>
    <w:rsid w:val="00FC71F8"/>
    <w:rsid w:val="00FC72AA"/>
    <w:rsid w:val="00FC74C1"/>
    <w:rsid w:val="00FC77F7"/>
    <w:rsid w:val="00FC7B5B"/>
    <w:rsid w:val="00FC7C3C"/>
    <w:rsid w:val="00FC7EB2"/>
    <w:rsid w:val="00FC7ED1"/>
    <w:rsid w:val="00FC7F03"/>
    <w:rsid w:val="00FD00EC"/>
    <w:rsid w:val="00FD0120"/>
    <w:rsid w:val="00FD01E3"/>
    <w:rsid w:val="00FD03A7"/>
    <w:rsid w:val="00FD03D5"/>
    <w:rsid w:val="00FD057E"/>
    <w:rsid w:val="00FD05BD"/>
    <w:rsid w:val="00FD06E2"/>
    <w:rsid w:val="00FD079A"/>
    <w:rsid w:val="00FD0851"/>
    <w:rsid w:val="00FD088A"/>
    <w:rsid w:val="00FD088C"/>
    <w:rsid w:val="00FD08B9"/>
    <w:rsid w:val="00FD09B6"/>
    <w:rsid w:val="00FD0A2C"/>
    <w:rsid w:val="00FD0A6B"/>
    <w:rsid w:val="00FD0A94"/>
    <w:rsid w:val="00FD0A9B"/>
    <w:rsid w:val="00FD0C4F"/>
    <w:rsid w:val="00FD0D44"/>
    <w:rsid w:val="00FD0D4A"/>
    <w:rsid w:val="00FD0E7C"/>
    <w:rsid w:val="00FD0FD4"/>
    <w:rsid w:val="00FD1026"/>
    <w:rsid w:val="00FD1094"/>
    <w:rsid w:val="00FD10EF"/>
    <w:rsid w:val="00FD11E3"/>
    <w:rsid w:val="00FD11FC"/>
    <w:rsid w:val="00FD125E"/>
    <w:rsid w:val="00FD12AB"/>
    <w:rsid w:val="00FD15FC"/>
    <w:rsid w:val="00FD16EB"/>
    <w:rsid w:val="00FD199F"/>
    <w:rsid w:val="00FD19D6"/>
    <w:rsid w:val="00FD1A78"/>
    <w:rsid w:val="00FD1CBC"/>
    <w:rsid w:val="00FD1D25"/>
    <w:rsid w:val="00FD1D78"/>
    <w:rsid w:val="00FD1E23"/>
    <w:rsid w:val="00FD1E31"/>
    <w:rsid w:val="00FD1FF3"/>
    <w:rsid w:val="00FD211B"/>
    <w:rsid w:val="00FD21B1"/>
    <w:rsid w:val="00FD24E6"/>
    <w:rsid w:val="00FD251A"/>
    <w:rsid w:val="00FD25B4"/>
    <w:rsid w:val="00FD2608"/>
    <w:rsid w:val="00FD274E"/>
    <w:rsid w:val="00FD2755"/>
    <w:rsid w:val="00FD27A7"/>
    <w:rsid w:val="00FD283C"/>
    <w:rsid w:val="00FD284C"/>
    <w:rsid w:val="00FD28E8"/>
    <w:rsid w:val="00FD2A10"/>
    <w:rsid w:val="00FD2AFD"/>
    <w:rsid w:val="00FD2C18"/>
    <w:rsid w:val="00FD2CEA"/>
    <w:rsid w:val="00FD2D79"/>
    <w:rsid w:val="00FD301A"/>
    <w:rsid w:val="00FD3041"/>
    <w:rsid w:val="00FD33BC"/>
    <w:rsid w:val="00FD34C3"/>
    <w:rsid w:val="00FD352C"/>
    <w:rsid w:val="00FD3536"/>
    <w:rsid w:val="00FD36A3"/>
    <w:rsid w:val="00FD3803"/>
    <w:rsid w:val="00FD3849"/>
    <w:rsid w:val="00FD3877"/>
    <w:rsid w:val="00FD3880"/>
    <w:rsid w:val="00FD3A84"/>
    <w:rsid w:val="00FD3A8D"/>
    <w:rsid w:val="00FD3ACC"/>
    <w:rsid w:val="00FD3AE4"/>
    <w:rsid w:val="00FD3B0D"/>
    <w:rsid w:val="00FD3C5C"/>
    <w:rsid w:val="00FD3C77"/>
    <w:rsid w:val="00FD3D42"/>
    <w:rsid w:val="00FD3EC7"/>
    <w:rsid w:val="00FD40E7"/>
    <w:rsid w:val="00FD4378"/>
    <w:rsid w:val="00FD440E"/>
    <w:rsid w:val="00FD459C"/>
    <w:rsid w:val="00FD4677"/>
    <w:rsid w:val="00FD47AF"/>
    <w:rsid w:val="00FD48E5"/>
    <w:rsid w:val="00FD4A58"/>
    <w:rsid w:val="00FD4B23"/>
    <w:rsid w:val="00FD4D61"/>
    <w:rsid w:val="00FD4F19"/>
    <w:rsid w:val="00FD4F1E"/>
    <w:rsid w:val="00FD4FEF"/>
    <w:rsid w:val="00FD50BA"/>
    <w:rsid w:val="00FD50EF"/>
    <w:rsid w:val="00FD524A"/>
    <w:rsid w:val="00FD52A4"/>
    <w:rsid w:val="00FD53F7"/>
    <w:rsid w:val="00FD54B7"/>
    <w:rsid w:val="00FD5505"/>
    <w:rsid w:val="00FD58B3"/>
    <w:rsid w:val="00FD58CE"/>
    <w:rsid w:val="00FD5986"/>
    <w:rsid w:val="00FD5A38"/>
    <w:rsid w:val="00FD5D38"/>
    <w:rsid w:val="00FD5E5B"/>
    <w:rsid w:val="00FD5E72"/>
    <w:rsid w:val="00FD5EEF"/>
    <w:rsid w:val="00FD6270"/>
    <w:rsid w:val="00FD62BA"/>
    <w:rsid w:val="00FD64F6"/>
    <w:rsid w:val="00FD6557"/>
    <w:rsid w:val="00FD6558"/>
    <w:rsid w:val="00FD6567"/>
    <w:rsid w:val="00FD65AF"/>
    <w:rsid w:val="00FD6609"/>
    <w:rsid w:val="00FD6757"/>
    <w:rsid w:val="00FD67F7"/>
    <w:rsid w:val="00FD6874"/>
    <w:rsid w:val="00FD6884"/>
    <w:rsid w:val="00FD68D8"/>
    <w:rsid w:val="00FD69F9"/>
    <w:rsid w:val="00FD6A3D"/>
    <w:rsid w:val="00FD6B79"/>
    <w:rsid w:val="00FD6D49"/>
    <w:rsid w:val="00FD6D74"/>
    <w:rsid w:val="00FD701D"/>
    <w:rsid w:val="00FD7157"/>
    <w:rsid w:val="00FD71C6"/>
    <w:rsid w:val="00FD71D2"/>
    <w:rsid w:val="00FD7311"/>
    <w:rsid w:val="00FD74D7"/>
    <w:rsid w:val="00FD7516"/>
    <w:rsid w:val="00FD7563"/>
    <w:rsid w:val="00FD7803"/>
    <w:rsid w:val="00FD7CFB"/>
    <w:rsid w:val="00FD7D61"/>
    <w:rsid w:val="00FD7E0A"/>
    <w:rsid w:val="00FE014F"/>
    <w:rsid w:val="00FE0387"/>
    <w:rsid w:val="00FE046A"/>
    <w:rsid w:val="00FE0648"/>
    <w:rsid w:val="00FE0748"/>
    <w:rsid w:val="00FE0774"/>
    <w:rsid w:val="00FE095C"/>
    <w:rsid w:val="00FE09F3"/>
    <w:rsid w:val="00FE0BCB"/>
    <w:rsid w:val="00FE0C7E"/>
    <w:rsid w:val="00FE10D5"/>
    <w:rsid w:val="00FE1120"/>
    <w:rsid w:val="00FE1153"/>
    <w:rsid w:val="00FE11CB"/>
    <w:rsid w:val="00FE128B"/>
    <w:rsid w:val="00FE1462"/>
    <w:rsid w:val="00FE1488"/>
    <w:rsid w:val="00FE15EC"/>
    <w:rsid w:val="00FE17B5"/>
    <w:rsid w:val="00FE17E6"/>
    <w:rsid w:val="00FE18CB"/>
    <w:rsid w:val="00FE1A07"/>
    <w:rsid w:val="00FE1B8B"/>
    <w:rsid w:val="00FE1C4C"/>
    <w:rsid w:val="00FE1D1E"/>
    <w:rsid w:val="00FE1E62"/>
    <w:rsid w:val="00FE20BA"/>
    <w:rsid w:val="00FE20E5"/>
    <w:rsid w:val="00FE245A"/>
    <w:rsid w:val="00FE24D8"/>
    <w:rsid w:val="00FE2561"/>
    <w:rsid w:val="00FE256D"/>
    <w:rsid w:val="00FE27E2"/>
    <w:rsid w:val="00FE27EA"/>
    <w:rsid w:val="00FE28E1"/>
    <w:rsid w:val="00FE2930"/>
    <w:rsid w:val="00FE2A25"/>
    <w:rsid w:val="00FE2A78"/>
    <w:rsid w:val="00FE2BBC"/>
    <w:rsid w:val="00FE2C28"/>
    <w:rsid w:val="00FE2D46"/>
    <w:rsid w:val="00FE2F13"/>
    <w:rsid w:val="00FE3090"/>
    <w:rsid w:val="00FE3195"/>
    <w:rsid w:val="00FE31B7"/>
    <w:rsid w:val="00FE33A2"/>
    <w:rsid w:val="00FE33E7"/>
    <w:rsid w:val="00FE343E"/>
    <w:rsid w:val="00FE3538"/>
    <w:rsid w:val="00FE36D6"/>
    <w:rsid w:val="00FE36D7"/>
    <w:rsid w:val="00FE3876"/>
    <w:rsid w:val="00FE3BC7"/>
    <w:rsid w:val="00FE3BFD"/>
    <w:rsid w:val="00FE3F4A"/>
    <w:rsid w:val="00FE425D"/>
    <w:rsid w:val="00FE4322"/>
    <w:rsid w:val="00FE44EF"/>
    <w:rsid w:val="00FE44F0"/>
    <w:rsid w:val="00FE46B5"/>
    <w:rsid w:val="00FE46DC"/>
    <w:rsid w:val="00FE47B8"/>
    <w:rsid w:val="00FE4914"/>
    <w:rsid w:val="00FE4A3B"/>
    <w:rsid w:val="00FE4C5E"/>
    <w:rsid w:val="00FE4CE6"/>
    <w:rsid w:val="00FE4DC3"/>
    <w:rsid w:val="00FE4F2C"/>
    <w:rsid w:val="00FE5016"/>
    <w:rsid w:val="00FE509F"/>
    <w:rsid w:val="00FE52D1"/>
    <w:rsid w:val="00FE5478"/>
    <w:rsid w:val="00FE55B3"/>
    <w:rsid w:val="00FE567E"/>
    <w:rsid w:val="00FE57DD"/>
    <w:rsid w:val="00FE5BE9"/>
    <w:rsid w:val="00FE5E61"/>
    <w:rsid w:val="00FE5EF2"/>
    <w:rsid w:val="00FE5F1D"/>
    <w:rsid w:val="00FE5FCC"/>
    <w:rsid w:val="00FE6305"/>
    <w:rsid w:val="00FE63C9"/>
    <w:rsid w:val="00FE64B2"/>
    <w:rsid w:val="00FE656D"/>
    <w:rsid w:val="00FE6572"/>
    <w:rsid w:val="00FE664C"/>
    <w:rsid w:val="00FE6A5D"/>
    <w:rsid w:val="00FE6BE9"/>
    <w:rsid w:val="00FE6C6B"/>
    <w:rsid w:val="00FE6CB1"/>
    <w:rsid w:val="00FE6DA4"/>
    <w:rsid w:val="00FE700E"/>
    <w:rsid w:val="00FE71D3"/>
    <w:rsid w:val="00FE71EF"/>
    <w:rsid w:val="00FE7375"/>
    <w:rsid w:val="00FE73A1"/>
    <w:rsid w:val="00FE73E0"/>
    <w:rsid w:val="00FE7583"/>
    <w:rsid w:val="00FE75D2"/>
    <w:rsid w:val="00FE78FB"/>
    <w:rsid w:val="00FE7AA9"/>
    <w:rsid w:val="00FE7AF7"/>
    <w:rsid w:val="00FE7B66"/>
    <w:rsid w:val="00FE7CAD"/>
    <w:rsid w:val="00FE7F37"/>
    <w:rsid w:val="00FE7F7F"/>
    <w:rsid w:val="00FF0006"/>
    <w:rsid w:val="00FF0126"/>
    <w:rsid w:val="00FF040B"/>
    <w:rsid w:val="00FF0491"/>
    <w:rsid w:val="00FF04C4"/>
    <w:rsid w:val="00FF0539"/>
    <w:rsid w:val="00FF0752"/>
    <w:rsid w:val="00FF07A4"/>
    <w:rsid w:val="00FF07AA"/>
    <w:rsid w:val="00FF07D9"/>
    <w:rsid w:val="00FF098D"/>
    <w:rsid w:val="00FF0D4C"/>
    <w:rsid w:val="00FF0EF4"/>
    <w:rsid w:val="00FF0F72"/>
    <w:rsid w:val="00FF0F7C"/>
    <w:rsid w:val="00FF0FFA"/>
    <w:rsid w:val="00FF119D"/>
    <w:rsid w:val="00FF1230"/>
    <w:rsid w:val="00FF12FF"/>
    <w:rsid w:val="00FF1508"/>
    <w:rsid w:val="00FF1587"/>
    <w:rsid w:val="00FF1743"/>
    <w:rsid w:val="00FF197C"/>
    <w:rsid w:val="00FF1981"/>
    <w:rsid w:val="00FF1A2F"/>
    <w:rsid w:val="00FF1A9F"/>
    <w:rsid w:val="00FF1CAE"/>
    <w:rsid w:val="00FF1CD8"/>
    <w:rsid w:val="00FF2183"/>
    <w:rsid w:val="00FF25AA"/>
    <w:rsid w:val="00FF26FE"/>
    <w:rsid w:val="00FF270B"/>
    <w:rsid w:val="00FF2952"/>
    <w:rsid w:val="00FF2ADA"/>
    <w:rsid w:val="00FF2B7F"/>
    <w:rsid w:val="00FF2C47"/>
    <w:rsid w:val="00FF306F"/>
    <w:rsid w:val="00FF32A0"/>
    <w:rsid w:val="00FF330B"/>
    <w:rsid w:val="00FF333A"/>
    <w:rsid w:val="00FF33C3"/>
    <w:rsid w:val="00FF3409"/>
    <w:rsid w:val="00FF3601"/>
    <w:rsid w:val="00FF36DF"/>
    <w:rsid w:val="00FF371D"/>
    <w:rsid w:val="00FF372C"/>
    <w:rsid w:val="00FF385C"/>
    <w:rsid w:val="00FF385E"/>
    <w:rsid w:val="00FF38CE"/>
    <w:rsid w:val="00FF3B33"/>
    <w:rsid w:val="00FF3B34"/>
    <w:rsid w:val="00FF3C8A"/>
    <w:rsid w:val="00FF3FEC"/>
    <w:rsid w:val="00FF4032"/>
    <w:rsid w:val="00FF4033"/>
    <w:rsid w:val="00FF406F"/>
    <w:rsid w:val="00FF41BD"/>
    <w:rsid w:val="00FF4223"/>
    <w:rsid w:val="00FF42E0"/>
    <w:rsid w:val="00FF4611"/>
    <w:rsid w:val="00FF471F"/>
    <w:rsid w:val="00FF47C4"/>
    <w:rsid w:val="00FF4860"/>
    <w:rsid w:val="00FF4AB0"/>
    <w:rsid w:val="00FF4B11"/>
    <w:rsid w:val="00FF4CEB"/>
    <w:rsid w:val="00FF4DC9"/>
    <w:rsid w:val="00FF4DD5"/>
    <w:rsid w:val="00FF4F0F"/>
    <w:rsid w:val="00FF4F64"/>
    <w:rsid w:val="00FF5231"/>
    <w:rsid w:val="00FF53BF"/>
    <w:rsid w:val="00FF54BD"/>
    <w:rsid w:val="00FF5927"/>
    <w:rsid w:val="00FF59F0"/>
    <w:rsid w:val="00FF5D41"/>
    <w:rsid w:val="00FF5D74"/>
    <w:rsid w:val="00FF5E0D"/>
    <w:rsid w:val="00FF5F56"/>
    <w:rsid w:val="00FF61D7"/>
    <w:rsid w:val="00FF62F8"/>
    <w:rsid w:val="00FF6342"/>
    <w:rsid w:val="00FF63A3"/>
    <w:rsid w:val="00FF6693"/>
    <w:rsid w:val="00FF677B"/>
    <w:rsid w:val="00FF6903"/>
    <w:rsid w:val="00FF6910"/>
    <w:rsid w:val="00FF6A73"/>
    <w:rsid w:val="00FF6B4F"/>
    <w:rsid w:val="00FF6F13"/>
    <w:rsid w:val="00FF6FC4"/>
    <w:rsid w:val="00FF6FE7"/>
    <w:rsid w:val="00FF706A"/>
    <w:rsid w:val="00FF743F"/>
    <w:rsid w:val="00FF7479"/>
    <w:rsid w:val="00FF76D6"/>
    <w:rsid w:val="00FF7709"/>
    <w:rsid w:val="00FF7749"/>
    <w:rsid w:val="00FF78E3"/>
    <w:rsid w:val="00FF794D"/>
    <w:rsid w:val="00FF79C2"/>
    <w:rsid w:val="00FF7ADF"/>
    <w:rsid w:val="00FF7BA2"/>
    <w:rsid w:val="00FF7CA2"/>
    <w:rsid w:val="00FF7DD1"/>
    <w:rsid w:val="00FF7E58"/>
    <w:rsid w:val="00FF7E79"/>
    <w:rsid w:val="01048C07"/>
    <w:rsid w:val="01287C0F"/>
    <w:rsid w:val="012F1AF8"/>
    <w:rsid w:val="0132A38F"/>
    <w:rsid w:val="015C2EA5"/>
    <w:rsid w:val="016D6731"/>
    <w:rsid w:val="019CB3CB"/>
    <w:rsid w:val="019F9878"/>
    <w:rsid w:val="01E22D6A"/>
    <w:rsid w:val="01E9A72D"/>
    <w:rsid w:val="01F9EA29"/>
    <w:rsid w:val="0203DA93"/>
    <w:rsid w:val="02064E05"/>
    <w:rsid w:val="021855A7"/>
    <w:rsid w:val="022C4B38"/>
    <w:rsid w:val="022DF32C"/>
    <w:rsid w:val="025BDB63"/>
    <w:rsid w:val="026F991A"/>
    <w:rsid w:val="02A4C3A0"/>
    <w:rsid w:val="02F2C2F4"/>
    <w:rsid w:val="030D5E3F"/>
    <w:rsid w:val="036F9B8A"/>
    <w:rsid w:val="03A2857E"/>
    <w:rsid w:val="03A28AD8"/>
    <w:rsid w:val="03A49953"/>
    <w:rsid w:val="03C36355"/>
    <w:rsid w:val="03D2465A"/>
    <w:rsid w:val="03FCA51F"/>
    <w:rsid w:val="0403E2A4"/>
    <w:rsid w:val="04119670"/>
    <w:rsid w:val="046AA03B"/>
    <w:rsid w:val="047B66BB"/>
    <w:rsid w:val="04B6C23E"/>
    <w:rsid w:val="04B90417"/>
    <w:rsid w:val="04C67D52"/>
    <w:rsid w:val="04CEBBB2"/>
    <w:rsid w:val="0508C7E5"/>
    <w:rsid w:val="0529385F"/>
    <w:rsid w:val="053AF819"/>
    <w:rsid w:val="057C3902"/>
    <w:rsid w:val="057EE719"/>
    <w:rsid w:val="05A9FDD3"/>
    <w:rsid w:val="05FAC560"/>
    <w:rsid w:val="0613398C"/>
    <w:rsid w:val="061CB097"/>
    <w:rsid w:val="0640E5A8"/>
    <w:rsid w:val="065EF862"/>
    <w:rsid w:val="0665BCD8"/>
    <w:rsid w:val="0678AB33"/>
    <w:rsid w:val="0684E313"/>
    <w:rsid w:val="06A5EA57"/>
    <w:rsid w:val="06DD5287"/>
    <w:rsid w:val="0707A337"/>
    <w:rsid w:val="070B3C1B"/>
    <w:rsid w:val="0734B5FF"/>
    <w:rsid w:val="073C9AD9"/>
    <w:rsid w:val="074EDA7B"/>
    <w:rsid w:val="077938B0"/>
    <w:rsid w:val="077F8F49"/>
    <w:rsid w:val="07849ED7"/>
    <w:rsid w:val="07B84748"/>
    <w:rsid w:val="07BC02ED"/>
    <w:rsid w:val="07FF3E4F"/>
    <w:rsid w:val="083BE1D5"/>
    <w:rsid w:val="0879708A"/>
    <w:rsid w:val="08B26892"/>
    <w:rsid w:val="08F81B96"/>
    <w:rsid w:val="08FFC538"/>
    <w:rsid w:val="090EAE16"/>
    <w:rsid w:val="09274A6C"/>
    <w:rsid w:val="092C0C3E"/>
    <w:rsid w:val="093A3ACE"/>
    <w:rsid w:val="09515A85"/>
    <w:rsid w:val="096B26A1"/>
    <w:rsid w:val="097C9833"/>
    <w:rsid w:val="09B7E202"/>
    <w:rsid w:val="09E3D788"/>
    <w:rsid w:val="0A12A192"/>
    <w:rsid w:val="0A76F63C"/>
    <w:rsid w:val="0A87E482"/>
    <w:rsid w:val="0ACA88FB"/>
    <w:rsid w:val="0ADEFAED"/>
    <w:rsid w:val="0AE6FFC4"/>
    <w:rsid w:val="0AFB8D24"/>
    <w:rsid w:val="0B282FA4"/>
    <w:rsid w:val="0B4D5611"/>
    <w:rsid w:val="0B534B83"/>
    <w:rsid w:val="0B8531B7"/>
    <w:rsid w:val="0BBCD6CF"/>
    <w:rsid w:val="0BC4E3B3"/>
    <w:rsid w:val="0BD0AC80"/>
    <w:rsid w:val="0BE0607F"/>
    <w:rsid w:val="0C11600D"/>
    <w:rsid w:val="0C17403B"/>
    <w:rsid w:val="0C268D6C"/>
    <w:rsid w:val="0C301093"/>
    <w:rsid w:val="0C472DFD"/>
    <w:rsid w:val="0C4F1179"/>
    <w:rsid w:val="0C7E36A9"/>
    <w:rsid w:val="0C84BDCB"/>
    <w:rsid w:val="0CBE011D"/>
    <w:rsid w:val="0CD31768"/>
    <w:rsid w:val="0CFD558F"/>
    <w:rsid w:val="0D08EC94"/>
    <w:rsid w:val="0D1471C8"/>
    <w:rsid w:val="0D6CE429"/>
    <w:rsid w:val="0D79550F"/>
    <w:rsid w:val="0D820F52"/>
    <w:rsid w:val="0DC0B9B2"/>
    <w:rsid w:val="0DD61C42"/>
    <w:rsid w:val="0DE77DC5"/>
    <w:rsid w:val="0DE826E6"/>
    <w:rsid w:val="0DEAFD3A"/>
    <w:rsid w:val="0E0516BF"/>
    <w:rsid w:val="0E080A3D"/>
    <w:rsid w:val="0E5F8769"/>
    <w:rsid w:val="0E8168B8"/>
    <w:rsid w:val="0E853BCE"/>
    <w:rsid w:val="0E9DA34C"/>
    <w:rsid w:val="0EA504D1"/>
    <w:rsid w:val="0EC32CB7"/>
    <w:rsid w:val="0F214C03"/>
    <w:rsid w:val="0F48415E"/>
    <w:rsid w:val="0FF91BD8"/>
    <w:rsid w:val="10111D7F"/>
    <w:rsid w:val="101CF7E6"/>
    <w:rsid w:val="103A5FEF"/>
    <w:rsid w:val="104425FF"/>
    <w:rsid w:val="1080C029"/>
    <w:rsid w:val="108B651F"/>
    <w:rsid w:val="10965D4C"/>
    <w:rsid w:val="1099C34D"/>
    <w:rsid w:val="109E9644"/>
    <w:rsid w:val="10B40764"/>
    <w:rsid w:val="11172993"/>
    <w:rsid w:val="11546FC6"/>
    <w:rsid w:val="117821DC"/>
    <w:rsid w:val="118DFAD2"/>
    <w:rsid w:val="119177EF"/>
    <w:rsid w:val="11C99262"/>
    <w:rsid w:val="1209CEBD"/>
    <w:rsid w:val="1224FE91"/>
    <w:rsid w:val="1230B0FA"/>
    <w:rsid w:val="1230E1B2"/>
    <w:rsid w:val="125F680A"/>
    <w:rsid w:val="1280E9E6"/>
    <w:rsid w:val="12828680"/>
    <w:rsid w:val="12B21F47"/>
    <w:rsid w:val="12FC0218"/>
    <w:rsid w:val="13074E0B"/>
    <w:rsid w:val="13185594"/>
    <w:rsid w:val="135A5B79"/>
    <w:rsid w:val="138E0D1B"/>
    <w:rsid w:val="13A0AFD6"/>
    <w:rsid w:val="13C1C4C3"/>
    <w:rsid w:val="13C3A33F"/>
    <w:rsid w:val="13DB2B01"/>
    <w:rsid w:val="13FC9A40"/>
    <w:rsid w:val="14017F5A"/>
    <w:rsid w:val="14127D57"/>
    <w:rsid w:val="141890A2"/>
    <w:rsid w:val="14298CEB"/>
    <w:rsid w:val="1434050F"/>
    <w:rsid w:val="14B671BF"/>
    <w:rsid w:val="14D26085"/>
    <w:rsid w:val="14D95428"/>
    <w:rsid w:val="14E0A8FE"/>
    <w:rsid w:val="14E326F7"/>
    <w:rsid w:val="14EBAB1A"/>
    <w:rsid w:val="14EF484C"/>
    <w:rsid w:val="150F446F"/>
    <w:rsid w:val="151569CE"/>
    <w:rsid w:val="15182E14"/>
    <w:rsid w:val="151D97DF"/>
    <w:rsid w:val="15831538"/>
    <w:rsid w:val="158A153E"/>
    <w:rsid w:val="15EC8DBF"/>
    <w:rsid w:val="16075D80"/>
    <w:rsid w:val="16178EB6"/>
    <w:rsid w:val="167146E5"/>
    <w:rsid w:val="1676C39E"/>
    <w:rsid w:val="1677AA8D"/>
    <w:rsid w:val="16982182"/>
    <w:rsid w:val="16A6E4FA"/>
    <w:rsid w:val="16BFC791"/>
    <w:rsid w:val="16C15FF0"/>
    <w:rsid w:val="1703049A"/>
    <w:rsid w:val="1704A96E"/>
    <w:rsid w:val="1708DB61"/>
    <w:rsid w:val="17491F10"/>
    <w:rsid w:val="17B5C561"/>
    <w:rsid w:val="17BE42E9"/>
    <w:rsid w:val="185D34DC"/>
    <w:rsid w:val="18A7402D"/>
    <w:rsid w:val="1900369D"/>
    <w:rsid w:val="1914548D"/>
    <w:rsid w:val="1915E26E"/>
    <w:rsid w:val="195F2FE8"/>
    <w:rsid w:val="19674643"/>
    <w:rsid w:val="196C2261"/>
    <w:rsid w:val="19A00761"/>
    <w:rsid w:val="19A1797B"/>
    <w:rsid w:val="19B05B3B"/>
    <w:rsid w:val="19BDC6DF"/>
    <w:rsid w:val="19F6632D"/>
    <w:rsid w:val="19F783DA"/>
    <w:rsid w:val="1A06A313"/>
    <w:rsid w:val="1A09FD12"/>
    <w:rsid w:val="1A16EC03"/>
    <w:rsid w:val="1A330DC9"/>
    <w:rsid w:val="1A568937"/>
    <w:rsid w:val="1A9C8097"/>
    <w:rsid w:val="1AA41F91"/>
    <w:rsid w:val="1AABDCA1"/>
    <w:rsid w:val="1AAD2F17"/>
    <w:rsid w:val="1AC2CC27"/>
    <w:rsid w:val="1AC3E767"/>
    <w:rsid w:val="1AF20442"/>
    <w:rsid w:val="1AFC6B53"/>
    <w:rsid w:val="1B061C1D"/>
    <w:rsid w:val="1B6DC34F"/>
    <w:rsid w:val="1BC112AB"/>
    <w:rsid w:val="1BCDCC6E"/>
    <w:rsid w:val="1BD06C58"/>
    <w:rsid w:val="1C090A25"/>
    <w:rsid w:val="1C0F916E"/>
    <w:rsid w:val="1C1495B7"/>
    <w:rsid w:val="1C59A434"/>
    <w:rsid w:val="1C7752B5"/>
    <w:rsid w:val="1C870F7E"/>
    <w:rsid w:val="1CC1C5E1"/>
    <w:rsid w:val="1D13905C"/>
    <w:rsid w:val="1D905F5D"/>
    <w:rsid w:val="1D97B4F6"/>
    <w:rsid w:val="1E3EB8FC"/>
    <w:rsid w:val="1E4B3127"/>
    <w:rsid w:val="1E599E6D"/>
    <w:rsid w:val="1E70A206"/>
    <w:rsid w:val="1E7F9523"/>
    <w:rsid w:val="1EB76E2E"/>
    <w:rsid w:val="1ED9CB53"/>
    <w:rsid w:val="1EEAB795"/>
    <w:rsid w:val="1F04F1E9"/>
    <w:rsid w:val="1F0909F6"/>
    <w:rsid w:val="1F165A19"/>
    <w:rsid w:val="1F376190"/>
    <w:rsid w:val="1F6E0DA9"/>
    <w:rsid w:val="1F88E03A"/>
    <w:rsid w:val="1FC50EFC"/>
    <w:rsid w:val="1FF4DB5F"/>
    <w:rsid w:val="1FFD5BF6"/>
    <w:rsid w:val="2019042E"/>
    <w:rsid w:val="203BD107"/>
    <w:rsid w:val="2047D647"/>
    <w:rsid w:val="2079E222"/>
    <w:rsid w:val="207F93C1"/>
    <w:rsid w:val="20B47718"/>
    <w:rsid w:val="20BE5BAF"/>
    <w:rsid w:val="2153B009"/>
    <w:rsid w:val="2155BDB6"/>
    <w:rsid w:val="215AD37B"/>
    <w:rsid w:val="2172700A"/>
    <w:rsid w:val="21853265"/>
    <w:rsid w:val="219D0343"/>
    <w:rsid w:val="21A425DD"/>
    <w:rsid w:val="21A64C4C"/>
    <w:rsid w:val="21D7CDB2"/>
    <w:rsid w:val="21D95A5A"/>
    <w:rsid w:val="221F4E1F"/>
    <w:rsid w:val="2237119A"/>
    <w:rsid w:val="22596E6E"/>
    <w:rsid w:val="226809F8"/>
    <w:rsid w:val="22C0C23F"/>
    <w:rsid w:val="22D92BF3"/>
    <w:rsid w:val="22DB238B"/>
    <w:rsid w:val="22EBD21B"/>
    <w:rsid w:val="230B25B3"/>
    <w:rsid w:val="23156EB2"/>
    <w:rsid w:val="232A3A7D"/>
    <w:rsid w:val="233311A5"/>
    <w:rsid w:val="235CBFD5"/>
    <w:rsid w:val="2365D3A6"/>
    <w:rsid w:val="239C7A96"/>
    <w:rsid w:val="23DB52BD"/>
    <w:rsid w:val="24049AC0"/>
    <w:rsid w:val="240947D0"/>
    <w:rsid w:val="2412ADEB"/>
    <w:rsid w:val="24238705"/>
    <w:rsid w:val="24271538"/>
    <w:rsid w:val="24381921"/>
    <w:rsid w:val="243F3D8D"/>
    <w:rsid w:val="24414C15"/>
    <w:rsid w:val="24454895"/>
    <w:rsid w:val="248912F2"/>
    <w:rsid w:val="249D40C3"/>
    <w:rsid w:val="24BA4CA0"/>
    <w:rsid w:val="24BC51DA"/>
    <w:rsid w:val="24BE93F1"/>
    <w:rsid w:val="24C97C1E"/>
    <w:rsid w:val="24D524E1"/>
    <w:rsid w:val="24F56F80"/>
    <w:rsid w:val="255086F7"/>
    <w:rsid w:val="25A817E3"/>
    <w:rsid w:val="25B1C22E"/>
    <w:rsid w:val="25F3AC59"/>
    <w:rsid w:val="265C1C5B"/>
    <w:rsid w:val="26732F9F"/>
    <w:rsid w:val="26807964"/>
    <w:rsid w:val="2690A0E1"/>
    <w:rsid w:val="26AE82B5"/>
    <w:rsid w:val="26C28CD9"/>
    <w:rsid w:val="26CF52BE"/>
    <w:rsid w:val="26EDAA1E"/>
    <w:rsid w:val="26EF2101"/>
    <w:rsid w:val="26F7E90F"/>
    <w:rsid w:val="273164B6"/>
    <w:rsid w:val="274C3797"/>
    <w:rsid w:val="278A17BA"/>
    <w:rsid w:val="278C9F56"/>
    <w:rsid w:val="279835E9"/>
    <w:rsid w:val="27AD2273"/>
    <w:rsid w:val="27C6A6D2"/>
    <w:rsid w:val="27DB494E"/>
    <w:rsid w:val="27F3C7AF"/>
    <w:rsid w:val="27F6C731"/>
    <w:rsid w:val="27F83173"/>
    <w:rsid w:val="28252820"/>
    <w:rsid w:val="284BA42C"/>
    <w:rsid w:val="28673641"/>
    <w:rsid w:val="286AA013"/>
    <w:rsid w:val="28BD2D4D"/>
    <w:rsid w:val="28D49FC8"/>
    <w:rsid w:val="28D72680"/>
    <w:rsid w:val="29031393"/>
    <w:rsid w:val="29052EB2"/>
    <w:rsid w:val="291BB1FE"/>
    <w:rsid w:val="2929C934"/>
    <w:rsid w:val="294360D0"/>
    <w:rsid w:val="295E233F"/>
    <w:rsid w:val="297EB80D"/>
    <w:rsid w:val="298BACB2"/>
    <w:rsid w:val="2A1A0B68"/>
    <w:rsid w:val="2A240DA1"/>
    <w:rsid w:val="2A2AF554"/>
    <w:rsid w:val="2A3E49C9"/>
    <w:rsid w:val="2A444D22"/>
    <w:rsid w:val="2A5FAA64"/>
    <w:rsid w:val="2A6E2611"/>
    <w:rsid w:val="2AABF4E2"/>
    <w:rsid w:val="2AE6A548"/>
    <w:rsid w:val="2B355D06"/>
    <w:rsid w:val="2B54B3D5"/>
    <w:rsid w:val="2B852C3A"/>
    <w:rsid w:val="2BB091E7"/>
    <w:rsid w:val="2BB13DFF"/>
    <w:rsid w:val="2BBAFCD5"/>
    <w:rsid w:val="2BC3D5A5"/>
    <w:rsid w:val="2BC88F44"/>
    <w:rsid w:val="2BEDE3E5"/>
    <w:rsid w:val="2C35E3FA"/>
    <w:rsid w:val="2C40A20C"/>
    <w:rsid w:val="2C4D6C98"/>
    <w:rsid w:val="2C613C40"/>
    <w:rsid w:val="2CABED2B"/>
    <w:rsid w:val="2CBE9806"/>
    <w:rsid w:val="2CBEF49E"/>
    <w:rsid w:val="2D1DCC21"/>
    <w:rsid w:val="2D26F322"/>
    <w:rsid w:val="2D6A5002"/>
    <w:rsid w:val="2D70CCD0"/>
    <w:rsid w:val="2D79A150"/>
    <w:rsid w:val="2DD00C62"/>
    <w:rsid w:val="2DD132FF"/>
    <w:rsid w:val="2E0061B3"/>
    <w:rsid w:val="2E0194A8"/>
    <w:rsid w:val="2E061EE4"/>
    <w:rsid w:val="2E4E15BC"/>
    <w:rsid w:val="2E7B4C91"/>
    <w:rsid w:val="2EA6A7F1"/>
    <w:rsid w:val="2EB855F5"/>
    <w:rsid w:val="2EC6EE30"/>
    <w:rsid w:val="2ECA14D8"/>
    <w:rsid w:val="2EF259F3"/>
    <w:rsid w:val="2EF683BB"/>
    <w:rsid w:val="2EF97B99"/>
    <w:rsid w:val="2F5FFFA0"/>
    <w:rsid w:val="2F87D96D"/>
    <w:rsid w:val="2F8A88AB"/>
    <w:rsid w:val="2F9117B2"/>
    <w:rsid w:val="2F9BB099"/>
    <w:rsid w:val="2F9BE4CD"/>
    <w:rsid w:val="2FA5F65E"/>
    <w:rsid w:val="2FC5B071"/>
    <w:rsid w:val="2FC78AFE"/>
    <w:rsid w:val="3026CCB0"/>
    <w:rsid w:val="3074A815"/>
    <w:rsid w:val="30A13F3B"/>
    <w:rsid w:val="30C5480A"/>
    <w:rsid w:val="30D1DC28"/>
    <w:rsid w:val="30F7C61D"/>
    <w:rsid w:val="310D606E"/>
    <w:rsid w:val="3112F03B"/>
    <w:rsid w:val="31760F4E"/>
    <w:rsid w:val="31944FC8"/>
    <w:rsid w:val="319CB7F0"/>
    <w:rsid w:val="31A1CCC4"/>
    <w:rsid w:val="31E03A1A"/>
    <w:rsid w:val="31E33ED4"/>
    <w:rsid w:val="31FB77B7"/>
    <w:rsid w:val="321271D7"/>
    <w:rsid w:val="321988B6"/>
    <w:rsid w:val="321B61E9"/>
    <w:rsid w:val="322918DE"/>
    <w:rsid w:val="3232CE2F"/>
    <w:rsid w:val="3246BE6A"/>
    <w:rsid w:val="324A039E"/>
    <w:rsid w:val="326B5864"/>
    <w:rsid w:val="32721257"/>
    <w:rsid w:val="32B7F5B5"/>
    <w:rsid w:val="33054489"/>
    <w:rsid w:val="331E9543"/>
    <w:rsid w:val="333BD88E"/>
    <w:rsid w:val="33449A84"/>
    <w:rsid w:val="3347D7E0"/>
    <w:rsid w:val="33559852"/>
    <w:rsid w:val="3356E067"/>
    <w:rsid w:val="336519E3"/>
    <w:rsid w:val="33787DDD"/>
    <w:rsid w:val="3395E9C5"/>
    <w:rsid w:val="3395EA4A"/>
    <w:rsid w:val="33B00EC6"/>
    <w:rsid w:val="33BC0873"/>
    <w:rsid w:val="33D00F06"/>
    <w:rsid w:val="33DDD7F9"/>
    <w:rsid w:val="33FB43A0"/>
    <w:rsid w:val="34205975"/>
    <w:rsid w:val="344A798D"/>
    <w:rsid w:val="3485DA0B"/>
    <w:rsid w:val="349843F2"/>
    <w:rsid w:val="34E20BB8"/>
    <w:rsid w:val="350613B5"/>
    <w:rsid w:val="3515B8EB"/>
    <w:rsid w:val="351AA9A0"/>
    <w:rsid w:val="3526E67D"/>
    <w:rsid w:val="3539CF53"/>
    <w:rsid w:val="35450D1C"/>
    <w:rsid w:val="3584F9CB"/>
    <w:rsid w:val="35B0BBF2"/>
    <w:rsid w:val="35D6D8DB"/>
    <w:rsid w:val="35DAF6BE"/>
    <w:rsid w:val="360B5EA7"/>
    <w:rsid w:val="3613393D"/>
    <w:rsid w:val="361E1CDC"/>
    <w:rsid w:val="361EE022"/>
    <w:rsid w:val="36904EEB"/>
    <w:rsid w:val="369FA34A"/>
    <w:rsid w:val="36C0E15B"/>
    <w:rsid w:val="36E5E979"/>
    <w:rsid w:val="36E6B10B"/>
    <w:rsid w:val="36EA33F9"/>
    <w:rsid w:val="3709C998"/>
    <w:rsid w:val="37441BC0"/>
    <w:rsid w:val="3810E01A"/>
    <w:rsid w:val="38299241"/>
    <w:rsid w:val="38448AED"/>
    <w:rsid w:val="3864424C"/>
    <w:rsid w:val="389CA9EC"/>
    <w:rsid w:val="38B56B14"/>
    <w:rsid w:val="38BF5216"/>
    <w:rsid w:val="38C1C6F7"/>
    <w:rsid w:val="38C9C23C"/>
    <w:rsid w:val="38D80E65"/>
    <w:rsid w:val="390D01AA"/>
    <w:rsid w:val="390EE25A"/>
    <w:rsid w:val="3934A80F"/>
    <w:rsid w:val="397313E0"/>
    <w:rsid w:val="39911D31"/>
    <w:rsid w:val="39B8F6E2"/>
    <w:rsid w:val="39C42B29"/>
    <w:rsid w:val="39CEF4C7"/>
    <w:rsid w:val="3A109510"/>
    <w:rsid w:val="3A1DC581"/>
    <w:rsid w:val="3A6CFDF1"/>
    <w:rsid w:val="3A8DFB9F"/>
    <w:rsid w:val="3A9E5C8A"/>
    <w:rsid w:val="3A9FF3F9"/>
    <w:rsid w:val="3ABC0348"/>
    <w:rsid w:val="3AE44162"/>
    <w:rsid w:val="3AF061CC"/>
    <w:rsid w:val="3B19C640"/>
    <w:rsid w:val="3B4A491C"/>
    <w:rsid w:val="3B5293D3"/>
    <w:rsid w:val="3B5336DE"/>
    <w:rsid w:val="3B6BFDB0"/>
    <w:rsid w:val="3B814BDC"/>
    <w:rsid w:val="3BAE0AC7"/>
    <w:rsid w:val="3BD3FDAE"/>
    <w:rsid w:val="3BE4F203"/>
    <w:rsid w:val="3C0FD922"/>
    <w:rsid w:val="3C3F6CD5"/>
    <w:rsid w:val="3C71310C"/>
    <w:rsid w:val="3C87E98B"/>
    <w:rsid w:val="3C91E6DD"/>
    <w:rsid w:val="3CB2F9E6"/>
    <w:rsid w:val="3CD51C0F"/>
    <w:rsid w:val="3D5925F2"/>
    <w:rsid w:val="3D72B32B"/>
    <w:rsid w:val="3D79B506"/>
    <w:rsid w:val="3D8CB645"/>
    <w:rsid w:val="3D9EB906"/>
    <w:rsid w:val="3DA05A52"/>
    <w:rsid w:val="3DA14375"/>
    <w:rsid w:val="3DC7C542"/>
    <w:rsid w:val="3DCE29C9"/>
    <w:rsid w:val="3DD71857"/>
    <w:rsid w:val="3DEB6EF8"/>
    <w:rsid w:val="3DF326F3"/>
    <w:rsid w:val="3E13B913"/>
    <w:rsid w:val="3E3FB318"/>
    <w:rsid w:val="3E5403F1"/>
    <w:rsid w:val="3E628950"/>
    <w:rsid w:val="3E74C046"/>
    <w:rsid w:val="3E8D80B8"/>
    <w:rsid w:val="3ECB2B58"/>
    <w:rsid w:val="3ECB4C1B"/>
    <w:rsid w:val="3ED241F5"/>
    <w:rsid w:val="3EEE625D"/>
    <w:rsid w:val="3F162FE0"/>
    <w:rsid w:val="3F1E82B6"/>
    <w:rsid w:val="3F50A07E"/>
    <w:rsid w:val="3F621EB2"/>
    <w:rsid w:val="3F6F1740"/>
    <w:rsid w:val="3F72DA9A"/>
    <w:rsid w:val="3FAEF1D3"/>
    <w:rsid w:val="3FBA49B1"/>
    <w:rsid w:val="3FBA89D3"/>
    <w:rsid w:val="3FC133A2"/>
    <w:rsid w:val="3FF9F4D0"/>
    <w:rsid w:val="4001C506"/>
    <w:rsid w:val="40072661"/>
    <w:rsid w:val="402DCCA1"/>
    <w:rsid w:val="403E8EF1"/>
    <w:rsid w:val="40435B38"/>
    <w:rsid w:val="405EFB76"/>
    <w:rsid w:val="406E010F"/>
    <w:rsid w:val="40AD3E3E"/>
    <w:rsid w:val="40B9E7D3"/>
    <w:rsid w:val="40C31734"/>
    <w:rsid w:val="40EA497D"/>
    <w:rsid w:val="40FDD53B"/>
    <w:rsid w:val="41178436"/>
    <w:rsid w:val="412839BE"/>
    <w:rsid w:val="415CFB97"/>
    <w:rsid w:val="41711D55"/>
    <w:rsid w:val="417776FB"/>
    <w:rsid w:val="418197D7"/>
    <w:rsid w:val="41D09BA2"/>
    <w:rsid w:val="41E33BCA"/>
    <w:rsid w:val="41E81671"/>
    <w:rsid w:val="420F1EA5"/>
    <w:rsid w:val="42112FD9"/>
    <w:rsid w:val="42831165"/>
    <w:rsid w:val="428920B8"/>
    <w:rsid w:val="4343771F"/>
    <w:rsid w:val="436FBA6F"/>
    <w:rsid w:val="43AA3714"/>
    <w:rsid w:val="43B3939A"/>
    <w:rsid w:val="43C63187"/>
    <w:rsid w:val="43E67FD0"/>
    <w:rsid w:val="4447C71F"/>
    <w:rsid w:val="4468A0A5"/>
    <w:rsid w:val="449E20FC"/>
    <w:rsid w:val="449F963F"/>
    <w:rsid w:val="44BC33A0"/>
    <w:rsid w:val="453BC427"/>
    <w:rsid w:val="45EDFA20"/>
    <w:rsid w:val="460745E1"/>
    <w:rsid w:val="460E0AD6"/>
    <w:rsid w:val="4612E04A"/>
    <w:rsid w:val="463694CE"/>
    <w:rsid w:val="465DC278"/>
    <w:rsid w:val="466ACBD4"/>
    <w:rsid w:val="46C258A6"/>
    <w:rsid w:val="46D6DFB0"/>
    <w:rsid w:val="46DC0A4C"/>
    <w:rsid w:val="47094D0A"/>
    <w:rsid w:val="471147ED"/>
    <w:rsid w:val="474CCD6F"/>
    <w:rsid w:val="475DBAC8"/>
    <w:rsid w:val="47771DB6"/>
    <w:rsid w:val="478BFE1B"/>
    <w:rsid w:val="47CD840E"/>
    <w:rsid w:val="4807F577"/>
    <w:rsid w:val="487B9536"/>
    <w:rsid w:val="488B2D09"/>
    <w:rsid w:val="48C0CB4D"/>
    <w:rsid w:val="48CBEA99"/>
    <w:rsid w:val="48DFFA26"/>
    <w:rsid w:val="4901467C"/>
    <w:rsid w:val="4905A4FF"/>
    <w:rsid w:val="4925A619"/>
    <w:rsid w:val="494270B0"/>
    <w:rsid w:val="496AC3B2"/>
    <w:rsid w:val="4998F5B1"/>
    <w:rsid w:val="49C6C794"/>
    <w:rsid w:val="49D89C3E"/>
    <w:rsid w:val="49E6A844"/>
    <w:rsid w:val="49FEAB16"/>
    <w:rsid w:val="4A0AC169"/>
    <w:rsid w:val="4A3517A7"/>
    <w:rsid w:val="4A48A9CA"/>
    <w:rsid w:val="4A4D0581"/>
    <w:rsid w:val="4A71D857"/>
    <w:rsid w:val="4AA9BDE0"/>
    <w:rsid w:val="4AD16096"/>
    <w:rsid w:val="4ADBCFD0"/>
    <w:rsid w:val="4AED773E"/>
    <w:rsid w:val="4AEDCC9A"/>
    <w:rsid w:val="4AFD2F1D"/>
    <w:rsid w:val="4B07AA0A"/>
    <w:rsid w:val="4B1121EB"/>
    <w:rsid w:val="4B351F15"/>
    <w:rsid w:val="4BAA0F00"/>
    <w:rsid w:val="4BAC4233"/>
    <w:rsid w:val="4BB26481"/>
    <w:rsid w:val="4BBB037F"/>
    <w:rsid w:val="4BCC3E56"/>
    <w:rsid w:val="4BDCF442"/>
    <w:rsid w:val="4BE5EB95"/>
    <w:rsid w:val="4BF9FE22"/>
    <w:rsid w:val="4BFE1D5C"/>
    <w:rsid w:val="4C336466"/>
    <w:rsid w:val="4C4BE844"/>
    <w:rsid w:val="4C79CCB5"/>
    <w:rsid w:val="4C8B0FC6"/>
    <w:rsid w:val="4CACCE34"/>
    <w:rsid w:val="4CE9D5DB"/>
    <w:rsid w:val="4CEF02E5"/>
    <w:rsid w:val="4CF50F52"/>
    <w:rsid w:val="4D0B538A"/>
    <w:rsid w:val="4D1099BB"/>
    <w:rsid w:val="4D20C01C"/>
    <w:rsid w:val="4D358D22"/>
    <w:rsid w:val="4D54D26D"/>
    <w:rsid w:val="4D70443E"/>
    <w:rsid w:val="4DD69CCF"/>
    <w:rsid w:val="4DD77972"/>
    <w:rsid w:val="4E0F4876"/>
    <w:rsid w:val="4E173B98"/>
    <w:rsid w:val="4E235452"/>
    <w:rsid w:val="4EB8C6A9"/>
    <w:rsid w:val="4ECC80A6"/>
    <w:rsid w:val="4EE35D8B"/>
    <w:rsid w:val="4EFE607C"/>
    <w:rsid w:val="4F3C65CD"/>
    <w:rsid w:val="4F46A2E9"/>
    <w:rsid w:val="4F551F19"/>
    <w:rsid w:val="4F671DD0"/>
    <w:rsid w:val="4F77DD58"/>
    <w:rsid w:val="4FA6DF1B"/>
    <w:rsid w:val="4FC86C70"/>
    <w:rsid w:val="4FDAC606"/>
    <w:rsid w:val="4FE6CFF8"/>
    <w:rsid w:val="500E5B9B"/>
    <w:rsid w:val="5024ABDD"/>
    <w:rsid w:val="503DAB44"/>
    <w:rsid w:val="509444EE"/>
    <w:rsid w:val="5095B9CB"/>
    <w:rsid w:val="509EB9D5"/>
    <w:rsid w:val="50A07C20"/>
    <w:rsid w:val="5112C1C7"/>
    <w:rsid w:val="51172D15"/>
    <w:rsid w:val="5154F362"/>
    <w:rsid w:val="5161BFAE"/>
    <w:rsid w:val="51621272"/>
    <w:rsid w:val="519D12BB"/>
    <w:rsid w:val="51E299A5"/>
    <w:rsid w:val="51E6BA6D"/>
    <w:rsid w:val="51E7D07F"/>
    <w:rsid w:val="52018FE4"/>
    <w:rsid w:val="521507A2"/>
    <w:rsid w:val="521D54B7"/>
    <w:rsid w:val="5234D76F"/>
    <w:rsid w:val="528A2E5F"/>
    <w:rsid w:val="529BE1C3"/>
    <w:rsid w:val="52B532D1"/>
    <w:rsid w:val="52EBDDB3"/>
    <w:rsid w:val="53013D73"/>
    <w:rsid w:val="5304FE6D"/>
    <w:rsid w:val="531063E5"/>
    <w:rsid w:val="533BDF5E"/>
    <w:rsid w:val="534398BA"/>
    <w:rsid w:val="5359D5A2"/>
    <w:rsid w:val="53C6552B"/>
    <w:rsid w:val="53EB5B5F"/>
    <w:rsid w:val="5414BB29"/>
    <w:rsid w:val="542F53A1"/>
    <w:rsid w:val="5438A7C8"/>
    <w:rsid w:val="545B3F34"/>
    <w:rsid w:val="5474E7F5"/>
    <w:rsid w:val="548123D5"/>
    <w:rsid w:val="5484048E"/>
    <w:rsid w:val="54928FF7"/>
    <w:rsid w:val="54A262E8"/>
    <w:rsid w:val="54A6B238"/>
    <w:rsid w:val="55105C43"/>
    <w:rsid w:val="553BAD54"/>
    <w:rsid w:val="55443A73"/>
    <w:rsid w:val="5554792B"/>
    <w:rsid w:val="555D5DD1"/>
    <w:rsid w:val="558EFB8C"/>
    <w:rsid w:val="5595BA66"/>
    <w:rsid w:val="55981FD3"/>
    <w:rsid w:val="55CF701B"/>
    <w:rsid w:val="55DE6CE9"/>
    <w:rsid w:val="560AA422"/>
    <w:rsid w:val="5629E71C"/>
    <w:rsid w:val="562D3E98"/>
    <w:rsid w:val="5665A88F"/>
    <w:rsid w:val="56BB92A0"/>
    <w:rsid w:val="56D15A24"/>
    <w:rsid w:val="56D19284"/>
    <w:rsid w:val="56DD7202"/>
    <w:rsid w:val="56E40D77"/>
    <w:rsid w:val="571CE267"/>
    <w:rsid w:val="571D9A18"/>
    <w:rsid w:val="5734CB03"/>
    <w:rsid w:val="573D9BF9"/>
    <w:rsid w:val="5743AFAF"/>
    <w:rsid w:val="575759C0"/>
    <w:rsid w:val="57584131"/>
    <w:rsid w:val="576F89F2"/>
    <w:rsid w:val="57DBA8F9"/>
    <w:rsid w:val="57EEC01A"/>
    <w:rsid w:val="58018372"/>
    <w:rsid w:val="581314C9"/>
    <w:rsid w:val="585567B6"/>
    <w:rsid w:val="585F943E"/>
    <w:rsid w:val="58820253"/>
    <w:rsid w:val="589D0F0D"/>
    <w:rsid w:val="58A8E824"/>
    <w:rsid w:val="58CFC7BD"/>
    <w:rsid w:val="58F1DB22"/>
    <w:rsid w:val="590D6C4F"/>
    <w:rsid w:val="59330F17"/>
    <w:rsid w:val="59517060"/>
    <w:rsid w:val="59784AD6"/>
    <w:rsid w:val="599D41AA"/>
    <w:rsid w:val="59AA0DF6"/>
    <w:rsid w:val="59B2FC34"/>
    <w:rsid w:val="59B426AA"/>
    <w:rsid w:val="59B47C4B"/>
    <w:rsid w:val="59E12B35"/>
    <w:rsid w:val="59E4175B"/>
    <w:rsid w:val="5A2D5CD4"/>
    <w:rsid w:val="5A34FAF9"/>
    <w:rsid w:val="5A4A4FBC"/>
    <w:rsid w:val="5A513F40"/>
    <w:rsid w:val="5A657471"/>
    <w:rsid w:val="5A7E0602"/>
    <w:rsid w:val="5A8A19A0"/>
    <w:rsid w:val="5A96281F"/>
    <w:rsid w:val="5A9A7E2E"/>
    <w:rsid w:val="5AAC9D96"/>
    <w:rsid w:val="5ACAC04D"/>
    <w:rsid w:val="5B90F3F5"/>
    <w:rsid w:val="5BBBAF5D"/>
    <w:rsid w:val="5BEC712D"/>
    <w:rsid w:val="5C0C1472"/>
    <w:rsid w:val="5C348030"/>
    <w:rsid w:val="5C43298F"/>
    <w:rsid w:val="5C48B1DB"/>
    <w:rsid w:val="5C53B5AE"/>
    <w:rsid w:val="5C584A66"/>
    <w:rsid w:val="5C5F3B9B"/>
    <w:rsid w:val="5C975542"/>
    <w:rsid w:val="5CD48FBA"/>
    <w:rsid w:val="5CDE0589"/>
    <w:rsid w:val="5D18323D"/>
    <w:rsid w:val="5D26D7CF"/>
    <w:rsid w:val="5D44A53D"/>
    <w:rsid w:val="5D6E5D88"/>
    <w:rsid w:val="5DA04F97"/>
    <w:rsid w:val="5DBA66A1"/>
    <w:rsid w:val="5DDCB842"/>
    <w:rsid w:val="5DE0E597"/>
    <w:rsid w:val="5E0751F9"/>
    <w:rsid w:val="5E1DB154"/>
    <w:rsid w:val="5E231604"/>
    <w:rsid w:val="5E68D0F8"/>
    <w:rsid w:val="5E7C6B3A"/>
    <w:rsid w:val="5E87D1A7"/>
    <w:rsid w:val="5E941D80"/>
    <w:rsid w:val="5E9A4606"/>
    <w:rsid w:val="5EA24B5D"/>
    <w:rsid w:val="5EB55863"/>
    <w:rsid w:val="5EDABC32"/>
    <w:rsid w:val="5F019D5D"/>
    <w:rsid w:val="5F0569AD"/>
    <w:rsid w:val="5F23B1B8"/>
    <w:rsid w:val="5F64990E"/>
    <w:rsid w:val="5F6A301E"/>
    <w:rsid w:val="5F7050FA"/>
    <w:rsid w:val="5F9FAA39"/>
    <w:rsid w:val="5FAEFC3F"/>
    <w:rsid w:val="5FCE45DA"/>
    <w:rsid w:val="5FEA60FE"/>
    <w:rsid w:val="600A0D49"/>
    <w:rsid w:val="604A867E"/>
    <w:rsid w:val="6071B19C"/>
    <w:rsid w:val="60868374"/>
    <w:rsid w:val="60B3A9A6"/>
    <w:rsid w:val="60B8FD98"/>
    <w:rsid w:val="60C8FF7C"/>
    <w:rsid w:val="60DA83B0"/>
    <w:rsid w:val="6109AC41"/>
    <w:rsid w:val="61140F6B"/>
    <w:rsid w:val="614BC244"/>
    <w:rsid w:val="61637035"/>
    <w:rsid w:val="6194D1E8"/>
    <w:rsid w:val="61CAC2F9"/>
    <w:rsid w:val="6211BAC0"/>
    <w:rsid w:val="6219E28D"/>
    <w:rsid w:val="622086F2"/>
    <w:rsid w:val="6237CE3A"/>
    <w:rsid w:val="623AD55D"/>
    <w:rsid w:val="6243CD25"/>
    <w:rsid w:val="626AC586"/>
    <w:rsid w:val="62893BE9"/>
    <w:rsid w:val="6293480A"/>
    <w:rsid w:val="62AC9BC2"/>
    <w:rsid w:val="62B57BAE"/>
    <w:rsid w:val="62CDECC7"/>
    <w:rsid w:val="635F7BE9"/>
    <w:rsid w:val="636828B7"/>
    <w:rsid w:val="637D007B"/>
    <w:rsid w:val="63A3A18E"/>
    <w:rsid w:val="63C7652D"/>
    <w:rsid w:val="63E85EDE"/>
    <w:rsid w:val="641AB666"/>
    <w:rsid w:val="64380962"/>
    <w:rsid w:val="643E0512"/>
    <w:rsid w:val="645ADA07"/>
    <w:rsid w:val="6466E5DE"/>
    <w:rsid w:val="646A528B"/>
    <w:rsid w:val="64C0C91F"/>
    <w:rsid w:val="64D76342"/>
    <w:rsid w:val="64D89DF1"/>
    <w:rsid w:val="64F2E8B4"/>
    <w:rsid w:val="6500042B"/>
    <w:rsid w:val="6503925E"/>
    <w:rsid w:val="6520029E"/>
    <w:rsid w:val="653A10E1"/>
    <w:rsid w:val="653B0FBD"/>
    <w:rsid w:val="65606614"/>
    <w:rsid w:val="65649B6F"/>
    <w:rsid w:val="65675005"/>
    <w:rsid w:val="65A65922"/>
    <w:rsid w:val="65A86805"/>
    <w:rsid w:val="65AD1C9F"/>
    <w:rsid w:val="65C0E245"/>
    <w:rsid w:val="65EE6DDC"/>
    <w:rsid w:val="65F45BE2"/>
    <w:rsid w:val="65FA124D"/>
    <w:rsid w:val="660EEBBD"/>
    <w:rsid w:val="661745A6"/>
    <w:rsid w:val="665133AF"/>
    <w:rsid w:val="66597090"/>
    <w:rsid w:val="666F51DC"/>
    <w:rsid w:val="66A37916"/>
    <w:rsid w:val="66BC29E4"/>
    <w:rsid w:val="66C99401"/>
    <w:rsid w:val="66CDF665"/>
    <w:rsid w:val="675B0271"/>
    <w:rsid w:val="67718F7D"/>
    <w:rsid w:val="6787D6B4"/>
    <w:rsid w:val="678AB7DA"/>
    <w:rsid w:val="67AD3EF4"/>
    <w:rsid w:val="67C507F1"/>
    <w:rsid w:val="67C9D44F"/>
    <w:rsid w:val="67E96541"/>
    <w:rsid w:val="67ED4179"/>
    <w:rsid w:val="67ED89F5"/>
    <w:rsid w:val="6834DA2C"/>
    <w:rsid w:val="6860798E"/>
    <w:rsid w:val="6898DE12"/>
    <w:rsid w:val="68BCA78F"/>
    <w:rsid w:val="68C5C659"/>
    <w:rsid w:val="68D2B344"/>
    <w:rsid w:val="6A120A14"/>
    <w:rsid w:val="6A152980"/>
    <w:rsid w:val="6A1CEE3C"/>
    <w:rsid w:val="6A1E4225"/>
    <w:rsid w:val="6A4FFA6C"/>
    <w:rsid w:val="6A555D23"/>
    <w:rsid w:val="6A7066C9"/>
    <w:rsid w:val="6A944CED"/>
    <w:rsid w:val="6AA9A079"/>
    <w:rsid w:val="6AB465B6"/>
    <w:rsid w:val="6ABA140C"/>
    <w:rsid w:val="6AC3292E"/>
    <w:rsid w:val="6ADE18E9"/>
    <w:rsid w:val="6AE063A1"/>
    <w:rsid w:val="6AED014A"/>
    <w:rsid w:val="6B1990F8"/>
    <w:rsid w:val="6B1FFEBC"/>
    <w:rsid w:val="6B4D0FC8"/>
    <w:rsid w:val="6B576E86"/>
    <w:rsid w:val="6B8B29A3"/>
    <w:rsid w:val="6BCB6695"/>
    <w:rsid w:val="6BDBDD6C"/>
    <w:rsid w:val="6BE07828"/>
    <w:rsid w:val="6C67BA8C"/>
    <w:rsid w:val="6C745587"/>
    <w:rsid w:val="6C9C690F"/>
    <w:rsid w:val="6CE69D41"/>
    <w:rsid w:val="6CE70637"/>
    <w:rsid w:val="6CFF0A84"/>
    <w:rsid w:val="6D42853B"/>
    <w:rsid w:val="6D4D1375"/>
    <w:rsid w:val="6D5751C9"/>
    <w:rsid w:val="6DAA6FE7"/>
    <w:rsid w:val="6DEE4C2B"/>
    <w:rsid w:val="6DF9221F"/>
    <w:rsid w:val="6E2961B3"/>
    <w:rsid w:val="6E54EC64"/>
    <w:rsid w:val="6E5A68EC"/>
    <w:rsid w:val="6E73709B"/>
    <w:rsid w:val="6E7C0966"/>
    <w:rsid w:val="6EDCBF22"/>
    <w:rsid w:val="6EEA83C4"/>
    <w:rsid w:val="6F00B176"/>
    <w:rsid w:val="6F454B11"/>
    <w:rsid w:val="6F7E8440"/>
    <w:rsid w:val="6FEC62BE"/>
    <w:rsid w:val="6FFE3E61"/>
    <w:rsid w:val="7013178C"/>
    <w:rsid w:val="70282A04"/>
    <w:rsid w:val="7040F528"/>
    <w:rsid w:val="7047FC8B"/>
    <w:rsid w:val="7075FBA5"/>
    <w:rsid w:val="707C9130"/>
    <w:rsid w:val="70DF868F"/>
    <w:rsid w:val="714514E5"/>
    <w:rsid w:val="71728176"/>
    <w:rsid w:val="71BD3B5D"/>
    <w:rsid w:val="71DFCEA3"/>
    <w:rsid w:val="71EB56B1"/>
    <w:rsid w:val="71F1C5DB"/>
    <w:rsid w:val="720D0548"/>
    <w:rsid w:val="7243A7FE"/>
    <w:rsid w:val="7244FDD6"/>
    <w:rsid w:val="7249203E"/>
    <w:rsid w:val="72738C07"/>
    <w:rsid w:val="728D4224"/>
    <w:rsid w:val="72AF0EAF"/>
    <w:rsid w:val="72C2E092"/>
    <w:rsid w:val="731096E7"/>
    <w:rsid w:val="732C2884"/>
    <w:rsid w:val="732E040F"/>
    <w:rsid w:val="734E9B7D"/>
    <w:rsid w:val="7356647A"/>
    <w:rsid w:val="7388ACDD"/>
    <w:rsid w:val="73EF99E9"/>
    <w:rsid w:val="744B5BDD"/>
    <w:rsid w:val="74750664"/>
    <w:rsid w:val="747C2FEF"/>
    <w:rsid w:val="7498F1E5"/>
    <w:rsid w:val="74AF7F0D"/>
    <w:rsid w:val="74BAF10A"/>
    <w:rsid w:val="74CDD16E"/>
    <w:rsid w:val="74F06DDA"/>
    <w:rsid w:val="7510D19B"/>
    <w:rsid w:val="7514F905"/>
    <w:rsid w:val="755E2699"/>
    <w:rsid w:val="757AE836"/>
    <w:rsid w:val="757D0219"/>
    <w:rsid w:val="75976BA0"/>
    <w:rsid w:val="75D77649"/>
    <w:rsid w:val="75F7D4B5"/>
    <w:rsid w:val="763210C7"/>
    <w:rsid w:val="7678EA14"/>
    <w:rsid w:val="7715149B"/>
    <w:rsid w:val="7730D698"/>
    <w:rsid w:val="775A5799"/>
    <w:rsid w:val="776610A2"/>
    <w:rsid w:val="776BE604"/>
    <w:rsid w:val="778C7AFF"/>
    <w:rsid w:val="77E78476"/>
    <w:rsid w:val="77FABE1F"/>
    <w:rsid w:val="77FADC94"/>
    <w:rsid w:val="781DE170"/>
    <w:rsid w:val="783CA63A"/>
    <w:rsid w:val="785C3C46"/>
    <w:rsid w:val="7868E2D7"/>
    <w:rsid w:val="78805C5A"/>
    <w:rsid w:val="78B1AE58"/>
    <w:rsid w:val="78C295DA"/>
    <w:rsid w:val="78C655E3"/>
    <w:rsid w:val="78C942E2"/>
    <w:rsid w:val="78D2E34A"/>
    <w:rsid w:val="79267805"/>
    <w:rsid w:val="792C05E3"/>
    <w:rsid w:val="793C83DF"/>
    <w:rsid w:val="794FE88F"/>
    <w:rsid w:val="795D61C6"/>
    <w:rsid w:val="7960548F"/>
    <w:rsid w:val="798DD01E"/>
    <w:rsid w:val="79915178"/>
    <w:rsid w:val="79953435"/>
    <w:rsid w:val="79B34B00"/>
    <w:rsid w:val="79BC1371"/>
    <w:rsid w:val="79C8636D"/>
    <w:rsid w:val="79FECA65"/>
    <w:rsid w:val="7A201BBB"/>
    <w:rsid w:val="7A453DDE"/>
    <w:rsid w:val="7A53B224"/>
    <w:rsid w:val="7A6EDEFD"/>
    <w:rsid w:val="7A75F3C1"/>
    <w:rsid w:val="7AB30E0C"/>
    <w:rsid w:val="7ABD116C"/>
    <w:rsid w:val="7AC6B4AF"/>
    <w:rsid w:val="7B0B58E9"/>
    <w:rsid w:val="7B12F048"/>
    <w:rsid w:val="7B187861"/>
    <w:rsid w:val="7B1E6183"/>
    <w:rsid w:val="7B2222BF"/>
    <w:rsid w:val="7B48AF5A"/>
    <w:rsid w:val="7B5DFB9D"/>
    <w:rsid w:val="7B6611C4"/>
    <w:rsid w:val="7C3D5CA2"/>
    <w:rsid w:val="7C8CFE57"/>
    <w:rsid w:val="7C97E68D"/>
    <w:rsid w:val="7D016EE4"/>
    <w:rsid w:val="7D18A20A"/>
    <w:rsid w:val="7D57C416"/>
    <w:rsid w:val="7D8F4DF7"/>
    <w:rsid w:val="7DACE2CA"/>
    <w:rsid w:val="7E399035"/>
    <w:rsid w:val="7E3BC2A4"/>
    <w:rsid w:val="7E468243"/>
    <w:rsid w:val="7E77FB5F"/>
    <w:rsid w:val="7E8C8E7E"/>
    <w:rsid w:val="7EBE0DB1"/>
    <w:rsid w:val="7F0BB91C"/>
    <w:rsid w:val="7F5E17B2"/>
    <w:rsid w:val="7F6CABCA"/>
    <w:rsid w:val="7F70377B"/>
    <w:rsid w:val="7F71F1CA"/>
    <w:rsid w:val="7F7DD647"/>
    <w:rsid w:val="7F9AA653"/>
    <w:rsid w:val="7FB080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2BD54F0"/>
  <w15:chartTrackingRefBased/>
  <w15:docId w15:val="{53178CF2-3D02-4820-B3C6-0118BE1E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D53"/>
  </w:style>
  <w:style w:type="paragraph" w:styleId="Heading1">
    <w:name w:val="heading 1"/>
    <w:basedOn w:val="BodyText"/>
    <w:next w:val="BodyText"/>
    <w:link w:val="Heading1Char"/>
    <w:rsid w:val="003B43B8"/>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3B43B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3B43B8"/>
    <w:pPr>
      <w:spacing w:before="560" w:line="320" w:lineRule="exact"/>
      <w:ind w:left="0" w:firstLine="0"/>
      <w:outlineLvl w:val="2"/>
    </w:pPr>
    <w:rPr>
      <w:sz w:val="26"/>
    </w:rPr>
  </w:style>
  <w:style w:type="paragraph" w:styleId="Heading4">
    <w:name w:val="heading 4"/>
    <w:basedOn w:val="Heading3"/>
    <w:next w:val="BodyText"/>
    <w:link w:val="Heading4Char"/>
    <w:qFormat/>
    <w:rsid w:val="003B43B8"/>
    <w:pPr>
      <w:spacing w:before="480"/>
      <w:outlineLvl w:val="3"/>
    </w:pPr>
    <w:rPr>
      <w:b w:val="0"/>
      <w:sz w:val="24"/>
    </w:rPr>
  </w:style>
  <w:style w:type="paragraph" w:styleId="Heading5">
    <w:name w:val="heading 5"/>
    <w:basedOn w:val="Heading4"/>
    <w:next w:val="BodyText"/>
    <w:link w:val="Heading5Char"/>
    <w:qFormat/>
    <w:rsid w:val="003B43B8"/>
    <w:pPr>
      <w:outlineLvl w:val="4"/>
    </w:pPr>
    <w:rPr>
      <w:i/>
      <w:sz w:val="22"/>
    </w:rPr>
  </w:style>
  <w:style w:type="paragraph" w:styleId="Heading6">
    <w:name w:val="heading 6"/>
    <w:basedOn w:val="BodyText"/>
    <w:next w:val="BodyText"/>
    <w:link w:val="Heading6Char"/>
    <w:semiHidden/>
    <w:rsid w:val="003B43B8"/>
    <w:pPr>
      <w:spacing w:after="60"/>
      <w:jc w:val="left"/>
      <w:outlineLvl w:val="5"/>
    </w:pPr>
    <w:rPr>
      <w:i/>
      <w:sz w:val="22"/>
    </w:rPr>
  </w:style>
  <w:style w:type="paragraph" w:styleId="Heading7">
    <w:name w:val="heading 7"/>
    <w:basedOn w:val="BodyText"/>
    <w:next w:val="BodyText"/>
    <w:link w:val="Heading7Char"/>
    <w:semiHidden/>
    <w:rsid w:val="003B43B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3B43B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3B43B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C82D5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82D53"/>
  </w:style>
  <w:style w:type="character" w:customStyle="1" w:styleId="Heading1Char">
    <w:name w:val="Heading 1 Char"/>
    <w:basedOn w:val="DefaultParagraphFont"/>
    <w:link w:val="Heading1"/>
    <w:rsid w:val="001F37D1"/>
    <w:rPr>
      <w:rFonts w:ascii="Times New Roman" w:eastAsia="Times New Roman" w:hAnsi="Times New Roman" w:cs="Times New Roman"/>
      <w:sz w:val="52"/>
      <w:szCs w:val="20"/>
      <w:lang w:eastAsia="en-AU"/>
    </w:rPr>
  </w:style>
  <w:style w:type="character" w:customStyle="1" w:styleId="Heading2Char">
    <w:name w:val="Heading 2 Char"/>
    <w:basedOn w:val="DefaultParagraphFont"/>
    <w:link w:val="Heading2"/>
    <w:rsid w:val="001F37D1"/>
    <w:rPr>
      <w:rFonts w:ascii="Arial" w:eastAsia="Times New Roman" w:hAnsi="Arial" w:cs="Times New Roman"/>
      <w:b/>
      <w:sz w:val="32"/>
      <w:szCs w:val="20"/>
      <w:lang w:eastAsia="en-AU"/>
    </w:rPr>
  </w:style>
  <w:style w:type="character" w:customStyle="1" w:styleId="Heading3Char">
    <w:name w:val="Heading 3 Char"/>
    <w:basedOn w:val="DefaultParagraphFont"/>
    <w:link w:val="Heading3"/>
    <w:rsid w:val="001F37D1"/>
    <w:rPr>
      <w:rFonts w:ascii="Arial" w:eastAsia="Times New Roman" w:hAnsi="Arial" w:cs="Times New Roman"/>
      <w:b/>
      <w:sz w:val="26"/>
      <w:szCs w:val="20"/>
      <w:lang w:eastAsia="en-AU"/>
    </w:rPr>
  </w:style>
  <w:style w:type="character" w:customStyle="1" w:styleId="Heading4Char">
    <w:name w:val="Heading 4 Char"/>
    <w:basedOn w:val="DefaultParagraphFont"/>
    <w:link w:val="Heading4"/>
    <w:rsid w:val="001F37D1"/>
    <w:rPr>
      <w:rFonts w:ascii="Arial" w:eastAsia="Times New Roman" w:hAnsi="Arial" w:cs="Times New Roman"/>
      <w:sz w:val="24"/>
      <w:szCs w:val="20"/>
      <w:lang w:eastAsia="en-AU"/>
    </w:rPr>
  </w:style>
  <w:style w:type="character" w:customStyle="1" w:styleId="Heading5Char">
    <w:name w:val="Heading 5 Char"/>
    <w:basedOn w:val="DefaultParagraphFont"/>
    <w:link w:val="Heading5"/>
    <w:rsid w:val="003B43B8"/>
    <w:rPr>
      <w:rFonts w:ascii="Arial" w:eastAsia="Times New Roman" w:hAnsi="Arial" w:cs="Times New Roman"/>
      <w:i/>
      <w:szCs w:val="20"/>
      <w:lang w:eastAsia="en-AU"/>
    </w:rPr>
  </w:style>
  <w:style w:type="character" w:customStyle="1" w:styleId="Heading6Char">
    <w:name w:val="Heading 6 Char"/>
    <w:basedOn w:val="DefaultParagraphFont"/>
    <w:link w:val="Heading6"/>
    <w:semiHidden/>
    <w:rsid w:val="001F37D1"/>
    <w:rPr>
      <w:rFonts w:ascii="Times New Roman" w:eastAsia="Times New Roman" w:hAnsi="Times New Roman" w:cs="Times New Roman"/>
      <w:i/>
      <w:szCs w:val="20"/>
      <w:lang w:eastAsia="en-AU"/>
    </w:rPr>
  </w:style>
  <w:style w:type="character" w:customStyle="1" w:styleId="Heading7Char">
    <w:name w:val="Heading 7 Char"/>
    <w:basedOn w:val="DefaultParagraphFont"/>
    <w:link w:val="Heading7"/>
    <w:semiHidden/>
    <w:rsid w:val="001F37D1"/>
    <w:rPr>
      <w:rFonts w:ascii="Arial" w:eastAsia="Times New Roman" w:hAnsi="Arial" w:cs="Times New Roman"/>
      <w:sz w:val="20"/>
      <w:szCs w:val="20"/>
      <w:lang w:eastAsia="en-AU"/>
    </w:rPr>
  </w:style>
  <w:style w:type="character" w:customStyle="1" w:styleId="Heading8Char">
    <w:name w:val="Heading 8 Char"/>
    <w:basedOn w:val="DefaultParagraphFont"/>
    <w:link w:val="Heading8"/>
    <w:semiHidden/>
    <w:rsid w:val="001F37D1"/>
    <w:rPr>
      <w:rFonts w:ascii="Arial" w:eastAsia="Times New Roman" w:hAnsi="Arial" w:cs="Times New Roman"/>
      <w:i/>
      <w:sz w:val="20"/>
      <w:szCs w:val="20"/>
      <w:lang w:eastAsia="en-AU"/>
    </w:rPr>
  </w:style>
  <w:style w:type="character" w:customStyle="1" w:styleId="Heading9Char">
    <w:name w:val="Heading 9 Char"/>
    <w:basedOn w:val="DefaultParagraphFont"/>
    <w:link w:val="Heading9"/>
    <w:semiHidden/>
    <w:rsid w:val="001F37D1"/>
    <w:rPr>
      <w:rFonts w:ascii="Arial" w:eastAsia="Times New Roman" w:hAnsi="Arial" w:cs="Times New Roman"/>
      <w:b/>
      <w:i/>
      <w:sz w:val="18"/>
      <w:szCs w:val="20"/>
      <w:lang w:eastAsia="en-AU"/>
    </w:rPr>
  </w:style>
  <w:style w:type="paragraph" w:styleId="BodyText">
    <w:name w:val="Body Text"/>
    <w:link w:val="BodyTextChar"/>
    <w:qFormat/>
    <w:rsid w:val="00606F35"/>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606F35"/>
    <w:rPr>
      <w:rFonts w:ascii="Times New Roman" w:eastAsia="Times New Roman" w:hAnsi="Times New Roman" w:cs="Times New Roman"/>
      <w:sz w:val="24"/>
      <w:szCs w:val="20"/>
      <w:lang w:eastAsia="en-AU"/>
    </w:rPr>
  </w:style>
  <w:style w:type="paragraph" w:styleId="Footer">
    <w:name w:val="footer"/>
    <w:basedOn w:val="BodyText"/>
    <w:link w:val="FooterChar"/>
    <w:rsid w:val="003B43B8"/>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3B43B8"/>
    <w:rPr>
      <w:rFonts w:ascii="Arial" w:eastAsia="Times New Roman" w:hAnsi="Arial" w:cs="Times New Roman"/>
      <w:caps/>
      <w:spacing w:val="-4"/>
      <w:sz w:val="16"/>
      <w:szCs w:val="20"/>
      <w:lang w:eastAsia="en-AU"/>
    </w:rPr>
  </w:style>
  <w:style w:type="paragraph" w:customStyle="1" w:styleId="FooterEnd">
    <w:name w:val="Footer End"/>
    <w:basedOn w:val="Footer"/>
    <w:rsid w:val="003B43B8"/>
    <w:pPr>
      <w:spacing w:before="0" w:line="20" w:lineRule="exact"/>
    </w:pPr>
  </w:style>
  <w:style w:type="paragraph" w:styleId="Header">
    <w:name w:val="header"/>
    <w:basedOn w:val="BodyText"/>
    <w:link w:val="HeaderChar"/>
    <w:rsid w:val="003B43B8"/>
    <w:pPr>
      <w:tabs>
        <w:tab w:val="center" w:pos="4394"/>
        <w:tab w:val="right" w:pos="8789"/>
      </w:tabs>
      <w:spacing w:before="0" w:line="240" w:lineRule="atLeast"/>
      <w:jc w:val="left"/>
    </w:pPr>
    <w:rPr>
      <w:rFonts w:ascii="Arial" w:hAnsi="Arial"/>
      <w:caps/>
    </w:rPr>
  </w:style>
  <w:style w:type="character" w:customStyle="1" w:styleId="HeaderChar">
    <w:name w:val="Header Char"/>
    <w:basedOn w:val="DefaultParagraphFont"/>
    <w:link w:val="Header"/>
    <w:rsid w:val="001F37D1"/>
    <w:rPr>
      <w:rFonts w:ascii="Arial" w:eastAsia="Times New Roman" w:hAnsi="Arial" w:cs="Times New Roman"/>
      <w:caps/>
      <w:sz w:val="24"/>
      <w:szCs w:val="20"/>
      <w:lang w:eastAsia="en-AU"/>
    </w:rPr>
  </w:style>
  <w:style w:type="paragraph" w:customStyle="1" w:styleId="HeaderEnd">
    <w:name w:val="Header End"/>
    <w:basedOn w:val="Header"/>
    <w:autoRedefine/>
    <w:rsid w:val="003B43B8"/>
    <w:pPr>
      <w:spacing w:line="20" w:lineRule="exact"/>
    </w:pPr>
    <w:rPr>
      <w:sz w:val="16"/>
    </w:rPr>
  </w:style>
  <w:style w:type="paragraph" w:customStyle="1" w:styleId="HeaderEven">
    <w:name w:val="Header Even"/>
    <w:basedOn w:val="Header"/>
    <w:rsid w:val="003B43B8"/>
  </w:style>
  <w:style w:type="paragraph" w:customStyle="1" w:styleId="HeaderOdd">
    <w:name w:val="Header Odd"/>
    <w:basedOn w:val="Header"/>
    <w:rsid w:val="003B43B8"/>
  </w:style>
  <w:style w:type="character" w:styleId="PageNumber">
    <w:name w:val="page number"/>
    <w:basedOn w:val="DefaultParagraphFont"/>
    <w:rsid w:val="003B43B8"/>
    <w:rPr>
      <w:rFonts w:ascii="Arial" w:hAnsi="Arial"/>
      <w:b/>
      <w:sz w:val="16"/>
    </w:rPr>
  </w:style>
  <w:style w:type="paragraph" w:customStyle="1" w:styleId="Abbreviation">
    <w:name w:val="Abbreviation"/>
    <w:basedOn w:val="BodyText"/>
    <w:rsid w:val="003B43B8"/>
    <w:pPr>
      <w:spacing w:before="120"/>
      <w:ind w:left="2381" w:hanging="2381"/>
      <w:jc w:val="left"/>
    </w:pPr>
  </w:style>
  <w:style w:type="paragraph" w:customStyle="1" w:styleId="Box">
    <w:name w:val="Box"/>
    <w:basedOn w:val="BodyText"/>
    <w:qFormat/>
    <w:rsid w:val="003B43B8"/>
    <w:pPr>
      <w:keepNext/>
      <w:spacing w:before="120" w:line="260" w:lineRule="atLeast"/>
    </w:pPr>
    <w:rPr>
      <w:rFonts w:ascii="Arial" w:hAnsi="Arial"/>
      <w:sz w:val="20"/>
    </w:rPr>
  </w:style>
  <w:style w:type="paragraph" w:customStyle="1" w:styleId="BoxContinued">
    <w:name w:val="Box Continued"/>
    <w:basedOn w:val="BodyText"/>
    <w:next w:val="BodyText"/>
    <w:semiHidden/>
    <w:rsid w:val="003B43B8"/>
    <w:pPr>
      <w:spacing w:before="180" w:line="220" w:lineRule="exact"/>
      <w:jc w:val="right"/>
    </w:pPr>
    <w:rPr>
      <w:rFonts w:ascii="Arial" w:hAnsi="Arial"/>
      <w:sz w:val="18"/>
    </w:rPr>
  </w:style>
  <w:style w:type="paragraph" w:customStyle="1" w:styleId="BoxHeading1">
    <w:name w:val="Box Heading 1"/>
    <w:basedOn w:val="BodyText"/>
    <w:next w:val="Box"/>
    <w:rsid w:val="003B43B8"/>
    <w:pPr>
      <w:keepNext/>
      <w:spacing w:before="200" w:line="280" w:lineRule="atLeast"/>
    </w:pPr>
    <w:rPr>
      <w:rFonts w:ascii="Arial" w:hAnsi="Arial"/>
      <w:b/>
      <w:sz w:val="22"/>
    </w:rPr>
  </w:style>
  <w:style w:type="paragraph" w:customStyle="1" w:styleId="BoxHeading2">
    <w:name w:val="Box Heading 2"/>
    <w:basedOn w:val="BoxHeading1"/>
    <w:next w:val="Box"/>
    <w:rsid w:val="003B43B8"/>
    <w:rPr>
      <w:b w:val="0"/>
      <w:i/>
    </w:rPr>
  </w:style>
  <w:style w:type="paragraph" w:customStyle="1" w:styleId="BoxListBullet">
    <w:name w:val="Box List Bullet"/>
    <w:basedOn w:val="BodyText"/>
    <w:rsid w:val="003B43B8"/>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3B43B8"/>
    <w:pPr>
      <w:numPr>
        <w:numId w:val="13"/>
      </w:numPr>
      <w:ind w:left="568" w:hanging="284"/>
    </w:pPr>
  </w:style>
  <w:style w:type="paragraph" w:customStyle="1" w:styleId="BoxListNumber">
    <w:name w:val="Box List Number"/>
    <w:basedOn w:val="BodyText"/>
    <w:rsid w:val="003B43B8"/>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3B43B8"/>
    <w:pPr>
      <w:numPr>
        <w:ilvl w:val="1"/>
      </w:numPr>
      <w:ind w:left="681" w:hanging="397"/>
    </w:pPr>
  </w:style>
  <w:style w:type="paragraph" w:customStyle="1" w:styleId="BoxQuote">
    <w:name w:val="Box Quote"/>
    <w:basedOn w:val="BodyText"/>
    <w:next w:val="Box"/>
    <w:qFormat/>
    <w:rsid w:val="003B43B8"/>
    <w:pPr>
      <w:keepNext/>
      <w:spacing w:before="60" w:line="240" w:lineRule="exact"/>
      <w:ind w:left="284"/>
    </w:pPr>
    <w:rPr>
      <w:rFonts w:ascii="Arial" w:hAnsi="Arial"/>
      <w:sz w:val="18"/>
    </w:rPr>
  </w:style>
  <w:style w:type="paragraph" w:customStyle="1" w:styleId="Note">
    <w:name w:val="Note"/>
    <w:basedOn w:val="BodyText"/>
    <w:next w:val="BodyText"/>
    <w:link w:val="NoteChar"/>
    <w:rsid w:val="003B43B8"/>
    <w:pPr>
      <w:keepLines/>
      <w:spacing w:before="80" w:line="220" w:lineRule="exact"/>
    </w:pPr>
    <w:rPr>
      <w:rFonts w:ascii="Arial" w:hAnsi="Arial"/>
      <w:sz w:val="18"/>
    </w:rPr>
  </w:style>
  <w:style w:type="paragraph" w:customStyle="1" w:styleId="Source">
    <w:name w:val="Source"/>
    <w:basedOn w:val="Normal"/>
    <w:next w:val="BodyText"/>
    <w:link w:val="SourceChar"/>
    <w:rsid w:val="00B57589"/>
    <w:pPr>
      <w:keepLines/>
      <w:spacing w:before="80" w:after="0" w:line="220" w:lineRule="exact"/>
      <w:jc w:val="both"/>
    </w:pPr>
    <w:rPr>
      <w:rFonts w:ascii="Arial" w:hAnsi="Arial"/>
      <w:sz w:val="18"/>
      <w:szCs w:val="20"/>
    </w:rPr>
  </w:style>
  <w:style w:type="paragraph" w:customStyle="1" w:styleId="BoxSource">
    <w:name w:val="Box Source"/>
    <w:basedOn w:val="Source"/>
    <w:next w:val="BodyText"/>
    <w:rsid w:val="003B43B8"/>
    <w:pPr>
      <w:spacing w:before="120"/>
    </w:pPr>
  </w:style>
  <w:style w:type="paragraph" w:customStyle="1" w:styleId="BoxSpaceAbove">
    <w:name w:val="Box Space Above"/>
    <w:basedOn w:val="BodyText"/>
    <w:rsid w:val="003B43B8"/>
    <w:pPr>
      <w:keepNext/>
      <w:spacing w:before="360" w:line="80" w:lineRule="exact"/>
      <w:jc w:val="left"/>
    </w:pPr>
  </w:style>
  <w:style w:type="paragraph" w:styleId="Caption">
    <w:name w:val="caption"/>
    <w:basedOn w:val="Normal"/>
    <w:next w:val="BodyText"/>
    <w:rsid w:val="003B43B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3B43B8"/>
    <w:pPr>
      <w:spacing w:before="120" w:after="0"/>
    </w:pPr>
  </w:style>
  <w:style w:type="paragraph" w:customStyle="1" w:styleId="BoxSubtitle">
    <w:name w:val="Box Subtitle"/>
    <w:basedOn w:val="BoxTitle"/>
    <w:next w:val="Normal"/>
    <w:rsid w:val="003B43B8"/>
    <w:pPr>
      <w:spacing w:after="80" w:line="200" w:lineRule="exact"/>
      <w:ind w:firstLine="0"/>
    </w:pPr>
    <w:rPr>
      <w:b w:val="0"/>
      <w:sz w:val="20"/>
    </w:rPr>
  </w:style>
  <w:style w:type="paragraph" w:customStyle="1" w:styleId="Chapter">
    <w:name w:val="Chapter"/>
    <w:basedOn w:val="Heading1"/>
    <w:next w:val="BodyText"/>
    <w:semiHidden/>
    <w:rsid w:val="003B43B8"/>
    <w:pPr>
      <w:ind w:left="0" w:firstLine="0"/>
      <w:outlineLvl w:val="9"/>
    </w:pPr>
  </w:style>
  <w:style w:type="paragraph" w:customStyle="1" w:styleId="ChapterSummary">
    <w:name w:val="Chapter Summary"/>
    <w:basedOn w:val="BodyText"/>
    <w:rsid w:val="003B43B8"/>
    <w:pPr>
      <w:spacing w:line="280" w:lineRule="atLeast"/>
      <w:ind w:left="907"/>
    </w:pPr>
    <w:rPr>
      <w:rFonts w:ascii="Arial" w:hAnsi="Arial"/>
      <w:b/>
      <w:sz w:val="20"/>
    </w:rPr>
  </w:style>
  <w:style w:type="character" w:styleId="CommentReference">
    <w:name w:val="annotation reference"/>
    <w:basedOn w:val="DefaultParagraphFont"/>
    <w:semiHidden/>
    <w:rsid w:val="003B43B8"/>
    <w:rPr>
      <w:b/>
      <w:vanish/>
      <w:color w:val="FF00FF"/>
      <w:sz w:val="20"/>
    </w:rPr>
  </w:style>
  <w:style w:type="paragraph" w:styleId="CommentText">
    <w:name w:val="annotation text"/>
    <w:basedOn w:val="Normal"/>
    <w:link w:val="CommentTextChar"/>
    <w:semiHidden/>
    <w:rsid w:val="003B43B8"/>
    <w:pPr>
      <w:spacing w:before="120" w:line="240" w:lineRule="atLeast"/>
      <w:ind w:left="567" w:hanging="567"/>
    </w:pPr>
    <w:rPr>
      <w:sz w:val="20"/>
    </w:rPr>
  </w:style>
  <w:style w:type="character" w:customStyle="1" w:styleId="CommentTextChar">
    <w:name w:val="Comment Text Char"/>
    <w:basedOn w:val="DefaultParagraphFont"/>
    <w:link w:val="CommentText"/>
    <w:semiHidden/>
    <w:rsid w:val="001F37D1"/>
    <w:rPr>
      <w:rFonts w:ascii="Times New Roman" w:eastAsia="Times New Roman" w:hAnsi="Times New Roman" w:cs="Times New Roman"/>
      <w:sz w:val="20"/>
      <w:szCs w:val="24"/>
      <w:lang w:eastAsia="en-AU"/>
    </w:rPr>
  </w:style>
  <w:style w:type="paragraph" w:customStyle="1" w:styleId="Continued">
    <w:name w:val="Continued"/>
    <w:basedOn w:val="BoxContinued"/>
    <w:next w:val="BodyText"/>
    <w:rsid w:val="003B43B8"/>
  </w:style>
  <w:style w:type="character" w:customStyle="1" w:styleId="DocumentInfo">
    <w:name w:val="Document Info"/>
    <w:basedOn w:val="DefaultParagraphFont"/>
    <w:semiHidden/>
    <w:rsid w:val="003B43B8"/>
    <w:rPr>
      <w:rFonts w:ascii="Arial" w:hAnsi="Arial"/>
      <w:sz w:val="14"/>
    </w:rPr>
  </w:style>
  <w:style w:type="character" w:customStyle="1" w:styleId="DraftingNote">
    <w:name w:val="Drafting Note"/>
    <w:basedOn w:val="DefaultParagraphFont"/>
    <w:rsid w:val="003B43B8"/>
    <w:rPr>
      <w:b/>
      <w:color w:val="FF0000"/>
      <w:sz w:val="24"/>
      <w:u w:val="dotted"/>
    </w:rPr>
  </w:style>
  <w:style w:type="paragraph" w:customStyle="1" w:styleId="Figure">
    <w:name w:val="Figure"/>
    <w:basedOn w:val="BodyText"/>
    <w:rsid w:val="003B43B8"/>
    <w:pPr>
      <w:keepNext/>
      <w:spacing w:before="120" w:after="120" w:line="240" w:lineRule="atLeast"/>
      <w:jc w:val="center"/>
    </w:pPr>
  </w:style>
  <w:style w:type="paragraph" w:customStyle="1" w:styleId="FigureTitle">
    <w:name w:val="Figure Title"/>
    <w:basedOn w:val="Caption"/>
    <w:next w:val="Subtitle"/>
    <w:rsid w:val="003B43B8"/>
    <w:pPr>
      <w:spacing w:before="120"/>
    </w:pPr>
  </w:style>
  <w:style w:type="paragraph" w:styleId="Subtitle">
    <w:name w:val="Subtitle"/>
    <w:basedOn w:val="Caption"/>
    <w:link w:val="SubtitleChar"/>
    <w:qFormat/>
    <w:rsid w:val="003B43B8"/>
    <w:pPr>
      <w:spacing w:before="0" w:line="200" w:lineRule="exact"/>
      <w:ind w:firstLine="0"/>
    </w:pPr>
    <w:rPr>
      <w:b w:val="0"/>
      <w:sz w:val="20"/>
    </w:rPr>
  </w:style>
  <w:style w:type="character" w:customStyle="1" w:styleId="SubtitleChar">
    <w:name w:val="Subtitle Char"/>
    <w:basedOn w:val="DefaultParagraphFont"/>
    <w:link w:val="Subtitle"/>
    <w:rsid w:val="003B43B8"/>
    <w:rPr>
      <w:rFonts w:ascii="Arial" w:eastAsia="Times New Roman" w:hAnsi="Arial" w:cs="Times New Roman"/>
      <w:sz w:val="20"/>
      <w:szCs w:val="24"/>
      <w:lang w:eastAsia="en-AU"/>
    </w:rPr>
  </w:style>
  <w:style w:type="paragraph" w:customStyle="1" w:styleId="Finding">
    <w:name w:val="Finding"/>
    <w:basedOn w:val="BodyText"/>
    <w:rsid w:val="003B43B8"/>
    <w:pPr>
      <w:keepLines/>
      <w:spacing w:before="120" w:line="280" w:lineRule="atLeast"/>
    </w:pPr>
    <w:rPr>
      <w:rFonts w:ascii="Arial" w:hAnsi="Arial"/>
      <w:sz w:val="22"/>
    </w:rPr>
  </w:style>
  <w:style w:type="paragraph" w:customStyle="1" w:styleId="FindingBullet">
    <w:name w:val="Finding Bullet"/>
    <w:basedOn w:val="Finding"/>
    <w:rsid w:val="003B43B8"/>
    <w:pPr>
      <w:numPr>
        <w:numId w:val="15"/>
      </w:numPr>
      <w:spacing w:before="80"/>
    </w:pPr>
  </w:style>
  <w:style w:type="paragraph" w:customStyle="1" w:styleId="FindingNoTitle">
    <w:name w:val="Finding NoTitle"/>
    <w:basedOn w:val="Finding"/>
    <w:semiHidden/>
    <w:rsid w:val="003B43B8"/>
    <w:pPr>
      <w:spacing w:before="240"/>
    </w:pPr>
  </w:style>
  <w:style w:type="paragraph" w:customStyle="1" w:styleId="RecTitle">
    <w:name w:val="Rec Title"/>
    <w:basedOn w:val="BodyText"/>
    <w:next w:val="Rec"/>
    <w:qFormat/>
    <w:rsid w:val="003B43B8"/>
    <w:pPr>
      <w:keepNext/>
      <w:keepLines/>
      <w:spacing w:line="280" w:lineRule="atLeast"/>
    </w:pPr>
    <w:rPr>
      <w:rFonts w:ascii="Arial" w:hAnsi="Arial"/>
      <w:caps/>
      <w:sz w:val="18"/>
    </w:rPr>
  </w:style>
  <w:style w:type="paragraph" w:customStyle="1" w:styleId="FindingTitle">
    <w:name w:val="Finding Title"/>
    <w:basedOn w:val="RecTitle"/>
    <w:next w:val="Finding"/>
    <w:rsid w:val="003B43B8"/>
  </w:style>
  <w:style w:type="character" w:styleId="FootnoteReference">
    <w:name w:val="footnote reference"/>
    <w:basedOn w:val="DefaultParagraphFont"/>
    <w:semiHidden/>
    <w:rsid w:val="003B43B8"/>
    <w:rPr>
      <w:rFonts w:ascii="Times New Roman" w:hAnsi="Times New Roman"/>
      <w:position w:val="6"/>
      <w:sz w:val="20"/>
      <w:vertAlign w:val="baseline"/>
    </w:rPr>
  </w:style>
  <w:style w:type="paragraph" w:styleId="FootnoteText">
    <w:name w:val="footnote text"/>
    <w:basedOn w:val="BodyText"/>
    <w:link w:val="FootnoteTextChar"/>
    <w:rsid w:val="003B43B8"/>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1F37D1"/>
    <w:rPr>
      <w:rFonts w:ascii="Times New Roman" w:eastAsia="Times New Roman" w:hAnsi="Times New Roman" w:cs="Times New Roman"/>
      <w:sz w:val="20"/>
      <w:szCs w:val="20"/>
      <w:lang w:eastAsia="en-AU"/>
    </w:rPr>
  </w:style>
  <w:style w:type="paragraph" w:customStyle="1" w:styleId="InformationRequest">
    <w:name w:val="Information Request"/>
    <w:basedOn w:val="Finding"/>
    <w:next w:val="BodyText"/>
    <w:rsid w:val="003B43B8"/>
    <w:rPr>
      <w:i/>
    </w:rPr>
  </w:style>
  <w:style w:type="paragraph" w:customStyle="1" w:styleId="Jurisdictioncommentsbodytext">
    <w:name w:val="Jurisdiction comments body text"/>
    <w:rsid w:val="003B43B8"/>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3B43B8"/>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3B43B8"/>
    <w:pPr>
      <w:numPr>
        <w:numId w:val="2"/>
      </w:numPr>
      <w:spacing w:after="140" w:line="240" w:lineRule="auto"/>
      <w:jc w:val="both"/>
    </w:pPr>
    <w:rPr>
      <w:rFonts w:ascii="Arial" w:eastAsia="Times New Roman" w:hAnsi="Arial" w:cs="Times New Roman"/>
      <w:sz w:val="24"/>
      <w:szCs w:val="20"/>
    </w:rPr>
  </w:style>
  <w:style w:type="paragraph" w:styleId="ListBullet">
    <w:name w:val="List Bullet"/>
    <w:basedOn w:val="BodyText"/>
    <w:rsid w:val="003B43B8"/>
    <w:pPr>
      <w:numPr>
        <w:numId w:val="3"/>
      </w:numPr>
      <w:spacing w:before="120"/>
    </w:pPr>
  </w:style>
  <w:style w:type="paragraph" w:styleId="ListBullet2">
    <w:name w:val="List Bullet 2"/>
    <w:basedOn w:val="BodyText"/>
    <w:rsid w:val="003B43B8"/>
    <w:pPr>
      <w:numPr>
        <w:numId w:val="4"/>
      </w:numPr>
      <w:spacing w:before="120"/>
    </w:pPr>
  </w:style>
  <w:style w:type="paragraph" w:styleId="ListBullet3">
    <w:name w:val="List Bullet 3"/>
    <w:basedOn w:val="BodyText"/>
    <w:rsid w:val="003B43B8"/>
    <w:pPr>
      <w:numPr>
        <w:numId w:val="5"/>
      </w:numPr>
      <w:spacing w:before="120"/>
      <w:ind w:left="1020" w:hanging="340"/>
    </w:pPr>
  </w:style>
  <w:style w:type="paragraph" w:styleId="ListNumber">
    <w:name w:val="List Number"/>
    <w:basedOn w:val="BodyText"/>
    <w:rsid w:val="003B43B8"/>
    <w:pPr>
      <w:numPr>
        <w:numId w:val="9"/>
      </w:numPr>
      <w:spacing w:before="120"/>
    </w:pPr>
  </w:style>
  <w:style w:type="paragraph" w:styleId="ListNumber2">
    <w:name w:val="List Number 2"/>
    <w:basedOn w:val="ListNumber"/>
    <w:rsid w:val="003B43B8"/>
    <w:pPr>
      <w:numPr>
        <w:ilvl w:val="1"/>
      </w:numPr>
    </w:pPr>
  </w:style>
  <w:style w:type="paragraph" w:styleId="ListNumber3">
    <w:name w:val="List Number 3"/>
    <w:basedOn w:val="ListNumber2"/>
    <w:rsid w:val="003B43B8"/>
    <w:pPr>
      <w:numPr>
        <w:ilvl w:val="2"/>
      </w:numPr>
    </w:pPr>
  </w:style>
  <w:style w:type="character" w:customStyle="1" w:styleId="NoteLabel">
    <w:name w:val="Note Label"/>
    <w:basedOn w:val="DefaultParagraphFont"/>
    <w:rsid w:val="003B43B8"/>
    <w:rPr>
      <w:rFonts w:ascii="Arial" w:hAnsi="Arial"/>
      <w:b/>
      <w:position w:val="6"/>
      <w:sz w:val="18"/>
    </w:rPr>
  </w:style>
  <w:style w:type="paragraph" w:customStyle="1" w:styleId="PartDivider">
    <w:name w:val="Part Divider"/>
    <w:basedOn w:val="BodyText"/>
    <w:next w:val="BodyText"/>
    <w:semiHidden/>
    <w:rsid w:val="003B43B8"/>
    <w:pPr>
      <w:spacing w:before="0" w:line="40" w:lineRule="exact"/>
      <w:jc w:val="right"/>
    </w:pPr>
    <w:rPr>
      <w:smallCaps/>
      <w:sz w:val="16"/>
    </w:rPr>
  </w:style>
  <w:style w:type="paragraph" w:customStyle="1" w:styleId="PartNumber">
    <w:name w:val="Part Number"/>
    <w:basedOn w:val="BodyText"/>
    <w:next w:val="BodyText"/>
    <w:semiHidden/>
    <w:rsid w:val="003B43B8"/>
    <w:pPr>
      <w:spacing w:before="4000" w:line="320" w:lineRule="exact"/>
      <w:ind w:left="6634"/>
      <w:jc w:val="right"/>
    </w:pPr>
    <w:rPr>
      <w:smallCaps/>
      <w:spacing w:val="60"/>
      <w:sz w:val="32"/>
    </w:rPr>
  </w:style>
  <w:style w:type="paragraph" w:customStyle="1" w:styleId="PartTitle">
    <w:name w:val="Part Title"/>
    <w:basedOn w:val="BodyText"/>
    <w:semiHidden/>
    <w:rsid w:val="003B43B8"/>
    <w:pPr>
      <w:spacing w:before="160" w:after="1360" w:line="520" w:lineRule="exact"/>
      <w:ind w:right="2381"/>
      <w:jc w:val="right"/>
    </w:pPr>
    <w:rPr>
      <w:smallCaps/>
      <w:sz w:val="52"/>
    </w:rPr>
  </w:style>
  <w:style w:type="paragraph" w:styleId="Quote">
    <w:name w:val="Quote"/>
    <w:basedOn w:val="BodyText"/>
    <w:next w:val="BodyText"/>
    <w:link w:val="QuoteChar"/>
    <w:qFormat/>
    <w:rsid w:val="003B43B8"/>
    <w:pPr>
      <w:spacing w:before="120" w:line="280" w:lineRule="exact"/>
      <w:ind w:left="340"/>
    </w:pPr>
    <w:rPr>
      <w:sz w:val="22"/>
    </w:rPr>
  </w:style>
  <w:style w:type="character" w:customStyle="1" w:styleId="QuoteChar">
    <w:name w:val="Quote Char"/>
    <w:basedOn w:val="DefaultParagraphFont"/>
    <w:link w:val="Quote"/>
    <w:rsid w:val="001F37D1"/>
    <w:rPr>
      <w:rFonts w:ascii="Times New Roman" w:eastAsia="Times New Roman" w:hAnsi="Times New Roman" w:cs="Times New Roman"/>
      <w:szCs w:val="20"/>
      <w:lang w:eastAsia="en-AU"/>
    </w:rPr>
  </w:style>
  <w:style w:type="paragraph" w:customStyle="1" w:styleId="QuoteBullet">
    <w:name w:val="Quote Bullet"/>
    <w:basedOn w:val="Quote"/>
    <w:rsid w:val="003B43B8"/>
    <w:pPr>
      <w:numPr>
        <w:numId w:val="6"/>
      </w:numPr>
    </w:pPr>
  </w:style>
  <w:style w:type="paragraph" w:customStyle="1" w:styleId="Rec">
    <w:name w:val="Rec"/>
    <w:basedOn w:val="BodyText"/>
    <w:qFormat/>
    <w:rsid w:val="003B43B8"/>
    <w:pPr>
      <w:keepLines/>
      <w:spacing w:before="120" w:line="280" w:lineRule="atLeast"/>
    </w:pPr>
    <w:rPr>
      <w:rFonts w:ascii="Arial" w:hAnsi="Arial"/>
      <w:sz w:val="22"/>
    </w:rPr>
  </w:style>
  <w:style w:type="paragraph" w:customStyle="1" w:styleId="RecBullet">
    <w:name w:val="Rec Bullet"/>
    <w:basedOn w:val="Rec"/>
    <w:rsid w:val="003B43B8"/>
    <w:pPr>
      <w:numPr>
        <w:numId w:val="17"/>
      </w:numPr>
      <w:spacing w:before="80"/>
    </w:pPr>
  </w:style>
  <w:style w:type="paragraph" w:customStyle="1" w:styleId="RecB">
    <w:name w:val="RecB"/>
    <w:basedOn w:val="Normal"/>
    <w:semiHidden/>
    <w:rsid w:val="003B43B8"/>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3B43B8"/>
    <w:pPr>
      <w:numPr>
        <w:numId w:val="11"/>
      </w:numPr>
      <w:spacing w:before="80"/>
    </w:pPr>
  </w:style>
  <w:style w:type="paragraph" w:customStyle="1" w:styleId="RecBNoTitle">
    <w:name w:val="RecB NoTitle"/>
    <w:basedOn w:val="RecB"/>
    <w:semiHidden/>
    <w:rsid w:val="003B43B8"/>
    <w:pPr>
      <w:spacing w:before="240"/>
    </w:pPr>
  </w:style>
  <w:style w:type="paragraph" w:customStyle="1" w:styleId="Reference">
    <w:name w:val="Reference"/>
    <w:basedOn w:val="BodyText"/>
    <w:rsid w:val="003B43B8"/>
    <w:pPr>
      <w:spacing w:before="120"/>
      <w:ind w:left="340" w:hanging="340"/>
    </w:pPr>
  </w:style>
  <w:style w:type="paragraph" w:customStyle="1" w:styleId="SequenceInfo">
    <w:name w:val="Sequence Info"/>
    <w:basedOn w:val="BodyText"/>
    <w:semiHidden/>
    <w:rsid w:val="003B43B8"/>
    <w:rPr>
      <w:vanish/>
      <w:sz w:val="16"/>
    </w:rPr>
  </w:style>
  <w:style w:type="paragraph" w:customStyle="1" w:styleId="SideNote">
    <w:name w:val="Side Note"/>
    <w:basedOn w:val="BodyText"/>
    <w:next w:val="BodyText"/>
    <w:semiHidden/>
    <w:rsid w:val="003B43B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3B43B8"/>
    <w:pPr>
      <w:framePr w:wrap="around"/>
      <w:numPr>
        <w:numId w:val="7"/>
      </w:numPr>
      <w:tabs>
        <w:tab w:val="left" w:pos="227"/>
      </w:tabs>
    </w:pPr>
  </w:style>
  <w:style w:type="paragraph" w:customStyle="1" w:styleId="SideNoteGraphic">
    <w:name w:val="Side Note Graphic"/>
    <w:basedOn w:val="SideNote"/>
    <w:next w:val="BodyText"/>
    <w:semiHidden/>
    <w:rsid w:val="003B43B8"/>
    <w:pPr>
      <w:framePr w:wrap="around"/>
    </w:pPr>
  </w:style>
  <w:style w:type="paragraph" w:customStyle="1" w:styleId="TableBodyText">
    <w:name w:val="Table Body Text"/>
    <w:basedOn w:val="BodyText"/>
    <w:rsid w:val="003B43B8"/>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3B43B8"/>
    <w:pPr>
      <w:numPr>
        <w:numId w:val="8"/>
      </w:numPr>
      <w:jc w:val="left"/>
    </w:pPr>
  </w:style>
  <w:style w:type="paragraph" w:customStyle="1" w:styleId="TableColumnHeading">
    <w:name w:val="Table Column Heading"/>
    <w:basedOn w:val="TableBodyText"/>
    <w:rsid w:val="003B43B8"/>
    <w:pPr>
      <w:spacing w:before="80" w:after="80"/>
    </w:pPr>
    <w:rPr>
      <w:i/>
    </w:rPr>
  </w:style>
  <w:style w:type="paragraph" w:styleId="TOC2">
    <w:name w:val="toc 2"/>
    <w:basedOn w:val="TOC1"/>
    <w:rsid w:val="003B43B8"/>
    <w:pPr>
      <w:ind w:left="1134" w:hanging="624"/>
    </w:pPr>
    <w:rPr>
      <w:b w:val="0"/>
    </w:rPr>
  </w:style>
  <w:style w:type="paragraph" w:styleId="TOC3">
    <w:name w:val="toc 3"/>
    <w:basedOn w:val="TOC2"/>
    <w:rsid w:val="003B43B8"/>
    <w:pPr>
      <w:spacing w:before="60"/>
      <w:ind w:left="1190" w:hanging="680"/>
    </w:pPr>
  </w:style>
  <w:style w:type="paragraph" w:styleId="TableofFigures">
    <w:name w:val="table of figures"/>
    <w:basedOn w:val="TOC3"/>
    <w:next w:val="BodyText"/>
    <w:semiHidden/>
    <w:rsid w:val="003B43B8"/>
    <w:pPr>
      <w:ind w:left="737" w:hanging="737"/>
    </w:pPr>
  </w:style>
  <w:style w:type="paragraph" w:customStyle="1" w:styleId="TableTitle">
    <w:name w:val="Table Title"/>
    <w:basedOn w:val="Caption"/>
    <w:next w:val="Subtitle"/>
    <w:qFormat/>
    <w:rsid w:val="003B43B8"/>
    <w:pPr>
      <w:spacing w:before="120"/>
    </w:pPr>
  </w:style>
  <w:style w:type="paragraph" w:customStyle="1" w:styleId="TableUnitsRow">
    <w:name w:val="Table Units Row"/>
    <w:basedOn w:val="TableBodyText"/>
    <w:rsid w:val="003B43B8"/>
    <w:pPr>
      <w:spacing w:before="40"/>
    </w:pPr>
  </w:style>
  <w:style w:type="paragraph" w:styleId="TOC1">
    <w:name w:val="toc 1"/>
    <w:basedOn w:val="Normal"/>
    <w:next w:val="TOC2"/>
    <w:link w:val="TOC1Char"/>
    <w:rsid w:val="003B43B8"/>
    <w:pPr>
      <w:tabs>
        <w:tab w:val="right" w:pos="8789"/>
      </w:tabs>
      <w:spacing w:before="120" w:line="320" w:lineRule="exact"/>
      <w:ind w:left="510" w:right="851" w:hanging="510"/>
    </w:pPr>
    <w:rPr>
      <w:rFonts w:ascii="Arial" w:hAnsi="Arial"/>
      <w:b/>
      <w:sz w:val="26"/>
      <w:szCs w:val="26"/>
    </w:rPr>
  </w:style>
  <w:style w:type="paragraph" w:styleId="TOC4">
    <w:name w:val="toc 4"/>
    <w:basedOn w:val="TOC3"/>
    <w:semiHidden/>
    <w:rsid w:val="003B43B8"/>
    <w:pPr>
      <w:ind w:left="1191" w:firstLine="0"/>
    </w:pPr>
  </w:style>
  <w:style w:type="paragraph" w:customStyle="1" w:styleId="RecBBullet2">
    <w:name w:val="RecB Bullet 2"/>
    <w:basedOn w:val="ListBullet2"/>
    <w:semiHidden/>
    <w:rsid w:val="003B43B8"/>
    <w:pPr>
      <w:pBdr>
        <w:left w:val="single" w:sz="24" w:space="29" w:color="C0C0C0"/>
      </w:pBdr>
    </w:pPr>
    <w:rPr>
      <w:b/>
      <w:i/>
    </w:rPr>
  </w:style>
  <w:style w:type="paragraph" w:styleId="BalloonText">
    <w:name w:val="Balloon Text"/>
    <w:basedOn w:val="Normal"/>
    <w:link w:val="BalloonTextChar"/>
    <w:rsid w:val="003B43B8"/>
    <w:rPr>
      <w:rFonts w:ascii="Tahoma" w:hAnsi="Tahoma" w:cs="Tahoma"/>
      <w:sz w:val="16"/>
      <w:szCs w:val="16"/>
    </w:rPr>
  </w:style>
  <w:style w:type="character" w:customStyle="1" w:styleId="BalloonTextChar">
    <w:name w:val="Balloon Text Char"/>
    <w:basedOn w:val="DefaultParagraphFont"/>
    <w:link w:val="BalloonText"/>
    <w:rsid w:val="003B43B8"/>
    <w:rPr>
      <w:rFonts w:ascii="Tahoma" w:eastAsia="Times New Roman" w:hAnsi="Tahoma" w:cs="Tahoma"/>
      <w:sz w:val="16"/>
      <w:szCs w:val="16"/>
      <w:lang w:eastAsia="en-AU"/>
    </w:rPr>
  </w:style>
  <w:style w:type="paragraph" w:customStyle="1" w:styleId="BoxListBullet3">
    <w:name w:val="Box List Bullet 3"/>
    <w:basedOn w:val="ListBullet3"/>
    <w:rsid w:val="003B43B8"/>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3B43B8"/>
    <w:rPr>
      <w:i/>
      <w:iCs/>
    </w:rPr>
  </w:style>
  <w:style w:type="paragraph" w:customStyle="1" w:styleId="BoxQuoteBullet">
    <w:name w:val="Box Quote Bullet"/>
    <w:basedOn w:val="BoxQuote"/>
    <w:next w:val="Box"/>
    <w:rsid w:val="003B43B8"/>
    <w:pPr>
      <w:numPr>
        <w:numId w:val="12"/>
      </w:numPr>
      <w:ind w:left="568" w:hanging="284"/>
    </w:pPr>
  </w:style>
  <w:style w:type="paragraph" w:customStyle="1" w:styleId="InformationRequestBullet">
    <w:name w:val="Information Request Bullet"/>
    <w:basedOn w:val="ListBullet"/>
    <w:next w:val="BodyText"/>
    <w:rsid w:val="003B43B8"/>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3B43B8"/>
    <w:pPr>
      <w:keepNext w:val="0"/>
      <w:spacing w:before="60" w:after="60" w:line="80" w:lineRule="exact"/>
    </w:pPr>
    <w:rPr>
      <w:sz w:val="14"/>
    </w:rPr>
  </w:style>
  <w:style w:type="paragraph" w:customStyle="1" w:styleId="KeyPointsListBullet">
    <w:name w:val="Key Points List Bullet"/>
    <w:basedOn w:val="Normal"/>
    <w:qFormat/>
    <w:rsid w:val="003B43B8"/>
    <w:pPr>
      <w:keepNext/>
      <w:numPr>
        <w:numId w:val="18"/>
      </w:numPr>
      <w:spacing w:before="100" w:line="260" w:lineRule="atLeast"/>
      <w:ind w:left="357" w:hanging="357"/>
      <w:jc w:val="both"/>
    </w:pPr>
    <w:rPr>
      <w:rFonts w:ascii="Arial" w:hAnsi="Arial"/>
      <w:sz w:val="20"/>
      <w:szCs w:val="20"/>
    </w:rPr>
  </w:style>
  <w:style w:type="paragraph" w:customStyle="1" w:styleId="KeyPointsListBullet2">
    <w:name w:val="Key Points List Bullet 2"/>
    <w:basedOn w:val="BoxListBullet2"/>
    <w:rsid w:val="003B43B8"/>
    <w:pPr>
      <w:numPr>
        <w:numId w:val="19"/>
      </w:numPr>
      <w:ind w:left="568" w:hanging="284"/>
    </w:pPr>
  </w:style>
  <w:style w:type="paragraph" w:customStyle="1" w:styleId="InformationRequestTitle">
    <w:name w:val="Information Request Title"/>
    <w:basedOn w:val="FindingTitle"/>
    <w:next w:val="InformationRequest"/>
    <w:rsid w:val="003B43B8"/>
    <w:rPr>
      <w:i/>
    </w:rPr>
  </w:style>
  <w:style w:type="paragraph" w:customStyle="1" w:styleId="Space">
    <w:name w:val="Space"/>
    <w:basedOn w:val="Normal"/>
    <w:rsid w:val="003B43B8"/>
    <w:pPr>
      <w:keepNext/>
      <w:spacing w:line="120" w:lineRule="exact"/>
      <w:jc w:val="both"/>
    </w:pPr>
    <w:rPr>
      <w:rFonts w:ascii="Arial" w:hAnsi="Arial"/>
      <w:sz w:val="20"/>
      <w:szCs w:val="20"/>
    </w:rPr>
  </w:style>
  <w:style w:type="paragraph" w:customStyle="1" w:styleId="Heading1nochapterno">
    <w:name w:val="Heading 1 (no chapter no.)"/>
    <w:basedOn w:val="Heading1"/>
    <w:rsid w:val="003B43B8"/>
    <w:pPr>
      <w:spacing w:before="0"/>
      <w:ind w:left="0" w:firstLine="0"/>
    </w:pPr>
  </w:style>
  <w:style w:type="paragraph" w:customStyle="1" w:styleId="Heading2nosectionno">
    <w:name w:val="Heading 2 (no section no.)"/>
    <w:basedOn w:val="Heading2"/>
    <w:rsid w:val="003B43B8"/>
    <w:pPr>
      <w:ind w:left="0" w:firstLine="0"/>
    </w:pPr>
  </w:style>
  <w:style w:type="paragraph" w:customStyle="1" w:styleId="Figurespace">
    <w:name w:val="Figure space"/>
    <w:basedOn w:val="Box"/>
    <w:rsid w:val="003B43B8"/>
    <w:pPr>
      <w:spacing w:before="0" w:line="120" w:lineRule="exact"/>
    </w:pPr>
  </w:style>
  <w:style w:type="paragraph" w:customStyle="1" w:styleId="FooterDraftReport">
    <w:name w:val="FooterDraftReport"/>
    <w:basedOn w:val="Footer"/>
    <w:link w:val="FooterDraftReportChar"/>
    <w:rsid w:val="003B43B8"/>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3B43B8"/>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3B43B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3B43B8"/>
    <w:rPr>
      <w:rFonts w:ascii="Arial" w:eastAsia="Times New Roman" w:hAnsi="Arial" w:cs="Times New Roman"/>
      <w:b/>
      <w:sz w:val="26"/>
      <w:szCs w:val="26"/>
    </w:rPr>
  </w:style>
  <w:style w:type="character" w:customStyle="1" w:styleId="Continuedintitle">
    <w:name w:val="Continued (in title)"/>
    <w:basedOn w:val="DefaultParagraphFont"/>
    <w:rsid w:val="003B43B8"/>
    <w:rPr>
      <w:rFonts w:ascii="Arial" w:hAnsi="Arial"/>
      <w:b/>
      <w:sz w:val="18"/>
    </w:rPr>
  </w:style>
  <w:style w:type="character" w:customStyle="1" w:styleId="NoteChar">
    <w:name w:val="Note Char"/>
    <w:basedOn w:val="DefaultParagraphFont"/>
    <w:link w:val="Note"/>
    <w:locked/>
    <w:rsid w:val="001F37D1"/>
    <w:rPr>
      <w:rFonts w:ascii="Arial" w:eastAsia="Times New Roman" w:hAnsi="Arial" w:cs="Times New Roman"/>
      <w:sz w:val="18"/>
      <w:szCs w:val="20"/>
      <w:lang w:eastAsia="en-AU"/>
    </w:rPr>
  </w:style>
  <w:style w:type="character" w:customStyle="1" w:styleId="SourceChar">
    <w:name w:val="Source Char"/>
    <w:basedOn w:val="DefaultParagraphFont"/>
    <w:link w:val="Source"/>
    <w:rsid w:val="00B57589"/>
    <w:rPr>
      <w:rFonts w:ascii="Arial" w:hAnsi="Arial"/>
      <w:sz w:val="18"/>
      <w:szCs w:val="20"/>
    </w:rPr>
  </w:style>
  <w:style w:type="character" w:styleId="Hyperlink">
    <w:name w:val="Hyperlink"/>
    <w:basedOn w:val="DefaultParagraphFont"/>
    <w:unhideWhenUsed/>
    <w:rsid w:val="001F37D1"/>
    <w:rPr>
      <w:color w:val="000000" w:themeColor="hyperlink"/>
      <w:u w:val="single"/>
    </w:rPr>
  </w:style>
  <w:style w:type="paragraph" w:styleId="CommentSubject">
    <w:name w:val="annotation subject"/>
    <w:basedOn w:val="CommentText"/>
    <w:next w:val="CommentText"/>
    <w:link w:val="CommentSubjectChar"/>
    <w:semiHidden/>
    <w:unhideWhenUsed/>
    <w:rsid w:val="001F37D1"/>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1F37D1"/>
    <w:rPr>
      <w:rFonts w:ascii="Times New Roman" w:eastAsia="Times New Roman" w:hAnsi="Times New Roman" w:cs="Times New Roman"/>
      <w:b/>
      <w:bCs/>
      <w:sz w:val="20"/>
      <w:szCs w:val="20"/>
      <w:lang w:eastAsia="en-AU"/>
    </w:rPr>
  </w:style>
  <w:style w:type="character" w:customStyle="1" w:styleId="UnresolvedMention1">
    <w:name w:val="Unresolved Mention1"/>
    <w:basedOn w:val="DefaultParagraphFont"/>
    <w:uiPriority w:val="99"/>
    <w:semiHidden/>
    <w:unhideWhenUsed/>
    <w:rsid w:val="001F37D1"/>
    <w:rPr>
      <w:color w:val="605E5C"/>
      <w:shd w:val="clear" w:color="auto" w:fill="E1DFDD"/>
    </w:rPr>
  </w:style>
  <w:style w:type="character" w:styleId="FollowedHyperlink">
    <w:name w:val="FollowedHyperlink"/>
    <w:basedOn w:val="DefaultParagraphFont"/>
    <w:semiHidden/>
    <w:unhideWhenUsed/>
    <w:rsid w:val="001F37D1"/>
    <w:rPr>
      <w:color w:val="BFBFBF" w:themeColor="followedHyperlink"/>
      <w:u w:val="single"/>
    </w:rPr>
  </w:style>
  <w:style w:type="paragraph" w:styleId="Revision">
    <w:name w:val="Revision"/>
    <w:hidden/>
    <w:uiPriority w:val="99"/>
    <w:semiHidden/>
    <w:rsid w:val="001F37D1"/>
    <w:pPr>
      <w:spacing w:after="0" w:line="240" w:lineRule="auto"/>
    </w:pPr>
    <w:rPr>
      <w:rFonts w:ascii="Calibri Light" w:eastAsia="Calibri Light" w:hAnsi="Calibri Light" w:cs="Calibri Light"/>
      <w:sz w:val="24"/>
      <w:szCs w:val="24"/>
      <w:lang w:eastAsia="en-AU"/>
    </w:rPr>
  </w:style>
  <w:style w:type="paragraph" w:styleId="NormalWeb">
    <w:name w:val="Normal (Web)"/>
    <w:basedOn w:val="Normal"/>
    <w:uiPriority w:val="99"/>
    <w:unhideWhenUsed/>
    <w:rsid w:val="001F37D1"/>
    <w:pPr>
      <w:spacing w:before="100" w:beforeAutospacing="1" w:after="100" w:afterAutospacing="1"/>
    </w:pPr>
  </w:style>
  <w:style w:type="character" w:customStyle="1" w:styleId="title-text">
    <w:name w:val="title-text"/>
    <w:basedOn w:val="DefaultParagraphFont"/>
    <w:rsid w:val="001F37D1"/>
  </w:style>
  <w:style w:type="character" w:customStyle="1" w:styleId="UnresolvedMention2">
    <w:name w:val="Unresolved Mention2"/>
    <w:basedOn w:val="DefaultParagraphFont"/>
    <w:uiPriority w:val="99"/>
    <w:semiHidden/>
    <w:unhideWhenUsed/>
    <w:rsid w:val="001F37D1"/>
    <w:rPr>
      <w:color w:val="605E5C"/>
      <w:shd w:val="clear" w:color="auto" w:fill="E1DFDD"/>
    </w:rPr>
  </w:style>
  <w:style w:type="character" w:styleId="EndnoteReference">
    <w:name w:val="endnote reference"/>
    <w:basedOn w:val="DefaultParagraphFont"/>
    <w:semiHidden/>
    <w:unhideWhenUsed/>
    <w:rsid w:val="001F37D1"/>
    <w:rPr>
      <w:vertAlign w:val="superscript"/>
    </w:rPr>
  </w:style>
  <w:style w:type="paragraph" w:styleId="Bibliography">
    <w:name w:val="Bibliography"/>
    <w:basedOn w:val="Normal"/>
    <w:next w:val="Normal"/>
    <w:uiPriority w:val="37"/>
    <w:unhideWhenUsed/>
    <w:rsid w:val="001F37D1"/>
    <w:pPr>
      <w:spacing w:after="240"/>
      <w:ind w:left="720" w:hanging="720"/>
    </w:pPr>
  </w:style>
  <w:style w:type="paragraph" w:customStyle="1" w:styleId="ListBo">
    <w:name w:val="List Bo"/>
    <w:basedOn w:val="BodyText"/>
    <w:rsid w:val="001F37D1"/>
  </w:style>
  <w:style w:type="paragraph" w:customStyle="1" w:styleId="Heading30">
    <w:name w:val="Heading3"/>
    <w:basedOn w:val="Heading4"/>
    <w:rsid w:val="001F37D1"/>
  </w:style>
  <w:style w:type="character" w:customStyle="1" w:styleId="UnresolvedMention3">
    <w:name w:val="Unresolved Mention3"/>
    <w:basedOn w:val="DefaultParagraphFont"/>
    <w:uiPriority w:val="99"/>
    <w:semiHidden/>
    <w:unhideWhenUsed/>
    <w:rsid w:val="001F37D1"/>
    <w:rPr>
      <w:color w:val="605E5C"/>
      <w:shd w:val="clear" w:color="auto" w:fill="E1DFDD"/>
    </w:rPr>
  </w:style>
  <w:style w:type="character" w:customStyle="1" w:styleId="UnresolvedMention4">
    <w:name w:val="Unresolved Mention4"/>
    <w:basedOn w:val="DefaultParagraphFont"/>
    <w:uiPriority w:val="99"/>
    <w:semiHidden/>
    <w:unhideWhenUsed/>
    <w:rsid w:val="001F37D1"/>
    <w:rPr>
      <w:color w:val="605E5C"/>
      <w:shd w:val="clear" w:color="auto" w:fill="E1DFDD"/>
    </w:rPr>
  </w:style>
  <w:style w:type="paragraph" w:customStyle="1" w:styleId="rug-list--bulletsitem">
    <w:name w:val="rug-list--bullets__item"/>
    <w:basedOn w:val="Normal"/>
    <w:rsid w:val="001F37D1"/>
    <w:pPr>
      <w:spacing w:before="100" w:beforeAutospacing="1" w:after="100" w:afterAutospacing="1"/>
    </w:pPr>
  </w:style>
  <w:style w:type="paragraph" w:styleId="ListParagraph">
    <w:name w:val="List Paragraph"/>
    <w:basedOn w:val="Normal"/>
    <w:uiPriority w:val="34"/>
    <w:qFormat/>
    <w:rsid w:val="00007C08"/>
    <w:pPr>
      <w:ind w:left="720"/>
      <w:contextualSpacing/>
    </w:pPr>
  </w:style>
  <w:style w:type="character" w:customStyle="1" w:styleId="UnresolvedMention5">
    <w:name w:val="Unresolved Mention5"/>
    <w:basedOn w:val="DefaultParagraphFont"/>
    <w:uiPriority w:val="99"/>
    <w:unhideWhenUsed/>
    <w:rsid w:val="006C2F68"/>
    <w:rPr>
      <w:color w:val="605E5C"/>
      <w:shd w:val="clear" w:color="auto" w:fill="E1DFDD"/>
    </w:rPr>
  </w:style>
  <w:style w:type="character" w:customStyle="1" w:styleId="Mention1">
    <w:name w:val="Mention1"/>
    <w:basedOn w:val="DefaultParagraphFont"/>
    <w:uiPriority w:val="99"/>
    <w:unhideWhenUsed/>
    <w:rsid w:val="006C2F68"/>
    <w:rPr>
      <w:color w:val="2B579A"/>
      <w:shd w:val="clear" w:color="auto" w:fill="E1DFDD"/>
    </w:rPr>
  </w:style>
  <w:style w:type="character" w:customStyle="1" w:styleId="UnresolvedMention6">
    <w:name w:val="Unresolved Mention6"/>
    <w:basedOn w:val="DefaultParagraphFont"/>
    <w:uiPriority w:val="99"/>
    <w:semiHidden/>
    <w:unhideWhenUsed/>
    <w:rsid w:val="00787C36"/>
    <w:rPr>
      <w:color w:val="605E5C"/>
      <w:shd w:val="clear" w:color="auto" w:fill="E1DFDD"/>
    </w:rPr>
  </w:style>
  <w:style w:type="character" w:customStyle="1" w:styleId="UnresolvedMention7">
    <w:name w:val="Unresolved Mention7"/>
    <w:basedOn w:val="DefaultParagraphFont"/>
    <w:uiPriority w:val="99"/>
    <w:semiHidden/>
    <w:unhideWhenUsed/>
    <w:rsid w:val="001147BD"/>
    <w:rPr>
      <w:color w:val="605E5C"/>
      <w:shd w:val="clear" w:color="auto" w:fill="E1DFDD"/>
    </w:rPr>
  </w:style>
  <w:style w:type="character" w:customStyle="1" w:styleId="UnresolvedMention8">
    <w:name w:val="Unresolved Mention8"/>
    <w:basedOn w:val="DefaultParagraphFont"/>
    <w:uiPriority w:val="99"/>
    <w:semiHidden/>
    <w:unhideWhenUsed/>
    <w:rsid w:val="007D4FB8"/>
    <w:rPr>
      <w:color w:val="605E5C"/>
      <w:shd w:val="clear" w:color="auto" w:fill="E1DFDD"/>
    </w:rPr>
  </w:style>
  <w:style w:type="paragraph" w:customStyle="1" w:styleId="Copyrightheading">
    <w:name w:val="Copyright heading"/>
    <w:basedOn w:val="TOC1"/>
    <w:link w:val="CopyrightheadingChar"/>
    <w:qFormat/>
    <w:rsid w:val="00AC38FD"/>
    <w:pPr>
      <w:spacing w:line="300" w:lineRule="exact"/>
    </w:pPr>
  </w:style>
  <w:style w:type="character" w:customStyle="1" w:styleId="CopyrightheadingChar">
    <w:name w:val="Copyright heading Char"/>
    <w:basedOn w:val="TOC1Char"/>
    <w:link w:val="Copyrightheading"/>
    <w:rsid w:val="00AC38FD"/>
    <w:rPr>
      <w:rFonts w:ascii="Arial" w:eastAsia="Times New Roman" w:hAnsi="Arial" w:cs="Times New Roman"/>
      <w:b/>
      <w:sz w:val="26"/>
      <w:szCs w:val="26"/>
    </w:rPr>
  </w:style>
  <w:style w:type="paragraph" w:customStyle="1" w:styleId="Copyrightsubtitle">
    <w:name w:val="Copyright subtitle"/>
    <w:basedOn w:val="BodyText"/>
    <w:rsid w:val="00AC38FD"/>
    <w:rPr>
      <w:rFonts w:ascii="Arial" w:hAnsi="Arial"/>
      <w:b/>
      <w:sz w:val="22"/>
      <w:szCs w:val="25"/>
    </w:rPr>
  </w:style>
  <w:style w:type="paragraph" w:customStyle="1" w:styleId="Copyrightbodytext">
    <w:name w:val="Copyright bodytext"/>
    <w:basedOn w:val="BodyText"/>
    <w:link w:val="CopyrightbodytextChar"/>
    <w:qFormat/>
    <w:rsid w:val="00AC38FD"/>
    <w:pPr>
      <w:spacing w:before="60"/>
    </w:pPr>
  </w:style>
  <w:style w:type="character" w:customStyle="1" w:styleId="CopyrightbodytextChar">
    <w:name w:val="Copyright bodytext Char"/>
    <w:basedOn w:val="BodyTextChar"/>
    <w:link w:val="Copyrightbodytext"/>
    <w:rsid w:val="00AC38FD"/>
    <w:rPr>
      <w:rFonts w:ascii="Times New Roman" w:eastAsia="Times New Roman" w:hAnsi="Times New Roman" w:cs="Times New Roman"/>
      <w:sz w:val="24"/>
      <w:szCs w:val="20"/>
      <w:lang w:eastAsia="en-AU"/>
    </w:rPr>
  </w:style>
  <w:style w:type="character" w:customStyle="1" w:styleId="UnresolvedMention9">
    <w:name w:val="Unresolved Mention9"/>
    <w:basedOn w:val="DefaultParagraphFont"/>
    <w:uiPriority w:val="99"/>
    <w:semiHidden/>
    <w:unhideWhenUsed/>
    <w:rsid w:val="00AC38FD"/>
    <w:rPr>
      <w:color w:val="605E5C"/>
      <w:shd w:val="clear" w:color="auto" w:fill="E1DFDD"/>
    </w:rPr>
  </w:style>
  <w:style w:type="paragraph" w:customStyle="1" w:styleId="Heading1NotTOC">
    <w:name w:val="Heading 1 Not TOC"/>
    <w:basedOn w:val="Heading1"/>
    <w:next w:val="BodyText"/>
    <w:rsid w:val="00C764D7"/>
    <w:rPr>
      <w:kern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63439">
      <w:bodyDiv w:val="1"/>
      <w:marLeft w:val="0"/>
      <w:marRight w:val="0"/>
      <w:marTop w:val="0"/>
      <w:marBottom w:val="0"/>
      <w:divBdr>
        <w:top w:val="none" w:sz="0" w:space="0" w:color="auto"/>
        <w:left w:val="none" w:sz="0" w:space="0" w:color="auto"/>
        <w:bottom w:val="none" w:sz="0" w:space="0" w:color="auto"/>
        <w:right w:val="none" w:sz="0" w:space="0" w:color="auto"/>
      </w:divBdr>
    </w:div>
    <w:div w:id="133177611">
      <w:bodyDiv w:val="1"/>
      <w:marLeft w:val="0"/>
      <w:marRight w:val="0"/>
      <w:marTop w:val="0"/>
      <w:marBottom w:val="0"/>
      <w:divBdr>
        <w:top w:val="none" w:sz="0" w:space="0" w:color="auto"/>
        <w:left w:val="none" w:sz="0" w:space="0" w:color="auto"/>
        <w:bottom w:val="none" w:sz="0" w:space="0" w:color="auto"/>
        <w:right w:val="none" w:sz="0" w:space="0" w:color="auto"/>
      </w:divBdr>
    </w:div>
    <w:div w:id="335887989">
      <w:bodyDiv w:val="1"/>
      <w:marLeft w:val="0"/>
      <w:marRight w:val="0"/>
      <w:marTop w:val="0"/>
      <w:marBottom w:val="0"/>
      <w:divBdr>
        <w:top w:val="none" w:sz="0" w:space="0" w:color="auto"/>
        <w:left w:val="none" w:sz="0" w:space="0" w:color="auto"/>
        <w:bottom w:val="none" w:sz="0" w:space="0" w:color="auto"/>
        <w:right w:val="none" w:sz="0" w:space="0" w:color="auto"/>
      </w:divBdr>
    </w:div>
    <w:div w:id="393747970">
      <w:bodyDiv w:val="1"/>
      <w:marLeft w:val="0"/>
      <w:marRight w:val="0"/>
      <w:marTop w:val="0"/>
      <w:marBottom w:val="0"/>
      <w:divBdr>
        <w:top w:val="none" w:sz="0" w:space="0" w:color="auto"/>
        <w:left w:val="none" w:sz="0" w:space="0" w:color="auto"/>
        <w:bottom w:val="none" w:sz="0" w:space="0" w:color="auto"/>
        <w:right w:val="none" w:sz="0" w:space="0" w:color="auto"/>
      </w:divBdr>
    </w:div>
    <w:div w:id="407044194">
      <w:bodyDiv w:val="1"/>
      <w:marLeft w:val="0"/>
      <w:marRight w:val="0"/>
      <w:marTop w:val="0"/>
      <w:marBottom w:val="0"/>
      <w:divBdr>
        <w:top w:val="none" w:sz="0" w:space="0" w:color="auto"/>
        <w:left w:val="none" w:sz="0" w:space="0" w:color="auto"/>
        <w:bottom w:val="none" w:sz="0" w:space="0" w:color="auto"/>
        <w:right w:val="none" w:sz="0" w:space="0" w:color="auto"/>
      </w:divBdr>
    </w:div>
    <w:div w:id="513813113">
      <w:bodyDiv w:val="1"/>
      <w:marLeft w:val="0"/>
      <w:marRight w:val="0"/>
      <w:marTop w:val="0"/>
      <w:marBottom w:val="0"/>
      <w:divBdr>
        <w:top w:val="none" w:sz="0" w:space="0" w:color="auto"/>
        <w:left w:val="none" w:sz="0" w:space="0" w:color="auto"/>
        <w:bottom w:val="none" w:sz="0" w:space="0" w:color="auto"/>
        <w:right w:val="none" w:sz="0" w:space="0" w:color="auto"/>
      </w:divBdr>
    </w:div>
    <w:div w:id="555437664">
      <w:bodyDiv w:val="1"/>
      <w:marLeft w:val="0"/>
      <w:marRight w:val="0"/>
      <w:marTop w:val="0"/>
      <w:marBottom w:val="0"/>
      <w:divBdr>
        <w:top w:val="none" w:sz="0" w:space="0" w:color="auto"/>
        <w:left w:val="none" w:sz="0" w:space="0" w:color="auto"/>
        <w:bottom w:val="none" w:sz="0" w:space="0" w:color="auto"/>
        <w:right w:val="none" w:sz="0" w:space="0" w:color="auto"/>
      </w:divBdr>
    </w:div>
    <w:div w:id="573201212">
      <w:bodyDiv w:val="1"/>
      <w:marLeft w:val="0"/>
      <w:marRight w:val="0"/>
      <w:marTop w:val="0"/>
      <w:marBottom w:val="0"/>
      <w:divBdr>
        <w:top w:val="none" w:sz="0" w:space="0" w:color="auto"/>
        <w:left w:val="none" w:sz="0" w:space="0" w:color="auto"/>
        <w:bottom w:val="none" w:sz="0" w:space="0" w:color="auto"/>
        <w:right w:val="none" w:sz="0" w:space="0" w:color="auto"/>
      </w:divBdr>
    </w:div>
    <w:div w:id="624192240">
      <w:bodyDiv w:val="1"/>
      <w:marLeft w:val="0"/>
      <w:marRight w:val="0"/>
      <w:marTop w:val="0"/>
      <w:marBottom w:val="0"/>
      <w:divBdr>
        <w:top w:val="none" w:sz="0" w:space="0" w:color="auto"/>
        <w:left w:val="none" w:sz="0" w:space="0" w:color="auto"/>
        <w:bottom w:val="none" w:sz="0" w:space="0" w:color="auto"/>
        <w:right w:val="none" w:sz="0" w:space="0" w:color="auto"/>
      </w:divBdr>
    </w:div>
    <w:div w:id="714158463">
      <w:bodyDiv w:val="1"/>
      <w:marLeft w:val="0"/>
      <w:marRight w:val="0"/>
      <w:marTop w:val="0"/>
      <w:marBottom w:val="0"/>
      <w:divBdr>
        <w:top w:val="none" w:sz="0" w:space="0" w:color="auto"/>
        <w:left w:val="none" w:sz="0" w:space="0" w:color="auto"/>
        <w:bottom w:val="none" w:sz="0" w:space="0" w:color="auto"/>
        <w:right w:val="none" w:sz="0" w:space="0" w:color="auto"/>
      </w:divBdr>
    </w:div>
    <w:div w:id="808208779">
      <w:bodyDiv w:val="1"/>
      <w:marLeft w:val="0"/>
      <w:marRight w:val="0"/>
      <w:marTop w:val="0"/>
      <w:marBottom w:val="0"/>
      <w:divBdr>
        <w:top w:val="none" w:sz="0" w:space="0" w:color="auto"/>
        <w:left w:val="none" w:sz="0" w:space="0" w:color="auto"/>
        <w:bottom w:val="none" w:sz="0" w:space="0" w:color="auto"/>
        <w:right w:val="none" w:sz="0" w:space="0" w:color="auto"/>
      </w:divBdr>
    </w:div>
    <w:div w:id="842359442">
      <w:bodyDiv w:val="1"/>
      <w:marLeft w:val="0"/>
      <w:marRight w:val="0"/>
      <w:marTop w:val="0"/>
      <w:marBottom w:val="0"/>
      <w:divBdr>
        <w:top w:val="none" w:sz="0" w:space="0" w:color="auto"/>
        <w:left w:val="none" w:sz="0" w:space="0" w:color="auto"/>
        <w:bottom w:val="none" w:sz="0" w:space="0" w:color="auto"/>
        <w:right w:val="none" w:sz="0" w:space="0" w:color="auto"/>
      </w:divBdr>
    </w:div>
    <w:div w:id="892154994">
      <w:bodyDiv w:val="1"/>
      <w:marLeft w:val="0"/>
      <w:marRight w:val="0"/>
      <w:marTop w:val="0"/>
      <w:marBottom w:val="0"/>
      <w:divBdr>
        <w:top w:val="none" w:sz="0" w:space="0" w:color="auto"/>
        <w:left w:val="none" w:sz="0" w:space="0" w:color="auto"/>
        <w:bottom w:val="none" w:sz="0" w:space="0" w:color="auto"/>
        <w:right w:val="none" w:sz="0" w:space="0" w:color="auto"/>
      </w:divBdr>
    </w:div>
    <w:div w:id="906695533">
      <w:bodyDiv w:val="1"/>
      <w:marLeft w:val="0"/>
      <w:marRight w:val="0"/>
      <w:marTop w:val="0"/>
      <w:marBottom w:val="0"/>
      <w:divBdr>
        <w:top w:val="none" w:sz="0" w:space="0" w:color="auto"/>
        <w:left w:val="none" w:sz="0" w:space="0" w:color="auto"/>
        <w:bottom w:val="none" w:sz="0" w:space="0" w:color="auto"/>
        <w:right w:val="none" w:sz="0" w:space="0" w:color="auto"/>
      </w:divBdr>
    </w:div>
    <w:div w:id="941761493">
      <w:bodyDiv w:val="1"/>
      <w:marLeft w:val="0"/>
      <w:marRight w:val="0"/>
      <w:marTop w:val="0"/>
      <w:marBottom w:val="0"/>
      <w:divBdr>
        <w:top w:val="none" w:sz="0" w:space="0" w:color="auto"/>
        <w:left w:val="none" w:sz="0" w:space="0" w:color="auto"/>
        <w:bottom w:val="none" w:sz="0" w:space="0" w:color="auto"/>
        <w:right w:val="none" w:sz="0" w:space="0" w:color="auto"/>
      </w:divBdr>
    </w:div>
    <w:div w:id="1340347084">
      <w:bodyDiv w:val="1"/>
      <w:marLeft w:val="0"/>
      <w:marRight w:val="0"/>
      <w:marTop w:val="0"/>
      <w:marBottom w:val="0"/>
      <w:divBdr>
        <w:top w:val="none" w:sz="0" w:space="0" w:color="auto"/>
        <w:left w:val="none" w:sz="0" w:space="0" w:color="auto"/>
        <w:bottom w:val="none" w:sz="0" w:space="0" w:color="auto"/>
        <w:right w:val="none" w:sz="0" w:space="0" w:color="auto"/>
      </w:divBdr>
    </w:div>
    <w:div w:id="1347708331">
      <w:bodyDiv w:val="1"/>
      <w:marLeft w:val="0"/>
      <w:marRight w:val="0"/>
      <w:marTop w:val="0"/>
      <w:marBottom w:val="0"/>
      <w:divBdr>
        <w:top w:val="none" w:sz="0" w:space="0" w:color="auto"/>
        <w:left w:val="none" w:sz="0" w:space="0" w:color="auto"/>
        <w:bottom w:val="none" w:sz="0" w:space="0" w:color="auto"/>
        <w:right w:val="none" w:sz="0" w:space="0" w:color="auto"/>
      </w:divBdr>
    </w:div>
    <w:div w:id="1576746457">
      <w:bodyDiv w:val="1"/>
      <w:marLeft w:val="0"/>
      <w:marRight w:val="0"/>
      <w:marTop w:val="0"/>
      <w:marBottom w:val="0"/>
      <w:divBdr>
        <w:top w:val="none" w:sz="0" w:space="0" w:color="auto"/>
        <w:left w:val="none" w:sz="0" w:space="0" w:color="auto"/>
        <w:bottom w:val="none" w:sz="0" w:space="0" w:color="auto"/>
        <w:right w:val="none" w:sz="0" w:space="0" w:color="auto"/>
      </w:divBdr>
    </w:div>
    <w:div w:id="1865552346">
      <w:bodyDiv w:val="1"/>
      <w:marLeft w:val="0"/>
      <w:marRight w:val="0"/>
      <w:marTop w:val="0"/>
      <w:marBottom w:val="0"/>
      <w:divBdr>
        <w:top w:val="none" w:sz="0" w:space="0" w:color="auto"/>
        <w:left w:val="none" w:sz="0" w:space="0" w:color="auto"/>
        <w:bottom w:val="none" w:sz="0" w:space="0" w:color="auto"/>
        <w:right w:val="none" w:sz="0" w:space="0" w:color="auto"/>
      </w:divBdr>
    </w:div>
    <w:div w:id="1878658215">
      <w:bodyDiv w:val="1"/>
      <w:marLeft w:val="0"/>
      <w:marRight w:val="0"/>
      <w:marTop w:val="0"/>
      <w:marBottom w:val="0"/>
      <w:divBdr>
        <w:top w:val="none" w:sz="0" w:space="0" w:color="auto"/>
        <w:left w:val="none" w:sz="0" w:space="0" w:color="auto"/>
        <w:bottom w:val="none" w:sz="0" w:space="0" w:color="auto"/>
        <w:right w:val="none" w:sz="0" w:space="0" w:color="auto"/>
      </w:divBdr>
    </w:div>
    <w:div w:id="1893348736">
      <w:bodyDiv w:val="1"/>
      <w:marLeft w:val="0"/>
      <w:marRight w:val="0"/>
      <w:marTop w:val="0"/>
      <w:marBottom w:val="0"/>
      <w:divBdr>
        <w:top w:val="none" w:sz="0" w:space="0" w:color="auto"/>
        <w:left w:val="none" w:sz="0" w:space="0" w:color="auto"/>
        <w:bottom w:val="none" w:sz="0" w:space="0" w:color="auto"/>
        <w:right w:val="none" w:sz="0" w:space="0" w:color="auto"/>
      </w:divBdr>
    </w:div>
    <w:div w:id="1898470700">
      <w:bodyDiv w:val="1"/>
      <w:marLeft w:val="0"/>
      <w:marRight w:val="0"/>
      <w:marTop w:val="0"/>
      <w:marBottom w:val="0"/>
      <w:divBdr>
        <w:top w:val="none" w:sz="0" w:space="0" w:color="auto"/>
        <w:left w:val="none" w:sz="0" w:space="0" w:color="auto"/>
        <w:bottom w:val="none" w:sz="0" w:space="0" w:color="auto"/>
        <w:right w:val="none" w:sz="0" w:space="0" w:color="auto"/>
      </w:divBdr>
    </w:div>
    <w:div w:id="2021347240">
      <w:bodyDiv w:val="1"/>
      <w:marLeft w:val="0"/>
      <w:marRight w:val="0"/>
      <w:marTop w:val="0"/>
      <w:marBottom w:val="0"/>
      <w:divBdr>
        <w:top w:val="none" w:sz="0" w:space="0" w:color="auto"/>
        <w:left w:val="none" w:sz="0" w:space="0" w:color="auto"/>
        <w:bottom w:val="none" w:sz="0" w:space="0" w:color="auto"/>
        <w:right w:val="none" w:sz="0" w:space="0" w:color="auto"/>
      </w:divBdr>
      <w:divsChild>
        <w:div w:id="2045715877">
          <w:marLeft w:val="0"/>
          <w:marRight w:val="0"/>
          <w:marTop w:val="0"/>
          <w:marBottom w:val="0"/>
          <w:divBdr>
            <w:top w:val="none" w:sz="0" w:space="0" w:color="auto"/>
            <w:left w:val="none" w:sz="0" w:space="0" w:color="auto"/>
            <w:bottom w:val="none" w:sz="0" w:space="0" w:color="auto"/>
            <w:right w:val="none" w:sz="0" w:space="0" w:color="auto"/>
          </w:divBdr>
          <w:divsChild>
            <w:div w:id="827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3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c.gov.au/" TargetMode="External"/><Relationship Id="rId18" Type="http://schemas.openxmlformats.org/officeDocument/2006/relationships/footer" Target="footer2.xml"/><Relationship Id="rId26" Type="http://schemas.openxmlformats.org/officeDocument/2006/relationships/image" Target="media/image9.emf"/><Relationship Id="rId39" Type="http://schemas.openxmlformats.org/officeDocument/2006/relationships/image" Target="media/image22.svg"/><Relationship Id="rId21" Type="http://schemas.openxmlformats.org/officeDocument/2006/relationships/image" Target="media/image4.svg"/><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emf"/><Relationship Id="rId11" Type="http://schemas.openxmlformats.org/officeDocument/2006/relationships/hyperlink" Target="http://creativecommons.org/licenses/by/3.0/au"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sv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yperlink" Target="http://creativecommons.org/licenses/by/3.0/au" TargetMode="External"/><Relationship Id="rId19" Type="http://schemas.openxmlformats.org/officeDocument/2006/relationships/footer" Target="footer3.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svg"/><Relationship Id="rId3" Type="http://schemas.openxmlformats.org/officeDocument/2006/relationships/styles" Target="styles.xml"/><Relationship Id="rId12" Type="http://schemas.openxmlformats.org/officeDocument/2006/relationships/hyperlink" Target="http://www.pmc.gov.au/government/commonwealth-coat-arms" TargetMode="External"/><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32.emf"/></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0FB2B-C9D0-44F1-B014-1DA9A23B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54</Pages>
  <Words>15082</Words>
  <Characters>85968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Things you can’t drop on your feet: an overview of Australia’s services sector productivity - PC Productivity Insights</vt:lpstr>
    </vt:vector>
  </TitlesOfParts>
  <Company>Productivity Commission</Company>
  <LinksUpToDate>false</LinksUpToDate>
  <CharactersWithSpaces>100849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Things you can’t drop on your feet: an overview of Australia’s services sector productivity - PC Productivity Insights</dc:title>
  <dc:subject/>
  <dc:creator>Productivity Commission</dc:creator>
  <cp:keywords/>
  <dc:description/>
  <cp:lastModifiedBy>Alston, Chris</cp:lastModifiedBy>
  <cp:revision>5</cp:revision>
  <cp:lastPrinted>2021-04-06T05:40:00Z</cp:lastPrinted>
  <dcterms:created xsi:type="dcterms:W3CDTF">2021-03-29T06:03:00Z</dcterms:created>
  <dcterms:modified xsi:type="dcterms:W3CDTF">2021-04-19T00:53:00Z</dcterms:modified>
</cp:coreProperties>
</file>