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AF4" w:rsidRPr="00834A09" w:rsidRDefault="006F2AF4" w:rsidP="00F21537">
      <w:pPr>
        <w:pStyle w:val="Heading1"/>
        <w:spacing w:after="0"/>
        <w:rPr>
          <w:color w:val="FFFFFF" w:themeColor="background1"/>
          <w:sz w:val="12"/>
          <w:szCs w:val="12"/>
        </w:rPr>
      </w:pPr>
      <w:bookmarkStart w:id="0" w:name="ChapterNumber"/>
      <w:bookmarkStart w:id="1" w:name="_GoBack"/>
      <w:bookmarkEnd w:id="1"/>
      <w:r w:rsidRPr="00834A09">
        <w:rPr>
          <w:color w:val="FFFFFF" w:themeColor="background1"/>
          <w:sz w:val="12"/>
          <w:szCs w:val="12"/>
        </w:rPr>
        <w:t>Productivity in Financial and Insurance Services</w:t>
      </w:r>
    </w:p>
    <w:p w:rsidR="00F21537" w:rsidRPr="00834A09" w:rsidRDefault="00F21537" w:rsidP="00F21537">
      <w:pPr>
        <w:pStyle w:val="BodyText"/>
        <w:spacing w:before="160"/>
        <w:rPr>
          <w:color w:val="FFFFFF" w:themeColor="background1"/>
          <w:sz w:val="12"/>
          <w:szCs w:val="12"/>
        </w:rPr>
      </w:pPr>
      <w:r w:rsidRPr="00834A09">
        <w:rPr>
          <w:color w:val="FFFFFF" w:themeColor="background1"/>
          <w:sz w:val="12"/>
          <w:szCs w:val="12"/>
        </w:rPr>
        <w:t xml:space="preserve">Productivity Commission Staff Research Note, Canberra, </w:t>
      </w:r>
      <w:r w:rsidR="00834A09" w:rsidRPr="00834A09">
        <w:rPr>
          <w:color w:val="FFFFFF" w:themeColor="background1"/>
          <w:sz w:val="12"/>
          <w:szCs w:val="12"/>
        </w:rPr>
        <w:t>February</w:t>
      </w:r>
      <w:r w:rsidRPr="00834A09">
        <w:rPr>
          <w:color w:val="FFFFFF" w:themeColor="background1"/>
          <w:sz w:val="12"/>
          <w:szCs w:val="12"/>
        </w:rPr>
        <w:t xml:space="preserve"> 2016</w:t>
      </w:r>
    </w:p>
    <w:p w:rsidR="00F21537" w:rsidRPr="00834A09" w:rsidRDefault="00F21537" w:rsidP="00F21537">
      <w:pPr>
        <w:pStyle w:val="BodyText"/>
        <w:spacing w:before="160"/>
        <w:rPr>
          <w:color w:val="FFFFFF" w:themeColor="background1"/>
          <w:sz w:val="12"/>
          <w:szCs w:val="12"/>
        </w:rPr>
      </w:pPr>
      <w:r w:rsidRPr="00834A09">
        <w:rPr>
          <w:color w:val="FFFFFF" w:themeColor="background1"/>
          <w:sz w:val="12"/>
          <w:szCs w:val="12"/>
        </w:rPr>
        <w:t>Authors: Zhao, S., Barnes, P., Gordon, J. Muno</w:t>
      </w:r>
      <w:r w:rsidR="00834A09" w:rsidRPr="00834A09">
        <w:rPr>
          <w:color w:val="FFFFFF" w:themeColor="background1"/>
          <w:sz w:val="12"/>
          <w:szCs w:val="12"/>
        </w:rPr>
        <w:t>z</w:t>
      </w:r>
      <w:r w:rsidRPr="00834A09">
        <w:rPr>
          <w:color w:val="FFFFFF" w:themeColor="background1"/>
          <w:sz w:val="12"/>
          <w:szCs w:val="12"/>
        </w:rPr>
        <w:t xml:space="preserve"> M. and Hunter J</w:t>
      </w:r>
    </w:p>
    <w:p w:rsidR="006F2AF4" w:rsidRPr="00645AE2" w:rsidRDefault="006F2AF4" w:rsidP="006F2AF4">
      <w:pPr>
        <w:pStyle w:val="BodyText"/>
        <w:rPr>
          <w:b/>
          <w:sz w:val="12"/>
          <w:szCs w:val="12"/>
        </w:rPr>
      </w:pPr>
      <w:r w:rsidRPr="00645AE2">
        <w:rPr>
          <w:color w:val="FFFFFF" w:themeColor="background1"/>
          <w:sz w:val="12"/>
          <w:szCs w:val="12"/>
          <w:lang w:eastAsia="en-US"/>
        </w:rPr>
        <w:t xml:space="preserve">Productivity Commission Staff Research Note, January </w:t>
      </w:r>
      <w:r>
        <w:rPr>
          <w:color w:val="FFFFFF" w:themeColor="background1"/>
          <w:sz w:val="12"/>
          <w:szCs w:val="12"/>
          <w:lang w:eastAsia="en-US"/>
        </w:rPr>
        <w:t>2016</w:t>
      </w:r>
      <w:r w:rsidRPr="00645AE2">
        <w:rPr>
          <w:color w:val="FFFFFF" w:themeColor="background1"/>
          <w:sz w:val="12"/>
          <w:szCs w:val="12"/>
          <w:lang w:eastAsia="en-US"/>
        </w:rPr>
        <w:t>, The views expressed in this research note are those of the staff involved and do not necessarily reflect the views of the Productivity Commission.</w:t>
      </w:r>
      <w:r w:rsidRPr="00645AE2">
        <w:rPr>
          <w:sz w:val="12"/>
          <w:szCs w:val="12"/>
        </w:rPr>
        <w:br w:type="page"/>
      </w:r>
      <w:r w:rsidR="00834A09">
        <w:rPr>
          <w:b/>
          <w:noProof/>
          <w:sz w:val="12"/>
          <w:szCs w:val="12"/>
        </w:rPr>
        <w:drawing>
          <wp:anchor distT="0" distB="0" distL="114300" distR="114300" simplePos="0" relativeHeight="251658240" behindDoc="0" locked="0" layoutInCell="1" allowOverlap="1">
            <wp:simplePos x="826936" y="1256306"/>
            <wp:positionH relativeFrom="page">
              <wp:align>center</wp:align>
            </wp:positionH>
            <wp:positionV relativeFrom="page">
              <wp:align>center</wp:align>
            </wp:positionV>
            <wp:extent cx="7567200" cy="10699200"/>
            <wp:effectExtent l="0" t="0" r="0" b="6985"/>
            <wp:wrapNone/>
            <wp:docPr id="11" name="Picture 11" descr="Cover for: Zhao, S., Barnes, P., Gordon, J., Munoz M. and Hunter J. 2016, Productivity in Financial and Insurance Services, Productivity Commission Staff Research Note, Canberra, February.&#10;The views expressed in this research note are those of the staff involved and do not necessarily reflect the views of the Productiv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taff-research-notes-f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rsidR="006F2AF4" w:rsidRDefault="006F2AF4" w:rsidP="006F2AF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2016</w:t>
      </w:r>
    </w:p>
    <w:p w:rsidR="006F2AF4" w:rsidRDefault="006F2AF4" w:rsidP="006F2AF4">
      <w:pPr>
        <w:pStyle w:val="BodyText"/>
        <w:spacing w:after="120"/>
      </w:pPr>
      <w:bookmarkStart w:id="2" w:name="ISSN"/>
      <w:bookmarkEnd w:id="2"/>
      <w:r w:rsidRPr="00862D8F">
        <w:rPr>
          <w:noProof/>
          <w:sz w:val="22"/>
          <w:szCs w:val="22"/>
        </w:rPr>
        <w:drawing>
          <wp:inline distT="0" distB="0" distL="0" distR="0" wp14:anchorId="749F8647" wp14:editId="26EF4E8D">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6F2AF4" w:rsidRPr="008A3857" w:rsidRDefault="006F2AF4" w:rsidP="006F2AF4">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rsidR="006F2AF4" w:rsidRPr="008A3857" w:rsidRDefault="006F2AF4" w:rsidP="006F2AF4">
      <w:pPr>
        <w:pStyle w:val="Copyrightsubtitle"/>
      </w:pPr>
      <w:r w:rsidRPr="008A3857">
        <w:t>Use of the Commonwealth Coat of Arms</w:t>
      </w:r>
    </w:p>
    <w:p w:rsidR="006F2AF4" w:rsidRPr="008A3857" w:rsidRDefault="006F2AF4" w:rsidP="006F2AF4">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rsidR="006F2AF4" w:rsidRPr="008A3857" w:rsidRDefault="006F2AF4" w:rsidP="006F2AF4">
      <w:pPr>
        <w:pStyle w:val="Copyrightsubtitle"/>
      </w:pPr>
      <w:r w:rsidRPr="008A3857">
        <w:t>Third party copyright</w:t>
      </w:r>
    </w:p>
    <w:p w:rsidR="006F2AF4" w:rsidRPr="008A3857" w:rsidRDefault="006F2AF4" w:rsidP="006F2AF4">
      <w:pPr>
        <w:pStyle w:val="Copyrightbodytext"/>
      </w:pPr>
      <w:r w:rsidRPr="008A3857">
        <w:t>Wherever a third party holds copyright in this material, the copyright remains with that party. Their permission may be required to use the material, please contact them directly.</w:t>
      </w:r>
    </w:p>
    <w:p w:rsidR="006F2AF4" w:rsidRPr="008A3857" w:rsidRDefault="006F2AF4" w:rsidP="006F2AF4">
      <w:pPr>
        <w:pStyle w:val="Copyrightsubtitle"/>
      </w:pPr>
      <w:r w:rsidRPr="008A3857">
        <w:t xml:space="preserve">An appropriate </w:t>
      </w:r>
      <w:r>
        <w:t>reference</w:t>
      </w:r>
      <w:r w:rsidRPr="008A3857">
        <w:t xml:space="preserve"> for this publication is:</w:t>
      </w:r>
    </w:p>
    <w:p w:rsidR="006F2AF4" w:rsidRPr="00834A09" w:rsidRDefault="006F2AF4" w:rsidP="006F2AF4">
      <w:pPr>
        <w:pStyle w:val="Copyrightbodytext"/>
        <w:rPr>
          <w:spacing w:val="-2"/>
        </w:rPr>
      </w:pPr>
      <w:r w:rsidRPr="00834A09">
        <w:rPr>
          <w:spacing w:val="-2"/>
        </w:rPr>
        <w:t>Zhao, S., Barnes, P.</w:t>
      </w:r>
      <w:r w:rsidR="00986A3F" w:rsidRPr="00834A09">
        <w:rPr>
          <w:spacing w:val="-2"/>
        </w:rPr>
        <w:t>,</w:t>
      </w:r>
      <w:r w:rsidRPr="00834A09">
        <w:rPr>
          <w:spacing w:val="-2"/>
        </w:rPr>
        <w:t xml:space="preserve"> Gordon, J.</w:t>
      </w:r>
      <w:r w:rsidR="00E636BA">
        <w:rPr>
          <w:spacing w:val="-2"/>
        </w:rPr>
        <w:t>,</w:t>
      </w:r>
      <w:r w:rsidRPr="00834A09">
        <w:rPr>
          <w:spacing w:val="-2"/>
        </w:rPr>
        <w:t xml:space="preserve"> </w:t>
      </w:r>
      <w:r w:rsidR="00986A3F" w:rsidRPr="00834A09">
        <w:rPr>
          <w:spacing w:val="-2"/>
        </w:rPr>
        <w:t>M</w:t>
      </w:r>
      <w:r w:rsidR="00F21537" w:rsidRPr="00834A09">
        <w:rPr>
          <w:spacing w:val="-2"/>
        </w:rPr>
        <w:t>u</w:t>
      </w:r>
      <w:r w:rsidR="00986A3F" w:rsidRPr="00834A09">
        <w:rPr>
          <w:spacing w:val="-2"/>
        </w:rPr>
        <w:t>n</w:t>
      </w:r>
      <w:r w:rsidR="00F21537" w:rsidRPr="00834A09">
        <w:rPr>
          <w:spacing w:val="-2"/>
        </w:rPr>
        <w:t>o</w:t>
      </w:r>
      <w:r w:rsidR="00834A09" w:rsidRPr="00834A09">
        <w:rPr>
          <w:spacing w:val="-2"/>
        </w:rPr>
        <w:t>z</w:t>
      </w:r>
      <w:r w:rsidR="00FC2F32">
        <w:rPr>
          <w:spacing w:val="-2"/>
        </w:rPr>
        <w:t>,</w:t>
      </w:r>
      <w:r w:rsidR="00986A3F" w:rsidRPr="00834A09">
        <w:rPr>
          <w:spacing w:val="-2"/>
        </w:rPr>
        <w:t xml:space="preserve"> M. and Hunter J. </w:t>
      </w:r>
      <w:r w:rsidRPr="00834A09">
        <w:rPr>
          <w:spacing w:val="-2"/>
        </w:rPr>
        <w:t xml:space="preserve">2016, </w:t>
      </w:r>
      <w:r w:rsidRPr="00834A09">
        <w:rPr>
          <w:i/>
          <w:spacing w:val="-2"/>
        </w:rPr>
        <w:t>Productivity in Financial and Insurance Services</w:t>
      </w:r>
      <w:r w:rsidRPr="00834A09">
        <w:rPr>
          <w:spacing w:val="-2"/>
        </w:rPr>
        <w:t xml:space="preserve">, Productivity Commission Staff Research Note, Canberra, </w:t>
      </w:r>
      <w:r w:rsidR="00834A09" w:rsidRPr="00834A09">
        <w:rPr>
          <w:spacing w:val="-2"/>
        </w:rPr>
        <w:t>February</w:t>
      </w:r>
      <w:r w:rsidRPr="00834A09">
        <w:rPr>
          <w:spacing w:val="-2"/>
        </w:rPr>
        <w:t>.</w:t>
      </w:r>
    </w:p>
    <w:p w:rsidR="006F2AF4" w:rsidRPr="008A3857" w:rsidRDefault="006F2AF4" w:rsidP="006F2AF4">
      <w:pPr>
        <w:pStyle w:val="Copyrightsubtitle"/>
      </w:pPr>
      <w:bookmarkStart w:id="3" w:name="JEL"/>
      <w:bookmarkEnd w:id="3"/>
      <w:r w:rsidRPr="008A3857">
        <w:t>Publications enquiries</w:t>
      </w:r>
    </w:p>
    <w:p w:rsidR="006F2AF4" w:rsidRDefault="006F2AF4" w:rsidP="006F2AF4">
      <w:pPr>
        <w:pStyle w:val="Copyrightbodytext"/>
        <w:spacing w:after="240"/>
      </w:pPr>
      <w:r w:rsidRPr="008A3857">
        <w:t xml:space="preserve">Media and Publications, </w:t>
      </w:r>
      <w:r>
        <w:rPr>
          <w:szCs w:val="24"/>
        </w:rPr>
        <w:t>phone:</w:t>
      </w:r>
      <w:r w:rsidRPr="00BB5DCF">
        <w:rPr>
          <w:szCs w:val="24"/>
        </w:rPr>
        <w:t xml:space="preserve"> (03) 9653 2244 or email: maps@pc.gov.au</w:t>
      </w:r>
    </w:p>
    <w:p w:rsidR="006F2AF4" w:rsidRDefault="006F2AF4" w:rsidP="006F2AF4">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6F2AF4" w:rsidTr="00E32E6E">
        <w:tc>
          <w:tcPr>
            <w:tcW w:w="8771" w:type="dxa"/>
            <w:tcBorders>
              <w:top w:val="single" w:sz="6" w:space="0" w:color="78A22F"/>
              <w:left w:val="nil"/>
              <w:bottom w:val="nil"/>
              <w:right w:val="nil"/>
            </w:tcBorders>
            <w:shd w:val="clear" w:color="auto" w:fill="F2F2F2" w:themeFill="background1" w:themeFillShade="F2"/>
          </w:tcPr>
          <w:p w:rsidR="006F2AF4" w:rsidRPr="008A3857" w:rsidRDefault="006F2AF4" w:rsidP="00E32E6E">
            <w:pPr>
              <w:pStyle w:val="BoxTitle"/>
              <w:rPr>
                <w:sz w:val="22"/>
                <w:szCs w:val="22"/>
              </w:rPr>
            </w:pPr>
            <w:r w:rsidRPr="008A3857">
              <w:rPr>
                <w:sz w:val="22"/>
                <w:szCs w:val="22"/>
              </w:rPr>
              <w:t>The Productivity Commission</w:t>
            </w:r>
          </w:p>
        </w:tc>
      </w:tr>
      <w:tr w:rsidR="006F2AF4" w:rsidTr="00E32E6E">
        <w:trPr>
          <w:cantSplit/>
        </w:trPr>
        <w:tc>
          <w:tcPr>
            <w:tcW w:w="8771" w:type="dxa"/>
            <w:tcBorders>
              <w:top w:val="nil"/>
              <w:left w:val="nil"/>
              <w:bottom w:val="nil"/>
              <w:right w:val="nil"/>
            </w:tcBorders>
            <w:shd w:val="clear" w:color="auto" w:fill="F2F2F2" w:themeFill="background1" w:themeFillShade="F2"/>
          </w:tcPr>
          <w:p w:rsidR="006F2AF4" w:rsidRDefault="006F2AF4" w:rsidP="00E32E6E">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6F2AF4" w:rsidRDefault="006F2AF4" w:rsidP="00E32E6E">
            <w:pPr>
              <w:pStyle w:val="Box"/>
            </w:pPr>
            <w:r w:rsidRPr="00BB5DCF">
              <w:t>The Commission’s independence is underpinned by an Act of Parliament. Its processes and outputs are open to public scrutiny and are driven by concern for the wellbeing of the community as a whole.</w:t>
            </w:r>
          </w:p>
          <w:p w:rsidR="006F2AF4" w:rsidRDefault="006F2AF4" w:rsidP="00E32E6E">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6F2AF4" w:rsidTr="00E32E6E">
        <w:trPr>
          <w:cantSplit/>
        </w:trPr>
        <w:tc>
          <w:tcPr>
            <w:tcW w:w="8771" w:type="dxa"/>
            <w:tcBorders>
              <w:top w:val="nil"/>
              <w:left w:val="nil"/>
              <w:bottom w:val="single" w:sz="6" w:space="0" w:color="78A22F"/>
              <w:right w:val="nil"/>
            </w:tcBorders>
            <w:shd w:val="clear" w:color="auto" w:fill="F2F2F2" w:themeFill="background1" w:themeFillShade="F2"/>
          </w:tcPr>
          <w:p w:rsidR="006F2AF4" w:rsidRDefault="006F2AF4" w:rsidP="00E32E6E">
            <w:pPr>
              <w:pStyle w:val="Box"/>
              <w:spacing w:before="0" w:line="120" w:lineRule="exact"/>
            </w:pPr>
          </w:p>
        </w:tc>
      </w:tr>
    </w:tbl>
    <w:p w:rsidR="006F2AF4" w:rsidRDefault="006F2AF4">
      <w:pPr>
        <w:pStyle w:val="BoxSpaceAbove"/>
        <w:sectPr w:rsidR="006F2AF4" w:rsidSect="000045E5">
          <w:headerReference w:type="default" r:id="rId11"/>
          <w:footerReference w:type="default" r:id="rId12"/>
          <w:pgSz w:w="11907" w:h="16840" w:code="9"/>
          <w:pgMar w:top="1984" w:right="1304" w:bottom="1247" w:left="1814" w:header="1701" w:footer="397" w:gutter="0"/>
          <w:pgNumType w:start="1" w:chapSep="period"/>
          <w:cols w:space="720"/>
          <w:docGrid w:linePitch="354"/>
        </w:sectPr>
      </w:pPr>
    </w:p>
    <w:p w:rsidR="005C16BB" w:rsidRDefault="005C16B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5C16BB" w:rsidTr="00D74040">
        <w:trPr>
          <w:tblHeader/>
        </w:trPr>
        <w:tc>
          <w:tcPr>
            <w:tcW w:w="8771" w:type="dxa"/>
            <w:tcBorders>
              <w:top w:val="single" w:sz="6" w:space="0" w:color="78A22F"/>
              <w:left w:val="nil"/>
              <w:bottom w:val="nil"/>
              <w:right w:val="nil"/>
            </w:tcBorders>
            <w:shd w:val="clear" w:color="auto" w:fill="F2F2F2"/>
          </w:tcPr>
          <w:p w:rsidR="005C16BB" w:rsidRPr="006E62CF" w:rsidRDefault="005C16BB">
            <w:pPr>
              <w:pStyle w:val="BoxTitle"/>
            </w:pPr>
            <w:r w:rsidRPr="004B414B">
              <w:t>Key points</w:t>
            </w:r>
          </w:p>
        </w:tc>
      </w:tr>
      <w:tr w:rsidR="005C16BB" w:rsidTr="00105BA3">
        <w:trPr>
          <w:cantSplit/>
        </w:trPr>
        <w:tc>
          <w:tcPr>
            <w:tcW w:w="8771" w:type="dxa"/>
            <w:tcBorders>
              <w:top w:val="nil"/>
              <w:left w:val="nil"/>
              <w:bottom w:val="nil"/>
              <w:right w:val="nil"/>
            </w:tcBorders>
            <w:shd w:val="clear" w:color="auto" w:fill="F2F2F2"/>
          </w:tcPr>
          <w:p w:rsidR="005C16BB" w:rsidRDefault="005C16BB" w:rsidP="005C16BB">
            <w:pPr>
              <w:pStyle w:val="BoxListBullet"/>
            </w:pPr>
            <w:r>
              <w:t xml:space="preserve">The Finance insurance </w:t>
            </w:r>
            <w:r w:rsidR="00B17744">
              <w:t xml:space="preserve">and superannuation (FIS) </w:t>
            </w:r>
            <w:r>
              <w:t>services industry has historically experienced stron</w:t>
            </w:r>
            <w:r w:rsidR="00596A2E">
              <w:t>g measured productivity growth, averag</w:t>
            </w:r>
            <w:r w:rsidR="00D66A49">
              <w:t>i</w:t>
            </w:r>
            <w:r w:rsidR="00596A2E">
              <w:t>ng</w:t>
            </w:r>
            <w:r w:rsidR="00B07EB0">
              <w:t xml:space="preserve"> 2.2</w:t>
            </w:r>
            <w:r w:rsidR="000A5624">
              <w:t> </w:t>
            </w:r>
            <w:r w:rsidR="00B07EB0">
              <w:t>per cent a year compared with 0.8</w:t>
            </w:r>
            <w:r w:rsidR="000A5624">
              <w:t> </w:t>
            </w:r>
            <w:r w:rsidR="00B07EB0">
              <w:t xml:space="preserve">per cent </w:t>
            </w:r>
            <w:r w:rsidR="0004636C">
              <w:t xml:space="preserve">for the market sector </w:t>
            </w:r>
            <w:r w:rsidR="00B07EB0">
              <w:t>over the period 1989</w:t>
            </w:r>
            <w:r w:rsidR="00447726">
              <w:noBreakHyphen/>
            </w:r>
            <w:r w:rsidR="00B07EB0">
              <w:t>90 to 2012</w:t>
            </w:r>
            <w:r w:rsidR="00447726">
              <w:noBreakHyphen/>
            </w:r>
            <w:r w:rsidR="00B07EB0">
              <w:t>13.</w:t>
            </w:r>
          </w:p>
          <w:p w:rsidR="005C16BB" w:rsidRDefault="0004636C" w:rsidP="0004636C">
            <w:pPr>
              <w:pStyle w:val="BoxListBullet"/>
            </w:pPr>
            <w:r>
              <w:t xml:space="preserve">The </w:t>
            </w:r>
            <w:r w:rsidRPr="00FB70F9">
              <w:t xml:space="preserve">main driver of </w:t>
            </w:r>
            <w:r>
              <w:t xml:space="preserve">FIS </w:t>
            </w:r>
            <w:r w:rsidRPr="00FB70F9">
              <w:t>MFP growth was output growth</w:t>
            </w:r>
            <w:r>
              <w:t>, which grew at 4.6</w:t>
            </w:r>
            <w:r w:rsidR="00092C5A">
              <w:t> </w:t>
            </w:r>
            <w:r>
              <w:t>per</w:t>
            </w:r>
            <w:r w:rsidR="00092C5A">
              <w:t xml:space="preserve"> </w:t>
            </w:r>
            <w:r>
              <w:t>cent over the period, while labour input growth averaged 0.</w:t>
            </w:r>
            <w:r w:rsidR="00712BE4">
              <w:t>6</w:t>
            </w:r>
            <w:r>
              <w:t> per</w:t>
            </w:r>
            <w:r w:rsidR="00E32E6E">
              <w:t xml:space="preserve"> </w:t>
            </w:r>
            <w:r>
              <w:t xml:space="preserve">cent and capital </w:t>
            </w:r>
            <w:r w:rsidR="00712BE4">
              <w:t>3</w:t>
            </w:r>
            <w:r>
              <w:t>.</w:t>
            </w:r>
            <w:r w:rsidR="00712BE4">
              <w:t>9</w:t>
            </w:r>
            <w:r>
              <w:t> per</w:t>
            </w:r>
            <w:r w:rsidR="00E32E6E">
              <w:t xml:space="preserve"> </w:t>
            </w:r>
            <w:r>
              <w:t>cent</w:t>
            </w:r>
            <w:r w:rsidR="00E32E6E">
              <w:t xml:space="preserve"> </w:t>
            </w:r>
            <w:r>
              <w:t>per</w:t>
            </w:r>
            <w:r w:rsidR="00E32E6E">
              <w:t xml:space="preserve"> </w:t>
            </w:r>
            <w:r>
              <w:t>year.</w:t>
            </w:r>
          </w:p>
          <w:p w:rsidR="0004636C" w:rsidRDefault="0004636C" w:rsidP="0004636C">
            <w:pPr>
              <w:pStyle w:val="BoxListBullet"/>
            </w:pPr>
            <w:r>
              <w:t>Over the shorter period 1994</w:t>
            </w:r>
            <w:r w:rsidR="00447726">
              <w:noBreakHyphen/>
            </w:r>
            <w:r>
              <w:t>95 to 2011</w:t>
            </w:r>
            <w:r w:rsidR="00447726">
              <w:noBreakHyphen/>
            </w:r>
            <w:r>
              <w:t>12</w:t>
            </w:r>
            <w:r w:rsidR="00596A2E">
              <w:t>,</w:t>
            </w:r>
            <w:r>
              <w:t xml:space="preserve"> MFP growth in FIS averaged 1.9</w:t>
            </w:r>
            <w:r w:rsidR="000A5624">
              <w:t> </w:t>
            </w:r>
            <w:r>
              <w:t>per</w:t>
            </w:r>
            <w:r w:rsidR="000A5624">
              <w:t xml:space="preserve"> </w:t>
            </w:r>
            <w:r>
              <w:t>cent</w:t>
            </w:r>
            <w:r w:rsidR="00E7575C">
              <w:t xml:space="preserve"> per year</w:t>
            </w:r>
            <w:r>
              <w:t>. But this masks considerable differences in the growth rates of the sub-divisions:</w:t>
            </w:r>
          </w:p>
          <w:p w:rsidR="0004636C" w:rsidRDefault="0004636C" w:rsidP="0004636C">
            <w:pPr>
              <w:pStyle w:val="BoxListBullet2"/>
            </w:pPr>
            <w:r>
              <w:t>MFP growth in Finance averaged 0.6 per</w:t>
            </w:r>
            <w:r w:rsidR="00E32E6E">
              <w:t xml:space="preserve"> </w:t>
            </w:r>
            <w:r>
              <w:t>cent</w:t>
            </w:r>
            <w:r w:rsidR="00E32E6E">
              <w:t xml:space="preserve"> </w:t>
            </w:r>
            <w:r>
              <w:t>per</w:t>
            </w:r>
            <w:r w:rsidR="00E32E6E">
              <w:t xml:space="preserve"> </w:t>
            </w:r>
            <w:r>
              <w:t>year compared with 2.0 per</w:t>
            </w:r>
            <w:r w:rsidR="00E32E6E">
              <w:t xml:space="preserve"> </w:t>
            </w:r>
            <w:r>
              <w:t>cent</w:t>
            </w:r>
            <w:r w:rsidR="00E32E6E">
              <w:t xml:space="preserve"> </w:t>
            </w:r>
            <w:r>
              <w:t>per</w:t>
            </w:r>
            <w:r w:rsidR="00E32E6E">
              <w:t xml:space="preserve"> </w:t>
            </w:r>
            <w:r>
              <w:t>year for Insurance, superannuation and auxiliary services</w:t>
            </w:r>
            <w:r w:rsidR="00596A2E">
              <w:t xml:space="preserve"> (ISA)</w:t>
            </w:r>
            <w:r>
              <w:t>.</w:t>
            </w:r>
          </w:p>
          <w:p w:rsidR="0004636C" w:rsidRDefault="0004636C" w:rsidP="0004636C">
            <w:pPr>
              <w:pStyle w:val="BoxListBullet"/>
            </w:pPr>
            <w:r>
              <w:t>The average growth rates also mask considerable volatility:</w:t>
            </w:r>
          </w:p>
          <w:p w:rsidR="0004636C" w:rsidRDefault="0004636C" w:rsidP="0004636C">
            <w:pPr>
              <w:pStyle w:val="BoxListBullet2"/>
            </w:pPr>
            <w:r>
              <w:t>MFP growth in Finance has been cyclical (follow</w:t>
            </w:r>
            <w:r w:rsidR="00E7575C">
              <w:t>ing</w:t>
            </w:r>
            <w:r>
              <w:t xml:space="preserve"> the business cycle</w:t>
            </w:r>
            <w:r w:rsidR="00E7575C">
              <w:t>). O</w:t>
            </w:r>
            <w:r>
              <w:t>ver the period 1998</w:t>
            </w:r>
            <w:r w:rsidR="00447726">
              <w:noBreakHyphen/>
            </w:r>
            <w:r>
              <w:t>99 to 2007</w:t>
            </w:r>
            <w:r w:rsidR="00447726">
              <w:noBreakHyphen/>
            </w:r>
            <w:r>
              <w:t>08 MFP declined by an annual average of 1.0</w:t>
            </w:r>
            <w:r w:rsidR="000A5624">
              <w:t> </w:t>
            </w:r>
            <w:r>
              <w:t>per</w:t>
            </w:r>
            <w:r w:rsidR="000A5624">
              <w:t xml:space="preserve"> </w:t>
            </w:r>
            <w:r>
              <w:t xml:space="preserve">cent, but grew by </w:t>
            </w:r>
            <w:r w:rsidR="00E7575C">
              <w:t>an</w:t>
            </w:r>
            <w:r>
              <w:t xml:space="preserve"> average of 0.9</w:t>
            </w:r>
            <w:r w:rsidR="00E32E6E">
              <w:t> </w:t>
            </w:r>
            <w:r>
              <w:t>per cent a year from 2007</w:t>
            </w:r>
            <w:r w:rsidR="00447726">
              <w:noBreakHyphen/>
            </w:r>
            <w:r>
              <w:t>08 to 2011</w:t>
            </w:r>
            <w:r w:rsidR="00447726">
              <w:noBreakHyphen/>
            </w:r>
            <w:r>
              <w:t>12</w:t>
            </w:r>
          </w:p>
          <w:p w:rsidR="0004636C" w:rsidRDefault="0004636C" w:rsidP="0004636C">
            <w:pPr>
              <w:pStyle w:val="BoxListBullet2"/>
            </w:pPr>
            <w:r>
              <w:t>MFP gr</w:t>
            </w:r>
            <w:r w:rsidR="00596A2E">
              <w:t xml:space="preserve">owth in ISA </w:t>
            </w:r>
            <w:r>
              <w:t>grew at an annual rate of 7.2</w:t>
            </w:r>
            <w:r w:rsidR="00E32E6E">
              <w:t> </w:t>
            </w:r>
            <w:r>
              <w:t>per</w:t>
            </w:r>
            <w:r w:rsidR="00E32E6E">
              <w:t xml:space="preserve"> </w:t>
            </w:r>
            <w:r>
              <w:t>cent over 1989</w:t>
            </w:r>
            <w:r w:rsidR="00447726">
              <w:noBreakHyphen/>
            </w:r>
            <w:r>
              <w:t>90 to 2007</w:t>
            </w:r>
            <w:r w:rsidR="00447726">
              <w:noBreakHyphen/>
            </w:r>
            <w:r>
              <w:t>08, then fell by an annual rate of 7.4</w:t>
            </w:r>
            <w:r w:rsidR="00E32E6E">
              <w:t> </w:t>
            </w:r>
            <w:r>
              <w:t>per</w:t>
            </w:r>
            <w:r w:rsidR="00E32E6E">
              <w:t xml:space="preserve"> </w:t>
            </w:r>
            <w:r>
              <w:t>cent over the current cycle 2007</w:t>
            </w:r>
            <w:r w:rsidR="00447726">
              <w:noBreakHyphen/>
            </w:r>
            <w:r>
              <w:t>08 to 2011</w:t>
            </w:r>
            <w:r w:rsidR="00447726">
              <w:noBreakHyphen/>
            </w:r>
            <w:r>
              <w:t>12.</w:t>
            </w:r>
          </w:p>
          <w:p w:rsidR="0004636C" w:rsidRDefault="0004636C" w:rsidP="0004636C">
            <w:pPr>
              <w:pStyle w:val="BoxListBullet"/>
            </w:pPr>
            <w:r>
              <w:t xml:space="preserve">Production (gross output) is usually measured by sales of goods and services (and changes in inventories). But in </w:t>
            </w:r>
            <w:r w:rsidR="006B7496">
              <w:t>FIS</w:t>
            </w:r>
            <w:r>
              <w:t>, many outputs have to be imputed:</w:t>
            </w:r>
          </w:p>
          <w:p w:rsidR="0004636C" w:rsidRDefault="0004636C" w:rsidP="0004636C">
            <w:pPr>
              <w:pStyle w:val="BoxListBullet2"/>
            </w:pPr>
            <w:r>
              <w:t xml:space="preserve">Financial Intermediation Services Indirectly Measured (FISIM) is based on the interest margin. </w:t>
            </w:r>
            <w:r w:rsidR="00080BC9">
              <w:t>In 2011</w:t>
            </w:r>
            <w:r w:rsidR="00447726">
              <w:noBreakHyphen/>
            </w:r>
            <w:r w:rsidR="00080BC9">
              <w:t>12, i</w:t>
            </w:r>
            <w:r>
              <w:t>t contributed around 77</w:t>
            </w:r>
            <w:r w:rsidR="00E32E6E">
              <w:t> </w:t>
            </w:r>
            <w:r w:rsidRPr="00464B62">
              <w:t>per cent to gross output in Finance</w:t>
            </w:r>
            <w:r>
              <w:t xml:space="preserve">, reflecting </w:t>
            </w:r>
            <w:r w:rsidR="00E7575C">
              <w:t xml:space="preserve">a </w:t>
            </w:r>
            <w:r>
              <w:t>substantial increase in share since 2007</w:t>
            </w:r>
            <w:r w:rsidR="00447726">
              <w:noBreakHyphen/>
            </w:r>
            <w:r>
              <w:t>08.</w:t>
            </w:r>
          </w:p>
          <w:p w:rsidR="0004636C" w:rsidRDefault="0004636C" w:rsidP="0004636C">
            <w:pPr>
              <w:pStyle w:val="BoxListBullet2"/>
            </w:pPr>
            <w:r>
              <w:t xml:space="preserve">The Insurance services charge, measured as premiums plus </w:t>
            </w:r>
            <w:r w:rsidR="00596A2E">
              <w:t>premium supplements less claims,</w:t>
            </w:r>
            <w:r>
              <w:t xml:space="preserve"> was around 95</w:t>
            </w:r>
            <w:r w:rsidR="00E32E6E">
              <w:t> </w:t>
            </w:r>
            <w:r>
              <w:t>per cent of total</w:t>
            </w:r>
            <w:r w:rsidR="00596A2E">
              <w:t xml:space="preserve"> Insurance</w:t>
            </w:r>
            <w:r>
              <w:t xml:space="preserve"> output in 2011</w:t>
            </w:r>
            <w:r w:rsidR="00447726">
              <w:noBreakHyphen/>
            </w:r>
            <w:r>
              <w:t>12. Non-life insurance accounted for 7</w:t>
            </w:r>
            <w:r w:rsidR="00080BC9">
              <w:t>1</w:t>
            </w:r>
            <w:r w:rsidR="00E32E6E">
              <w:t> </w:t>
            </w:r>
            <w:r>
              <w:t>per cent (50</w:t>
            </w:r>
            <w:r w:rsidR="00537410">
              <w:t> </w:t>
            </w:r>
            <w:r>
              <w:t>percentage points general insurance and 21</w:t>
            </w:r>
            <w:r w:rsidR="00537410">
              <w:t> </w:t>
            </w:r>
            <w:r>
              <w:t xml:space="preserve">percentage points health insurance) </w:t>
            </w:r>
            <w:r w:rsidR="00E7575C">
              <w:t xml:space="preserve">while </w:t>
            </w:r>
            <w:r>
              <w:t xml:space="preserve">life insurance </w:t>
            </w:r>
            <w:r w:rsidR="00E7575C">
              <w:t xml:space="preserve">accounted for </w:t>
            </w:r>
            <w:r>
              <w:t>29</w:t>
            </w:r>
            <w:r w:rsidR="00E32E6E">
              <w:t> </w:t>
            </w:r>
            <w:r>
              <w:t>per cent</w:t>
            </w:r>
            <w:r w:rsidR="00E7575C">
              <w:t xml:space="preserve"> of the insurance service charge in 2011</w:t>
            </w:r>
            <w:r w:rsidR="00447726">
              <w:noBreakHyphen/>
            </w:r>
            <w:r w:rsidR="00E7575C">
              <w:t>12</w:t>
            </w:r>
            <w:r>
              <w:t>.</w:t>
            </w:r>
          </w:p>
          <w:p w:rsidR="0004636C" w:rsidRDefault="006B7496" w:rsidP="0004636C">
            <w:pPr>
              <w:pStyle w:val="BoxListBullet2"/>
            </w:pPr>
            <w:r>
              <w:t>Imputed income (administrative and investment costs) forms the majority of gross output for Superannuation, contributing 98</w:t>
            </w:r>
            <w:r w:rsidR="00E32E6E">
              <w:t> </w:t>
            </w:r>
            <w:r>
              <w:t>per cent in 2011</w:t>
            </w:r>
            <w:r>
              <w:noBreakHyphen/>
              <w:t>12.</w:t>
            </w:r>
          </w:p>
          <w:p w:rsidR="0004636C" w:rsidRDefault="006B7496" w:rsidP="0004636C">
            <w:pPr>
              <w:pStyle w:val="BoxListBullet"/>
            </w:pPr>
            <w:r>
              <w:t>Auxili</w:t>
            </w:r>
            <w:r w:rsidR="0004636C">
              <w:t>ary services, which accounted for 20</w:t>
            </w:r>
            <w:r w:rsidR="00E32E6E">
              <w:t> </w:t>
            </w:r>
            <w:r w:rsidR="0004636C">
              <w:t>per</w:t>
            </w:r>
            <w:r w:rsidR="00E32E6E">
              <w:t xml:space="preserve"> </w:t>
            </w:r>
            <w:r w:rsidR="0004636C">
              <w:t>cent of FIS production in 2011</w:t>
            </w:r>
            <w:r w:rsidR="00447726">
              <w:noBreakHyphen/>
            </w:r>
            <w:r w:rsidR="0004636C">
              <w:t>12, is the only sub</w:t>
            </w:r>
            <w:r w:rsidR="00596A2E">
              <w:t>division which directly measures</w:t>
            </w:r>
            <w:r w:rsidR="0004636C">
              <w:t xml:space="preserve"> output on the basis of fees and charges.</w:t>
            </w:r>
          </w:p>
          <w:p w:rsidR="0004636C" w:rsidRDefault="0004636C" w:rsidP="0004636C">
            <w:pPr>
              <w:pStyle w:val="BoxListBullet"/>
            </w:pPr>
            <w:r>
              <w:t>Intermediate inputs made up 37 per</w:t>
            </w:r>
            <w:r w:rsidR="00E32E6E">
              <w:t xml:space="preserve"> </w:t>
            </w:r>
            <w:r>
              <w:t>cent of the value of FIS production</w:t>
            </w:r>
            <w:r w:rsidR="00080BC9">
              <w:t xml:space="preserve"> in 2011</w:t>
            </w:r>
            <w:r w:rsidR="00447726">
              <w:noBreakHyphen/>
            </w:r>
            <w:r w:rsidR="00080BC9">
              <w:t>12</w:t>
            </w:r>
            <w:r>
              <w:t>, a decline from 44</w:t>
            </w:r>
            <w:r w:rsidR="00E32E6E">
              <w:t> </w:t>
            </w:r>
            <w:r>
              <w:t>per</w:t>
            </w:r>
            <w:r w:rsidR="00E32E6E">
              <w:t xml:space="preserve"> </w:t>
            </w:r>
            <w:r>
              <w:t>cent in 1994</w:t>
            </w:r>
            <w:r w:rsidR="00447726">
              <w:noBreakHyphen/>
            </w:r>
            <w:r>
              <w:t xml:space="preserve">95. Reliance on intermediate inputs is highest for Insurance and </w:t>
            </w:r>
            <w:r w:rsidRPr="00267151">
              <w:t>superannuation (66</w:t>
            </w:r>
            <w:r w:rsidR="00E32E6E">
              <w:t> </w:t>
            </w:r>
            <w:r w:rsidRPr="00267151">
              <w:t>per</w:t>
            </w:r>
            <w:r w:rsidR="00E32E6E">
              <w:t xml:space="preserve"> </w:t>
            </w:r>
            <w:r w:rsidRPr="00267151">
              <w:t>cent of production), and lowest for the Finance subdivision (25</w:t>
            </w:r>
            <w:r>
              <w:t> </w:t>
            </w:r>
            <w:r w:rsidRPr="00267151">
              <w:t>per</w:t>
            </w:r>
            <w:r w:rsidR="00E32E6E">
              <w:t xml:space="preserve"> </w:t>
            </w:r>
            <w:r>
              <w:t>cent).</w:t>
            </w:r>
          </w:p>
          <w:p w:rsidR="006B7496" w:rsidRDefault="006B7496" w:rsidP="0004636C">
            <w:pPr>
              <w:pStyle w:val="BoxListBullet"/>
            </w:pPr>
            <w:r>
              <w:t>The imputed nature of gross output poses challenges for the interpretation of productivity statistics. Lack of capital data at sub-division level also restricts the scope of analysis. Further work is required to understand the real underlying productivity of the industries that make up the FIS sector.</w:t>
            </w:r>
          </w:p>
        </w:tc>
      </w:tr>
      <w:tr w:rsidR="005C16BB" w:rsidTr="00105BA3">
        <w:trPr>
          <w:cantSplit/>
        </w:trPr>
        <w:tc>
          <w:tcPr>
            <w:tcW w:w="8771" w:type="dxa"/>
            <w:tcBorders>
              <w:top w:val="nil"/>
              <w:left w:val="nil"/>
              <w:bottom w:val="single" w:sz="6" w:space="0" w:color="78A22F"/>
              <w:right w:val="nil"/>
            </w:tcBorders>
            <w:shd w:val="clear" w:color="auto" w:fill="F2F2F2"/>
          </w:tcPr>
          <w:p w:rsidR="005C16BB" w:rsidRDefault="005C16BB">
            <w:pPr>
              <w:pStyle w:val="Box"/>
              <w:spacing w:before="0" w:line="120" w:lineRule="exact"/>
            </w:pPr>
          </w:p>
        </w:tc>
      </w:tr>
      <w:tr w:rsidR="005C16BB" w:rsidRPr="000863A5" w:rsidTr="00105BA3">
        <w:tc>
          <w:tcPr>
            <w:tcW w:w="8771" w:type="dxa"/>
            <w:tcBorders>
              <w:top w:val="single" w:sz="6" w:space="0" w:color="78A22F"/>
              <w:left w:val="nil"/>
              <w:bottom w:val="nil"/>
              <w:right w:val="nil"/>
            </w:tcBorders>
          </w:tcPr>
          <w:p w:rsidR="005C16BB" w:rsidRPr="00626D32" w:rsidRDefault="005C16BB" w:rsidP="00105BA3">
            <w:pPr>
              <w:pStyle w:val="BoxSpaceBelow"/>
            </w:pPr>
          </w:p>
        </w:tc>
      </w:tr>
    </w:tbl>
    <w:p w:rsidR="00B07EB0" w:rsidRDefault="00B07EB0" w:rsidP="00317210">
      <w:pPr>
        <w:pStyle w:val="Heading1"/>
        <w:spacing w:before="0"/>
      </w:pPr>
      <w:r>
        <w:br w:type="page"/>
      </w:r>
    </w:p>
    <w:p w:rsidR="006F2AF4" w:rsidRDefault="006F2AF4" w:rsidP="006F2AF4">
      <w:pPr>
        <w:pStyle w:val="Heading2"/>
      </w:pPr>
      <w:bookmarkStart w:id="4" w:name="begin"/>
      <w:bookmarkEnd w:id="0"/>
      <w:bookmarkEnd w:id="4"/>
      <w:r>
        <w:lastRenderedPageBreak/>
        <w:t>Introduction and background</w:t>
      </w:r>
    </w:p>
    <w:p w:rsidR="00551CBE" w:rsidRDefault="00551CBE" w:rsidP="006156C9">
      <w:pPr>
        <w:pStyle w:val="BodyText"/>
      </w:pPr>
      <w:r>
        <w:t xml:space="preserve">For </w:t>
      </w:r>
      <w:r w:rsidR="007C7ACF">
        <w:t xml:space="preserve">more than two decades, </w:t>
      </w:r>
      <w:r>
        <w:t>productivity in the Financial</w:t>
      </w:r>
      <w:r w:rsidR="00B17744">
        <w:t>,</w:t>
      </w:r>
      <w:r>
        <w:t xml:space="preserve"> insurance </w:t>
      </w:r>
      <w:r w:rsidR="00B17744">
        <w:t xml:space="preserve">and superannuation (FIS) </w:t>
      </w:r>
      <w:r>
        <w:t xml:space="preserve">services industry has increased ahead of average </w:t>
      </w:r>
      <w:r w:rsidR="00D72C5D">
        <w:t>multifactor productivity (</w:t>
      </w:r>
      <w:r w:rsidR="0017388C">
        <w:t>MFP</w:t>
      </w:r>
      <w:r w:rsidR="00D72C5D">
        <w:t>)</w:t>
      </w:r>
      <w:r>
        <w:t xml:space="preserve"> growth in the market sector of the Australian economy — </w:t>
      </w:r>
      <w:r w:rsidR="00004112">
        <w:t>2.</w:t>
      </w:r>
      <w:r w:rsidR="004A14A6">
        <w:t>2</w:t>
      </w:r>
      <w:r w:rsidR="004233A9">
        <w:t> per</w:t>
      </w:r>
      <w:r w:rsidR="00E32E6E">
        <w:t xml:space="preserve"> </w:t>
      </w:r>
      <w:r w:rsidR="004233A9">
        <w:t>cent</w:t>
      </w:r>
      <w:r w:rsidR="00E32E6E">
        <w:t xml:space="preserve"> </w:t>
      </w:r>
      <w:r w:rsidR="004233A9">
        <w:t>per</w:t>
      </w:r>
      <w:r w:rsidR="00E32E6E">
        <w:t xml:space="preserve"> </w:t>
      </w:r>
      <w:r w:rsidR="004233A9">
        <w:t>year</w:t>
      </w:r>
      <w:r>
        <w:t xml:space="preserve"> compared with </w:t>
      </w:r>
      <w:r w:rsidR="00004112">
        <w:t>0.</w:t>
      </w:r>
      <w:r w:rsidR="004A14A6">
        <w:t>8</w:t>
      </w:r>
      <w:r w:rsidR="004233A9">
        <w:t> per</w:t>
      </w:r>
      <w:r w:rsidR="00386B27">
        <w:t xml:space="preserve"> </w:t>
      </w:r>
      <w:r w:rsidR="004233A9">
        <w:t>cent</w:t>
      </w:r>
      <w:r w:rsidR="00386B27">
        <w:t xml:space="preserve"> </w:t>
      </w:r>
      <w:r w:rsidR="004233A9">
        <w:t>per</w:t>
      </w:r>
      <w:r w:rsidR="00386B27">
        <w:t xml:space="preserve"> </w:t>
      </w:r>
      <w:r w:rsidR="004233A9">
        <w:t>year</w:t>
      </w:r>
      <w:r>
        <w:t xml:space="preserve"> </w:t>
      </w:r>
      <w:r w:rsidR="002612B2">
        <w:t>over the 23</w:t>
      </w:r>
      <w:r w:rsidR="00447726">
        <w:noBreakHyphen/>
      </w:r>
      <w:r w:rsidR="002612B2">
        <w:t>year period to 2012</w:t>
      </w:r>
      <w:r w:rsidR="00E32E6E">
        <w:noBreakHyphen/>
      </w:r>
      <w:r w:rsidR="002612B2">
        <w:t>13</w:t>
      </w:r>
      <w:r w:rsidR="004A14A6">
        <w:t>. Productivity growth for other market sector industries (combined) averaged 0.5</w:t>
      </w:r>
      <w:r w:rsidR="00E44657">
        <w:t> </w:t>
      </w:r>
      <w:r w:rsidR="004A14A6">
        <w:t>per</w:t>
      </w:r>
      <w:r w:rsidR="00386B27">
        <w:t xml:space="preserve"> </w:t>
      </w:r>
      <w:r w:rsidR="004A14A6">
        <w:t>cent</w:t>
      </w:r>
      <w:r w:rsidR="00386B27">
        <w:t xml:space="preserve"> </w:t>
      </w:r>
      <w:r w:rsidR="004A14A6">
        <w:t>per</w:t>
      </w:r>
      <w:r w:rsidR="00386B27">
        <w:t xml:space="preserve"> </w:t>
      </w:r>
      <w:r w:rsidR="004A14A6">
        <w:t>year and has been declining since 2003</w:t>
      </w:r>
      <w:r w:rsidR="00447726">
        <w:noBreakHyphen/>
      </w:r>
      <w:r w:rsidR="004A14A6">
        <w:t>04</w:t>
      </w:r>
      <w:r w:rsidR="002612B2">
        <w:t xml:space="preserve"> </w:t>
      </w:r>
      <w:r>
        <w:t>(figure </w:t>
      </w:r>
      <w:r w:rsidR="00A81B99">
        <w:t>1</w:t>
      </w:r>
      <w:r>
        <w:t xml:space="preserve">). </w:t>
      </w:r>
    </w:p>
    <w:p w:rsidR="00214E02" w:rsidRDefault="00214E02" w:rsidP="001313F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214E02" w:rsidTr="00D74040">
        <w:trPr>
          <w:tblHeader/>
        </w:trPr>
        <w:tc>
          <w:tcPr>
            <w:tcW w:w="8771" w:type="dxa"/>
            <w:tcBorders>
              <w:top w:val="single" w:sz="6" w:space="0" w:color="78A22F"/>
              <w:left w:val="nil"/>
              <w:bottom w:val="nil"/>
              <w:right w:val="nil"/>
            </w:tcBorders>
            <w:shd w:val="clear" w:color="auto" w:fill="auto"/>
          </w:tcPr>
          <w:p w:rsidR="00214E02" w:rsidRPr="00E6605D" w:rsidRDefault="00214E02" w:rsidP="00E6605D">
            <w:pPr>
              <w:pStyle w:val="FigureTitle"/>
            </w:pPr>
            <w:r w:rsidRPr="00E6605D">
              <w:rPr>
                <w:b w:val="0"/>
              </w:rPr>
              <w:t>Figure</w:t>
            </w:r>
            <w:r w:rsidR="00A81B99">
              <w:rPr>
                <w:b w:val="0"/>
              </w:rPr>
              <w:t xml:space="preserve"> 1</w:t>
            </w:r>
            <w:r w:rsidRPr="00E6605D">
              <w:tab/>
              <w:t xml:space="preserve">MFP in </w:t>
            </w:r>
            <w:r w:rsidR="00B17744">
              <w:t>FIS</w:t>
            </w:r>
            <w:r w:rsidRPr="00E6605D">
              <w:t xml:space="preserve"> services and the market sector</w:t>
            </w:r>
            <w:r w:rsidRPr="00E6605D">
              <w:rPr>
                <w:rStyle w:val="NoteLabel"/>
                <w:b/>
              </w:rPr>
              <w:t>a</w:t>
            </w:r>
          </w:p>
          <w:p w:rsidR="00214E02" w:rsidRPr="00E6605D" w:rsidRDefault="00214E02" w:rsidP="00E6605D">
            <w:pPr>
              <w:pStyle w:val="Subtitle"/>
            </w:pPr>
            <w:r w:rsidRPr="00E6605D">
              <w:t>Index 1989</w:t>
            </w:r>
            <w:r w:rsidR="00447726">
              <w:noBreakHyphen/>
            </w:r>
            <w:r w:rsidRPr="00E6605D">
              <w:t>90 = 100</w:t>
            </w:r>
          </w:p>
        </w:tc>
      </w:tr>
      <w:tr w:rsidR="00214E02" w:rsidTr="00864CB4">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7"/>
            </w:tblGrid>
            <w:tr w:rsidR="00214E02" w:rsidTr="00864CB4">
              <w:tc>
                <w:tcPr>
                  <w:tcW w:w="5000" w:type="pct"/>
                  <w:tcBorders>
                    <w:top w:val="nil"/>
                    <w:bottom w:val="nil"/>
                  </w:tcBorders>
                </w:tcPr>
                <w:p w:rsidR="00214E02" w:rsidRDefault="00612C98" w:rsidP="007D2E6B">
                  <w:pPr>
                    <w:pStyle w:val="Figure"/>
                    <w:spacing w:before="0" w:after="0"/>
                  </w:pPr>
                  <w:r>
                    <w:rPr>
                      <w:noProof/>
                    </w:rPr>
                    <w:drawing>
                      <wp:inline distT="0" distB="0" distL="0" distR="0" wp14:anchorId="45A53B55" wp14:editId="6EE209FC">
                        <wp:extent cx="5050155" cy="2881630"/>
                        <wp:effectExtent l="0" t="0" r="0" b="0"/>
                        <wp:docPr id="17" name="Picture 17" descr="Figure 1: This figure shows MFP growth in the market sector, the FIS services and the rest of the market sector over the period between 1989-90 and 2012-13. For more than two decades, productivity in FIS services industry has increased ahead of average MFP growth in the market sector of the Australian economy — 2.2 per cent per year compared with 0.8 per cent per year over the 23-year period to 2012-13. Productivity growth for other market sector industries (combined) averaged 0.5 per cent per year and has been declining since 2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tc>
            </w:tr>
          </w:tbl>
          <w:p w:rsidR="00214E02" w:rsidRDefault="00214E02" w:rsidP="00864CB4">
            <w:pPr>
              <w:pStyle w:val="Figure"/>
            </w:pPr>
          </w:p>
        </w:tc>
      </w:tr>
      <w:tr w:rsidR="00214E02" w:rsidRPr="00176D3F" w:rsidTr="00864CB4">
        <w:tc>
          <w:tcPr>
            <w:tcW w:w="8771" w:type="dxa"/>
            <w:tcBorders>
              <w:top w:val="nil"/>
              <w:left w:val="nil"/>
              <w:bottom w:val="nil"/>
              <w:right w:val="nil"/>
            </w:tcBorders>
            <w:shd w:val="clear" w:color="auto" w:fill="auto"/>
          </w:tcPr>
          <w:p w:rsidR="00214E02" w:rsidRPr="00176D3F" w:rsidRDefault="00214E02" w:rsidP="007A088F">
            <w:pPr>
              <w:pStyle w:val="Note"/>
            </w:pPr>
            <w:r>
              <w:rPr>
                <w:rStyle w:val="NoteLabel"/>
              </w:rPr>
              <w:t>a</w:t>
            </w:r>
            <w:r>
              <w:t xml:space="preserve"> The </w:t>
            </w:r>
            <w:r w:rsidRPr="00C40250">
              <w:t xml:space="preserve">market sector </w:t>
            </w:r>
            <w:r w:rsidR="00405BFB">
              <w:t xml:space="preserve">in this paper </w:t>
            </w:r>
            <w:r>
              <w:t xml:space="preserve">includes </w:t>
            </w:r>
            <w:r w:rsidRPr="00C40250">
              <w:t>12 industr</w:t>
            </w:r>
            <w:r>
              <w:t xml:space="preserve">y </w:t>
            </w:r>
            <w:r w:rsidR="00C47492">
              <w:t>divisions</w:t>
            </w:r>
            <w:r>
              <w:t xml:space="preserve">: </w:t>
            </w:r>
            <w:r w:rsidRPr="00CC62E2">
              <w:t>Agriculture</w:t>
            </w:r>
            <w:r w:rsidRPr="00CC62E2">
              <w:rPr>
                <w:szCs w:val="18"/>
              </w:rPr>
              <w:t xml:space="preserve">, forestry </w:t>
            </w:r>
            <w:r w:rsidR="00EC02FD">
              <w:rPr>
                <w:szCs w:val="18"/>
              </w:rPr>
              <w:t>&amp;</w:t>
            </w:r>
            <w:r w:rsidRPr="00CC62E2">
              <w:rPr>
                <w:szCs w:val="18"/>
              </w:rPr>
              <w:t xml:space="preserve"> fishing</w:t>
            </w:r>
            <w:r>
              <w:rPr>
                <w:szCs w:val="18"/>
              </w:rPr>
              <w:t xml:space="preserve">; </w:t>
            </w:r>
            <w:r w:rsidRPr="00CC62E2">
              <w:rPr>
                <w:szCs w:val="18"/>
              </w:rPr>
              <w:t>Mining</w:t>
            </w:r>
            <w:r>
              <w:rPr>
                <w:szCs w:val="18"/>
              </w:rPr>
              <w:t xml:space="preserve">; </w:t>
            </w:r>
            <w:r w:rsidRPr="00CC62E2">
              <w:rPr>
                <w:szCs w:val="18"/>
              </w:rPr>
              <w:t>Manufacturing</w:t>
            </w:r>
            <w:r>
              <w:rPr>
                <w:szCs w:val="18"/>
              </w:rPr>
              <w:t xml:space="preserve">; </w:t>
            </w:r>
            <w:r w:rsidRPr="00CC62E2">
              <w:rPr>
                <w:szCs w:val="18"/>
              </w:rPr>
              <w:t xml:space="preserve">Electricity, gas, water </w:t>
            </w:r>
            <w:r w:rsidR="00EC02FD">
              <w:rPr>
                <w:szCs w:val="18"/>
              </w:rPr>
              <w:t>&amp;</w:t>
            </w:r>
            <w:r w:rsidRPr="00CC62E2">
              <w:rPr>
                <w:szCs w:val="18"/>
              </w:rPr>
              <w:t xml:space="preserve"> waste services</w:t>
            </w:r>
            <w:r>
              <w:rPr>
                <w:szCs w:val="18"/>
              </w:rPr>
              <w:t xml:space="preserve">; </w:t>
            </w:r>
            <w:r w:rsidRPr="00CC62E2">
              <w:rPr>
                <w:szCs w:val="18"/>
              </w:rPr>
              <w:t>Construction</w:t>
            </w:r>
            <w:r>
              <w:rPr>
                <w:szCs w:val="18"/>
              </w:rPr>
              <w:t xml:space="preserve">; </w:t>
            </w:r>
            <w:r w:rsidRPr="00CC62E2">
              <w:rPr>
                <w:szCs w:val="18"/>
              </w:rPr>
              <w:t>Wholesale trade</w:t>
            </w:r>
            <w:r>
              <w:rPr>
                <w:szCs w:val="18"/>
              </w:rPr>
              <w:t xml:space="preserve">; </w:t>
            </w:r>
            <w:r w:rsidRPr="00CC62E2">
              <w:rPr>
                <w:szCs w:val="18"/>
              </w:rPr>
              <w:t>Retail trade</w:t>
            </w:r>
            <w:r>
              <w:rPr>
                <w:szCs w:val="18"/>
              </w:rPr>
              <w:t xml:space="preserve">; </w:t>
            </w:r>
            <w:r w:rsidRPr="00CC62E2">
              <w:rPr>
                <w:szCs w:val="18"/>
              </w:rPr>
              <w:t xml:space="preserve">Accommodation </w:t>
            </w:r>
            <w:r w:rsidR="00EC02FD">
              <w:rPr>
                <w:szCs w:val="18"/>
              </w:rPr>
              <w:t>&amp;</w:t>
            </w:r>
            <w:r w:rsidRPr="00CC62E2">
              <w:rPr>
                <w:szCs w:val="18"/>
              </w:rPr>
              <w:t xml:space="preserve"> food services</w:t>
            </w:r>
            <w:r>
              <w:rPr>
                <w:szCs w:val="18"/>
              </w:rPr>
              <w:t xml:space="preserve">; </w:t>
            </w:r>
            <w:r w:rsidRPr="00CC62E2">
              <w:rPr>
                <w:szCs w:val="18"/>
              </w:rPr>
              <w:t xml:space="preserve">Transport, postal </w:t>
            </w:r>
            <w:r w:rsidR="00EC02FD">
              <w:rPr>
                <w:szCs w:val="18"/>
              </w:rPr>
              <w:t>&amp;</w:t>
            </w:r>
            <w:r w:rsidRPr="00CC62E2">
              <w:rPr>
                <w:szCs w:val="18"/>
              </w:rPr>
              <w:t xml:space="preserve"> warehousing</w:t>
            </w:r>
            <w:r>
              <w:rPr>
                <w:szCs w:val="18"/>
              </w:rPr>
              <w:t xml:space="preserve">; Information, media </w:t>
            </w:r>
            <w:r w:rsidR="00EC02FD">
              <w:rPr>
                <w:szCs w:val="18"/>
              </w:rPr>
              <w:t>&amp;</w:t>
            </w:r>
            <w:r>
              <w:rPr>
                <w:szCs w:val="18"/>
              </w:rPr>
              <w:t xml:space="preserve"> telecommunications; </w:t>
            </w:r>
            <w:r w:rsidRPr="00CC62E2">
              <w:rPr>
                <w:szCs w:val="18"/>
              </w:rPr>
              <w:t xml:space="preserve">Financial </w:t>
            </w:r>
            <w:r w:rsidR="00EC02FD">
              <w:rPr>
                <w:szCs w:val="18"/>
              </w:rPr>
              <w:t>&amp;</w:t>
            </w:r>
            <w:r w:rsidRPr="00CC62E2">
              <w:rPr>
                <w:szCs w:val="18"/>
              </w:rPr>
              <w:t xml:space="preserve"> insurance services</w:t>
            </w:r>
            <w:r>
              <w:rPr>
                <w:szCs w:val="18"/>
              </w:rPr>
              <w:t xml:space="preserve">; and </w:t>
            </w:r>
            <w:r w:rsidRPr="00CC62E2">
              <w:rPr>
                <w:szCs w:val="18"/>
              </w:rPr>
              <w:t xml:space="preserve">Arts </w:t>
            </w:r>
            <w:r w:rsidR="00EC02FD">
              <w:rPr>
                <w:szCs w:val="18"/>
              </w:rPr>
              <w:t>&amp;</w:t>
            </w:r>
            <w:r w:rsidRPr="00CC62E2">
              <w:rPr>
                <w:szCs w:val="18"/>
              </w:rPr>
              <w:t xml:space="preserve"> recreation services</w:t>
            </w:r>
            <w:r>
              <w:rPr>
                <w:szCs w:val="18"/>
              </w:rPr>
              <w:t>.</w:t>
            </w:r>
            <w:r>
              <w:t xml:space="preserve"> </w:t>
            </w:r>
            <w:r w:rsidR="00EC02FD">
              <w:t xml:space="preserve">Other market sector industries combined </w:t>
            </w:r>
            <w:r w:rsidR="007A088F">
              <w:t xml:space="preserve">is </w:t>
            </w:r>
            <w:r w:rsidR="00EC02FD">
              <w:t xml:space="preserve">estimated based on Parham </w:t>
            </w:r>
            <w:r w:rsidR="007A088F" w:rsidRPr="007A088F">
              <w:rPr>
                <w:rFonts w:cs="Arial"/>
              </w:rPr>
              <w:t>(2012)</w:t>
            </w:r>
            <w:r w:rsidR="007A088F">
              <w:t xml:space="preserve"> methodology.</w:t>
            </w:r>
          </w:p>
        </w:tc>
      </w:tr>
      <w:tr w:rsidR="00214E02" w:rsidRPr="00176D3F" w:rsidTr="00864CB4">
        <w:tc>
          <w:tcPr>
            <w:tcW w:w="8771" w:type="dxa"/>
            <w:tcBorders>
              <w:top w:val="nil"/>
              <w:left w:val="nil"/>
              <w:bottom w:val="nil"/>
              <w:right w:val="nil"/>
            </w:tcBorders>
            <w:shd w:val="clear" w:color="auto" w:fill="auto"/>
          </w:tcPr>
          <w:p w:rsidR="00214E02" w:rsidRPr="00176D3F" w:rsidRDefault="00003F77" w:rsidP="00864CB4">
            <w:pPr>
              <w:pStyle w:val="Source"/>
            </w:pPr>
            <w:r>
              <w:rPr>
                <w:i/>
              </w:rPr>
              <w:t>Source</w:t>
            </w:r>
            <w:r w:rsidR="00214E02" w:rsidRPr="00176D3F">
              <w:t xml:space="preserve">: </w:t>
            </w:r>
            <w:r w:rsidR="00214E02">
              <w:t>ABS (</w:t>
            </w:r>
            <w:r w:rsidR="00214E02" w:rsidRPr="00042E7B">
              <w:rPr>
                <w:i/>
              </w:rPr>
              <w:t>Estimates of Industry Multifactor Productivity, 20</w:t>
            </w:r>
            <w:r w:rsidR="00214E02">
              <w:rPr>
                <w:i/>
              </w:rPr>
              <w:t>12</w:t>
            </w:r>
            <w:r w:rsidR="00214E02" w:rsidRPr="00042E7B">
              <w:rPr>
                <w:i/>
              </w:rPr>
              <w:t>-1</w:t>
            </w:r>
            <w:r w:rsidR="00214E02">
              <w:rPr>
                <w:i/>
              </w:rPr>
              <w:t>3</w:t>
            </w:r>
            <w:r w:rsidR="00214E02" w:rsidRPr="008A0E60">
              <w:t>,</w:t>
            </w:r>
            <w:r w:rsidR="00214E02" w:rsidRPr="00042E7B">
              <w:rPr>
                <w:i/>
              </w:rPr>
              <w:t xml:space="preserve"> </w:t>
            </w:r>
            <w:r w:rsidR="00214E02" w:rsidRPr="007B7F51">
              <w:t>Cat. no. 5260.0.55.002</w:t>
            </w:r>
            <w:r w:rsidR="00214E02">
              <w:t>).</w:t>
            </w:r>
          </w:p>
        </w:tc>
      </w:tr>
      <w:tr w:rsidR="00214E02" w:rsidTr="00864CB4">
        <w:tc>
          <w:tcPr>
            <w:tcW w:w="8771" w:type="dxa"/>
            <w:tcBorders>
              <w:top w:val="nil"/>
              <w:left w:val="nil"/>
              <w:bottom w:val="single" w:sz="6" w:space="0" w:color="78A22F"/>
              <w:right w:val="nil"/>
            </w:tcBorders>
            <w:shd w:val="clear" w:color="auto" w:fill="auto"/>
          </w:tcPr>
          <w:p w:rsidR="00214E02" w:rsidRPr="00E6605D" w:rsidRDefault="00214E02" w:rsidP="00E6605D">
            <w:pPr>
              <w:pStyle w:val="Figurespace"/>
            </w:pPr>
          </w:p>
        </w:tc>
      </w:tr>
      <w:tr w:rsidR="00214E02" w:rsidRPr="000863A5" w:rsidTr="00864CB4">
        <w:tc>
          <w:tcPr>
            <w:tcW w:w="8771" w:type="dxa"/>
            <w:tcBorders>
              <w:top w:val="single" w:sz="6" w:space="0" w:color="78A22F"/>
              <w:left w:val="nil"/>
              <w:bottom w:val="nil"/>
              <w:right w:val="nil"/>
            </w:tcBorders>
          </w:tcPr>
          <w:p w:rsidR="00214E02" w:rsidRPr="00626D32" w:rsidRDefault="00214E02" w:rsidP="00E6605D">
            <w:pPr>
              <w:pStyle w:val="BoxSpaceBelow"/>
            </w:pPr>
          </w:p>
        </w:tc>
      </w:tr>
    </w:tbl>
    <w:p w:rsidR="000407FB" w:rsidRDefault="000407FB" w:rsidP="000407FB">
      <w:pPr>
        <w:pStyle w:val="BodyText"/>
      </w:pPr>
      <w:r>
        <w:t>This strong performance compares with a</w:t>
      </w:r>
      <w:r w:rsidRPr="00072A9F">
        <w:t xml:space="preserve"> decline in MFP growth for </w:t>
      </w:r>
      <w:r>
        <w:t xml:space="preserve">many </w:t>
      </w:r>
      <w:r w:rsidRPr="00072A9F">
        <w:t>other market sector industries since 2003</w:t>
      </w:r>
      <w:r w:rsidR="00386B27">
        <w:noBreakHyphen/>
      </w:r>
      <w:r w:rsidRPr="00072A9F">
        <w:t>04</w:t>
      </w:r>
      <w:r w:rsidR="00CC184D">
        <w:t xml:space="preserve">, most notably </w:t>
      </w:r>
      <w:r w:rsidRPr="00072A9F">
        <w:t>Mining, Electricity, gas</w:t>
      </w:r>
      <w:r w:rsidR="00612C98">
        <w:t xml:space="preserve">, </w:t>
      </w:r>
      <w:r w:rsidRPr="00072A9F">
        <w:t>water</w:t>
      </w:r>
      <w:r w:rsidR="00612C98">
        <w:t xml:space="preserve"> and waste services (Utilities)</w:t>
      </w:r>
      <w:r w:rsidRPr="00072A9F">
        <w:t xml:space="preserve">, and Manufacturing (PC 2014). </w:t>
      </w:r>
      <w:r>
        <w:t>Commission analysis found that</w:t>
      </w:r>
      <w:r w:rsidRPr="00072A9F">
        <w:t xml:space="preserve"> temporary factors </w:t>
      </w:r>
      <w:r>
        <w:t>could explain part of the declin</w:t>
      </w:r>
      <w:r w:rsidR="000714AD">
        <w:t>e.</w:t>
      </w:r>
      <w:r w:rsidR="00E7575C">
        <w:rPr>
          <w:rStyle w:val="FootnoteReference"/>
        </w:rPr>
        <w:footnoteReference w:id="1"/>
      </w:r>
      <w:r w:rsidR="000714AD">
        <w:t xml:space="preserve"> But there were other factors</w:t>
      </w:r>
      <w:r>
        <w:t xml:space="preserve"> — resource depletion in Mining</w:t>
      </w:r>
      <w:r w:rsidRPr="00072A9F">
        <w:t xml:space="preserve"> and </w:t>
      </w:r>
      <w:r>
        <w:t>a shift toward more input intensive higher quality outp</w:t>
      </w:r>
      <w:r w:rsidR="000714AD">
        <w:t>ut, such as with artisan baking</w:t>
      </w:r>
      <w:r>
        <w:t xml:space="preserve"> </w:t>
      </w:r>
      <w:r w:rsidR="000714AD">
        <w:t xml:space="preserve">— </w:t>
      </w:r>
      <w:r>
        <w:t>that reflect</w:t>
      </w:r>
      <w:r w:rsidR="00E7575C">
        <w:t>ed</w:t>
      </w:r>
      <w:r>
        <w:t xml:space="preserve"> </w:t>
      </w:r>
      <w:r w:rsidR="00E7575C">
        <w:t>longer-</w:t>
      </w:r>
      <w:r>
        <w:t>term trends</w:t>
      </w:r>
      <w:r w:rsidRPr="00072A9F">
        <w:t xml:space="preserve"> (PC 2013).</w:t>
      </w:r>
      <w:r>
        <w:t xml:space="preserve"> </w:t>
      </w:r>
    </w:p>
    <w:p w:rsidR="00040C62" w:rsidRDefault="000407FB" w:rsidP="000407FB">
      <w:pPr>
        <w:pStyle w:val="BodyText"/>
      </w:pPr>
      <w:r>
        <w:lastRenderedPageBreak/>
        <w:t>The example of artisan baki</w:t>
      </w:r>
      <w:r w:rsidR="00E60268">
        <w:t xml:space="preserve">ng in Manufacturing </w:t>
      </w:r>
      <w:r w:rsidR="00ED69B4">
        <w:t xml:space="preserve">(Barnes et al. 2013) </w:t>
      </w:r>
      <w:r w:rsidR="00E60268">
        <w:t>raises</w:t>
      </w:r>
      <w:r>
        <w:t xml:space="preserve"> questions about how well productivity statistics capture improvements in the quality of output, wh</w:t>
      </w:r>
      <w:r w:rsidR="00E60268">
        <w:t>ile the depletion effect points</w:t>
      </w:r>
      <w:r>
        <w:t xml:space="preserve"> to issues of unmeasured inputs</w:t>
      </w:r>
      <w:r w:rsidR="00E60268">
        <w:t xml:space="preserve">, </w:t>
      </w:r>
      <w:r w:rsidR="00040C62">
        <w:t xml:space="preserve">such as </w:t>
      </w:r>
      <w:r w:rsidR="00E60268">
        <w:t>natural resources in the case of Mining</w:t>
      </w:r>
      <w:r>
        <w:t xml:space="preserve"> and</w:t>
      </w:r>
      <w:r w:rsidR="00E60268">
        <w:t xml:space="preserve"> Utilities, and</w:t>
      </w:r>
      <w:r>
        <w:t xml:space="preserve"> how productivity is affected if the quality of these inputs declines. These insights into measurement and into more fundamental drivers of productivity have provided a better understanding of the challenges facing these industries in improving their productivity performance.</w:t>
      </w:r>
      <w:r w:rsidR="00E60268">
        <w:rPr>
          <w:rStyle w:val="FootnoteReference"/>
        </w:rPr>
        <w:footnoteReference w:id="2"/>
      </w:r>
    </w:p>
    <w:p w:rsidR="000407FB" w:rsidRDefault="000407FB" w:rsidP="000407FB">
      <w:pPr>
        <w:pStyle w:val="BodyText"/>
      </w:pPr>
      <w:r>
        <w:t xml:space="preserve">This </w:t>
      </w:r>
      <w:r w:rsidR="00CC184D">
        <w:t>staff research note</w:t>
      </w:r>
      <w:r>
        <w:t xml:space="preserve"> continues </w:t>
      </w:r>
      <w:r w:rsidR="00040C62">
        <w:t xml:space="preserve">the Commission’s </w:t>
      </w:r>
      <w:r>
        <w:t>work of examining industry productivity statistics to better understand what they mean. As the first service sector to be examined, there are new question</w:t>
      </w:r>
      <w:r w:rsidR="00D705FD">
        <w:t>s</w:t>
      </w:r>
      <w:r>
        <w:t xml:space="preserve"> as to what is actually being measured and how well it reflects the underlying concept of productivity. </w:t>
      </w:r>
    </w:p>
    <w:p w:rsidR="006156C9" w:rsidRPr="00DF7E2D" w:rsidRDefault="005D0B4A" w:rsidP="005D0B4A">
      <w:pPr>
        <w:pStyle w:val="Heading3"/>
      </w:pPr>
      <w:r>
        <w:t>What is</w:t>
      </w:r>
      <w:r w:rsidR="006156C9" w:rsidRPr="00DF7E2D">
        <w:t xml:space="preserve"> the</w:t>
      </w:r>
      <w:r w:rsidR="0056456F">
        <w:t xml:space="preserve"> </w:t>
      </w:r>
      <w:r w:rsidR="00B17744">
        <w:t>FIS</w:t>
      </w:r>
      <w:r w:rsidR="0056456F">
        <w:t xml:space="preserve"> services</w:t>
      </w:r>
      <w:r w:rsidR="006156C9" w:rsidRPr="00DF7E2D">
        <w:t xml:space="preserve"> </w:t>
      </w:r>
      <w:r w:rsidR="00804837">
        <w:t>industry</w:t>
      </w:r>
      <w:r>
        <w:t>?</w:t>
      </w:r>
    </w:p>
    <w:p w:rsidR="00121067" w:rsidRPr="00D65380" w:rsidRDefault="000714AD" w:rsidP="000714AD">
      <w:pPr>
        <w:pStyle w:val="BodyText"/>
        <w:widowControl w:val="0"/>
      </w:pPr>
      <w:r>
        <w:t>FIS</w:t>
      </w:r>
      <w:r w:rsidR="009848EC">
        <w:t xml:space="preserve"> </w:t>
      </w:r>
      <w:r w:rsidR="00121067">
        <w:t>covers a diverse range of activities providing financial, insurance and supporting a</w:t>
      </w:r>
      <w:r w:rsidR="009848EC">
        <w:t xml:space="preserve">uxiliary services to industries, </w:t>
      </w:r>
      <w:r w:rsidR="00121067">
        <w:t>consumers</w:t>
      </w:r>
      <w:r w:rsidR="009848EC">
        <w:t xml:space="preserve"> </w:t>
      </w:r>
      <w:r w:rsidR="009848EC" w:rsidRPr="00D65380">
        <w:t xml:space="preserve">and </w:t>
      </w:r>
      <w:r w:rsidR="00D65380" w:rsidRPr="00D65380">
        <w:t>exports</w:t>
      </w:r>
      <w:r w:rsidR="009848EC" w:rsidRPr="00D65380">
        <w:t xml:space="preserve">. The industry is defined </w:t>
      </w:r>
      <w:r w:rsidR="007E03E5" w:rsidRPr="00D65380">
        <w:t xml:space="preserve">to </w:t>
      </w:r>
      <w:r w:rsidR="00E92275" w:rsidRPr="00D65380">
        <w:t>include</w:t>
      </w:r>
      <w:r w:rsidR="00121067" w:rsidRPr="00D65380">
        <w:t>:</w:t>
      </w:r>
      <w:r w:rsidR="00E92275" w:rsidRPr="00D65380">
        <w:t xml:space="preserve"> </w:t>
      </w:r>
    </w:p>
    <w:p w:rsidR="00121067" w:rsidRDefault="00121067" w:rsidP="00870B9A">
      <w:pPr>
        <w:pStyle w:val="Quote"/>
      </w:pPr>
      <w:r>
        <w:t xml:space="preserve">… units </w:t>
      </w:r>
      <w:r w:rsidR="00E92275">
        <w:t xml:space="preserve">mainly engaged in financial transactions involving the creation, liquidation, or change in ownership of financial assets, and/or in facilitating financial transactions. </w:t>
      </w:r>
    </w:p>
    <w:p w:rsidR="00272365" w:rsidRDefault="00E92275" w:rsidP="00870B9A">
      <w:pPr>
        <w:pStyle w:val="Quote"/>
      </w:pPr>
      <w:r>
        <w:t xml:space="preserve">The range of activities include raising funds by taking deposits and/or issuing securities and, in the process, incurring liabilities; units investing their own funds in a range of financial assets; pooling risk by underwriting insurance and annuities; separately constituted funds engaged in the provision of retirement incomes; and specialised services facilitating or supporting financial intermediation, insurance and employee benefit programs. </w:t>
      </w:r>
    </w:p>
    <w:p w:rsidR="00E92275" w:rsidRDefault="00E92275" w:rsidP="00870B9A">
      <w:pPr>
        <w:pStyle w:val="Quote"/>
      </w:pPr>
      <w:r>
        <w:t xml:space="preserve">Also included </w:t>
      </w:r>
      <w:r w:rsidR="00272365">
        <w:t xml:space="preserve">in this division </w:t>
      </w:r>
      <w:r>
        <w:t>are central banking, monetary control and the regulation of financial activities</w:t>
      </w:r>
      <w:r w:rsidR="008E222D">
        <w:t>.</w:t>
      </w:r>
      <w:r>
        <w:t xml:space="preserve"> </w:t>
      </w:r>
      <w:r w:rsidRPr="00E92275">
        <w:rPr>
          <w:szCs w:val="24"/>
        </w:rPr>
        <w:t>(ABS 2006</w:t>
      </w:r>
      <w:r w:rsidR="00B70254">
        <w:rPr>
          <w:szCs w:val="24"/>
        </w:rPr>
        <w:t>, p.</w:t>
      </w:r>
      <w:r w:rsidR="00796034">
        <w:rPr>
          <w:szCs w:val="24"/>
        </w:rPr>
        <w:t> </w:t>
      </w:r>
      <w:r w:rsidR="00B70254">
        <w:rPr>
          <w:szCs w:val="24"/>
        </w:rPr>
        <w:t>71</w:t>
      </w:r>
      <w:r w:rsidRPr="00E92275">
        <w:rPr>
          <w:szCs w:val="24"/>
        </w:rPr>
        <w:t>)</w:t>
      </w:r>
      <w:r w:rsidR="00CA3E44">
        <w:t xml:space="preserve"> </w:t>
      </w:r>
    </w:p>
    <w:p w:rsidR="00871554" w:rsidRDefault="00CC184D" w:rsidP="000714AD">
      <w:pPr>
        <w:pStyle w:val="BodyText"/>
      </w:pPr>
      <w:r>
        <w:t>T</w:t>
      </w:r>
      <w:r w:rsidR="00883B80">
        <w:t xml:space="preserve">he </w:t>
      </w:r>
      <w:r w:rsidR="00873856">
        <w:t>ABS Australian and New Zealand Standard Industrial Classification (ANZSIC)</w:t>
      </w:r>
      <w:r>
        <w:t xml:space="preserve"> divides this range of activities into three subdivisions</w:t>
      </w:r>
      <w:r w:rsidR="000714AD">
        <w:t xml:space="preserve">: </w:t>
      </w:r>
      <w:r w:rsidR="00871554">
        <w:t>Finance</w:t>
      </w:r>
      <w:r w:rsidR="000714AD">
        <w:t xml:space="preserve">; </w:t>
      </w:r>
      <w:r w:rsidR="00870B9A">
        <w:t>Insurance and superannuation funds</w:t>
      </w:r>
      <w:r w:rsidR="00871554">
        <w:t xml:space="preserve"> (hereafter ‘Insurance and superannuation’)</w:t>
      </w:r>
      <w:r w:rsidR="000714AD">
        <w:t xml:space="preserve">; and </w:t>
      </w:r>
      <w:r w:rsidR="00870B9A">
        <w:t xml:space="preserve">Auxiliary finance and insurance services </w:t>
      </w:r>
      <w:r w:rsidR="00871554">
        <w:t>(hereafter ‘Auxiliary services’)</w:t>
      </w:r>
      <w:r w:rsidR="00634416">
        <w:t xml:space="preserve"> (table </w:t>
      </w:r>
      <w:r w:rsidR="00A81B99">
        <w:t>1</w:t>
      </w:r>
      <w:r w:rsidR="008C3A0C">
        <w:t>)</w:t>
      </w:r>
      <w:r w:rsidR="00610868">
        <w:t>.</w:t>
      </w:r>
    </w:p>
    <w:p w:rsidR="005D0B4A" w:rsidRDefault="005D0B4A" w:rsidP="005D0B4A">
      <w:pPr>
        <w:pStyle w:val="BodyText"/>
      </w:pPr>
      <w:r>
        <w:t>For productivity analysis, these subdivisions are comprised of all the activities of ‘business units’ predominantly engaged in providing services primary to these industry subdivisions.</w:t>
      </w:r>
      <w:r>
        <w:rPr>
          <w:rStyle w:val="FootnoteReference"/>
        </w:rPr>
        <w:footnoteReference w:id="3"/>
      </w:r>
    </w:p>
    <w:p w:rsidR="00A87F70" w:rsidRDefault="00A87F70" w:rsidP="00A365DE">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0C6DC3" w:rsidTr="00D74040">
        <w:trPr>
          <w:tblHeader/>
        </w:trPr>
        <w:tc>
          <w:tcPr>
            <w:tcW w:w="8771" w:type="dxa"/>
            <w:tcBorders>
              <w:top w:val="single" w:sz="6" w:space="0" w:color="78A22F" w:themeColor="accent1"/>
              <w:left w:val="nil"/>
              <w:bottom w:val="nil"/>
              <w:right w:val="nil"/>
            </w:tcBorders>
            <w:shd w:val="clear" w:color="auto" w:fill="auto"/>
          </w:tcPr>
          <w:p w:rsidR="000C6DC3" w:rsidRPr="00784A05" w:rsidRDefault="000C6DC3" w:rsidP="00A81B99">
            <w:pPr>
              <w:pStyle w:val="TableTitle"/>
            </w:pPr>
            <w:r>
              <w:rPr>
                <w:b w:val="0"/>
              </w:rPr>
              <w:t>Table</w:t>
            </w:r>
            <w:r w:rsidR="00A81B99">
              <w:rPr>
                <w:b w:val="0"/>
              </w:rPr>
              <w:t xml:space="preserve"> 1</w:t>
            </w:r>
            <w:r>
              <w:tab/>
            </w:r>
            <w:r w:rsidR="00A365DE">
              <w:t>ANZSIC c</w:t>
            </w:r>
            <w:r w:rsidRPr="00061EAA">
              <w:t xml:space="preserve">lassification </w:t>
            </w:r>
            <w:r w:rsidR="00A365DE">
              <w:t xml:space="preserve">of </w:t>
            </w:r>
            <w:r w:rsidR="00B17744">
              <w:t>FIS</w:t>
            </w:r>
            <w:r w:rsidR="00A365DE">
              <w:t xml:space="preserve"> services</w:t>
            </w:r>
          </w:p>
        </w:tc>
      </w:tr>
      <w:tr w:rsidR="000C6DC3" w:rsidTr="00091AA5">
        <w:trPr>
          <w:cantSplit/>
        </w:trPr>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76"/>
              <w:gridCol w:w="409"/>
              <w:gridCol w:w="2582"/>
              <w:gridCol w:w="5220"/>
            </w:tblGrid>
            <w:tr w:rsidR="000C6DC3" w:rsidRPr="00196FBA" w:rsidTr="00D74040">
              <w:trPr>
                <w:tblHeader/>
              </w:trPr>
              <w:tc>
                <w:tcPr>
                  <w:tcW w:w="1925" w:type="pct"/>
                  <w:gridSpan w:val="3"/>
                  <w:tcBorders>
                    <w:top w:val="single" w:sz="4" w:space="0" w:color="BFBFBF" w:themeColor="background1" w:themeShade="BF"/>
                    <w:bottom w:val="single" w:sz="4" w:space="0" w:color="BFBFBF" w:themeColor="background1" w:themeShade="BF"/>
                  </w:tcBorders>
                </w:tcPr>
                <w:p w:rsidR="000C6DC3" w:rsidRPr="00DF3B12" w:rsidRDefault="000C6DC3" w:rsidP="004B414B">
                  <w:pPr>
                    <w:pStyle w:val="TableColumnHeading"/>
                    <w:jc w:val="left"/>
                  </w:pPr>
                  <w:r w:rsidRPr="00DF3B12">
                    <w:t>Subdivision/group/class</w:t>
                  </w:r>
                </w:p>
              </w:tc>
              <w:tc>
                <w:tcPr>
                  <w:tcW w:w="3075" w:type="pct"/>
                  <w:tcBorders>
                    <w:top w:val="single" w:sz="4" w:space="0" w:color="BFBFBF" w:themeColor="background1" w:themeShade="BF"/>
                    <w:bottom w:val="single" w:sz="4" w:space="0" w:color="BFBFBF" w:themeColor="background1" w:themeShade="BF"/>
                  </w:tcBorders>
                </w:tcPr>
                <w:p w:rsidR="000C6DC3" w:rsidRPr="00DF3B12" w:rsidRDefault="000C6DC3" w:rsidP="004B414B">
                  <w:pPr>
                    <w:pStyle w:val="TableColumnHeading"/>
                    <w:jc w:val="left"/>
                  </w:pPr>
                  <w:r w:rsidRPr="00DF3B12">
                    <w:t>Primary Activities</w:t>
                  </w:r>
                </w:p>
              </w:tc>
            </w:tr>
            <w:tr w:rsidR="000C6DC3" w:rsidRPr="00582268" w:rsidTr="002144D7">
              <w:tc>
                <w:tcPr>
                  <w:tcW w:w="5000" w:type="pct"/>
                  <w:gridSpan w:val="4"/>
                  <w:tcBorders>
                    <w:top w:val="single" w:sz="4" w:space="0" w:color="BFBFBF" w:themeColor="background1" w:themeShade="BF"/>
                  </w:tcBorders>
                  <w:shd w:val="clear" w:color="auto" w:fill="auto"/>
                </w:tcPr>
                <w:p w:rsidR="000C6DC3" w:rsidRPr="00582268" w:rsidRDefault="000C6DC3" w:rsidP="004B414B">
                  <w:pPr>
                    <w:pStyle w:val="TableBodyText"/>
                    <w:spacing w:before="80"/>
                    <w:ind w:right="28"/>
                    <w:jc w:val="left"/>
                    <w:rPr>
                      <w:b/>
                    </w:rPr>
                  </w:pPr>
                  <w:r w:rsidRPr="00582268">
                    <w:rPr>
                      <w:b/>
                    </w:rPr>
                    <w:t>62 Finance</w:t>
                  </w:r>
                </w:p>
              </w:tc>
            </w:tr>
            <w:tr w:rsidR="000C6DC3" w:rsidRPr="00582268" w:rsidTr="00A365DE">
              <w:tc>
                <w:tcPr>
                  <w:tcW w:w="163" w:type="pct"/>
                  <w:shd w:val="clear" w:color="auto" w:fill="auto"/>
                </w:tcPr>
                <w:p w:rsidR="000C6DC3" w:rsidRPr="00BC5D48" w:rsidRDefault="000C6DC3" w:rsidP="00091AA5">
                  <w:pPr>
                    <w:pStyle w:val="TableBodyText"/>
                    <w:jc w:val="left"/>
                  </w:pPr>
                </w:p>
              </w:tc>
              <w:tc>
                <w:tcPr>
                  <w:tcW w:w="1762" w:type="pct"/>
                  <w:gridSpan w:val="2"/>
                  <w:shd w:val="clear" w:color="auto" w:fill="auto"/>
                </w:tcPr>
                <w:p w:rsidR="000C6DC3" w:rsidRPr="00BC5D48" w:rsidRDefault="000C6DC3" w:rsidP="00091AA5">
                  <w:pPr>
                    <w:pStyle w:val="TableBodyText"/>
                    <w:jc w:val="left"/>
                  </w:pPr>
                  <w:r w:rsidRPr="00BC5D48">
                    <w:t>621 Central banking</w:t>
                  </w:r>
                </w:p>
              </w:tc>
              <w:tc>
                <w:tcPr>
                  <w:tcW w:w="3075" w:type="pct"/>
                  <w:shd w:val="clear" w:color="auto" w:fill="auto"/>
                </w:tcPr>
                <w:p w:rsidR="000C6DC3" w:rsidRPr="00BC5D48" w:rsidRDefault="000C6DC3" w:rsidP="00091AA5">
                  <w:pPr>
                    <w:pStyle w:val="TableBullet"/>
                  </w:pPr>
                  <w:r w:rsidRPr="00BC5D48">
                    <w:t>Central banking and financial regulatory service</w:t>
                  </w:r>
                </w:p>
              </w:tc>
            </w:tr>
            <w:tr w:rsidR="000C6DC3" w:rsidRPr="00582268" w:rsidTr="00091AA5">
              <w:tc>
                <w:tcPr>
                  <w:tcW w:w="163" w:type="pct"/>
                </w:tcPr>
                <w:p w:rsidR="000C6DC3" w:rsidRPr="00582268" w:rsidRDefault="000C6DC3" w:rsidP="00091AA5">
                  <w:pPr>
                    <w:pStyle w:val="TableBodyText"/>
                    <w:jc w:val="left"/>
                  </w:pPr>
                </w:p>
              </w:tc>
              <w:tc>
                <w:tcPr>
                  <w:tcW w:w="4837" w:type="pct"/>
                  <w:gridSpan w:val="3"/>
                </w:tcPr>
                <w:p w:rsidR="000C6DC3" w:rsidRPr="00582268" w:rsidRDefault="000C6DC3" w:rsidP="00091AA5">
                  <w:pPr>
                    <w:pStyle w:val="TableBodyText"/>
                    <w:jc w:val="left"/>
                  </w:pPr>
                  <w:r w:rsidRPr="00582268">
                    <w:t>622 Depository financial intermediation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6221 Banking</w:t>
                  </w:r>
                </w:p>
              </w:tc>
              <w:tc>
                <w:tcPr>
                  <w:tcW w:w="3075" w:type="pct"/>
                </w:tcPr>
                <w:p w:rsidR="000C6DC3" w:rsidRPr="00582268" w:rsidRDefault="000C6DC3" w:rsidP="00091AA5">
                  <w:pPr>
                    <w:pStyle w:val="TableBullet"/>
                  </w:pPr>
                  <w:r>
                    <w:t>Operation of: s</w:t>
                  </w:r>
                  <w:r w:rsidRPr="00582268">
                    <w:t>avings, development</w:t>
                  </w:r>
                  <w:r>
                    <w:t xml:space="preserve"> and trading banks</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A365DE">
                  <w:pPr>
                    <w:pStyle w:val="TableBodyText"/>
                    <w:ind w:left="566" w:right="0" w:hanging="566"/>
                    <w:jc w:val="left"/>
                  </w:pPr>
                  <w:r w:rsidRPr="00582268">
                    <w:t>6222 Building society operation</w:t>
                  </w:r>
                </w:p>
              </w:tc>
              <w:tc>
                <w:tcPr>
                  <w:tcW w:w="3075" w:type="pct"/>
                </w:tcPr>
                <w:p w:rsidR="000C6DC3" w:rsidRPr="00582268" w:rsidRDefault="000C6DC3" w:rsidP="00091AA5">
                  <w:pPr>
                    <w:pStyle w:val="TableBullet"/>
                  </w:pPr>
                  <w:r w:rsidRPr="00582268">
                    <w:t>Building society 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6223 Credit union operation</w:t>
                  </w:r>
                </w:p>
              </w:tc>
              <w:tc>
                <w:tcPr>
                  <w:tcW w:w="3075" w:type="pct"/>
                </w:tcPr>
                <w:p w:rsidR="000C6DC3" w:rsidRPr="00582268" w:rsidRDefault="000C6DC3" w:rsidP="00091AA5">
                  <w:pPr>
                    <w:pStyle w:val="TableBullet"/>
                  </w:pPr>
                  <w:r>
                    <w:t>C</w:t>
                  </w:r>
                  <w:r w:rsidRPr="00582268">
                    <w:t>redit union 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6224 Other depository financial intermediation</w:t>
                  </w:r>
                </w:p>
              </w:tc>
              <w:tc>
                <w:tcPr>
                  <w:tcW w:w="3075" w:type="pct"/>
                </w:tcPr>
                <w:p w:rsidR="000C6DC3" w:rsidRPr="00582268" w:rsidRDefault="000C6DC3" w:rsidP="00091AA5">
                  <w:pPr>
                    <w:pStyle w:val="TableBullet"/>
                  </w:pPr>
                  <w:r w:rsidRPr="00582268">
                    <w:t>Bill of exchange</w:t>
                  </w:r>
                  <w:r>
                    <w:t xml:space="preserve"> discounting or financing</w:t>
                  </w:r>
                </w:p>
                <w:p w:rsidR="000C6DC3" w:rsidRPr="00582268" w:rsidRDefault="000C6DC3" w:rsidP="00A365DE">
                  <w:pPr>
                    <w:pStyle w:val="TableBullet"/>
                    <w:ind w:right="0"/>
                  </w:pPr>
                  <w:r>
                    <w:t>Operation of: c</w:t>
                  </w:r>
                  <w:r w:rsidRPr="00582268">
                    <w:t>ommercial finance company</w:t>
                  </w:r>
                  <w:r w:rsidR="00A365DE">
                    <w:t xml:space="preserve">, </w:t>
                  </w:r>
                  <w:r w:rsidRPr="00582268">
                    <w:t>merchant banking</w:t>
                  </w:r>
                </w:p>
                <w:p w:rsidR="000C6DC3" w:rsidRDefault="000C6DC3" w:rsidP="00091AA5">
                  <w:pPr>
                    <w:pStyle w:val="TableBullet"/>
                  </w:pPr>
                  <w:r w:rsidRPr="00582268">
                    <w:t>Money market dealing</w:t>
                  </w:r>
                </w:p>
                <w:p w:rsidR="000C6DC3" w:rsidRPr="00582268" w:rsidRDefault="000C6DC3" w:rsidP="00091AA5">
                  <w:pPr>
                    <w:pStyle w:val="TableBullet"/>
                  </w:pPr>
                  <w:r>
                    <w:t>Depository financial intermediation nec</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ind w:left="423" w:hanging="423"/>
                    <w:jc w:val="left"/>
                  </w:pPr>
                  <w:r w:rsidRPr="00582268">
                    <w:t>623 Non</w:t>
                  </w:r>
                  <w:r w:rsidRPr="00582268">
                    <w:noBreakHyphen/>
                    <w:t>depository intermediation</w:t>
                  </w:r>
                </w:p>
              </w:tc>
              <w:tc>
                <w:tcPr>
                  <w:tcW w:w="3075" w:type="pct"/>
                  <w:shd w:val="clear" w:color="auto" w:fill="auto"/>
                </w:tcPr>
                <w:p w:rsidR="000C6DC3" w:rsidRPr="00582268" w:rsidRDefault="000C6DC3" w:rsidP="00091AA5">
                  <w:pPr>
                    <w:pStyle w:val="TableBullet"/>
                  </w:pPr>
                  <w:r w:rsidRPr="00582268">
                    <w:t>Cooperative housing society operation</w:t>
                  </w:r>
                </w:p>
                <w:p w:rsidR="000C6DC3" w:rsidRPr="00582268" w:rsidRDefault="000C6DC3" w:rsidP="00091AA5">
                  <w:pPr>
                    <w:pStyle w:val="TableBullet"/>
                  </w:pPr>
                  <w:r w:rsidRPr="00582268">
                    <w:t>Credit card issuing operation</w:t>
                  </w:r>
                </w:p>
                <w:p w:rsidR="000C6DC3" w:rsidRPr="00582268" w:rsidRDefault="000C6DC3" w:rsidP="00091AA5">
                  <w:pPr>
                    <w:pStyle w:val="TableBullet"/>
                  </w:pPr>
                  <w:r w:rsidRPr="00582268">
                    <w:t xml:space="preserve">Non-depository financing, home and money </w:t>
                  </w:r>
                  <w:r>
                    <w:t>lending</w:t>
                  </w:r>
                </w:p>
              </w:tc>
            </w:tr>
            <w:tr w:rsidR="000C6DC3" w:rsidRPr="00582268" w:rsidTr="00A365DE">
              <w:tc>
                <w:tcPr>
                  <w:tcW w:w="163" w:type="pct"/>
                </w:tcPr>
                <w:p w:rsidR="000C6DC3" w:rsidRPr="00582268" w:rsidRDefault="000C6DC3" w:rsidP="00091AA5">
                  <w:pPr>
                    <w:pStyle w:val="TableBodyText"/>
                    <w:jc w:val="left"/>
                  </w:pPr>
                </w:p>
              </w:tc>
              <w:tc>
                <w:tcPr>
                  <w:tcW w:w="1762" w:type="pct"/>
                  <w:gridSpan w:val="2"/>
                </w:tcPr>
                <w:p w:rsidR="000C6DC3" w:rsidRPr="00582268" w:rsidRDefault="000C6DC3" w:rsidP="00091AA5">
                  <w:pPr>
                    <w:pStyle w:val="TableBodyText"/>
                    <w:jc w:val="left"/>
                  </w:pPr>
                  <w:r w:rsidRPr="00582268">
                    <w:t xml:space="preserve">624 </w:t>
                  </w:r>
                  <w:r w:rsidR="00870B9A">
                    <w:t>F</w:t>
                  </w:r>
                  <w:r w:rsidR="00870B9A" w:rsidRPr="00873856">
                    <w:t>inancial</w:t>
                  </w:r>
                  <w:r w:rsidRPr="00582268">
                    <w:t xml:space="preserve"> asset investing</w:t>
                  </w:r>
                </w:p>
              </w:tc>
              <w:tc>
                <w:tcPr>
                  <w:tcW w:w="3075" w:type="pct"/>
                </w:tcPr>
                <w:p w:rsidR="000C6DC3" w:rsidRPr="00582268" w:rsidRDefault="000C6DC3" w:rsidP="00091AA5">
                  <w:pPr>
                    <w:pStyle w:val="TableBullet"/>
                  </w:pPr>
                  <w:r>
                    <w:t>Operation of: c</w:t>
                  </w:r>
                  <w:r w:rsidRPr="00582268">
                    <w:t>haritable/educational trust or foundation</w:t>
                  </w:r>
                  <w:r>
                    <w:t>,</w:t>
                  </w:r>
                  <w:r w:rsidRPr="00582268">
                    <w:t xml:space="preserve"> </w:t>
                  </w:r>
                  <w:r>
                    <w:t>f</w:t>
                  </w:r>
                  <w:r w:rsidRPr="00582268">
                    <w:t xml:space="preserve">riendly society, holding company, </w:t>
                  </w:r>
                  <w:r>
                    <w:t xml:space="preserve">investment (own account), </w:t>
                  </w:r>
                  <w:r w:rsidRPr="00582268">
                    <w:t xml:space="preserve">mutual fund </w:t>
                  </w:r>
                  <w:r>
                    <w:t>and unit trust</w:t>
                  </w:r>
                </w:p>
              </w:tc>
            </w:tr>
            <w:tr w:rsidR="000C6DC3" w:rsidRPr="00582268" w:rsidTr="00091AA5">
              <w:tc>
                <w:tcPr>
                  <w:tcW w:w="5000" w:type="pct"/>
                  <w:gridSpan w:val="4"/>
                  <w:shd w:val="clear" w:color="auto" w:fill="auto"/>
                </w:tcPr>
                <w:p w:rsidR="000C6DC3" w:rsidRPr="00582268" w:rsidRDefault="000C6DC3" w:rsidP="00091AA5">
                  <w:pPr>
                    <w:pStyle w:val="TableBodyText"/>
                    <w:ind w:right="28"/>
                    <w:jc w:val="left"/>
                    <w:rPr>
                      <w:b/>
                    </w:rPr>
                  </w:pPr>
                  <w:r w:rsidRPr="00582268">
                    <w:rPr>
                      <w:b/>
                    </w:rPr>
                    <w:t>63 Insurance and superannuation funds</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jc w:val="left"/>
                  </w:pPr>
                  <w:r w:rsidRPr="00582268">
                    <w:t>631 Life insurance</w:t>
                  </w:r>
                </w:p>
              </w:tc>
              <w:tc>
                <w:tcPr>
                  <w:tcW w:w="3075" w:type="pct"/>
                  <w:shd w:val="clear" w:color="auto" w:fill="auto"/>
                </w:tcPr>
                <w:p w:rsidR="000C6DC3" w:rsidRPr="00582268" w:rsidRDefault="000C6DC3" w:rsidP="00091AA5">
                  <w:pPr>
                    <w:pStyle w:val="TableBullet"/>
                  </w:pPr>
                  <w:r w:rsidRPr="00582268">
                    <w:t>Life insurance and reinsurance provision</w:t>
                  </w:r>
                </w:p>
              </w:tc>
            </w:tr>
            <w:tr w:rsidR="008C758A" w:rsidRPr="00582268" w:rsidTr="008C758A">
              <w:tc>
                <w:tcPr>
                  <w:tcW w:w="163" w:type="pct"/>
                </w:tcPr>
                <w:p w:rsidR="008C758A" w:rsidRPr="00582268" w:rsidRDefault="008C758A" w:rsidP="00091AA5">
                  <w:pPr>
                    <w:pStyle w:val="TableBodyText"/>
                    <w:jc w:val="left"/>
                  </w:pPr>
                </w:p>
              </w:tc>
              <w:tc>
                <w:tcPr>
                  <w:tcW w:w="4837" w:type="pct"/>
                  <w:gridSpan w:val="3"/>
                </w:tcPr>
                <w:p w:rsidR="008C758A" w:rsidRPr="00582268" w:rsidRDefault="008C758A" w:rsidP="00091AA5">
                  <w:pPr>
                    <w:pStyle w:val="TableBodyText"/>
                    <w:jc w:val="left"/>
                  </w:pPr>
                  <w:r w:rsidRPr="00582268">
                    <w:t>632 Health and general insurance</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6321 Health insurance</w:t>
                  </w:r>
                </w:p>
              </w:tc>
              <w:tc>
                <w:tcPr>
                  <w:tcW w:w="3075" w:type="pct"/>
                </w:tcPr>
                <w:p w:rsidR="000C6DC3" w:rsidRPr="00582268" w:rsidRDefault="000C6DC3" w:rsidP="00A365DE">
                  <w:pPr>
                    <w:pStyle w:val="TableBullet"/>
                  </w:pPr>
                  <w:r>
                    <w:t>Provision of: funeral benefits</w:t>
                  </w:r>
                  <w:r w:rsidR="00A365DE">
                    <w:t>,</w:t>
                  </w:r>
                  <w:r>
                    <w:t xml:space="preserve"> </w:t>
                  </w:r>
                  <w:r w:rsidR="00A365DE">
                    <w:t xml:space="preserve">dental, </w:t>
                  </w:r>
                  <w:r>
                    <w:t>and health insurance</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091AA5">
                  <w:pPr>
                    <w:pStyle w:val="TableBodyText"/>
                    <w:ind w:left="566" w:hanging="566"/>
                    <w:jc w:val="left"/>
                  </w:pPr>
                  <w:r w:rsidRPr="00582268">
                    <w:t>6322 General insurance</w:t>
                  </w:r>
                </w:p>
              </w:tc>
              <w:tc>
                <w:tcPr>
                  <w:tcW w:w="3075" w:type="pct"/>
                </w:tcPr>
                <w:p w:rsidR="000C6DC3" w:rsidRPr="00582268" w:rsidRDefault="000C6DC3" w:rsidP="00091AA5">
                  <w:pPr>
                    <w:pStyle w:val="TableBullet"/>
                  </w:pPr>
                  <w:r>
                    <w:t>Provision of insurance for: accident, all risks, fire, general, household, mortgage, motor vehicle, owner’s liability, reinsurance, third party, travel and worker's compensation</w:t>
                  </w:r>
                </w:p>
              </w:tc>
            </w:tr>
            <w:tr w:rsidR="000C6DC3" w:rsidRPr="00582268" w:rsidTr="00A365DE">
              <w:tc>
                <w:tcPr>
                  <w:tcW w:w="163" w:type="pct"/>
                  <w:shd w:val="clear" w:color="auto" w:fill="auto"/>
                </w:tcPr>
                <w:p w:rsidR="000C6DC3" w:rsidRPr="00582268" w:rsidRDefault="000C6DC3" w:rsidP="00091AA5">
                  <w:pPr>
                    <w:pStyle w:val="TableBodyText"/>
                    <w:jc w:val="left"/>
                  </w:pPr>
                </w:p>
              </w:tc>
              <w:tc>
                <w:tcPr>
                  <w:tcW w:w="1762" w:type="pct"/>
                  <w:gridSpan w:val="2"/>
                  <w:shd w:val="clear" w:color="auto" w:fill="auto"/>
                </w:tcPr>
                <w:p w:rsidR="000C6DC3" w:rsidRPr="00582268" w:rsidRDefault="000C6DC3" w:rsidP="00091AA5">
                  <w:pPr>
                    <w:pStyle w:val="TableBodyText"/>
                    <w:jc w:val="left"/>
                  </w:pPr>
                  <w:r w:rsidRPr="00582268">
                    <w:t>633 Superannuation funds</w:t>
                  </w:r>
                </w:p>
              </w:tc>
              <w:tc>
                <w:tcPr>
                  <w:tcW w:w="3075" w:type="pct"/>
                  <w:shd w:val="clear" w:color="auto" w:fill="auto"/>
                </w:tcPr>
                <w:p w:rsidR="000C6DC3" w:rsidRPr="00582268" w:rsidRDefault="000C6DC3" w:rsidP="00091AA5">
                  <w:pPr>
                    <w:pStyle w:val="TableBullet"/>
                  </w:pPr>
                  <w:r>
                    <w:t>Operation of : approved deposit (superannuation); pension fund (separately constituted), and superannuation fund (s</w:t>
                  </w:r>
                  <w:r w:rsidRPr="00582268">
                    <w:t>eparately constituted</w:t>
                  </w:r>
                  <w:r>
                    <w:t>)</w:t>
                  </w:r>
                </w:p>
              </w:tc>
            </w:tr>
            <w:tr w:rsidR="000C6DC3" w:rsidRPr="00582268" w:rsidTr="00091AA5">
              <w:tc>
                <w:tcPr>
                  <w:tcW w:w="5000" w:type="pct"/>
                  <w:gridSpan w:val="4"/>
                  <w:shd w:val="clear" w:color="auto" w:fill="auto"/>
                </w:tcPr>
                <w:p w:rsidR="000C6DC3" w:rsidRPr="00582268" w:rsidRDefault="000C6DC3" w:rsidP="00091AA5">
                  <w:pPr>
                    <w:pStyle w:val="TableBodyText"/>
                    <w:ind w:right="28"/>
                    <w:jc w:val="left"/>
                    <w:rPr>
                      <w:b/>
                    </w:rPr>
                  </w:pPr>
                  <w:r w:rsidRPr="00582268">
                    <w:rPr>
                      <w:b/>
                    </w:rPr>
                    <w:t>64 Auxiliary finance and insurance services</w:t>
                  </w:r>
                </w:p>
              </w:tc>
            </w:tr>
            <w:tr w:rsidR="000C6DC3" w:rsidRPr="00582268" w:rsidTr="00091AA5">
              <w:tc>
                <w:tcPr>
                  <w:tcW w:w="163" w:type="pct"/>
                </w:tcPr>
                <w:p w:rsidR="000C6DC3" w:rsidRPr="00582268" w:rsidRDefault="000C6DC3" w:rsidP="00091AA5">
                  <w:pPr>
                    <w:pStyle w:val="TableBodyText"/>
                    <w:jc w:val="left"/>
                  </w:pPr>
                </w:p>
              </w:tc>
              <w:tc>
                <w:tcPr>
                  <w:tcW w:w="4837" w:type="pct"/>
                  <w:gridSpan w:val="3"/>
                </w:tcPr>
                <w:p w:rsidR="000C6DC3" w:rsidRPr="00582268" w:rsidRDefault="000C6DC3" w:rsidP="00091AA5">
                  <w:pPr>
                    <w:pStyle w:val="TableBodyText"/>
                    <w:jc w:val="left"/>
                  </w:pPr>
                  <w:r w:rsidRPr="00582268">
                    <w:t>641 Auxiliary finance and investment services</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6411 Financial asset broking services</w:t>
                  </w:r>
                </w:p>
              </w:tc>
              <w:tc>
                <w:tcPr>
                  <w:tcW w:w="3075" w:type="pct"/>
                </w:tcPr>
                <w:p w:rsidR="000C6DC3" w:rsidRPr="00582268" w:rsidRDefault="000C6DC3" w:rsidP="00091AA5">
                  <w:pPr>
                    <w:pStyle w:val="TableBullet"/>
                  </w:pPr>
                  <w:r w:rsidRPr="00582268">
                    <w:t xml:space="preserve">Commodity futures </w:t>
                  </w:r>
                  <w:r>
                    <w:t>broking</w:t>
                  </w:r>
                  <w:r w:rsidRPr="00582268">
                    <w:t xml:space="preserve"> or dealing</w:t>
                  </w:r>
                </w:p>
                <w:p w:rsidR="000C6DC3" w:rsidRPr="00582268" w:rsidRDefault="000C6DC3" w:rsidP="00091AA5">
                  <w:pPr>
                    <w:pStyle w:val="TableBullet"/>
                  </w:pPr>
                  <w:r w:rsidRPr="00582268">
                    <w:t>Financial asset and stock broking or trading</w:t>
                  </w:r>
                </w:p>
                <w:p w:rsidR="000C6DC3" w:rsidRPr="00582268" w:rsidRDefault="000C6DC3" w:rsidP="00091AA5">
                  <w:pPr>
                    <w:pStyle w:val="TableBullet"/>
                  </w:pPr>
                  <w:r w:rsidRPr="00582268">
                    <w:t xml:space="preserve">Trading of mortgages </w:t>
                  </w:r>
                  <w:r>
                    <w:t>operation</w:t>
                  </w:r>
                </w:p>
              </w:tc>
            </w:tr>
            <w:tr w:rsidR="000C6DC3" w:rsidRPr="00582268" w:rsidTr="00A365DE">
              <w:tc>
                <w:tcPr>
                  <w:tcW w:w="163" w:type="pct"/>
                </w:tcPr>
                <w:p w:rsidR="000C6DC3" w:rsidRPr="00582268" w:rsidRDefault="000C6DC3" w:rsidP="00091AA5">
                  <w:pPr>
                    <w:pStyle w:val="TableBodyText"/>
                    <w:jc w:val="left"/>
                  </w:pPr>
                </w:p>
              </w:tc>
              <w:tc>
                <w:tcPr>
                  <w:tcW w:w="241" w:type="pct"/>
                </w:tcPr>
                <w:p w:rsidR="000C6DC3" w:rsidRPr="00582268" w:rsidRDefault="000C6DC3" w:rsidP="00091AA5">
                  <w:pPr>
                    <w:pStyle w:val="TableBodyText"/>
                    <w:jc w:val="left"/>
                  </w:pPr>
                </w:p>
              </w:tc>
              <w:tc>
                <w:tcPr>
                  <w:tcW w:w="1521" w:type="pct"/>
                </w:tcPr>
                <w:p w:rsidR="000C6DC3" w:rsidRPr="00582268" w:rsidRDefault="000C6DC3" w:rsidP="004B414B">
                  <w:pPr>
                    <w:pStyle w:val="TableBodyText"/>
                    <w:ind w:left="454" w:hanging="454"/>
                    <w:jc w:val="left"/>
                    <w:rPr>
                      <w:i/>
                    </w:rPr>
                  </w:pPr>
                  <w:r w:rsidRPr="00582268">
                    <w:t>6419 Other auxiliary financial and investment services</w:t>
                  </w:r>
                </w:p>
              </w:tc>
              <w:tc>
                <w:tcPr>
                  <w:tcW w:w="3075" w:type="pct"/>
                </w:tcPr>
                <w:p w:rsidR="000C6DC3" w:rsidRPr="00582268" w:rsidRDefault="000C6DC3" w:rsidP="00091AA5">
                  <w:pPr>
                    <w:pStyle w:val="TableBullet"/>
                  </w:pPr>
                  <w:r>
                    <w:t>Services (on a commission or fee basis) of: a</w:t>
                  </w:r>
                  <w:r w:rsidRPr="00582268">
                    <w:t>rranging home loans</w:t>
                  </w:r>
                  <w:r>
                    <w:t xml:space="preserve"> for others; c</w:t>
                  </w:r>
                  <w:r w:rsidRPr="00582268">
                    <w:t>ooperative hous</w:t>
                  </w:r>
                  <w:r>
                    <w:t>ing</w:t>
                  </w:r>
                  <w:r w:rsidRPr="00582268">
                    <w:t xml:space="preserve"> society management</w:t>
                  </w:r>
                  <w:r>
                    <w:t>; insurance fund management; portfolio, investment, management; superannuation fund management</w:t>
                  </w:r>
                </w:p>
                <w:p w:rsidR="000C6DC3" w:rsidRPr="00582268" w:rsidRDefault="000C6DC3" w:rsidP="00A365DE">
                  <w:pPr>
                    <w:pStyle w:val="TableBullet"/>
                    <w:tabs>
                      <w:tab w:val="left" w:pos="5047"/>
                    </w:tabs>
                    <w:ind w:right="0"/>
                  </w:pPr>
                  <w:r>
                    <w:t>Operation of: c</w:t>
                  </w:r>
                  <w:r w:rsidRPr="00582268">
                    <w:t>learing house</w:t>
                  </w:r>
                  <w:r>
                    <w:t>, share registry</w:t>
                  </w:r>
                  <w:r w:rsidR="00A365DE">
                    <w:t xml:space="preserve">, </w:t>
                  </w:r>
                  <w:r>
                    <w:t>stock exchange</w:t>
                  </w:r>
                </w:p>
                <w:p w:rsidR="000C6DC3" w:rsidRPr="00582268" w:rsidRDefault="000C6DC3" w:rsidP="00091AA5">
                  <w:pPr>
                    <w:pStyle w:val="TableBullet"/>
                  </w:pPr>
                  <w:r>
                    <w:t>Services of: c</w:t>
                  </w:r>
                  <w:r w:rsidRPr="00582268">
                    <w:t>redit card administration</w:t>
                  </w:r>
                  <w:r>
                    <w:t>; e</w:t>
                  </w:r>
                  <w:r w:rsidRPr="00582268">
                    <w:t>xecutor</w:t>
                  </w:r>
                  <w:r>
                    <w:t>; f</w:t>
                  </w:r>
                  <w:r w:rsidRPr="00582268">
                    <w:t>inanc</w:t>
                  </w:r>
                  <w:r>
                    <w:t xml:space="preserve">e consultant; </w:t>
                  </w:r>
                  <w:r w:rsidRPr="00582268">
                    <w:t>financial asset investment consultant</w:t>
                  </w:r>
                  <w:r>
                    <w:t>; nominee;</w:t>
                  </w:r>
                  <w:r w:rsidRPr="00582268">
                    <w:t xml:space="preserve"> security valuation</w:t>
                  </w:r>
                  <w:r>
                    <w:t>; trustee; and m</w:t>
                  </w:r>
                  <w:r w:rsidRPr="00582268">
                    <w:t>oney changing (non-bank)</w:t>
                  </w:r>
                </w:p>
              </w:tc>
            </w:tr>
            <w:tr w:rsidR="000C6DC3" w:rsidTr="00A365DE">
              <w:tc>
                <w:tcPr>
                  <w:tcW w:w="163" w:type="pct"/>
                  <w:tcBorders>
                    <w:bottom w:val="single" w:sz="4" w:space="0" w:color="BFBFBF" w:themeColor="background1" w:themeShade="BF"/>
                  </w:tcBorders>
                  <w:shd w:val="clear" w:color="auto" w:fill="auto"/>
                </w:tcPr>
                <w:p w:rsidR="000C6DC3" w:rsidRPr="00582268" w:rsidRDefault="000C6DC3" w:rsidP="00091AA5">
                  <w:pPr>
                    <w:pStyle w:val="TableBodyText"/>
                    <w:jc w:val="left"/>
                  </w:pPr>
                </w:p>
              </w:tc>
              <w:tc>
                <w:tcPr>
                  <w:tcW w:w="1762" w:type="pct"/>
                  <w:gridSpan w:val="2"/>
                  <w:tcBorders>
                    <w:bottom w:val="single" w:sz="4" w:space="0" w:color="BFBFBF" w:themeColor="background1" w:themeShade="BF"/>
                  </w:tcBorders>
                  <w:shd w:val="clear" w:color="auto" w:fill="auto"/>
                </w:tcPr>
                <w:p w:rsidR="000C6DC3" w:rsidRPr="00582268" w:rsidRDefault="000C6DC3" w:rsidP="00091AA5">
                  <w:pPr>
                    <w:pStyle w:val="TableBodyText"/>
                    <w:jc w:val="left"/>
                  </w:pPr>
                  <w:r w:rsidRPr="00582268">
                    <w:t>642 Auxiliary insurance services</w:t>
                  </w:r>
                </w:p>
              </w:tc>
              <w:tc>
                <w:tcPr>
                  <w:tcW w:w="3075" w:type="pct"/>
                  <w:tcBorders>
                    <w:bottom w:val="single" w:sz="4" w:space="0" w:color="BFBFBF" w:themeColor="background1" w:themeShade="BF"/>
                  </w:tcBorders>
                  <w:shd w:val="clear" w:color="auto" w:fill="auto"/>
                </w:tcPr>
                <w:p w:rsidR="000C6DC3" w:rsidRPr="00582268" w:rsidRDefault="000C6DC3" w:rsidP="00091AA5">
                  <w:pPr>
                    <w:pStyle w:val="TableBullet"/>
                  </w:pPr>
                  <w:r>
                    <w:t>A</w:t>
                  </w:r>
                  <w:r w:rsidRPr="00582268">
                    <w:t>ctuarial</w:t>
                  </w:r>
                  <w:r>
                    <w:t>,</w:t>
                  </w:r>
                  <w:r w:rsidRPr="00582268">
                    <w:t xml:space="preserve"> claim adjustment</w:t>
                  </w:r>
                  <w:r>
                    <w:t xml:space="preserve"> and a</w:t>
                  </w:r>
                  <w:r w:rsidRPr="00582268">
                    <w:t>ssessment</w:t>
                  </w:r>
                  <w:r>
                    <w:t>, i</w:t>
                  </w:r>
                  <w:r w:rsidRPr="00582268">
                    <w:t>nsurance agency</w:t>
                  </w:r>
                  <w:r>
                    <w:t>, broking and consultant services</w:t>
                  </w:r>
                </w:p>
              </w:tc>
            </w:tr>
          </w:tbl>
          <w:p w:rsidR="000C6DC3" w:rsidRDefault="000C6DC3" w:rsidP="00091AA5">
            <w:pPr>
              <w:pStyle w:val="Box"/>
            </w:pPr>
          </w:p>
        </w:tc>
      </w:tr>
      <w:tr w:rsidR="000C6DC3" w:rsidTr="00091AA5">
        <w:trPr>
          <w:cantSplit/>
        </w:trPr>
        <w:tc>
          <w:tcPr>
            <w:tcW w:w="8771" w:type="dxa"/>
            <w:tcBorders>
              <w:top w:val="nil"/>
              <w:left w:val="nil"/>
              <w:bottom w:val="nil"/>
              <w:right w:val="nil"/>
            </w:tcBorders>
            <w:shd w:val="clear" w:color="auto" w:fill="auto"/>
          </w:tcPr>
          <w:p w:rsidR="000C6DC3" w:rsidRDefault="000C6DC3" w:rsidP="00C12611">
            <w:pPr>
              <w:pStyle w:val="Source"/>
              <w:spacing w:before="40"/>
            </w:pPr>
            <w:r>
              <w:rPr>
                <w:i/>
              </w:rPr>
              <w:t>Source</w:t>
            </w:r>
            <w:r>
              <w:t xml:space="preserve">: </w:t>
            </w:r>
            <w:r w:rsidR="00C12611">
              <w:t xml:space="preserve">ABS </w:t>
            </w:r>
            <w:r w:rsidR="00040C62">
              <w:t>(</w:t>
            </w:r>
            <w:r w:rsidR="00C12611">
              <w:t>2006</w:t>
            </w:r>
            <w:r w:rsidR="00040C62">
              <w:t>)</w:t>
            </w:r>
            <w:r w:rsidR="00C12611">
              <w:t>.</w:t>
            </w:r>
          </w:p>
        </w:tc>
      </w:tr>
      <w:tr w:rsidR="000C6DC3" w:rsidTr="00091AA5">
        <w:trPr>
          <w:cantSplit/>
        </w:trPr>
        <w:tc>
          <w:tcPr>
            <w:tcW w:w="8771" w:type="dxa"/>
            <w:tcBorders>
              <w:top w:val="nil"/>
              <w:left w:val="nil"/>
              <w:bottom w:val="single" w:sz="6" w:space="0" w:color="78A22F" w:themeColor="accent1"/>
              <w:right w:val="nil"/>
            </w:tcBorders>
            <w:shd w:val="clear" w:color="auto" w:fill="auto"/>
          </w:tcPr>
          <w:p w:rsidR="000C6DC3" w:rsidRDefault="000C6DC3" w:rsidP="00A365DE">
            <w:pPr>
              <w:pStyle w:val="Box"/>
              <w:spacing w:before="0" w:line="60" w:lineRule="exact"/>
            </w:pPr>
          </w:p>
        </w:tc>
      </w:tr>
      <w:tr w:rsidR="000C6DC3" w:rsidRPr="000863A5" w:rsidTr="00091AA5">
        <w:tc>
          <w:tcPr>
            <w:tcW w:w="8771" w:type="dxa"/>
            <w:tcBorders>
              <w:top w:val="single" w:sz="6" w:space="0" w:color="78A22F" w:themeColor="accent1"/>
              <w:left w:val="nil"/>
              <w:bottom w:val="nil"/>
              <w:right w:val="nil"/>
            </w:tcBorders>
          </w:tcPr>
          <w:p w:rsidR="000C6DC3" w:rsidRPr="00626D32" w:rsidRDefault="000C6DC3" w:rsidP="00E53B25">
            <w:pPr>
              <w:pStyle w:val="BoxSpaceBelow"/>
              <w:spacing w:before="0" w:after="0"/>
            </w:pPr>
          </w:p>
        </w:tc>
      </w:tr>
    </w:tbl>
    <w:p w:rsidR="00E754AC" w:rsidRPr="00FB034A" w:rsidRDefault="005D0B4A" w:rsidP="00E754AC">
      <w:pPr>
        <w:pStyle w:val="BodyText"/>
      </w:pPr>
      <w:r>
        <w:t>T</w:t>
      </w:r>
      <w:r w:rsidR="00E754AC">
        <w:t>he Finance subdivision accounts for around 70 per</w:t>
      </w:r>
      <w:r w:rsidR="000A5624">
        <w:t xml:space="preserve"> </w:t>
      </w:r>
      <w:r w:rsidR="00E754AC">
        <w:t>cent</w:t>
      </w:r>
      <w:r w:rsidR="00E754AC" w:rsidRPr="00401E2A">
        <w:t xml:space="preserve"> of </w:t>
      </w:r>
      <w:r w:rsidR="00E754AC">
        <w:t>divisional</w:t>
      </w:r>
      <w:r w:rsidR="00E754AC" w:rsidRPr="00401E2A">
        <w:t xml:space="preserve"> value added</w:t>
      </w:r>
      <w:r w:rsidR="00E754AC">
        <w:t xml:space="preserve"> (figure</w:t>
      </w:r>
      <w:r w:rsidR="00CC090B">
        <w:t> </w:t>
      </w:r>
      <w:r w:rsidR="00A81B99">
        <w:t>2</w:t>
      </w:r>
      <w:r w:rsidR="004B414B">
        <w:t>,</w:t>
      </w:r>
      <w:r w:rsidR="00E754AC">
        <w:t xml:space="preserve"> left-hand panel)</w:t>
      </w:r>
      <w:r w:rsidR="00E754AC" w:rsidRPr="00401E2A">
        <w:t xml:space="preserve">. </w:t>
      </w:r>
      <w:r w:rsidR="000714AD" w:rsidRPr="00A870B7">
        <w:t>FIS accounted for 4</w:t>
      </w:r>
      <w:r w:rsidR="000A5624" w:rsidRPr="00A870B7">
        <w:t> </w:t>
      </w:r>
      <w:r w:rsidR="000714AD" w:rsidRPr="00A870B7">
        <w:t>per</w:t>
      </w:r>
      <w:r w:rsidR="000A5624" w:rsidRPr="00A870B7">
        <w:t xml:space="preserve"> </w:t>
      </w:r>
      <w:r w:rsidR="000714AD" w:rsidRPr="00A870B7">
        <w:t xml:space="preserve">cent of </w:t>
      </w:r>
      <w:r w:rsidR="00040C62" w:rsidRPr="00A870B7">
        <w:t>national</w:t>
      </w:r>
      <w:r w:rsidR="000714AD" w:rsidRPr="00A870B7">
        <w:t xml:space="preserve"> employment in 2011</w:t>
      </w:r>
      <w:r w:rsidR="00447726" w:rsidRPr="00A870B7">
        <w:noBreakHyphen/>
      </w:r>
      <w:r w:rsidR="000714AD" w:rsidRPr="00A870B7">
        <w:t>12</w:t>
      </w:r>
      <w:r w:rsidR="00C12611" w:rsidRPr="00A870B7">
        <w:t xml:space="preserve"> and 9</w:t>
      </w:r>
      <w:r w:rsidR="000A5624" w:rsidRPr="00A870B7">
        <w:t> </w:t>
      </w:r>
      <w:r w:rsidR="00C12611" w:rsidRPr="00A870B7">
        <w:t>per</w:t>
      </w:r>
      <w:r w:rsidR="000A5624" w:rsidRPr="00A870B7">
        <w:t xml:space="preserve"> </w:t>
      </w:r>
      <w:r w:rsidR="00C12611" w:rsidRPr="00A870B7">
        <w:t>cent of GDP</w:t>
      </w:r>
      <w:r w:rsidR="000714AD" w:rsidRPr="00A870B7">
        <w:t>.</w:t>
      </w:r>
      <w:r w:rsidR="000714AD">
        <w:t xml:space="preserve"> </w:t>
      </w:r>
      <w:r w:rsidR="00C12611">
        <w:t xml:space="preserve">Finance is </w:t>
      </w:r>
      <w:r w:rsidR="00E754AC" w:rsidRPr="00401E2A">
        <w:t xml:space="preserve">the largest employer </w:t>
      </w:r>
      <w:r w:rsidR="00E754AC">
        <w:t>but its share of division employment is only around 50 per</w:t>
      </w:r>
      <w:r w:rsidR="000A5624">
        <w:t xml:space="preserve"> </w:t>
      </w:r>
      <w:r w:rsidR="00E754AC">
        <w:t>cent. (figure</w:t>
      </w:r>
      <w:r w:rsidR="000A5624">
        <w:t> </w:t>
      </w:r>
      <w:r w:rsidR="00A81B99">
        <w:t>2</w:t>
      </w:r>
      <w:r w:rsidR="00E754AC">
        <w:t>, right-hand panel).</w:t>
      </w:r>
      <w:r w:rsidR="00682E6A">
        <w:t xml:space="preserve"> </w:t>
      </w:r>
      <w:r w:rsidR="00682E6A" w:rsidRPr="00A870B7">
        <w:t>Labour and capital make up nearly 70</w:t>
      </w:r>
      <w:r w:rsidR="000A5624" w:rsidRPr="00A870B7">
        <w:t> </w:t>
      </w:r>
      <w:r w:rsidR="00682E6A" w:rsidRPr="00A870B7">
        <w:t>per c</w:t>
      </w:r>
      <w:r w:rsidR="00C12611" w:rsidRPr="00A870B7">
        <w:t>ent of FIS</w:t>
      </w:r>
      <w:r w:rsidR="00682E6A" w:rsidRPr="00A870B7">
        <w:t xml:space="preserve"> inputs, with roughly equal shares of capital and labour (figure</w:t>
      </w:r>
      <w:r w:rsidR="000A5624" w:rsidRPr="00A870B7">
        <w:t> </w:t>
      </w:r>
      <w:r w:rsidR="00A81B99" w:rsidRPr="00A870B7">
        <w:t>3</w:t>
      </w:r>
      <w:r w:rsidR="00682E6A" w:rsidRPr="00A870B7">
        <w:t>, left-hand panel).</w:t>
      </w:r>
      <w:r w:rsidR="00682E6A">
        <w:t xml:space="preserve"> </w:t>
      </w:r>
    </w:p>
    <w:p w:rsidR="00E754AC" w:rsidRDefault="00E754AC" w:rsidP="00E754A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E754AC" w:rsidTr="00D74040">
        <w:trPr>
          <w:tblHeader/>
        </w:trPr>
        <w:tc>
          <w:tcPr>
            <w:tcW w:w="8771" w:type="dxa"/>
            <w:tcBorders>
              <w:top w:val="single" w:sz="6" w:space="0" w:color="78A22F"/>
              <w:left w:val="nil"/>
              <w:bottom w:val="nil"/>
              <w:right w:val="nil"/>
            </w:tcBorders>
            <w:shd w:val="clear" w:color="auto" w:fill="auto"/>
          </w:tcPr>
          <w:p w:rsidR="00E754AC" w:rsidRPr="00176D3F" w:rsidRDefault="00E754AC" w:rsidP="00FC2F32">
            <w:pPr>
              <w:pStyle w:val="FigureTitle"/>
            </w:pPr>
            <w:r w:rsidRPr="00784A05">
              <w:rPr>
                <w:b w:val="0"/>
              </w:rPr>
              <w:t>Figure</w:t>
            </w:r>
            <w:r w:rsidR="00A81B99">
              <w:rPr>
                <w:b w:val="0"/>
              </w:rPr>
              <w:t xml:space="preserve"> 2</w:t>
            </w:r>
            <w:r>
              <w:tab/>
            </w:r>
            <w:r w:rsidRPr="00DF191E">
              <w:t>Sub</w:t>
            </w:r>
            <w:r>
              <w:t>division</w:t>
            </w:r>
            <w:r w:rsidRPr="00DF191E">
              <w:t xml:space="preserve"> shares of </w:t>
            </w:r>
            <w:r w:rsidR="00B17744">
              <w:t>FIS</w:t>
            </w:r>
            <w:r w:rsidRPr="00DF191E">
              <w:t xml:space="preserve"> services value added and employment, </w:t>
            </w:r>
            <w:r>
              <w:t>2011</w:t>
            </w:r>
            <w:r w:rsidR="00447726">
              <w:noBreakHyphen/>
            </w:r>
            <w:r>
              <w:t>12</w:t>
            </w:r>
            <w:proofErr w:type="spellStart"/>
            <w:r>
              <w:rPr>
                <w:rStyle w:val="NoteLabel"/>
                <w:b/>
              </w:rPr>
              <w:t>a,b</w:t>
            </w:r>
            <w:proofErr w:type="spellEnd"/>
          </w:p>
        </w:tc>
      </w:tr>
      <w:tr w:rsidR="00E754AC" w:rsidTr="00C82E8A">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E754AC" w:rsidTr="00C82E8A">
              <w:tc>
                <w:tcPr>
                  <w:tcW w:w="2500" w:type="pct"/>
                  <w:tcBorders>
                    <w:top w:val="nil"/>
                    <w:bottom w:val="nil"/>
                  </w:tcBorders>
                </w:tcPr>
                <w:p w:rsidR="00E754AC" w:rsidRDefault="00E754AC" w:rsidP="00C82E8A">
                  <w:pPr>
                    <w:pStyle w:val="Figure"/>
                    <w:spacing w:before="60" w:after="60"/>
                  </w:pPr>
                  <w:r w:rsidRPr="00DF191E">
                    <w:rPr>
                      <w:i/>
                      <w:sz w:val="22"/>
                      <w:szCs w:val="22"/>
                    </w:rPr>
                    <w:t>Value added</w:t>
                  </w:r>
                </w:p>
              </w:tc>
              <w:tc>
                <w:tcPr>
                  <w:tcW w:w="2500" w:type="pct"/>
                  <w:tcBorders>
                    <w:top w:val="nil"/>
                    <w:bottom w:val="nil"/>
                  </w:tcBorders>
                </w:tcPr>
                <w:p w:rsidR="00E754AC" w:rsidRDefault="00E754AC" w:rsidP="00C82E8A">
                  <w:pPr>
                    <w:pStyle w:val="Figure"/>
                    <w:spacing w:before="60" w:after="60"/>
                  </w:pPr>
                  <w:r w:rsidRPr="00DF191E">
                    <w:rPr>
                      <w:i/>
                      <w:sz w:val="22"/>
                      <w:szCs w:val="22"/>
                    </w:rPr>
                    <w:t>Employment (persons)</w:t>
                  </w:r>
                </w:p>
              </w:tc>
            </w:tr>
            <w:tr w:rsidR="00E754AC" w:rsidTr="00C82E8A">
              <w:tc>
                <w:tcPr>
                  <w:tcW w:w="2500" w:type="pct"/>
                  <w:tcBorders>
                    <w:top w:val="nil"/>
                    <w:bottom w:val="nil"/>
                  </w:tcBorders>
                </w:tcPr>
                <w:p w:rsidR="00E754AC" w:rsidRDefault="004B414B" w:rsidP="00C82E8A">
                  <w:pPr>
                    <w:pStyle w:val="Figure"/>
                    <w:spacing w:before="60" w:after="60"/>
                  </w:pPr>
                  <w:r>
                    <w:rPr>
                      <w:noProof/>
                    </w:rPr>
                    <w:drawing>
                      <wp:inline distT="0" distB="0" distL="0" distR="0" wp14:anchorId="70A60E24" wp14:editId="2D797630">
                        <wp:extent cx="2540236" cy="2844000"/>
                        <wp:effectExtent l="0" t="0" r="0" b="0"/>
                        <wp:docPr id="13" name="Picture 13" descr="Figure 2, left hand panel: This figure has two panels. The left panel presents the percentage shares value added and the right panel shows employment (in persons) of the three subdivisions of the FIS services (Finance, Auxiliary services, Insurance and superannuation) in 2011-12. This panel shows Finance accounts for 71 per cent of the value added of FIS services, Auxiliary services 18 per cent and Insurance and superannuation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236" cy="2844000"/>
                                </a:xfrm>
                                <a:prstGeom prst="rect">
                                  <a:avLst/>
                                </a:prstGeom>
                                <a:noFill/>
                                <a:ln>
                                  <a:noFill/>
                                </a:ln>
                              </pic:spPr>
                            </pic:pic>
                          </a:graphicData>
                        </a:graphic>
                      </wp:inline>
                    </w:drawing>
                  </w:r>
                </w:p>
              </w:tc>
              <w:tc>
                <w:tcPr>
                  <w:tcW w:w="2500" w:type="pct"/>
                  <w:tcBorders>
                    <w:top w:val="nil"/>
                    <w:bottom w:val="nil"/>
                  </w:tcBorders>
                </w:tcPr>
                <w:p w:rsidR="00E754AC" w:rsidRDefault="004B414B" w:rsidP="00C82E8A">
                  <w:pPr>
                    <w:pStyle w:val="Figure"/>
                    <w:spacing w:before="60" w:after="60"/>
                  </w:pPr>
                  <w:r>
                    <w:rPr>
                      <w:noProof/>
                    </w:rPr>
                    <w:drawing>
                      <wp:inline distT="0" distB="0" distL="0" distR="0" wp14:anchorId="27B7D3B3" wp14:editId="52413FB6">
                        <wp:extent cx="2556824" cy="2844000"/>
                        <wp:effectExtent l="0" t="0" r="0" b="0"/>
                        <wp:docPr id="15" name="Picture 15" descr="Figure 2, right hand panel: This panel shows Finance accounts for 49 per cent of employment of FIS services, Auxiliary services 30 per cent and Insurance and superannuation 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824" cy="2844000"/>
                                </a:xfrm>
                                <a:prstGeom prst="rect">
                                  <a:avLst/>
                                </a:prstGeom>
                                <a:noFill/>
                                <a:ln>
                                  <a:noFill/>
                                </a:ln>
                              </pic:spPr>
                            </pic:pic>
                          </a:graphicData>
                        </a:graphic>
                      </wp:inline>
                    </w:drawing>
                  </w:r>
                </w:p>
              </w:tc>
            </w:tr>
          </w:tbl>
          <w:p w:rsidR="00E754AC" w:rsidRDefault="00E754AC" w:rsidP="00C82E8A">
            <w:pPr>
              <w:pStyle w:val="Figure"/>
            </w:pPr>
          </w:p>
        </w:tc>
      </w:tr>
      <w:tr w:rsidR="00E754AC" w:rsidRPr="00176D3F" w:rsidTr="00C82E8A">
        <w:tc>
          <w:tcPr>
            <w:tcW w:w="8771" w:type="dxa"/>
            <w:tcBorders>
              <w:top w:val="nil"/>
              <w:left w:val="nil"/>
              <w:bottom w:val="nil"/>
              <w:right w:val="nil"/>
            </w:tcBorders>
            <w:shd w:val="clear" w:color="auto" w:fill="auto"/>
          </w:tcPr>
          <w:p w:rsidR="00E754AC" w:rsidRPr="00805522" w:rsidRDefault="00E754AC" w:rsidP="00447726">
            <w:pPr>
              <w:pStyle w:val="Note"/>
            </w:pPr>
            <w:r>
              <w:rPr>
                <w:rStyle w:val="NoteLabel"/>
              </w:rPr>
              <w:t>a</w:t>
            </w:r>
            <w:r>
              <w:t xml:space="preserve"> </w:t>
            </w:r>
            <w:r w:rsidRPr="00F31204">
              <w:t>Value added measure is gross value added at current basic prices.</w:t>
            </w:r>
            <w:r>
              <w:t xml:space="preserve"> </w:t>
            </w:r>
            <w:r>
              <w:rPr>
                <w:lang w:val="en-US"/>
              </w:rPr>
              <w:t xml:space="preserve">Gross value added is the difference between output and intermediate consumption </w:t>
            </w:r>
            <w:r w:rsidRPr="00515F86">
              <w:rPr>
                <w:szCs w:val="24"/>
              </w:rPr>
              <w:t>(ABS 2013b)</w:t>
            </w:r>
            <w:r>
              <w:rPr>
                <w:lang w:val="en-US"/>
              </w:rPr>
              <w:t xml:space="preserve">. </w:t>
            </w:r>
            <w:r>
              <w:rPr>
                <w:rStyle w:val="NoteLabel"/>
              </w:rPr>
              <w:t xml:space="preserve">b </w:t>
            </w:r>
            <w:r>
              <w:t>Subdivision data are not available for 2012</w:t>
            </w:r>
            <w:r w:rsidR="00447726">
              <w:noBreakHyphen/>
            </w:r>
            <w:r>
              <w:t xml:space="preserve">13. </w:t>
            </w:r>
          </w:p>
        </w:tc>
      </w:tr>
      <w:tr w:rsidR="00E754AC" w:rsidRPr="00176D3F" w:rsidTr="00C82E8A">
        <w:tc>
          <w:tcPr>
            <w:tcW w:w="8771" w:type="dxa"/>
            <w:tcBorders>
              <w:top w:val="nil"/>
              <w:left w:val="nil"/>
              <w:bottom w:val="nil"/>
              <w:right w:val="nil"/>
            </w:tcBorders>
            <w:shd w:val="clear" w:color="auto" w:fill="auto"/>
          </w:tcPr>
          <w:p w:rsidR="00E754AC" w:rsidRPr="00176D3F" w:rsidRDefault="00E754AC" w:rsidP="00FC2F32">
            <w:pPr>
              <w:pStyle w:val="Source"/>
            </w:pPr>
            <w:r>
              <w:rPr>
                <w:i/>
              </w:rPr>
              <w:t>S</w:t>
            </w:r>
            <w:r w:rsidRPr="00784A05">
              <w:rPr>
                <w:i/>
              </w:rPr>
              <w:t>ource</w:t>
            </w:r>
            <w:r w:rsidRPr="00176D3F">
              <w:t xml:space="preserve">: </w:t>
            </w:r>
            <w:r w:rsidR="003D24E3">
              <w:t xml:space="preserve">Authors’ estimates based on </w:t>
            </w:r>
            <w:r>
              <w:t xml:space="preserve">unpublished </w:t>
            </w:r>
            <w:r w:rsidR="003D24E3">
              <w:t xml:space="preserve">ABS </w:t>
            </w:r>
            <w:r>
              <w:t>data</w:t>
            </w:r>
            <w:r w:rsidRPr="00F31204">
              <w:t>; ABS</w:t>
            </w:r>
            <w:r w:rsidR="00931C2A">
              <w:t> </w:t>
            </w:r>
            <w:proofErr w:type="spellStart"/>
            <w:r w:rsidR="00C12611">
              <w:t>2013b</w:t>
            </w:r>
            <w:proofErr w:type="spellEnd"/>
            <w:r w:rsidR="00FC2F32">
              <w:t>.</w:t>
            </w:r>
          </w:p>
        </w:tc>
      </w:tr>
      <w:tr w:rsidR="00E754AC" w:rsidTr="00C82E8A">
        <w:tc>
          <w:tcPr>
            <w:tcW w:w="8771" w:type="dxa"/>
            <w:tcBorders>
              <w:top w:val="nil"/>
              <w:left w:val="nil"/>
              <w:bottom w:val="single" w:sz="6" w:space="0" w:color="78A22F"/>
              <w:right w:val="nil"/>
            </w:tcBorders>
            <w:shd w:val="clear" w:color="auto" w:fill="auto"/>
          </w:tcPr>
          <w:p w:rsidR="00E754AC" w:rsidRDefault="00E754AC" w:rsidP="00C82E8A">
            <w:pPr>
              <w:pStyle w:val="Figurespace"/>
            </w:pPr>
          </w:p>
        </w:tc>
      </w:tr>
      <w:tr w:rsidR="00E754AC" w:rsidRPr="000863A5" w:rsidTr="00C82E8A">
        <w:tc>
          <w:tcPr>
            <w:tcW w:w="8771" w:type="dxa"/>
            <w:tcBorders>
              <w:top w:val="single" w:sz="6" w:space="0" w:color="78A22F"/>
              <w:left w:val="nil"/>
              <w:bottom w:val="nil"/>
              <w:right w:val="nil"/>
            </w:tcBorders>
          </w:tcPr>
          <w:p w:rsidR="00E754AC" w:rsidRPr="00626D32" w:rsidRDefault="00E754AC" w:rsidP="00C82E8A">
            <w:pPr>
              <w:pStyle w:val="BoxSpaceBelow"/>
            </w:pPr>
          </w:p>
        </w:tc>
      </w:tr>
    </w:tbl>
    <w:p w:rsidR="00E754AC" w:rsidRPr="00C82E8A" w:rsidRDefault="00682E6A" w:rsidP="00C82E8A">
      <w:pPr>
        <w:pStyle w:val="Heading3"/>
      </w:pPr>
      <w:r>
        <w:t>Who uses FIS services?</w:t>
      </w:r>
    </w:p>
    <w:p w:rsidR="00E23939" w:rsidRDefault="00C82E8A" w:rsidP="00E754AC">
      <w:pPr>
        <w:pStyle w:val="BodyText"/>
      </w:pPr>
      <w:r>
        <w:t>Households are a major customer for Finance and insurance services taking 33</w:t>
      </w:r>
      <w:r w:rsidR="00796034">
        <w:t> </w:t>
      </w:r>
      <w:r>
        <w:t>per</w:t>
      </w:r>
      <w:r w:rsidR="00796034">
        <w:t xml:space="preserve"> </w:t>
      </w:r>
      <w:r>
        <w:t>cent of output</w:t>
      </w:r>
      <w:r w:rsidR="000714AD">
        <w:t xml:space="preserve"> (figure</w:t>
      </w:r>
      <w:r w:rsidR="000A5624">
        <w:t> </w:t>
      </w:r>
      <w:r w:rsidR="00A81B99">
        <w:t>3</w:t>
      </w:r>
      <w:r w:rsidR="000714AD">
        <w:t>)</w:t>
      </w:r>
      <w:r>
        <w:t xml:space="preserve">. </w:t>
      </w:r>
      <w:r w:rsidR="00A604E7">
        <w:t xml:space="preserve">Both other financial services and non-financial </w:t>
      </w:r>
      <w:r>
        <w:t>services are major client</w:t>
      </w:r>
      <w:r w:rsidR="00A604E7">
        <w:t>s</w:t>
      </w:r>
      <w:r>
        <w:t xml:space="preserve">, </w:t>
      </w:r>
      <w:r w:rsidR="00A604E7">
        <w:t>while manufacturing, mining and agriculture</w:t>
      </w:r>
      <w:r>
        <w:t xml:space="preserve"> </w:t>
      </w:r>
      <w:r w:rsidR="00A604E7">
        <w:t xml:space="preserve">take </w:t>
      </w:r>
      <w:r>
        <w:t>a much smaller share (</w:t>
      </w:r>
      <w:r w:rsidR="00721FC3">
        <w:t>6.3</w:t>
      </w:r>
      <w:r w:rsidR="000A5624">
        <w:t> </w:t>
      </w:r>
      <w:r>
        <w:t>per</w:t>
      </w:r>
      <w:r w:rsidR="00B65AA0">
        <w:t xml:space="preserve"> </w:t>
      </w:r>
      <w:r>
        <w:t xml:space="preserve">cent), reflecting the relatively more </w:t>
      </w:r>
      <w:r w:rsidR="005F752E">
        <w:t>intensive</w:t>
      </w:r>
      <w:r>
        <w:t xml:space="preserve"> use of </w:t>
      </w:r>
      <w:r w:rsidR="00B17744">
        <w:t>FIS</w:t>
      </w:r>
      <w:r>
        <w:t xml:space="preserve"> services in service industries. </w:t>
      </w:r>
      <w:r w:rsidR="00E23939">
        <w:t xml:space="preserve">The </w:t>
      </w:r>
      <w:r w:rsidR="00B17744">
        <w:t>FIS</w:t>
      </w:r>
      <w:r w:rsidR="00E23939">
        <w:t xml:space="preserve"> services division is relatively unusual in that it uses about 19 per</w:t>
      </w:r>
      <w:r w:rsidR="000A5624">
        <w:t xml:space="preserve"> </w:t>
      </w:r>
      <w:r w:rsidR="00E23939">
        <w:t>cent of its output in the</w:t>
      </w:r>
      <w:r w:rsidR="000714AD">
        <w:t xml:space="preserve"> conduct of its own activities</w:t>
      </w:r>
      <w:r w:rsidR="00E23939">
        <w:t>. That is, the sector is a major supplier of intermediate input</w:t>
      </w:r>
      <w:r w:rsidR="00721FC3">
        <w:t>s</w:t>
      </w:r>
      <w:r w:rsidR="00E23939">
        <w:t xml:space="preserve"> to itself. </w:t>
      </w:r>
      <w:r w:rsidRPr="00C56959">
        <w:t xml:space="preserve">This reflects the structure of </w:t>
      </w:r>
      <w:r w:rsidR="00B17744">
        <w:t>FIS</w:t>
      </w:r>
      <w:r w:rsidRPr="00C56959">
        <w:t xml:space="preserve"> services where functions are often outsourced to specialist services providers within the </w:t>
      </w:r>
      <w:r w:rsidR="00721FC3">
        <w:t>sector</w:t>
      </w:r>
      <w:r w:rsidRPr="00C56959">
        <w:t>.</w:t>
      </w:r>
    </w:p>
    <w:p w:rsidR="00C82E8A" w:rsidRDefault="00C82E8A" w:rsidP="00C82E8A">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82E8A" w:rsidTr="00D74040">
        <w:trPr>
          <w:tblHeader/>
        </w:trPr>
        <w:tc>
          <w:tcPr>
            <w:tcW w:w="8771" w:type="dxa"/>
            <w:tcBorders>
              <w:top w:val="single" w:sz="6" w:space="0" w:color="78A22F"/>
              <w:left w:val="nil"/>
              <w:bottom w:val="nil"/>
              <w:right w:val="nil"/>
            </w:tcBorders>
            <w:shd w:val="clear" w:color="auto" w:fill="auto"/>
          </w:tcPr>
          <w:p w:rsidR="00C82E8A" w:rsidRPr="00176D3F" w:rsidRDefault="00C82E8A" w:rsidP="00D71D9B">
            <w:pPr>
              <w:pStyle w:val="FigureTitle"/>
              <w:spacing w:after="40"/>
            </w:pPr>
            <w:r w:rsidRPr="00784A05">
              <w:rPr>
                <w:b w:val="0"/>
              </w:rPr>
              <w:t>Figure</w:t>
            </w:r>
            <w:r w:rsidR="000A5624">
              <w:rPr>
                <w:b w:val="0"/>
              </w:rPr>
              <w:t> </w:t>
            </w:r>
            <w:r w:rsidR="00A81B99">
              <w:rPr>
                <w:b w:val="0"/>
              </w:rPr>
              <w:t>3</w:t>
            </w:r>
            <w:r>
              <w:tab/>
              <w:t xml:space="preserve">Inputs to the production of </w:t>
            </w:r>
            <w:r w:rsidR="00B17744">
              <w:t>FIS</w:t>
            </w:r>
            <w:r>
              <w:t xml:space="preserve"> services and use of its output, 2009</w:t>
            </w:r>
            <w:r>
              <w:noBreakHyphen/>
              <w:t>10</w:t>
            </w:r>
            <w:r w:rsidRPr="00F13911">
              <w:rPr>
                <w:rStyle w:val="NoteLabel"/>
                <w:b/>
              </w:rPr>
              <w:t>a</w:t>
            </w:r>
            <w:r>
              <w:rPr>
                <w:rStyle w:val="NoteLabel"/>
                <w:b/>
              </w:rPr>
              <w:t>,</w:t>
            </w:r>
            <w:r w:rsidRPr="00B47336">
              <w:rPr>
                <w:rStyle w:val="NoteLabel"/>
                <w:b/>
              </w:rPr>
              <w:t>b</w:t>
            </w:r>
          </w:p>
        </w:tc>
      </w:tr>
      <w:tr w:rsidR="00C82E8A" w:rsidTr="00C82E8A">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C82E8A" w:rsidTr="00C82E8A">
              <w:trPr>
                <w:jc w:val="center"/>
              </w:trPr>
              <w:tc>
                <w:tcPr>
                  <w:tcW w:w="5000" w:type="pct"/>
                  <w:tcBorders>
                    <w:top w:val="nil"/>
                    <w:bottom w:val="nil"/>
                  </w:tcBorders>
                </w:tcPr>
                <w:p w:rsidR="00C82E8A" w:rsidRDefault="00947324" w:rsidP="00D71D9B">
                  <w:pPr>
                    <w:pStyle w:val="Figure"/>
                    <w:spacing w:before="0" w:after="0"/>
                  </w:pPr>
                  <w:r>
                    <w:rPr>
                      <w:noProof/>
                    </w:rPr>
                    <w:drawing>
                      <wp:inline distT="0" distB="0" distL="0" distR="0" wp14:anchorId="1D03956E" wp14:editId="2D885B4D">
                        <wp:extent cx="5400040" cy="4157345"/>
                        <wp:effectExtent l="0" t="0" r="0" b="0"/>
                        <wp:docPr id="1" name="Picture 1" descr="Figure 3: This figure illustrates the inputs to the production of FIS services and use of its output in 2009-10. Inputs include labour (34.3 per cent), capital (34.3 per cent), Financial and insurance services (19.2 per cent), Non-financial services (8 per cent), Agriculture, Mining and Manufacturing (0.4 per cent), Imported goods and services (0.5 per cent) and Indirect taxers less subsidies (3.1 per cent). FIS outputs are used for Financial and insurance services (19.2 per cent), Non-financial services (39.3 per cent), Agriculture, Mining and Manufacturing (6.3 per cent), Household consumption (33 per cent), Capital accumulation (1.2 per cent) and Exports (09 per cent). On the inputs side, labour and capital account for 34.3 per cent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_ gragh (vis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157345"/>
                                </a:xfrm>
                                <a:prstGeom prst="rect">
                                  <a:avLst/>
                                </a:prstGeom>
                              </pic:spPr>
                            </pic:pic>
                          </a:graphicData>
                        </a:graphic>
                      </wp:inline>
                    </w:drawing>
                  </w:r>
                </w:p>
              </w:tc>
            </w:tr>
          </w:tbl>
          <w:p w:rsidR="00C82E8A" w:rsidRDefault="00C82E8A" w:rsidP="00C82E8A">
            <w:pPr>
              <w:pStyle w:val="Figure"/>
            </w:pPr>
          </w:p>
        </w:tc>
      </w:tr>
      <w:tr w:rsidR="00C82E8A" w:rsidRPr="00176D3F" w:rsidTr="00C82E8A">
        <w:tc>
          <w:tcPr>
            <w:tcW w:w="8771" w:type="dxa"/>
            <w:tcBorders>
              <w:top w:val="nil"/>
              <w:left w:val="nil"/>
              <w:bottom w:val="nil"/>
              <w:right w:val="nil"/>
            </w:tcBorders>
            <w:shd w:val="clear" w:color="auto" w:fill="auto"/>
          </w:tcPr>
          <w:p w:rsidR="00C82E8A" w:rsidRPr="00B861B9" w:rsidRDefault="00C82E8A" w:rsidP="00C82E8A">
            <w:pPr>
              <w:pStyle w:val="Note"/>
            </w:pPr>
            <w:r>
              <w:rPr>
                <w:rStyle w:val="NoteLabel"/>
              </w:rPr>
              <w:t>a</w:t>
            </w:r>
            <w:r>
              <w:t xml:space="preserve"> </w:t>
            </w:r>
            <w:r w:rsidRPr="00537FBF">
              <w:t>Based on direct allocation of imports</w:t>
            </w:r>
            <w:r>
              <w:t>,</w:t>
            </w:r>
            <w:r w:rsidRPr="00537FBF">
              <w:t xml:space="preserve"> so that the percentages</w:t>
            </w:r>
            <w:r>
              <w:t xml:space="preserve"> for</w:t>
            </w:r>
            <w:r w:rsidRPr="00537FBF">
              <w:t xml:space="preserve"> intermediate inputs refer only to domestically produced inputs.</w:t>
            </w:r>
            <w:r>
              <w:rPr>
                <w:rStyle w:val="NoteLabel"/>
              </w:rPr>
              <w:t xml:space="preserve"> b</w:t>
            </w:r>
            <w:r w:rsidRPr="00537FBF">
              <w:t xml:space="preserve"> </w:t>
            </w:r>
            <w:r>
              <w:t>2009</w:t>
            </w:r>
            <w:r>
              <w:noBreakHyphen/>
              <w:t xml:space="preserve">10 is the latest year for which the ABS has published input-output tables available from the ABS. </w:t>
            </w:r>
            <w:r>
              <w:rPr>
                <w:rStyle w:val="NoteLabel"/>
              </w:rPr>
              <w:t>c</w:t>
            </w:r>
            <w:r>
              <w:t xml:space="preserve"> Calculated as Australian produced inputs divided by total </w:t>
            </w:r>
            <w:r w:rsidR="00B17744">
              <w:t>FIS</w:t>
            </w:r>
            <w:r>
              <w:t xml:space="preserve"> services Australian production. </w:t>
            </w:r>
            <w:r>
              <w:rPr>
                <w:rStyle w:val="NoteLabel"/>
              </w:rPr>
              <w:t>d</w:t>
            </w:r>
            <w:r>
              <w:t xml:space="preserve"> Calculated as use of domestically produced </w:t>
            </w:r>
            <w:r w:rsidR="00B17744">
              <w:t>FIS</w:t>
            </w:r>
            <w:r>
              <w:t xml:space="preserve"> services output divided by total industry uses of domestically produced </w:t>
            </w:r>
            <w:r w:rsidR="00B17744">
              <w:t>FIS</w:t>
            </w:r>
            <w:r>
              <w:t xml:space="preserve"> services output. </w:t>
            </w:r>
            <w:r>
              <w:rPr>
                <w:rStyle w:val="NoteLabel"/>
              </w:rPr>
              <w:t>e</w:t>
            </w:r>
            <w:r>
              <w:t xml:space="preserve"> Value adding factors includes compensation of employees, gross operating surplus and mixed income, taxes less subsidies on products, and o</w:t>
            </w:r>
            <w:r w:rsidRPr="00AA3B5C">
              <w:t>ther taxes less subsidies on production</w:t>
            </w:r>
            <w:r>
              <w:t>.</w:t>
            </w:r>
            <w:r>
              <w:rPr>
                <w:rStyle w:val="NoteLabel"/>
              </w:rPr>
              <w:t>f</w:t>
            </w:r>
            <w:r>
              <w:t> Non</w:t>
            </w:r>
            <w:r>
              <w:noBreakHyphen/>
              <w:t xml:space="preserve">financial services includes: Electricity, gas, water &amp; waste services; Construction; Wholesale trade; Retail trade; Accommodation &amp; food services; Transport, postal &amp; warehousing; Information, media &amp; telecommunications; Rental, hiring &amp; real estate services; Professional, scientific &amp; technical services; Administrative &amp; support services; Public administration &amp; safety; Education &amp; training; Health care &amp; social assistance; Arts &amp; recreation services; and Other services. </w:t>
            </w:r>
          </w:p>
        </w:tc>
      </w:tr>
      <w:tr w:rsidR="00C82E8A" w:rsidRPr="00176D3F" w:rsidTr="00C82E8A">
        <w:tc>
          <w:tcPr>
            <w:tcW w:w="8771" w:type="dxa"/>
            <w:tcBorders>
              <w:top w:val="nil"/>
              <w:left w:val="nil"/>
              <w:bottom w:val="nil"/>
              <w:right w:val="nil"/>
            </w:tcBorders>
            <w:shd w:val="clear" w:color="auto" w:fill="auto"/>
          </w:tcPr>
          <w:p w:rsidR="00C82E8A" w:rsidRPr="00176D3F" w:rsidRDefault="00C82E8A" w:rsidP="0089466D">
            <w:pPr>
              <w:pStyle w:val="Source"/>
            </w:pPr>
            <w:r>
              <w:rPr>
                <w:i/>
              </w:rPr>
              <w:t>Source</w:t>
            </w:r>
            <w:r w:rsidRPr="00176D3F">
              <w:t xml:space="preserve">: </w:t>
            </w:r>
            <w:r>
              <w:t>Based on ABS</w:t>
            </w:r>
            <w:r w:rsidR="00931C2A">
              <w:t> </w:t>
            </w:r>
            <w:r>
              <w:t>(</w:t>
            </w:r>
            <w:r w:rsidR="0089466D">
              <w:t>2013d</w:t>
            </w:r>
            <w:r>
              <w:t>).</w:t>
            </w:r>
          </w:p>
        </w:tc>
      </w:tr>
      <w:tr w:rsidR="00F40A45" w:rsidTr="00073453">
        <w:tc>
          <w:tcPr>
            <w:tcW w:w="8771" w:type="dxa"/>
            <w:tcBorders>
              <w:top w:val="nil"/>
              <w:left w:val="nil"/>
              <w:bottom w:val="single" w:sz="6" w:space="0" w:color="78A22F"/>
              <w:right w:val="nil"/>
            </w:tcBorders>
            <w:shd w:val="clear" w:color="auto" w:fill="auto"/>
          </w:tcPr>
          <w:p w:rsidR="00F40A45" w:rsidRDefault="00F40A45" w:rsidP="00E53B25">
            <w:pPr>
              <w:pStyle w:val="Figurespace"/>
              <w:spacing w:line="80" w:lineRule="exact"/>
            </w:pPr>
          </w:p>
        </w:tc>
      </w:tr>
      <w:tr w:rsidR="00F40A45" w:rsidRPr="000863A5" w:rsidTr="00073453">
        <w:tc>
          <w:tcPr>
            <w:tcW w:w="8771" w:type="dxa"/>
            <w:tcBorders>
              <w:top w:val="single" w:sz="6" w:space="0" w:color="78A22F"/>
              <w:left w:val="nil"/>
              <w:bottom w:val="nil"/>
              <w:right w:val="nil"/>
            </w:tcBorders>
          </w:tcPr>
          <w:p w:rsidR="00F40A45" w:rsidRPr="00626D32" w:rsidRDefault="00F40A45" w:rsidP="00E53B25">
            <w:pPr>
              <w:pStyle w:val="BoxSpaceBelow"/>
              <w:spacing w:before="0" w:after="0"/>
            </w:pPr>
          </w:p>
        </w:tc>
      </w:tr>
    </w:tbl>
    <w:p w:rsidR="00823672" w:rsidRDefault="00823672" w:rsidP="00823672">
      <w:pPr>
        <w:pStyle w:val="Heading3"/>
      </w:pPr>
      <w:r>
        <w:t xml:space="preserve">Trends in productivity growth </w:t>
      </w:r>
    </w:p>
    <w:p w:rsidR="00823672" w:rsidRDefault="00823672" w:rsidP="00823672">
      <w:pPr>
        <w:pStyle w:val="BodyText"/>
      </w:pPr>
      <w:r>
        <w:t>Over the period 1989</w:t>
      </w:r>
      <w:r w:rsidR="00447726">
        <w:noBreakHyphen/>
      </w:r>
      <w:r>
        <w:t>90 to 2012</w:t>
      </w:r>
      <w:r w:rsidR="00447726">
        <w:noBreakHyphen/>
      </w:r>
      <w:r>
        <w:t>13, measured MFP in FIS services is estimated to have increased by an annual average of 2.2</w:t>
      </w:r>
      <w:r w:rsidR="000A5624">
        <w:t> </w:t>
      </w:r>
      <w:r>
        <w:t>per</w:t>
      </w:r>
      <w:r w:rsidR="000A5624">
        <w:t xml:space="preserve"> </w:t>
      </w:r>
      <w:r>
        <w:t>cent (figure </w:t>
      </w:r>
      <w:r w:rsidR="00A81B99">
        <w:t>4</w:t>
      </w:r>
      <w:r>
        <w:t>, right-hand panel). Productivity, measured as MFP, grows when output</w:t>
      </w:r>
      <w:r>
        <w:rPr>
          <w:rStyle w:val="FootnoteReference"/>
        </w:rPr>
        <w:footnoteReference w:id="4"/>
      </w:r>
      <w:r>
        <w:t xml:space="preserve"> grows faster than the combination of labour and </w:t>
      </w:r>
      <w:r>
        <w:lastRenderedPageBreak/>
        <w:t>capital inputs (figure </w:t>
      </w:r>
      <w:r w:rsidR="00A81B99">
        <w:t>4</w:t>
      </w:r>
      <w:r>
        <w:t>, left-hand panel). From 1989</w:t>
      </w:r>
      <w:r w:rsidR="00447726">
        <w:noBreakHyphen/>
      </w:r>
      <w:r>
        <w:t>90 to 2012</w:t>
      </w:r>
      <w:r w:rsidR="00447726">
        <w:noBreakHyphen/>
      </w:r>
      <w:r>
        <w:t>13 output increased by an average 4.6 per</w:t>
      </w:r>
      <w:r w:rsidR="00796034">
        <w:t xml:space="preserve"> </w:t>
      </w:r>
      <w:r>
        <w:t>cent</w:t>
      </w:r>
      <w:r w:rsidR="000A5624">
        <w:t xml:space="preserve"> </w:t>
      </w:r>
      <w:r>
        <w:t>per</w:t>
      </w:r>
      <w:r w:rsidR="000A5624">
        <w:t xml:space="preserve"> </w:t>
      </w:r>
      <w:r>
        <w:t>year, while labour and capital inputs increased by 0.</w:t>
      </w:r>
      <w:r w:rsidR="00B50BE3">
        <w:t>6</w:t>
      </w:r>
      <w:r>
        <w:t> per</w:t>
      </w:r>
      <w:r w:rsidR="000A5624">
        <w:t xml:space="preserve"> </w:t>
      </w:r>
      <w:r>
        <w:t xml:space="preserve">cent and </w:t>
      </w:r>
      <w:r w:rsidR="00B50BE3">
        <w:t>3.9</w:t>
      </w:r>
      <w:r>
        <w:t> per</w:t>
      </w:r>
      <w:r w:rsidR="000A5624">
        <w:t xml:space="preserve"> </w:t>
      </w:r>
      <w:r>
        <w:t>cent</w:t>
      </w:r>
      <w:r w:rsidR="000A5624">
        <w:t xml:space="preserve"> </w:t>
      </w:r>
      <w:r>
        <w:t>per</w:t>
      </w:r>
      <w:r w:rsidR="000A5624">
        <w:t xml:space="preserve"> </w:t>
      </w:r>
      <w:r>
        <w:t xml:space="preserve">year, respectively. </w:t>
      </w:r>
    </w:p>
    <w:p w:rsidR="00823672" w:rsidRDefault="00823672" w:rsidP="00823672">
      <w:pPr>
        <w:pStyle w:val="BodyText"/>
      </w:pPr>
      <w:r>
        <w:t>The changes, however, were not uniform</w:t>
      </w:r>
      <w:r w:rsidR="00E81E74">
        <w:t xml:space="preserve"> over the period. I</w:t>
      </w:r>
      <w:r>
        <w:t xml:space="preserve">n the early 1990s, strong growth in MFP reflected rising output despite declining labour inputs. Since the global financial crisis (GFC) growth in both output and employment paused while capital employed in the industry continued to grow, resulting in a </w:t>
      </w:r>
      <w:r w:rsidR="00E81E74">
        <w:t xml:space="preserve">temporary </w:t>
      </w:r>
      <w:r>
        <w:t>decline in productivity (figure </w:t>
      </w:r>
      <w:r w:rsidR="00A81B99">
        <w:t>4</w:t>
      </w:r>
      <w:r>
        <w:t xml:space="preserve">, right-hand panel). </w:t>
      </w:r>
    </w:p>
    <w:p w:rsidR="00823672" w:rsidRDefault="00823672" w:rsidP="00823672">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23672" w:rsidTr="00D74040">
        <w:trPr>
          <w:tblHeader/>
        </w:trPr>
        <w:tc>
          <w:tcPr>
            <w:tcW w:w="8771" w:type="dxa"/>
            <w:tcBorders>
              <w:top w:val="single" w:sz="6" w:space="0" w:color="78A22F"/>
              <w:left w:val="nil"/>
              <w:bottom w:val="nil"/>
              <w:right w:val="nil"/>
            </w:tcBorders>
            <w:shd w:val="clear" w:color="auto" w:fill="auto"/>
          </w:tcPr>
          <w:p w:rsidR="00823672" w:rsidRDefault="00823672" w:rsidP="00105BA3">
            <w:pPr>
              <w:pStyle w:val="FigureTitle"/>
            </w:pPr>
            <w:r>
              <w:rPr>
                <w:b w:val="0"/>
              </w:rPr>
              <w:t>Figure </w:t>
            </w:r>
            <w:r w:rsidR="00A81B99">
              <w:rPr>
                <w:b w:val="0"/>
              </w:rPr>
              <w:t>4</w:t>
            </w:r>
            <w:r>
              <w:tab/>
              <w:t>Financial and insurance services MFP and its proximate causes</w:t>
            </w:r>
            <w:r w:rsidRPr="00877F30">
              <w:rPr>
                <w:rStyle w:val="NoteLabel"/>
                <w:b/>
              </w:rPr>
              <w:t>a</w:t>
            </w:r>
          </w:p>
          <w:p w:rsidR="00823672" w:rsidRPr="00176D3F" w:rsidRDefault="00823672" w:rsidP="00105BA3">
            <w:pPr>
              <w:pStyle w:val="Subtitle"/>
            </w:pPr>
            <w:r>
              <w:t>Index 1989</w:t>
            </w:r>
            <w:r>
              <w:noBreakHyphen/>
              <w:t>90 = 100</w:t>
            </w:r>
          </w:p>
        </w:tc>
      </w:tr>
      <w:tr w:rsidR="00823672"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823672" w:rsidTr="00105BA3">
              <w:tc>
                <w:tcPr>
                  <w:tcW w:w="2500" w:type="pct"/>
                  <w:tcBorders>
                    <w:top w:val="nil"/>
                    <w:bottom w:val="nil"/>
                  </w:tcBorders>
                </w:tcPr>
                <w:p w:rsidR="00823672" w:rsidRDefault="002C5941" w:rsidP="00105BA3">
                  <w:pPr>
                    <w:pStyle w:val="Figure"/>
                    <w:spacing w:before="60" w:after="60"/>
                  </w:pPr>
                  <w:r>
                    <w:t xml:space="preserve"> </w:t>
                  </w:r>
                  <w:r>
                    <w:rPr>
                      <w:noProof/>
                    </w:rPr>
                    <w:drawing>
                      <wp:inline distT="0" distB="0" distL="0" distR="0" wp14:anchorId="1A62EC9A" wp14:editId="601B8465">
                        <wp:extent cx="2743200" cy="2348230"/>
                        <wp:effectExtent l="0" t="0" r="0" b="0"/>
                        <wp:docPr id="24" name="Picture 24" descr="Figure 4, left hand panel: This figure has two panels. The left panel shows the indexes of value added, labour and capital in the FIS industry over the period between 1989-90 and 2012-13. The right panel presents the index of MFP over the same period.&#10;Over the period 1989-90 to 2012-13, measured MFP in FIS services is estimated to have increased by an annual average of 2.2 per cent. Productivity, measured as MFP, grows when output  grows faster than the combination of labour and capital inputs. From 1989-90 to 2012-13 value added increased by an average 4.6 per cent per year, while labour and capital inputs increased by 0.6 per cent and 3.9 per cent per year,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348230"/>
                                </a:xfrm>
                                <a:prstGeom prst="rect">
                                  <a:avLst/>
                                </a:prstGeom>
                                <a:noFill/>
                                <a:ln>
                                  <a:noFill/>
                                </a:ln>
                              </pic:spPr>
                            </pic:pic>
                          </a:graphicData>
                        </a:graphic>
                      </wp:inline>
                    </w:drawing>
                  </w:r>
                </w:p>
              </w:tc>
              <w:tc>
                <w:tcPr>
                  <w:tcW w:w="2500" w:type="pct"/>
                  <w:tcBorders>
                    <w:top w:val="nil"/>
                    <w:bottom w:val="nil"/>
                  </w:tcBorders>
                </w:tcPr>
                <w:p w:rsidR="00823672" w:rsidRDefault="002C5941" w:rsidP="00105BA3">
                  <w:pPr>
                    <w:pStyle w:val="Figure"/>
                    <w:spacing w:before="60" w:after="60"/>
                  </w:pPr>
                  <w:r>
                    <w:rPr>
                      <w:noProof/>
                    </w:rPr>
                    <w:drawing>
                      <wp:inline distT="0" distB="0" distL="0" distR="0" wp14:anchorId="1AB2F63A" wp14:editId="5E9CD93F">
                        <wp:extent cx="2514600" cy="2694940"/>
                        <wp:effectExtent l="0" t="0" r="0" b="0"/>
                        <wp:docPr id="26" name="Picture 26" descr="Figure 4, right hand panel: See the description for th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694940"/>
                                </a:xfrm>
                                <a:prstGeom prst="rect">
                                  <a:avLst/>
                                </a:prstGeom>
                                <a:noFill/>
                                <a:ln>
                                  <a:noFill/>
                                </a:ln>
                              </pic:spPr>
                            </pic:pic>
                          </a:graphicData>
                        </a:graphic>
                      </wp:inline>
                    </w:drawing>
                  </w:r>
                </w:p>
              </w:tc>
            </w:tr>
          </w:tbl>
          <w:p w:rsidR="00823672" w:rsidRDefault="00823672" w:rsidP="00105BA3">
            <w:pPr>
              <w:pStyle w:val="Figure"/>
            </w:pP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105BA3">
            <w:pPr>
              <w:pStyle w:val="Note"/>
            </w:pPr>
            <w:r>
              <w:rPr>
                <w:rStyle w:val="NoteLabel"/>
              </w:rPr>
              <w:t>a</w:t>
            </w:r>
            <w:r>
              <w:t> Value added and capital are chain volume measures. Labour is hours worked.</w:t>
            </w: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E81E74">
            <w:pPr>
              <w:pStyle w:val="Source"/>
            </w:pPr>
            <w:r>
              <w:rPr>
                <w:i/>
              </w:rPr>
              <w:t>S</w:t>
            </w:r>
            <w:r w:rsidRPr="00784A05">
              <w:rPr>
                <w:i/>
              </w:rPr>
              <w:t>ource</w:t>
            </w:r>
            <w:r w:rsidRPr="00176D3F">
              <w:t xml:space="preserve">: </w:t>
            </w:r>
            <w:r>
              <w:t>ABS</w:t>
            </w:r>
            <w:r w:rsidR="00E81E74">
              <w:t xml:space="preserve"> 2014b.</w:t>
            </w:r>
          </w:p>
        </w:tc>
      </w:tr>
      <w:tr w:rsidR="00823672" w:rsidTr="00105BA3">
        <w:tc>
          <w:tcPr>
            <w:tcW w:w="8771" w:type="dxa"/>
            <w:tcBorders>
              <w:top w:val="nil"/>
              <w:left w:val="nil"/>
              <w:bottom w:val="single" w:sz="6" w:space="0" w:color="78A22F"/>
              <w:right w:val="nil"/>
            </w:tcBorders>
            <w:shd w:val="clear" w:color="auto" w:fill="auto"/>
          </w:tcPr>
          <w:p w:rsidR="00823672" w:rsidRDefault="00823672" w:rsidP="00105BA3">
            <w:pPr>
              <w:pStyle w:val="Figurespace"/>
            </w:pPr>
          </w:p>
        </w:tc>
      </w:tr>
      <w:tr w:rsidR="00823672" w:rsidRPr="000863A5" w:rsidTr="00105BA3">
        <w:tc>
          <w:tcPr>
            <w:tcW w:w="8771" w:type="dxa"/>
            <w:tcBorders>
              <w:top w:val="single" w:sz="6" w:space="0" w:color="78A22F"/>
              <w:left w:val="nil"/>
              <w:bottom w:val="nil"/>
              <w:right w:val="nil"/>
            </w:tcBorders>
          </w:tcPr>
          <w:p w:rsidR="00823672" w:rsidRPr="00626D32" w:rsidRDefault="00823672" w:rsidP="00105BA3">
            <w:pPr>
              <w:pStyle w:val="BoxSpaceBelow"/>
            </w:pPr>
          </w:p>
        </w:tc>
      </w:tr>
    </w:tbl>
    <w:p w:rsidR="00823672" w:rsidRDefault="00823672" w:rsidP="00823672">
      <w:pPr>
        <w:pStyle w:val="Heading4"/>
      </w:pPr>
      <w:r>
        <w:t>The overall trend masks very different trends across the subdivisions</w:t>
      </w:r>
    </w:p>
    <w:p w:rsidR="00823672" w:rsidRDefault="00823672" w:rsidP="00823672">
      <w:pPr>
        <w:pStyle w:val="BodyText"/>
      </w:pPr>
      <w:r>
        <w:t xml:space="preserve">Drawing together additional data on </w:t>
      </w:r>
      <w:r w:rsidR="00E81E74">
        <w:t xml:space="preserve">inputs (capital and labour), </w:t>
      </w:r>
      <w:r>
        <w:t>outputs,</w:t>
      </w:r>
      <w:r w:rsidR="00E81E74">
        <w:t xml:space="preserve"> and intermediate inputs,</w:t>
      </w:r>
      <w:r>
        <w:t xml:space="preserve"> the Commission estimated the growth of MFP in two sub-divisions — Finance and Insurance, superannuation and auxiliary services (ISA)</w:t>
      </w:r>
      <w:r w:rsidR="004E0D12">
        <w:rPr>
          <w:rStyle w:val="FootnoteReference"/>
        </w:rPr>
        <w:footnoteReference w:id="5"/>
      </w:r>
      <w:r>
        <w:t xml:space="preserve">. A more detailed disaggregation was not possible </w:t>
      </w:r>
      <w:r w:rsidR="00A81B99">
        <w:t>as capital series are only available for the sector as a whole and for Finance</w:t>
      </w:r>
      <w:r>
        <w:t>, and the series is only available from 1994</w:t>
      </w:r>
      <w:r w:rsidR="00447726">
        <w:noBreakHyphen/>
      </w:r>
      <w:r>
        <w:t>95 to 2011</w:t>
      </w:r>
      <w:r w:rsidR="00447726">
        <w:noBreakHyphen/>
      </w:r>
      <w:r>
        <w:t>12</w:t>
      </w:r>
      <w:r w:rsidRPr="00D23DD7">
        <w:t>.</w:t>
      </w:r>
    </w:p>
    <w:p w:rsidR="00823672" w:rsidRDefault="00823672" w:rsidP="0083075C">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23672" w:rsidTr="00D74040">
        <w:trPr>
          <w:tblHeader/>
        </w:trPr>
        <w:tc>
          <w:tcPr>
            <w:tcW w:w="8771" w:type="dxa"/>
            <w:tcBorders>
              <w:top w:val="single" w:sz="6" w:space="0" w:color="78A22F"/>
              <w:left w:val="nil"/>
              <w:bottom w:val="nil"/>
              <w:right w:val="nil"/>
            </w:tcBorders>
            <w:shd w:val="clear" w:color="auto" w:fill="auto"/>
          </w:tcPr>
          <w:p w:rsidR="00823672" w:rsidRDefault="00823672" w:rsidP="00105BA3">
            <w:pPr>
              <w:pStyle w:val="FigureTitle"/>
            </w:pPr>
            <w:r>
              <w:rPr>
                <w:b w:val="0"/>
              </w:rPr>
              <w:t>Figure </w:t>
            </w:r>
            <w:r w:rsidR="00A81B99">
              <w:rPr>
                <w:b w:val="0"/>
              </w:rPr>
              <w:t>5</w:t>
            </w:r>
            <w:r>
              <w:tab/>
              <w:t>MFP and its proximate causes for Finance, and Insurance, superannuation and auxiliary services subdivisions</w:t>
            </w:r>
            <w:r w:rsidRPr="00296A37">
              <w:rPr>
                <w:rStyle w:val="NoteLabel"/>
                <w:b/>
              </w:rPr>
              <w:t>a</w:t>
            </w:r>
          </w:p>
          <w:p w:rsidR="00823672" w:rsidRPr="00176D3F" w:rsidRDefault="00823672" w:rsidP="0083075C">
            <w:pPr>
              <w:pStyle w:val="Subtitle"/>
              <w:spacing w:after="0"/>
            </w:pPr>
            <w:r>
              <w:t>Index 1994</w:t>
            </w:r>
            <w:r w:rsidR="00447726">
              <w:noBreakHyphen/>
            </w:r>
            <w:r>
              <w:t>95 = 100</w:t>
            </w:r>
          </w:p>
        </w:tc>
      </w:tr>
      <w:tr w:rsidR="00823672" w:rsidTr="00105BA3">
        <w:tc>
          <w:tcPr>
            <w:tcW w:w="8771" w:type="dxa"/>
            <w:tcBorders>
              <w:top w:val="nil"/>
              <w:left w:val="nil"/>
              <w:bottom w:val="nil"/>
              <w:right w:val="nil"/>
            </w:tcBorders>
            <w:shd w:val="clear" w:color="auto" w:fill="auto"/>
            <w:tcMar>
              <w:top w:w="28" w:type="dxa"/>
              <w:bottom w:w="28" w:type="dxa"/>
            </w:tcMar>
          </w:tcPr>
          <w:tbl>
            <w:tblPr>
              <w:tblW w:w="5000" w:type="pct"/>
              <w:tblLayout w:type="fixed"/>
              <w:tblCellMar>
                <w:top w:w="28" w:type="dxa"/>
                <w:left w:w="0" w:type="dxa"/>
                <w:right w:w="0" w:type="dxa"/>
              </w:tblCellMar>
              <w:tblLook w:val="0000" w:firstRow="0" w:lastRow="0" w:firstColumn="0" w:lastColumn="0" w:noHBand="0" w:noVBand="0"/>
            </w:tblPr>
            <w:tblGrid>
              <w:gridCol w:w="4243"/>
              <w:gridCol w:w="4244"/>
            </w:tblGrid>
            <w:tr w:rsidR="00823672" w:rsidTr="00105BA3">
              <w:tc>
                <w:tcPr>
                  <w:tcW w:w="5000" w:type="pct"/>
                  <w:gridSpan w:val="2"/>
                </w:tcPr>
                <w:p w:rsidR="00823672" w:rsidRPr="00DF6AF7" w:rsidRDefault="00823672" w:rsidP="00211FB1">
                  <w:pPr>
                    <w:pStyle w:val="Figure"/>
                    <w:spacing w:before="0" w:after="0"/>
                    <w:rPr>
                      <w:rFonts w:ascii="Arial" w:hAnsi="Arial"/>
                      <w:i/>
                      <w:sz w:val="18"/>
                    </w:rPr>
                  </w:pPr>
                  <w:r w:rsidRPr="00DF6AF7">
                    <w:rPr>
                      <w:rFonts w:ascii="Arial" w:hAnsi="Arial"/>
                      <w:i/>
                      <w:sz w:val="18"/>
                    </w:rPr>
                    <w:t>Finance</w:t>
                  </w:r>
                </w:p>
              </w:tc>
            </w:tr>
            <w:tr w:rsidR="00823672" w:rsidTr="00105BA3">
              <w:tc>
                <w:tcPr>
                  <w:tcW w:w="2500" w:type="pct"/>
                </w:tcPr>
                <w:p w:rsidR="00823672" w:rsidRDefault="00954F06" w:rsidP="00105BA3">
                  <w:pPr>
                    <w:pStyle w:val="Figure"/>
                    <w:spacing w:before="0" w:after="0"/>
                  </w:pPr>
                  <w:r>
                    <w:rPr>
                      <w:noProof/>
                    </w:rPr>
                    <w:t xml:space="preserve"> </w:t>
                  </w:r>
                  <w:r>
                    <w:rPr>
                      <w:noProof/>
                    </w:rPr>
                    <w:drawing>
                      <wp:inline distT="0" distB="0" distL="0" distR="0" wp14:anchorId="42473F58" wp14:editId="4255FDAB">
                        <wp:extent cx="2521585" cy="2701925"/>
                        <wp:effectExtent l="0" t="0" r="0" b="3175"/>
                        <wp:docPr id="29" name="Picture 29" descr="Figure 5, top left panel: This figure has 4 panels. The top left panel shows the indexes of value added, labour and capital in the Finance industry over the period between 1994-95 and 2011-12. In this industry, capital growth was strong over the whole period, but accelerated from around 2002-03 until the GFC. Growth in labour inputs (measured as hours worked) declined for Finance from 1994-95 to 2001-02 then flattened out again after experiencing several years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c>
                <w:tcPr>
                  <w:tcW w:w="2500" w:type="pct"/>
                </w:tcPr>
                <w:p w:rsidR="00823672" w:rsidRDefault="00954F06" w:rsidP="00105BA3">
                  <w:pPr>
                    <w:pStyle w:val="Figure"/>
                    <w:spacing w:before="0" w:after="0"/>
                  </w:pPr>
                  <w:r>
                    <w:rPr>
                      <w:noProof/>
                    </w:rPr>
                    <w:drawing>
                      <wp:inline distT="0" distB="0" distL="0" distR="0" wp14:anchorId="77F155C5" wp14:editId="00745FCE">
                        <wp:extent cx="2521585" cy="2701925"/>
                        <wp:effectExtent l="0" t="0" r="0" b="3175"/>
                        <wp:docPr id="30" name="Picture 30" descr="Figure 5, top right panel: This panel presents the index of MFP in the Finance industry over the same period between 1994-94 and 2011-12. &#10;For this industry, the average annual MFP growth over this period was 1.9 per cent, but averaged 0.6 per cent per year for Finance compared with 2.0 per cent per year for ISA (bottom right panels). While MFP for Finance has been relatively flat, MFP for Insurance, superannuation and auxiliary services has been much more volatile. This volatility reflects volatility in output more than inputs, as input growth has tended to change more smoothly over the period (top and bottom left panels). This dominance of changes in output growth on productivity growth is less apparent in the sector level growth, in part as Finance is such a large share of FIS and in part as the movements across the subdivisions have been in  opposite dir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r>
            <w:tr w:rsidR="00823672" w:rsidTr="00105BA3">
              <w:tc>
                <w:tcPr>
                  <w:tcW w:w="5000" w:type="pct"/>
                  <w:gridSpan w:val="2"/>
                </w:tcPr>
                <w:p w:rsidR="00823672" w:rsidRPr="00DF6AF7" w:rsidRDefault="00823672" w:rsidP="00105BA3">
                  <w:pPr>
                    <w:pStyle w:val="Figure"/>
                    <w:spacing w:before="40" w:after="0"/>
                    <w:rPr>
                      <w:rFonts w:ascii="Arial" w:hAnsi="Arial"/>
                      <w:i/>
                      <w:sz w:val="18"/>
                    </w:rPr>
                  </w:pPr>
                  <w:r w:rsidRPr="00DF6AF7">
                    <w:rPr>
                      <w:rFonts w:ascii="Arial" w:hAnsi="Arial"/>
                      <w:i/>
                      <w:sz w:val="18"/>
                    </w:rPr>
                    <w:t>Insurance, superannuation and auxiliary services</w:t>
                  </w:r>
                </w:p>
              </w:tc>
            </w:tr>
            <w:tr w:rsidR="00823672" w:rsidTr="00105BA3">
              <w:tc>
                <w:tcPr>
                  <w:tcW w:w="2500" w:type="pct"/>
                </w:tcPr>
                <w:p w:rsidR="00823672" w:rsidRDefault="00211FB1" w:rsidP="00105BA3">
                  <w:pPr>
                    <w:pStyle w:val="Figure"/>
                    <w:spacing w:before="0" w:after="0"/>
                    <w:rPr>
                      <w:noProof/>
                    </w:rPr>
                  </w:pPr>
                  <w:r>
                    <w:rPr>
                      <w:noProof/>
                    </w:rPr>
                    <w:t xml:space="preserve"> </w:t>
                  </w:r>
                  <w:r>
                    <w:rPr>
                      <w:noProof/>
                    </w:rPr>
                    <w:drawing>
                      <wp:inline distT="0" distB="0" distL="0" distR="0" wp14:anchorId="0B8C1145" wp14:editId="177F36B9">
                        <wp:extent cx="2514600" cy="2694940"/>
                        <wp:effectExtent l="0" t="0" r="0" b="0"/>
                        <wp:docPr id="32" name="Picture 32" descr="Figure 5, bottom left panel: This panel shows the indexes of value added, labour and capital in the combined Insurance, superannuation and auxiliary services over the period between 1994-95 and 2011-12. &#10;For these industries, capital growth was strong until about 2003-04, before slowing considerably. Growth of labour was slow between 1994-95 and 2004-05, it accelerated since and came close to the index of capital in 2011-12. The growth of value added was very strong between 1997-98 and 2006-07, declined sharply between 2006-07 and 2009-10 and increase mildly in the years to 2011-1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694940"/>
                                </a:xfrm>
                                <a:prstGeom prst="rect">
                                  <a:avLst/>
                                </a:prstGeom>
                                <a:noFill/>
                                <a:ln>
                                  <a:noFill/>
                                </a:ln>
                              </pic:spPr>
                            </pic:pic>
                          </a:graphicData>
                        </a:graphic>
                      </wp:inline>
                    </w:drawing>
                  </w:r>
                </w:p>
              </w:tc>
              <w:tc>
                <w:tcPr>
                  <w:tcW w:w="2500" w:type="pct"/>
                </w:tcPr>
                <w:p w:rsidR="00823672" w:rsidRDefault="00211FB1" w:rsidP="00105BA3">
                  <w:pPr>
                    <w:pStyle w:val="Figure"/>
                    <w:spacing w:before="0" w:after="0"/>
                  </w:pPr>
                  <w:r>
                    <w:rPr>
                      <w:noProof/>
                    </w:rPr>
                    <w:drawing>
                      <wp:inline distT="0" distB="0" distL="0" distR="0" wp14:anchorId="06630E19" wp14:editId="2120775D">
                        <wp:extent cx="2514600" cy="2701925"/>
                        <wp:effectExtent l="0" t="0" r="0" b="3175"/>
                        <wp:docPr id="31" name="Picture 31" descr="Figure 5, bottom right panel: See the description for the top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r w:rsidR="00823672" w:rsidTr="00105BA3">
              <w:tc>
                <w:tcPr>
                  <w:tcW w:w="2500" w:type="pct"/>
                </w:tcPr>
                <w:p w:rsidR="00823672" w:rsidRDefault="00D74040" w:rsidP="00105BA3">
                  <w:pPr>
                    <w:pStyle w:val="Figure"/>
                    <w:spacing w:before="0" w:after="0"/>
                  </w:pPr>
                  <w:r>
                    <w:rPr>
                      <w:noProof/>
                    </w:rPr>
                    <w:drawing>
                      <wp:inline distT="0" distB="0" distL="0" distR="0" wp14:anchorId="758FF54C" wp14:editId="2EC26A3F">
                        <wp:extent cx="2647950" cy="190500"/>
                        <wp:effectExtent l="0" t="0" r="0" b="0"/>
                        <wp:docPr id="5" name="Picture 5" descr="Figure 5 legend for left hand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22681"/>
                                <a:stretch>
                                  <a:fillRect/>
                                </a:stretch>
                              </pic:blipFill>
                              <pic:spPr bwMode="auto">
                                <a:xfrm>
                                  <a:off x="0" y="0"/>
                                  <a:ext cx="2647950" cy="190500"/>
                                </a:xfrm>
                                <a:prstGeom prst="rect">
                                  <a:avLst/>
                                </a:prstGeom>
                                <a:noFill/>
                                <a:ln>
                                  <a:noFill/>
                                </a:ln>
                              </pic:spPr>
                            </pic:pic>
                          </a:graphicData>
                        </a:graphic>
                      </wp:inline>
                    </w:drawing>
                  </w:r>
                </w:p>
              </w:tc>
              <w:tc>
                <w:tcPr>
                  <w:tcW w:w="2500" w:type="pct"/>
                </w:tcPr>
                <w:p w:rsidR="00823672" w:rsidRDefault="00D74040" w:rsidP="00105BA3">
                  <w:pPr>
                    <w:pStyle w:val="Figure"/>
                    <w:spacing w:before="0" w:after="0"/>
                  </w:pPr>
                  <w:r>
                    <w:rPr>
                      <w:noProof/>
                    </w:rPr>
                    <w:drawing>
                      <wp:inline distT="0" distB="0" distL="0" distR="0" wp14:anchorId="7372B7E5" wp14:editId="1305B133">
                        <wp:extent cx="2647950" cy="180975"/>
                        <wp:effectExtent l="0" t="0" r="0" b="9525"/>
                        <wp:docPr id="6" name="Picture 6" descr="Figure 5 legend for right hand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t="25774"/>
                                <a:stretch>
                                  <a:fillRect/>
                                </a:stretch>
                              </pic:blipFill>
                              <pic:spPr bwMode="auto">
                                <a:xfrm>
                                  <a:off x="0" y="0"/>
                                  <a:ext cx="2647950" cy="180975"/>
                                </a:xfrm>
                                <a:prstGeom prst="rect">
                                  <a:avLst/>
                                </a:prstGeom>
                                <a:noFill/>
                                <a:ln>
                                  <a:noFill/>
                                </a:ln>
                              </pic:spPr>
                            </pic:pic>
                          </a:graphicData>
                        </a:graphic>
                      </wp:inline>
                    </w:drawing>
                  </w:r>
                </w:p>
              </w:tc>
            </w:tr>
          </w:tbl>
          <w:p w:rsidR="00823672" w:rsidRDefault="00823672" w:rsidP="00105BA3">
            <w:pPr>
              <w:pStyle w:val="Figure"/>
            </w:pP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83075C">
            <w:pPr>
              <w:pStyle w:val="Note"/>
              <w:spacing w:before="40"/>
            </w:pPr>
            <w:r>
              <w:rPr>
                <w:rStyle w:val="NoteLabel"/>
              </w:rPr>
              <w:t>a</w:t>
            </w:r>
            <w:r>
              <w:t> Value added and capital are chain volume measures. Labour is hours worked.</w:t>
            </w:r>
          </w:p>
        </w:tc>
      </w:tr>
      <w:tr w:rsidR="00823672" w:rsidRPr="00176D3F" w:rsidTr="00105BA3">
        <w:tc>
          <w:tcPr>
            <w:tcW w:w="8771" w:type="dxa"/>
            <w:tcBorders>
              <w:top w:val="nil"/>
              <w:left w:val="nil"/>
              <w:bottom w:val="nil"/>
              <w:right w:val="nil"/>
            </w:tcBorders>
            <w:shd w:val="clear" w:color="auto" w:fill="auto"/>
          </w:tcPr>
          <w:p w:rsidR="00823672" w:rsidRPr="00176D3F" w:rsidRDefault="00823672" w:rsidP="00105BA3">
            <w:pPr>
              <w:pStyle w:val="Source"/>
            </w:pPr>
            <w:r>
              <w:rPr>
                <w:i/>
              </w:rPr>
              <w:t>Source</w:t>
            </w:r>
            <w:r w:rsidRPr="00176D3F">
              <w:t>:</w:t>
            </w:r>
            <w:r>
              <w:t xml:space="preserve"> Authors’ estimates.</w:t>
            </w:r>
          </w:p>
        </w:tc>
      </w:tr>
      <w:tr w:rsidR="00823672" w:rsidTr="00105BA3">
        <w:tc>
          <w:tcPr>
            <w:tcW w:w="8771" w:type="dxa"/>
            <w:tcBorders>
              <w:top w:val="nil"/>
              <w:left w:val="nil"/>
              <w:bottom w:val="single" w:sz="6" w:space="0" w:color="78A22F"/>
              <w:right w:val="nil"/>
            </w:tcBorders>
            <w:shd w:val="clear" w:color="auto" w:fill="auto"/>
          </w:tcPr>
          <w:p w:rsidR="00823672" w:rsidRDefault="00823672" w:rsidP="00105BA3">
            <w:pPr>
              <w:pStyle w:val="Figurespace"/>
            </w:pPr>
          </w:p>
        </w:tc>
      </w:tr>
      <w:tr w:rsidR="00823672" w:rsidRPr="000863A5" w:rsidTr="00105BA3">
        <w:tc>
          <w:tcPr>
            <w:tcW w:w="8771" w:type="dxa"/>
            <w:tcBorders>
              <w:top w:val="single" w:sz="6" w:space="0" w:color="78A22F"/>
              <w:left w:val="nil"/>
              <w:bottom w:val="nil"/>
              <w:right w:val="nil"/>
            </w:tcBorders>
          </w:tcPr>
          <w:p w:rsidR="00823672" w:rsidRPr="00626D32" w:rsidRDefault="00823672" w:rsidP="00105BA3">
            <w:pPr>
              <w:pStyle w:val="BoxSpaceBelow"/>
              <w:spacing w:after="0"/>
            </w:pPr>
          </w:p>
        </w:tc>
      </w:tr>
    </w:tbl>
    <w:p w:rsidR="00321E7F" w:rsidRDefault="00321E7F" w:rsidP="00321E7F">
      <w:pPr>
        <w:pStyle w:val="BodyText"/>
      </w:pPr>
      <w:r>
        <w:t>For the whole sector, t</w:t>
      </w:r>
      <w:r w:rsidRPr="008B20E5">
        <w:t xml:space="preserve">he </w:t>
      </w:r>
      <w:r>
        <w:t xml:space="preserve">average annual MFP growth over this shorter period was 1.9 per cent, but averaged 0.6 per cent per year for Finance compared with 2.0 per cent per year for ISA (figure 5, top and bottom right panels). While MFP for Finance has been relatively flat, MFP for ISA has been much more volatile. This volatility reflects volatility in output more than inputs, as input growth has tended to change more smoothly over the period (figure 5, top and bottom left panels). This dominance of changes in output growth on </w:t>
      </w:r>
      <w:r>
        <w:lastRenderedPageBreak/>
        <w:t>productivity growth is less apparent in the sector level growth, in part as Finance is such a large share of FIS and in part as the movements across the subdivisions have been in opposite directions (see below).</w:t>
      </w:r>
    </w:p>
    <w:p w:rsidR="00CA7E21" w:rsidRDefault="00823672" w:rsidP="00823672">
      <w:pPr>
        <w:pStyle w:val="BodyText"/>
      </w:pPr>
      <w:r>
        <w:t>While output volatility has dominated, there are also some fairly clear patterns in the growth rates of both capital and labour in the two sub-divisions. Capital growth was strong in Finance over the whole period, but accelerated from around 2002</w:t>
      </w:r>
      <w:r w:rsidR="00447726">
        <w:noBreakHyphen/>
      </w:r>
      <w:r>
        <w:t>03</w:t>
      </w:r>
      <w:r w:rsidR="00E81E74">
        <w:t xml:space="preserve"> </w:t>
      </w:r>
      <w:r w:rsidR="005F752E">
        <w:t xml:space="preserve">until </w:t>
      </w:r>
      <w:r w:rsidR="00E81E74">
        <w:t>the GFC</w:t>
      </w:r>
      <w:r>
        <w:t>. It was the reverse for Insurance, superannuation and auxiliary services, as capital growth was strong until about 2003</w:t>
      </w:r>
      <w:r w:rsidR="00447726">
        <w:noBreakHyphen/>
      </w:r>
      <w:r>
        <w:t>04, before slowing considerably. Growth in labour inputs (measured as hours worked) declined for Finance from 1994</w:t>
      </w:r>
      <w:r w:rsidR="00447726">
        <w:noBreakHyphen/>
      </w:r>
      <w:r>
        <w:t>95 to 2001</w:t>
      </w:r>
      <w:r w:rsidR="00447726">
        <w:noBreakHyphen/>
      </w:r>
      <w:r>
        <w:t>02 then flattened out again after experiencing several years of growth. I</w:t>
      </w:r>
      <w:r w:rsidR="00AC0E4F">
        <w:t>SA</w:t>
      </w:r>
      <w:r>
        <w:t xml:space="preserve"> services experienced almost the opposite pattern in labour input growth, declining during the period of stronger labour input growth in Finance, and growing in the other periods. This apparent inverse relationship in input growth raises questions about the pattern of </w:t>
      </w:r>
      <w:r w:rsidR="00105BA3">
        <w:t xml:space="preserve">intermediate input use </w:t>
      </w:r>
      <w:r w:rsidR="0088562E">
        <w:t>within the sector.</w:t>
      </w:r>
    </w:p>
    <w:p w:rsidR="0088562E" w:rsidRDefault="0005014F" w:rsidP="00823672">
      <w:pPr>
        <w:pStyle w:val="BodyText"/>
      </w:pPr>
      <w:r>
        <w:t xml:space="preserve">Average </w:t>
      </w:r>
      <w:r w:rsidR="0088562E">
        <w:t>MFP is commonly measured over cycles (peak to peak) to smooth out the effect of the business cycle on the utilisat</w:t>
      </w:r>
      <w:r w:rsidR="00A81B99">
        <w:t>ion of fixed resources</w:t>
      </w:r>
      <w:r w:rsidR="00E81E74">
        <w:t xml:space="preserve"> (Barnes</w:t>
      </w:r>
      <w:r w:rsidR="00931C2A">
        <w:t> </w:t>
      </w:r>
      <w:r w:rsidR="00E81E74">
        <w:t>2011)</w:t>
      </w:r>
      <w:r w:rsidR="00A81B99">
        <w:t xml:space="preserve">. </w:t>
      </w:r>
      <w:r w:rsidR="00E81E74">
        <w:t>ISA averaged 7.2</w:t>
      </w:r>
      <w:r w:rsidR="00447726">
        <w:t> </w:t>
      </w:r>
      <w:r w:rsidR="00E81E74">
        <w:t>per</w:t>
      </w:r>
      <w:r w:rsidR="00447726">
        <w:t xml:space="preserve"> </w:t>
      </w:r>
      <w:r w:rsidR="00E81E74">
        <w:t>cent a year over cycles 2 and 3 (1998</w:t>
      </w:r>
      <w:r w:rsidR="00447726">
        <w:noBreakHyphen/>
      </w:r>
      <w:r w:rsidR="00E81E74">
        <w:t>99 to 2007</w:t>
      </w:r>
      <w:r w:rsidR="00931C2A">
        <w:noBreakHyphen/>
      </w:r>
      <w:r w:rsidR="005F752E">
        <w:t>08</w:t>
      </w:r>
      <w:r w:rsidR="00E81E74">
        <w:t>), before a steep decline from its 2007</w:t>
      </w:r>
      <w:r w:rsidR="00092C5A">
        <w:noBreakHyphen/>
      </w:r>
      <w:r w:rsidR="00E81E74">
        <w:t>08 level (averaging -7.4</w:t>
      </w:r>
      <w:r w:rsidR="000A5624">
        <w:t> </w:t>
      </w:r>
      <w:r w:rsidR="00E81E74">
        <w:t>per cent per year) (figure</w:t>
      </w:r>
      <w:r w:rsidR="000A5624">
        <w:t> </w:t>
      </w:r>
      <w:r w:rsidR="00E81E74">
        <w:t>6).</w:t>
      </w:r>
    </w:p>
    <w:p w:rsidR="0088562E" w:rsidRDefault="0088562E" w:rsidP="0088562E">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8562E" w:rsidTr="00D74040">
        <w:trPr>
          <w:tblHeader/>
        </w:trPr>
        <w:tc>
          <w:tcPr>
            <w:tcW w:w="8771" w:type="dxa"/>
            <w:tcBorders>
              <w:top w:val="single" w:sz="6" w:space="0" w:color="78A22F"/>
              <w:left w:val="nil"/>
              <w:bottom w:val="nil"/>
              <w:right w:val="nil"/>
            </w:tcBorders>
            <w:shd w:val="clear" w:color="auto" w:fill="auto"/>
          </w:tcPr>
          <w:p w:rsidR="0088562E" w:rsidRDefault="0088562E" w:rsidP="00105BA3">
            <w:pPr>
              <w:pStyle w:val="FigureTitle"/>
            </w:pPr>
            <w:r>
              <w:rPr>
                <w:b w:val="0"/>
              </w:rPr>
              <w:t>Figure </w:t>
            </w:r>
            <w:r w:rsidR="00A81B99">
              <w:rPr>
                <w:b w:val="0"/>
              </w:rPr>
              <w:t>6</w:t>
            </w:r>
            <w:r>
              <w:tab/>
            </w:r>
            <w:r w:rsidRPr="00C70146">
              <w:t xml:space="preserve">MFP for the </w:t>
            </w:r>
            <w:r>
              <w:t>Financial and insurance services</w:t>
            </w:r>
            <w:r w:rsidRPr="00C70146">
              <w:t xml:space="preserve"> </w:t>
            </w:r>
            <w:r>
              <w:t>division</w:t>
            </w:r>
            <w:r w:rsidRPr="00C70146">
              <w:t xml:space="preserve"> and for </w:t>
            </w:r>
            <w:r>
              <w:t>its subdivisions</w:t>
            </w:r>
            <w:r w:rsidRPr="00480A6B">
              <w:rPr>
                <w:rStyle w:val="NoteLabel"/>
                <w:b/>
              </w:rPr>
              <w:t>a</w:t>
            </w:r>
          </w:p>
          <w:p w:rsidR="0088562E" w:rsidRPr="00176D3F" w:rsidRDefault="0088562E" w:rsidP="00105BA3">
            <w:pPr>
              <w:pStyle w:val="Subtitle"/>
            </w:pPr>
            <w:r w:rsidRPr="00C70146">
              <w:t>Index 1994</w:t>
            </w:r>
            <w:r>
              <w:noBreakHyphen/>
            </w:r>
            <w:r w:rsidRPr="00C70146">
              <w:t>95 = 100</w:t>
            </w:r>
            <w:r>
              <w:t xml:space="preserve"> </w:t>
            </w:r>
            <w:r w:rsidRPr="0018658C">
              <w:t>and average annual growth rate (per cent)</w:t>
            </w:r>
          </w:p>
        </w:tc>
      </w:tr>
      <w:tr w:rsidR="0088562E" w:rsidTr="00105BA3">
        <w:tc>
          <w:tcPr>
            <w:tcW w:w="8771" w:type="dxa"/>
            <w:tcBorders>
              <w:top w:val="nil"/>
              <w:left w:val="nil"/>
              <w:bottom w:val="nil"/>
              <w:right w:val="nil"/>
            </w:tcBorders>
            <w:shd w:val="clear" w:color="auto" w:fill="auto"/>
            <w:tcMar>
              <w:top w:w="28" w:type="dxa"/>
              <w:bottom w:w="28" w:type="dxa"/>
            </w:tcMar>
          </w:tcPr>
          <w:tbl>
            <w:tblPr>
              <w:tblW w:w="4996"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0"/>
            </w:tblGrid>
            <w:tr w:rsidR="0088562E" w:rsidTr="00105BA3">
              <w:tc>
                <w:tcPr>
                  <w:tcW w:w="5000" w:type="pct"/>
                  <w:tcBorders>
                    <w:top w:val="nil"/>
                    <w:bottom w:val="nil"/>
                  </w:tcBorders>
                </w:tcPr>
                <w:p w:rsidR="0088562E" w:rsidRDefault="00947324" w:rsidP="00105BA3">
                  <w:pPr>
                    <w:pStyle w:val="Figure"/>
                    <w:spacing w:before="60" w:after="60"/>
                  </w:pPr>
                  <w:r>
                    <w:rPr>
                      <w:noProof/>
                    </w:rPr>
                    <w:drawing>
                      <wp:inline distT="0" distB="0" distL="0" distR="0" wp14:anchorId="5C6B9F4F" wp14:editId="27CB72DE">
                        <wp:extent cx="5390809" cy="2755075"/>
                        <wp:effectExtent l="0" t="0" r="635" b="7620"/>
                        <wp:docPr id="18" name="Picture 18" descr="Figure 6: This figure shows indexes of MFP for the Financial and insurance services divisions and for its two subdivisions — Finance and ISA between 1994-95 and 2012-13.&#10;Averaged MFP is commonly measured over cycles (peak to peak) to smooth out the effect of the business cycle on the utilisation of fixed resources. ISA averaged 7.2 per cent a year over cycles 2 and 3 (1998-99 to 2007-08), before a steep decline from its 2007-08 level (averaging -7.4 per cent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132"/>
                                <a:stretch/>
                              </pic:blipFill>
                              <pic:spPr bwMode="auto">
                                <a:xfrm>
                                  <a:off x="0" y="0"/>
                                  <a:ext cx="5391150" cy="27552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8562E" w:rsidRDefault="0088562E" w:rsidP="00105BA3">
            <w:pPr>
              <w:pStyle w:val="Figure"/>
            </w:pPr>
          </w:p>
        </w:tc>
      </w:tr>
      <w:tr w:rsidR="0088562E" w:rsidRPr="00176D3F" w:rsidTr="00105BA3">
        <w:tc>
          <w:tcPr>
            <w:tcW w:w="8771" w:type="dxa"/>
            <w:tcBorders>
              <w:top w:val="nil"/>
              <w:left w:val="nil"/>
              <w:bottom w:val="nil"/>
              <w:right w:val="nil"/>
            </w:tcBorders>
            <w:shd w:val="clear" w:color="auto" w:fill="auto"/>
          </w:tcPr>
          <w:p w:rsidR="0088562E" w:rsidRPr="00E704A3" w:rsidRDefault="0088562E" w:rsidP="00B376C2">
            <w:pPr>
              <w:pStyle w:val="Note"/>
            </w:pPr>
            <w:r w:rsidRPr="00AF541E">
              <w:rPr>
                <w:rStyle w:val="NoteLabel"/>
              </w:rPr>
              <w:t>a</w:t>
            </w:r>
            <w:r>
              <w:t> </w:t>
            </w:r>
            <w:r w:rsidR="00B376C2">
              <w:t xml:space="preserve">The measure of </w:t>
            </w:r>
            <w:r>
              <w:t>Financial and insurance services</w:t>
            </w:r>
            <w:r w:rsidRPr="00265B5B">
              <w:t xml:space="preserve"> </w:t>
            </w:r>
            <w:r>
              <w:t xml:space="preserve">(ABS) </w:t>
            </w:r>
            <w:r w:rsidRPr="00265B5B">
              <w:t xml:space="preserve">differs from the </w:t>
            </w:r>
            <w:r>
              <w:t xml:space="preserve">aggregate of the subdivision estimates </w:t>
            </w:r>
            <w:r w:rsidRPr="00265B5B">
              <w:t>due to limitations on available data and associated differences in estimation methodology.</w:t>
            </w:r>
            <w:r>
              <w:t xml:space="preserve"> </w:t>
            </w:r>
          </w:p>
        </w:tc>
      </w:tr>
      <w:tr w:rsidR="0088562E" w:rsidRPr="00176D3F" w:rsidTr="00105BA3">
        <w:tc>
          <w:tcPr>
            <w:tcW w:w="8771" w:type="dxa"/>
            <w:tcBorders>
              <w:top w:val="nil"/>
              <w:left w:val="nil"/>
              <w:bottom w:val="nil"/>
              <w:right w:val="nil"/>
            </w:tcBorders>
            <w:shd w:val="clear" w:color="auto" w:fill="auto"/>
          </w:tcPr>
          <w:p w:rsidR="0088562E" w:rsidRPr="00AF541E" w:rsidRDefault="0088562E" w:rsidP="00DF2794">
            <w:pPr>
              <w:pStyle w:val="Source"/>
              <w:rPr>
                <w:i/>
              </w:rPr>
            </w:pPr>
            <w:r>
              <w:rPr>
                <w:i/>
              </w:rPr>
              <w:t>Sources</w:t>
            </w:r>
            <w:r w:rsidRPr="00AF541E">
              <w:t>: Authors’ estimates; ABS</w:t>
            </w:r>
            <w:r w:rsidR="00592BA1">
              <w:t> </w:t>
            </w:r>
            <w:r w:rsidRPr="00AF541E">
              <w:t>(</w:t>
            </w:r>
            <w:r w:rsidR="00B376C2">
              <w:t>2014b</w:t>
            </w:r>
            <w:r w:rsidRPr="00AF541E">
              <w:t>).</w:t>
            </w:r>
          </w:p>
        </w:tc>
      </w:tr>
      <w:tr w:rsidR="0088562E" w:rsidTr="00105BA3">
        <w:tc>
          <w:tcPr>
            <w:tcW w:w="8771" w:type="dxa"/>
            <w:tcBorders>
              <w:top w:val="nil"/>
              <w:left w:val="nil"/>
              <w:bottom w:val="single" w:sz="6" w:space="0" w:color="78A22F"/>
              <w:right w:val="nil"/>
            </w:tcBorders>
            <w:shd w:val="clear" w:color="auto" w:fill="auto"/>
          </w:tcPr>
          <w:p w:rsidR="0088562E" w:rsidRDefault="0088562E" w:rsidP="00105BA3">
            <w:pPr>
              <w:pStyle w:val="Figurespace"/>
            </w:pPr>
          </w:p>
        </w:tc>
      </w:tr>
      <w:tr w:rsidR="0088562E" w:rsidRPr="000863A5" w:rsidTr="00105BA3">
        <w:tc>
          <w:tcPr>
            <w:tcW w:w="8771" w:type="dxa"/>
            <w:tcBorders>
              <w:top w:val="single" w:sz="6" w:space="0" w:color="78A22F"/>
              <w:left w:val="nil"/>
              <w:bottom w:val="nil"/>
              <w:right w:val="nil"/>
            </w:tcBorders>
          </w:tcPr>
          <w:p w:rsidR="0088562E" w:rsidRPr="00626D32" w:rsidRDefault="0088562E" w:rsidP="00105BA3">
            <w:pPr>
              <w:pStyle w:val="BoxSpaceBelow"/>
            </w:pPr>
          </w:p>
        </w:tc>
      </w:tr>
    </w:tbl>
    <w:p w:rsidR="0088562E" w:rsidRDefault="0088562E" w:rsidP="0088562E">
      <w:pPr>
        <w:pStyle w:val="BodyText"/>
      </w:pPr>
      <w:r>
        <w:lastRenderedPageBreak/>
        <w:t>Finance, on the other hand, had the reverse pattern, but with more modest growth rate averaging 0.9</w:t>
      </w:r>
      <w:r w:rsidR="000A5624">
        <w:t> </w:t>
      </w:r>
      <w:r>
        <w:t>per cent a year from 2007</w:t>
      </w:r>
      <w:r w:rsidR="00092C5A">
        <w:noBreakHyphen/>
      </w:r>
      <w:r>
        <w:t>08, following an average decline of 1.0</w:t>
      </w:r>
      <w:r w:rsidR="000A5624">
        <w:t> </w:t>
      </w:r>
      <w:r>
        <w:t>per cent a year over the 1998</w:t>
      </w:r>
      <w:r w:rsidR="00092C5A">
        <w:noBreakHyphen/>
      </w:r>
      <w:r>
        <w:t>99 to 2007</w:t>
      </w:r>
      <w:r w:rsidR="00092C5A">
        <w:noBreakHyphen/>
      </w:r>
      <w:r>
        <w:t>08 period.</w:t>
      </w:r>
      <w:r w:rsidR="00344095">
        <w:t xml:space="preserve"> The large swings in ISA productivity are muted in the FIS estimates as ISA is a much smaller share of the sector than Finance.</w:t>
      </w:r>
      <w:r w:rsidR="00E81E74">
        <w:t xml:space="preserve"> These patterns rai</w:t>
      </w:r>
      <w:r w:rsidR="00AB6E61">
        <w:t>se questions about what has driv</w:t>
      </w:r>
      <w:r w:rsidR="00E81E74">
        <w:t xml:space="preserve">en these very different movements </w:t>
      </w:r>
      <w:r w:rsidR="00AB6E61">
        <w:t xml:space="preserve">in </w:t>
      </w:r>
      <w:r w:rsidR="00E81E74">
        <w:t xml:space="preserve">MFP across the </w:t>
      </w:r>
      <w:r w:rsidR="00AB6E61">
        <w:t>i</w:t>
      </w:r>
      <w:r w:rsidR="00E81E74">
        <w:t>ndustr</w:t>
      </w:r>
      <w:r w:rsidR="00AB6E61">
        <w:t>ies that make up FI</w:t>
      </w:r>
      <w:r w:rsidR="00E81E74">
        <w:t xml:space="preserve">S. </w:t>
      </w:r>
      <w:r w:rsidR="00AB6E61">
        <w:t>A first step is to understand what these measurements actually represent.</w:t>
      </w:r>
    </w:p>
    <w:p w:rsidR="00344095" w:rsidRDefault="00344095" w:rsidP="00344095">
      <w:pPr>
        <w:pStyle w:val="Heading2"/>
      </w:pPr>
      <w:r>
        <w:t>What is being measured?</w:t>
      </w:r>
    </w:p>
    <w:p w:rsidR="00344095" w:rsidRDefault="00344095" w:rsidP="00344095">
      <w:pPr>
        <w:pStyle w:val="BodyText"/>
      </w:pPr>
      <w:r>
        <w:t>MFP growth is measured as the growth in valued added (output) that is not explained by growth in capital or labour inputs.</w:t>
      </w:r>
      <w:r>
        <w:rPr>
          <w:rStyle w:val="FootnoteReference"/>
        </w:rPr>
        <w:footnoteReference w:id="6"/>
      </w:r>
      <w:r>
        <w:t xml:space="preserve"> Value added is a measure of total production less intermediate inputs. The estimates are made in current prices, and deflated by a price index to give a real value added. Hence MFP statistics depend on the measurement of the:</w:t>
      </w:r>
    </w:p>
    <w:p w:rsidR="00344095" w:rsidRDefault="00344095" w:rsidP="00344095">
      <w:pPr>
        <w:pStyle w:val="ListBullet"/>
      </w:pPr>
      <w:r>
        <w:t>current value production — also referred to as gross output</w:t>
      </w:r>
    </w:p>
    <w:p w:rsidR="00344095" w:rsidRDefault="00344095" w:rsidP="00344095">
      <w:pPr>
        <w:pStyle w:val="ListBullet"/>
      </w:pPr>
      <w:r>
        <w:t>intermediate inputs — inputs that are purchased from other firms in the industry and from other industries</w:t>
      </w:r>
    </w:p>
    <w:p w:rsidR="00344095" w:rsidRDefault="00344095" w:rsidP="00344095">
      <w:pPr>
        <w:pStyle w:val="ListBullet"/>
      </w:pPr>
      <w:r>
        <w:t>price index — reflecting price inflation in the industry</w:t>
      </w:r>
      <w:r w:rsidR="00105BA3">
        <w:t xml:space="preserve"> —</w:t>
      </w:r>
      <w:r w:rsidR="005C7FEC">
        <w:t xml:space="preserve"> </w:t>
      </w:r>
      <w:r w:rsidR="00105BA3">
        <w:t xml:space="preserve">the ABS derives </w:t>
      </w:r>
      <w:r w:rsidR="005C7FEC">
        <w:t xml:space="preserve">FIS </w:t>
      </w:r>
      <w:r w:rsidR="00105BA3">
        <w:t>output volumes by deflating with the co</w:t>
      </w:r>
      <w:r w:rsidR="005C7FEC">
        <w:t>nsumer price index (all groups), because much of the output of the FIS sector does not have an explicit producer price</w:t>
      </w:r>
      <w:r w:rsidR="00105BA3">
        <w:rPr>
          <w:rStyle w:val="FootnoteReference"/>
        </w:rPr>
        <w:footnoteReference w:id="7"/>
      </w:r>
    </w:p>
    <w:p w:rsidR="00344095" w:rsidRDefault="00344095" w:rsidP="00344095">
      <w:pPr>
        <w:pStyle w:val="ListBullet"/>
      </w:pPr>
      <w:r>
        <w:t>capital and labour — labour is measured in terms of hours worked, but capital measurement is more complex</w:t>
      </w:r>
      <w:r w:rsidR="00B376C2">
        <w:rPr>
          <w:rStyle w:val="FootnoteReference"/>
        </w:rPr>
        <w:footnoteReference w:id="8"/>
      </w:r>
      <w:r>
        <w:t>.</w:t>
      </w:r>
    </w:p>
    <w:p w:rsidR="00344095" w:rsidRDefault="00344095" w:rsidP="00344095">
      <w:pPr>
        <w:pStyle w:val="Heading3"/>
      </w:pPr>
      <w:r>
        <w:t>Measuring production</w:t>
      </w:r>
    </w:p>
    <w:p w:rsidR="00344095" w:rsidRDefault="00344095" w:rsidP="00344095">
      <w:pPr>
        <w:pStyle w:val="BodyText"/>
      </w:pPr>
      <w:r>
        <w:t>Production (gross output) is usually measured on the basis of the industry sales of goods and services adjusted for changes in inventories. However, for FIS the fees for intermediation services provided by the industry are often partly or fully embedded in margins. This is the case, for example, for banks and finance companies that charge an interest rate margin on loans. The problem of measuring output also applies for insurance services, as premiums cover both a return to the insurer for managing the risk, and a payment to buy into the risk sharing pool. In both Finance and Insurance a value for output has to be ‘imputed’ from available data. Where there is no other information on output, such as in the case of</w:t>
      </w:r>
      <w:r w:rsidR="00AB6E61">
        <w:t xml:space="preserve"> the output of the Reserve Bank and</w:t>
      </w:r>
      <w:r>
        <w:t xml:space="preserve"> in Superannuation, a measure of </w:t>
      </w:r>
      <w:r>
        <w:lastRenderedPageBreak/>
        <w:t>the cost of production is used to impute output. Hence measured output in FIS is a combination of explicit fees, charges and sales, imputed output, and other income</w:t>
      </w:r>
      <w:r w:rsidR="00E40A7C">
        <w:t xml:space="preserve"> (table</w:t>
      </w:r>
      <w:r w:rsidR="00092C5A">
        <w:t> </w:t>
      </w:r>
      <w:r w:rsidR="00E40A7C">
        <w:t>2</w:t>
      </w:r>
      <w:r w:rsidR="00105BA3">
        <w:t>)</w:t>
      </w:r>
      <w:r>
        <w:t xml:space="preserve">. </w:t>
      </w:r>
    </w:p>
    <w:p w:rsidR="00105BA3" w:rsidRDefault="00105BA3" w:rsidP="00105BA3">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105BA3" w:rsidRPr="0030560C" w:rsidTr="00D74040">
        <w:trPr>
          <w:tblHeader/>
        </w:trPr>
        <w:tc>
          <w:tcPr>
            <w:tcW w:w="8771" w:type="dxa"/>
            <w:tcBorders>
              <w:top w:val="single" w:sz="6" w:space="0" w:color="78A22F" w:themeColor="accent1"/>
              <w:left w:val="nil"/>
              <w:bottom w:val="nil"/>
              <w:right w:val="nil"/>
            </w:tcBorders>
            <w:shd w:val="clear" w:color="auto" w:fill="auto"/>
          </w:tcPr>
          <w:p w:rsidR="00105BA3" w:rsidRPr="0030560C" w:rsidRDefault="00105BA3" w:rsidP="00E40A7C">
            <w:pPr>
              <w:pStyle w:val="TableTitle"/>
            </w:pPr>
            <w:r w:rsidRPr="0030560C">
              <w:rPr>
                <w:b w:val="0"/>
              </w:rPr>
              <w:t>Table</w:t>
            </w:r>
            <w:r w:rsidR="00E40A7C">
              <w:rPr>
                <w:b w:val="0"/>
              </w:rPr>
              <w:t> 2</w:t>
            </w:r>
            <w:r w:rsidRPr="0030560C">
              <w:tab/>
            </w:r>
            <w:r>
              <w:t xml:space="preserve">Components of production of </w:t>
            </w:r>
            <w:r w:rsidRPr="0030560C">
              <w:t>F</w:t>
            </w:r>
            <w:r>
              <w:t>inancial and insurance services</w:t>
            </w:r>
          </w:p>
        </w:tc>
      </w:tr>
      <w:tr w:rsidR="00105BA3" w:rsidRPr="0030560C" w:rsidTr="00105BA3">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61"/>
              <w:gridCol w:w="7126"/>
            </w:tblGrid>
            <w:tr w:rsidR="00105BA3" w:rsidRPr="0030560C" w:rsidTr="00D74040">
              <w:trPr>
                <w:tblHeader/>
              </w:trPr>
              <w:tc>
                <w:tcPr>
                  <w:tcW w:w="739" w:type="pct"/>
                  <w:tcBorders>
                    <w:top w:val="single" w:sz="6" w:space="0" w:color="BFBFBF" w:themeColor="background2"/>
                    <w:bottom w:val="single" w:sz="6" w:space="0" w:color="BFBFBF" w:themeColor="background2"/>
                  </w:tcBorders>
                  <w:shd w:val="clear" w:color="auto" w:fill="auto"/>
                  <w:tcMar>
                    <w:top w:w="28" w:type="dxa"/>
                  </w:tcMar>
                  <w:vAlign w:val="bottom"/>
                </w:tcPr>
                <w:p w:rsidR="00105BA3" w:rsidRPr="0030560C" w:rsidRDefault="00105BA3" w:rsidP="00105BA3">
                  <w:pPr>
                    <w:pStyle w:val="TableColumnHeading"/>
                    <w:jc w:val="left"/>
                  </w:pPr>
                  <w:r w:rsidRPr="0030560C">
                    <w:t>Subdivision</w:t>
                  </w:r>
                </w:p>
              </w:tc>
              <w:tc>
                <w:tcPr>
                  <w:tcW w:w="4261" w:type="pct"/>
                  <w:tcBorders>
                    <w:top w:val="single" w:sz="6" w:space="0" w:color="BFBFBF" w:themeColor="background2"/>
                    <w:bottom w:val="single" w:sz="6" w:space="0" w:color="BFBFBF" w:themeColor="background2"/>
                  </w:tcBorders>
                  <w:shd w:val="clear" w:color="auto" w:fill="auto"/>
                  <w:tcMar>
                    <w:top w:w="28" w:type="dxa"/>
                  </w:tcMar>
                  <w:vAlign w:val="bottom"/>
                </w:tcPr>
                <w:p w:rsidR="00105BA3" w:rsidRPr="0030560C" w:rsidRDefault="00105BA3" w:rsidP="00105BA3">
                  <w:pPr>
                    <w:pStyle w:val="TableColumnHeading"/>
                    <w:jc w:val="left"/>
                  </w:pPr>
                  <w:r>
                    <w:t>Components of production</w:t>
                  </w:r>
                </w:p>
              </w:tc>
            </w:tr>
            <w:tr w:rsidR="00105BA3" w:rsidRPr="0030560C" w:rsidTr="00FC2F32">
              <w:tc>
                <w:tcPr>
                  <w:tcW w:w="739" w:type="pct"/>
                  <w:tcBorders>
                    <w:top w:val="single" w:sz="6" w:space="0" w:color="BFBFBF" w:themeColor="background2"/>
                  </w:tcBorders>
                  <w:shd w:val="clear" w:color="auto" w:fill="F2F2F2" w:themeFill="accent4"/>
                </w:tcPr>
                <w:p w:rsidR="00105BA3" w:rsidRPr="0030560C" w:rsidRDefault="00105BA3" w:rsidP="00D71D9B">
                  <w:pPr>
                    <w:pStyle w:val="TableUnitsRow"/>
                    <w:spacing w:before="80"/>
                    <w:jc w:val="left"/>
                  </w:pPr>
                  <w:r w:rsidRPr="0030560C">
                    <w:t xml:space="preserve">Finance </w:t>
                  </w:r>
                </w:p>
              </w:tc>
              <w:tc>
                <w:tcPr>
                  <w:tcW w:w="4261" w:type="pct"/>
                  <w:tcBorders>
                    <w:top w:val="single" w:sz="6" w:space="0" w:color="BFBFBF" w:themeColor="background2"/>
                  </w:tcBorders>
                  <w:shd w:val="clear" w:color="auto" w:fill="F2F2F2" w:themeFill="accent4"/>
                </w:tcPr>
                <w:p w:rsidR="00105BA3" w:rsidRDefault="00105BA3" w:rsidP="00D71D9B">
                  <w:pPr>
                    <w:pStyle w:val="TableBodyText"/>
                    <w:spacing w:before="80"/>
                    <w:jc w:val="left"/>
                    <w:rPr>
                      <w:i/>
                    </w:rPr>
                  </w:pPr>
                  <w:r>
                    <w:t xml:space="preserve">Imputed output </w:t>
                  </w:r>
                </w:p>
                <w:p w:rsidR="00105BA3" w:rsidRDefault="00105BA3" w:rsidP="00105BA3">
                  <w:pPr>
                    <w:pStyle w:val="TableBullet"/>
                  </w:pPr>
                  <w:r>
                    <w:t>F</w:t>
                  </w:r>
                  <w:r w:rsidRPr="0030560C">
                    <w:t xml:space="preserve">inancial intermediation services indirectly measured (FISIM) </w:t>
                  </w:r>
                  <w:r>
                    <w:t>(which is based on the margin between deposit and lending interest rates)</w:t>
                  </w:r>
                </w:p>
                <w:p w:rsidR="00105BA3" w:rsidRDefault="00105BA3" w:rsidP="00105BA3">
                  <w:pPr>
                    <w:pStyle w:val="TableBullet"/>
                  </w:pPr>
                  <w:r>
                    <w:t>I</w:t>
                  </w:r>
                  <w:r w:rsidRPr="0030560C">
                    <w:t xml:space="preserve">mputed output of financial intermediaries not elsewhere classified (which is </w:t>
                  </w:r>
                  <w:r>
                    <w:t xml:space="preserve">the </w:t>
                  </w:r>
                  <w:r w:rsidRPr="0030560C">
                    <w:t xml:space="preserve">cost of running the business, </w:t>
                  </w:r>
                  <w:r>
                    <w:t>that is,</w:t>
                  </w:r>
                  <w:r w:rsidRPr="0030560C">
                    <w:t xml:space="preserve"> total administrative and investment expenses, less any income derived directly)</w:t>
                  </w:r>
                  <w:r>
                    <w:t xml:space="preserve"> </w:t>
                  </w:r>
                </w:p>
                <w:p w:rsidR="00105BA3" w:rsidRDefault="00105BA3" w:rsidP="00105BA3">
                  <w:pPr>
                    <w:pStyle w:val="TableBullet"/>
                  </w:pPr>
                  <w:r>
                    <w:t>I</w:t>
                  </w:r>
                  <w:r w:rsidRPr="0030560C">
                    <w:t xml:space="preserve">mputed output of </w:t>
                  </w:r>
                  <w:r>
                    <w:t xml:space="preserve">the </w:t>
                  </w:r>
                  <w:r w:rsidRPr="0030560C">
                    <w:t xml:space="preserve">Reserve Bank of Australia (which is </w:t>
                  </w:r>
                  <w:r>
                    <w:t xml:space="preserve">based on </w:t>
                  </w:r>
                  <w:r w:rsidRPr="0030560C">
                    <w:t>cost</w:t>
                  </w:r>
                  <w:r>
                    <w:t>s</w:t>
                  </w:r>
                  <w:r w:rsidRPr="0030560C">
                    <w:t>)</w:t>
                  </w:r>
                </w:p>
                <w:p w:rsidR="00105BA3" w:rsidRDefault="00105BA3" w:rsidP="00D71D9B">
                  <w:pPr>
                    <w:pStyle w:val="TableBodyText"/>
                    <w:spacing w:before="120"/>
                    <w:jc w:val="left"/>
                    <w:rPr>
                      <w:i/>
                    </w:rPr>
                  </w:pPr>
                  <w:r w:rsidRPr="0030560C">
                    <w:t>Explicit charges</w:t>
                  </w:r>
                </w:p>
                <w:p w:rsidR="00105BA3" w:rsidRDefault="00105BA3" w:rsidP="00105BA3">
                  <w:pPr>
                    <w:pStyle w:val="TableBullet"/>
                  </w:pPr>
                  <w:r>
                    <w:t>F</w:t>
                  </w:r>
                  <w:r w:rsidRPr="0030560C">
                    <w:t>ees levied such as loan establishment fees, loan account servi</w:t>
                  </w:r>
                  <w:r>
                    <w:t>ce fees and cheque account fees</w:t>
                  </w:r>
                </w:p>
                <w:p w:rsidR="00105BA3" w:rsidRDefault="00105BA3" w:rsidP="00D71D9B">
                  <w:pPr>
                    <w:pStyle w:val="TableBodyText"/>
                    <w:spacing w:before="120"/>
                    <w:jc w:val="left"/>
                    <w:rPr>
                      <w:i/>
                    </w:rPr>
                  </w:pPr>
                  <w:r w:rsidRPr="0030560C">
                    <w:t>Other income</w:t>
                  </w:r>
                  <w:r>
                    <w:t xml:space="preserve"> </w:t>
                  </w:r>
                </w:p>
                <w:p w:rsidR="00105BA3" w:rsidRDefault="00105BA3" w:rsidP="00105BA3">
                  <w:pPr>
                    <w:pStyle w:val="TableBullet"/>
                  </w:pPr>
                  <w:r>
                    <w:t>G</w:t>
                  </w:r>
                  <w:r w:rsidRPr="0030560C">
                    <w:t>ross non</w:t>
                  </w:r>
                  <w:r>
                    <w:noBreakHyphen/>
                  </w:r>
                  <w:r w:rsidRPr="0030560C">
                    <w:t>land rental income, mainly from commercial buildings</w:t>
                  </w:r>
                  <w:r>
                    <w:t xml:space="preserve"> </w:t>
                  </w:r>
                </w:p>
                <w:p w:rsidR="00105BA3" w:rsidRDefault="00105BA3" w:rsidP="00105BA3">
                  <w:pPr>
                    <w:pStyle w:val="TableBullet"/>
                  </w:pPr>
                  <w:r>
                    <w:t>O</w:t>
                  </w:r>
                  <w:r w:rsidRPr="0030560C">
                    <w:t xml:space="preserve">ther </w:t>
                  </w:r>
                  <w:r>
                    <w:t xml:space="preserve">service </w:t>
                  </w:r>
                  <w:r w:rsidRPr="0030560C">
                    <w:t xml:space="preserve">income such as income </w:t>
                  </w:r>
                  <w:r w:rsidR="00B376C2">
                    <w:t>from</w:t>
                  </w:r>
                  <w:r w:rsidRPr="0030560C">
                    <w:t xml:space="preserve"> trading in securities excluding holding gains/losses</w:t>
                  </w:r>
                  <w:r>
                    <w:t xml:space="preserve"> </w:t>
                  </w:r>
                </w:p>
                <w:p w:rsidR="00105BA3" w:rsidRPr="0030560C" w:rsidRDefault="00105BA3" w:rsidP="00D71D9B">
                  <w:pPr>
                    <w:pStyle w:val="TableBodyText"/>
                    <w:spacing w:before="120"/>
                    <w:jc w:val="left"/>
                    <w:rPr>
                      <w:i/>
                      <w:szCs w:val="24"/>
                    </w:rPr>
                  </w:pPr>
                  <w:r>
                    <w:t>Own-account computer software and R&amp;D</w:t>
                  </w:r>
                </w:p>
              </w:tc>
            </w:tr>
            <w:tr w:rsidR="00105BA3" w:rsidRPr="0030560C" w:rsidTr="00D71D9B">
              <w:tc>
                <w:tcPr>
                  <w:tcW w:w="739" w:type="pct"/>
                  <w:shd w:val="clear" w:color="auto" w:fill="auto"/>
                </w:tcPr>
                <w:p w:rsidR="00105BA3" w:rsidRPr="0030560C" w:rsidRDefault="00105BA3" w:rsidP="00D71D9B">
                  <w:pPr>
                    <w:pStyle w:val="TableBodyText"/>
                    <w:spacing w:before="80"/>
                    <w:jc w:val="left"/>
                    <w:rPr>
                      <w:i/>
                    </w:rPr>
                  </w:pPr>
                  <w:r w:rsidRPr="0030560C">
                    <w:t xml:space="preserve">Insurance </w:t>
                  </w:r>
                  <w:r>
                    <w:br/>
                  </w:r>
                  <w:r w:rsidRPr="0030560C">
                    <w:t>and superannuation funds</w:t>
                  </w:r>
                </w:p>
              </w:tc>
              <w:tc>
                <w:tcPr>
                  <w:tcW w:w="4261" w:type="pct"/>
                  <w:shd w:val="clear" w:color="auto" w:fill="auto"/>
                </w:tcPr>
                <w:p w:rsidR="00105BA3" w:rsidRDefault="00105BA3" w:rsidP="00D71D9B">
                  <w:pPr>
                    <w:pStyle w:val="TableBodyText"/>
                    <w:spacing w:before="80"/>
                    <w:jc w:val="left"/>
                    <w:rPr>
                      <w:i/>
                    </w:rPr>
                  </w:pPr>
                  <w:r w:rsidRPr="0030560C">
                    <w:t>Insurance service charge</w:t>
                  </w:r>
                </w:p>
                <w:p w:rsidR="00105BA3" w:rsidRDefault="00105BA3" w:rsidP="00105BA3">
                  <w:pPr>
                    <w:pStyle w:val="TableBullet"/>
                  </w:pPr>
                  <w:r>
                    <w:t>A</w:t>
                  </w:r>
                  <w:r w:rsidRPr="0030560C">
                    <w:t>dministrati</w:t>
                  </w:r>
                  <w:r>
                    <w:t>ve</w:t>
                  </w:r>
                  <w:r w:rsidRPr="0030560C">
                    <w:t xml:space="preserve"> costs</w:t>
                  </w:r>
                  <w:r>
                    <w:t xml:space="preserve"> incurred</w:t>
                  </w:r>
                  <w:r w:rsidRPr="0030560C">
                    <w:t xml:space="preserve"> (including labour and investment costs) plus a profit margin for </w:t>
                  </w:r>
                  <w:r w:rsidRPr="00C52F9D">
                    <w:rPr>
                      <w:i/>
                    </w:rPr>
                    <w:t>life insurance companies</w:t>
                  </w:r>
                </w:p>
                <w:p w:rsidR="00105BA3" w:rsidRDefault="00105BA3" w:rsidP="00105BA3">
                  <w:pPr>
                    <w:pStyle w:val="TableBullet"/>
                  </w:pPr>
                  <w:r>
                    <w:t>P</w:t>
                  </w:r>
                  <w:r w:rsidRPr="0030560C">
                    <w:t xml:space="preserve">remiums earned plus investment income on technical reserves less expected claims for </w:t>
                  </w:r>
                  <w:r w:rsidRPr="00C52F9D">
                    <w:rPr>
                      <w:i/>
                    </w:rPr>
                    <w:t>non</w:t>
                  </w:r>
                  <w:r w:rsidRPr="00C52F9D">
                    <w:rPr>
                      <w:i/>
                    </w:rPr>
                    <w:noBreakHyphen/>
                    <w:t>life insurance companies</w:t>
                  </w:r>
                  <w:r>
                    <w:t xml:space="preserve"> </w:t>
                  </w:r>
                </w:p>
                <w:p w:rsidR="00105BA3" w:rsidRDefault="00105BA3" w:rsidP="00105BA3">
                  <w:pPr>
                    <w:pStyle w:val="TableBullet"/>
                  </w:pPr>
                  <w:r>
                    <w:t>A</w:t>
                  </w:r>
                  <w:r w:rsidRPr="0030560C">
                    <w:t>dministrati</w:t>
                  </w:r>
                  <w:r>
                    <w:t>ve</w:t>
                  </w:r>
                  <w:r w:rsidRPr="0030560C">
                    <w:t xml:space="preserve"> costs</w:t>
                  </w:r>
                  <w:r>
                    <w:t xml:space="preserve"> incurred</w:t>
                  </w:r>
                  <w:r w:rsidRPr="0030560C">
                    <w:t xml:space="preserve"> (including labour and investment costs) for </w:t>
                  </w:r>
                  <w:r w:rsidRPr="00C52F9D">
                    <w:rPr>
                      <w:i/>
                    </w:rPr>
                    <w:t>superannuation funds</w:t>
                  </w:r>
                </w:p>
                <w:p w:rsidR="00105BA3" w:rsidRDefault="00105BA3" w:rsidP="00D71D9B">
                  <w:pPr>
                    <w:pStyle w:val="TableBodyText"/>
                    <w:spacing w:before="120"/>
                    <w:jc w:val="left"/>
                    <w:rPr>
                      <w:szCs w:val="24"/>
                    </w:rPr>
                  </w:pPr>
                  <w:r w:rsidRPr="0030560C">
                    <w:t>Explicit charges</w:t>
                  </w:r>
                </w:p>
                <w:p w:rsidR="00105BA3" w:rsidRDefault="00105BA3" w:rsidP="00105BA3">
                  <w:pPr>
                    <w:pStyle w:val="TableBullet"/>
                  </w:pPr>
                  <w:r>
                    <w:t>F</w:t>
                  </w:r>
                  <w:r w:rsidRPr="00514B09">
                    <w:t xml:space="preserve">ees from stock lending activities </w:t>
                  </w:r>
                  <w:r>
                    <w:t>for Insurance and superannuation</w:t>
                  </w:r>
                </w:p>
                <w:p w:rsidR="00105BA3" w:rsidRDefault="00105BA3" w:rsidP="00D71D9B">
                  <w:pPr>
                    <w:pStyle w:val="TableBodyText"/>
                    <w:spacing w:before="120"/>
                    <w:jc w:val="left"/>
                    <w:rPr>
                      <w:szCs w:val="24"/>
                    </w:rPr>
                  </w:pPr>
                  <w:r w:rsidRPr="0030560C">
                    <w:t>Other income</w:t>
                  </w:r>
                  <w:r>
                    <w:t xml:space="preserve"> </w:t>
                  </w:r>
                </w:p>
                <w:p w:rsidR="00105BA3" w:rsidRDefault="00105BA3" w:rsidP="00105BA3">
                  <w:pPr>
                    <w:pStyle w:val="TableBullet"/>
                  </w:pPr>
                  <w:r>
                    <w:t>G</w:t>
                  </w:r>
                  <w:r w:rsidRPr="0030560C">
                    <w:t>ross non</w:t>
                  </w:r>
                  <w:r>
                    <w:noBreakHyphen/>
                  </w:r>
                  <w:r w:rsidRPr="0030560C">
                    <w:t>land rental income, mainly from commercial buildings</w:t>
                  </w:r>
                  <w:r>
                    <w:t xml:space="preserve"> </w:t>
                  </w:r>
                </w:p>
                <w:p w:rsidR="00105BA3" w:rsidRDefault="00105BA3" w:rsidP="00105BA3">
                  <w:pPr>
                    <w:pStyle w:val="TableBullet"/>
                  </w:pPr>
                  <w:r>
                    <w:t>O</w:t>
                  </w:r>
                  <w:r w:rsidRPr="0030560C">
                    <w:t xml:space="preserve">ther </w:t>
                  </w:r>
                  <w:r>
                    <w:t xml:space="preserve">service </w:t>
                  </w:r>
                  <w:r w:rsidRPr="0030560C">
                    <w:t xml:space="preserve">income such as income </w:t>
                  </w:r>
                  <w:r>
                    <w:t>from</w:t>
                  </w:r>
                  <w:r w:rsidRPr="0030560C">
                    <w:t xml:space="preserve"> trading in securities excluding holding gains/losses</w:t>
                  </w:r>
                  <w:r>
                    <w:t xml:space="preserve"> </w:t>
                  </w:r>
                </w:p>
                <w:p w:rsidR="00105BA3" w:rsidRPr="0030560C" w:rsidRDefault="00105BA3" w:rsidP="00D71D9B">
                  <w:pPr>
                    <w:pStyle w:val="TableBullet"/>
                    <w:numPr>
                      <w:ilvl w:val="0"/>
                      <w:numId w:val="0"/>
                    </w:numPr>
                    <w:spacing w:before="120"/>
                    <w:rPr>
                      <w:szCs w:val="24"/>
                    </w:rPr>
                  </w:pPr>
                  <w:r>
                    <w:t>Own-account computer software and R&amp;D</w:t>
                  </w:r>
                </w:p>
              </w:tc>
            </w:tr>
            <w:tr w:rsidR="00105BA3" w:rsidRPr="0030560C" w:rsidTr="00FC2F32">
              <w:tc>
                <w:tcPr>
                  <w:tcW w:w="739" w:type="pct"/>
                  <w:tcBorders>
                    <w:bottom w:val="single" w:sz="6" w:space="0" w:color="BFBFBF" w:themeColor="background2"/>
                  </w:tcBorders>
                  <w:shd w:val="clear" w:color="auto" w:fill="F2F2F2" w:themeFill="accent4"/>
                </w:tcPr>
                <w:p w:rsidR="00105BA3" w:rsidRPr="0030560C" w:rsidRDefault="00105BA3" w:rsidP="00D71D9B">
                  <w:pPr>
                    <w:pStyle w:val="TableBodyText"/>
                    <w:spacing w:before="80"/>
                    <w:jc w:val="left"/>
                    <w:rPr>
                      <w:szCs w:val="24"/>
                    </w:rPr>
                  </w:pPr>
                  <w:r w:rsidRPr="0030560C">
                    <w:t>Auxiliary finance and insurance services</w:t>
                  </w:r>
                </w:p>
              </w:tc>
              <w:tc>
                <w:tcPr>
                  <w:tcW w:w="4261" w:type="pct"/>
                  <w:tcBorders>
                    <w:bottom w:val="single" w:sz="6" w:space="0" w:color="BFBFBF" w:themeColor="background2"/>
                  </w:tcBorders>
                  <w:shd w:val="clear" w:color="auto" w:fill="F2F2F2" w:themeFill="accent4"/>
                </w:tcPr>
                <w:p w:rsidR="00105BA3" w:rsidRDefault="00105BA3" w:rsidP="00D71D9B">
                  <w:pPr>
                    <w:pStyle w:val="TableBodyText"/>
                    <w:spacing w:before="80"/>
                    <w:jc w:val="left"/>
                    <w:rPr>
                      <w:i/>
                    </w:rPr>
                  </w:pPr>
                  <w:r>
                    <w:t>S</w:t>
                  </w:r>
                  <w:r w:rsidRPr="00514B09">
                    <w:t xml:space="preserve">ales of </w:t>
                  </w:r>
                  <w:r>
                    <w:t>Auxiliary service</w:t>
                  </w:r>
                  <w:r w:rsidRPr="00514B09">
                    <w:t xml:space="preserve"> goods and services</w:t>
                  </w:r>
                  <w:r>
                    <w:t xml:space="preserve"> (including rent, leasing and hiring income)</w:t>
                  </w:r>
                </w:p>
                <w:p w:rsidR="00105BA3" w:rsidRPr="0030560C" w:rsidRDefault="00105BA3" w:rsidP="00D71D9B">
                  <w:pPr>
                    <w:pStyle w:val="TableBodyText"/>
                    <w:spacing w:before="120"/>
                    <w:jc w:val="left"/>
                    <w:rPr>
                      <w:i/>
                    </w:rPr>
                  </w:pPr>
                  <w:r>
                    <w:t>Own-account computer software and own-account R&amp;D</w:t>
                  </w:r>
                </w:p>
              </w:tc>
            </w:tr>
          </w:tbl>
          <w:p w:rsidR="00105BA3" w:rsidRPr="0030560C" w:rsidRDefault="00105BA3" w:rsidP="00105BA3">
            <w:pPr>
              <w:pStyle w:val="Box"/>
            </w:pPr>
          </w:p>
        </w:tc>
      </w:tr>
      <w:tr w:rsidR="00105BA3" w:rsidTr="00105BA3">
        <w:trPr>
          <w:cantSplit/>
        </w:trPr>
        <w:tc>
          <w:tcPr>
            <w:tcW w:w="8771" w:type="dxa"/>
            <w:tcBorders>
              <w:top w:val="nil"/>
              <w:left w:val="nil"/>
              <w:bottom w:val="nil"/>
              <w:right w:val="nil"/>
            </w:tcBorders>
            <w:shd w:val="clear" w:color="auto" w:fill="auto"/>
          </w:tcPr>
          <w:p w:rsidR="00105BA3" w:rsidRDefault="00105BA3" w:rsidP="00105BA3">
            <w:pPr>
              <w:pStyle w:val="Source"/>
            </w:pPr>
            <w:r w:rsidRPr="0030560C">
              <w:rPr>
                <w:i/>
              </w:rPr>
              <w:t>Source</w:t>
            </w:r>
            <w:r w:rsidRPr="0030560C">
              <w:t xml:space="preserve">: </w:t>
            </w:r>
            <w:r>
              <w:t xml:space="preserve">Based on </w:t>
            </w:r>
            <w:r w:rsidRPr="0030560C">
              <w:t>ABS</w:t>
            </w:r>
            <w:r>
              <w:t xml:space="preserve"> </w:t>
            </w:r>
            <w:r w:rsidRPr="00787F40">
              <w:rPr>
                <w:rFonts w:cs="Arial"/>
              </w:rPr>
              <w:t>(2013</w:t>
            </w:r>
            <w:r w:rsidR="00B376C2">
              <w:rPr>
                <w:rFonts w:cs="Arial"/>
              </w:rPr>
              <w:t>a</w:t>
            </w:r>
            <w:r w:rsidRPr="00787F40">
              <w:rPr>
                <w:rFonts w:cs="Arial"/>
              </w:rPr>
              <w:t>)</w:t>
            </w:r>
            <w:r w:rsidRPr="0030560C">
              <w:t>.</w:t>
            </w:r>
          </w:p>
        </w:tc>
      </w:tr>
      <w:tr w:rsidR="00105BA3" w:rsidTr="00105BA3">
        <w:trPr>
          <w:cantSplit/>
        </w:trPr>
        <w:tc>
          <w:tcPr>
            <w:tcW w:w="8771" w:type="dxa"/>
            <w:tcBorders>
              <w:top w:val="nil"/>
              <w:left w:val="nil"/>
              <w:bottom w:val="single" w:sz="6" w:space="0" w:color="78A22F" w:themeColor="accent1"/>
              <w:right w:val="nil"/>
            </w:tcBorders>
            <w:shd w:val="clear" w:color="auto" w:fill="auto"/>
          </w:tcPr>
          <w:p w:rsidR="00105BA3" w:rsidRDefault="00105BA3" w:rsidP="00105BA3">
            <w:pPr>
              <w:pStyle w:val="Box"/>
              <w:spacing w:before="0" w:line="120" w:lineRule="exact"/>
            </w:pPr>
          </w:p>
        </w:tc>
      </w:tr>
      <w:tr w:rsidR="00105BA3" w:rsidRPr="000863A5" w:rsidTr="00105BA3">
        <w:tc>
          <w:tcPr>
            <w:tcW w:w="8771" w:type="dxa"/>
            <w:tcBorders>
              <w:top w:val="single" w:sz="6" w:space="0" w:color="78A22F" w:themeColor="accent1"/>
              <w:left w:val="nil"/>
              <w:bottom w:val="nil"/>
              <w:right w:val="nil"/>
            </w:tcBorders>
          </w:tcPr>
          <w:p w:rsidR="00105BA3" w:rsidRPr="00626D32" w:rsidRDefault="00105BA3" w:rsidP="00105BA3">
            <w:pPr>
              <w:pStyle w:val="BoxSpaceBelow"/>
            </w:pPr>
          </w:p>
        </w:tc>
      </w:tr>
    </w:tbl>
    <w:p w:rsidR="00E40A7C" w:rsidRDefault="00E40A7C" w:rsidP="00E40A7C">
      <w:pPr>
        <w:pStyle w:val="Heading4"/>
      </w:pPr>
      <w:r>
        <w:t>Imputed output makes up over 65</w:t>
      </w:r>
      <w:r w:rsidR="000A5624">
        <w:t> </w:t>
      </w:r>
      <w:r>
        <w:t>per</w:t>
      </w:r>
      <w:r w:rsidR="000A5624">
        <w:t xml:space="preserve"> </w:t>
      </w:r>
      <w:r>
        <w:t>cent of measured production</w:t>
      </w:r>
      <w:r w:rsidR="00AB6E61">
        <w:t xml:space="preserve"> in FIS</w:t>
      </w:r>
    </w:p>
    <w:p w:rsidR="00E40A7C" w:rsidRDefault="00E40A7C" w:rsidP="00E40A7C">
      <w:pPr>
        <w:pStyle w:val="BodyText"/>
      </w:pPr>
      <w:r>
        <w:t>The main imputed output measure for the Finance sub-division is ‘Financial intermediation services indirectly measured’ (FISIM). FISIM accounted for around 45 per</w:t>
      </w:r>
      <w:r w:rsidR="000A5624">
        <w:t xml:space="preserve"> </w:t>
      </w:r>
      <w:r>
        <w:t xml:space="preserve">cent of </w:t>
      </w:r>
      <w:r w:rsidR="00AB6E61">
        <w:t>FIS</w:t>
      </w:r>
      <w:r>
        <w:t xml:space="preserve"> </w:t>
      </w:r>
      <w:r w:rsidR="00AB6E61">
        <w:lastRenderedPageBreak/>
        <w:t>production in 2011</w:t>
      </w:r>
      <w:r w:rsidR="00AB6E61">
        <w:noBreakHyphen/>
        <w:t>12 (figure 7</w:t>
      </w:r>
      <w:r>
        <w:t>). This estimate is based on the margin between lending and deposit rates.</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105BA3">
            <w:pPr>
              <w:pStyle w:val="FigureTitle"/>
            </w:pPr>
            <w:r>
              <w:rPr>
                <w:b w:val="0"/>
              </w:rPr>
              <w:t>Figure</w:t>
            </w:r>
            <w:r w:rsidR="00AB6E61">
              <w:rPr>
                <w:b w:val="0"/>
              </w:rPr>
              <w:t> 7</w:t>
            </w:r>
            <w:r>
              <w:tab/>
              <w:t>Components of production of Financial and insurance services, 2011-12</w:t>
            </w:r>
            <w:r w:rsidRPr="00FF0360">
              <w:rPr>
                <w:rStyle w:val="NoteLabel"/>
                <w:b/>
              </w:rPr>
              <w:t>a</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105BA3" w:rsidTr="00105BA3">
              <w:trPr>
                <w:jc w:val="center"/>
              </w:trPr>
              <w:tc>
                <w:tcPr>
                  <w:tcW w:w="5000" w:type="pct"/>
                  <w:tcBorders>
                    <w:top w:val="nil"/>
                    <w:bottom w:val="nil"/>
                  </w:tcBorders>
                </w:tcPr>
                <w:p w:rsidR="00105BA3" w:rsidRDefault="00D71D9B" w:rsidP="00105BA3">
                  <w:pPr>
                    <w:pStyle w:val="Figure"/>
                    <w:spacing w:before="0" w:after="0"/>
                  </w:pPr>
                  <w:r>
                    <w:rPr>
                      <w:noProof/>
                    </w:rPr>
                    <w:drawing>
                      <wp:inline distT="0" distB="0" distL="0" distR="0" wp14:anchorId="430267F8" wp14:editId="4E5B6D35">
                        <wp:extent cx="5403850" cy="2921000"/>
                        <wp:effectExtent l="0" t="0" r="6350" b="0"/>
                        <wp:docPr id="20" name="Picture 20" descr="Figure 7: This figure shows components of production of Financial and insurance services in 2011-12. The components include Financial intermediation services indirectly measured (known as FISIM) (20 per cent), Auxiliary services production (20 per cent), Other income of Finance, Insurance and superannuation (4 per cent), Explicit charges for Finance, insurance and superannuation (10 per cent), Insurance service charge (20 per cent) and Other imputed Finance production (1 per cent).&#10;The main imputed output measure for the Finance sub-division is FISIM. FISIM accounted for around 45 per cent of FIS production in 2011 12. This estimate is based on the margin between lending and deposit rates.&#10;The Insurance service charge is also an imputed output measure. It includes both the difference between insurance premiums and claims for non-life insurance companies, and the direct costs of service provision for life insurance companies and for superannuation funds. The imputed Insurance service charge accounted for 20 per cent of Financial and insurance services production in 2011 12. &#10;The final part of imputed production relates to the cost of services provided by the Reserve Bank of Australia and financial intermediaries not elsewhere classified, which are estimated on the basis of direct costs (1 per cent of production). &#10;Banking and finance companies as well as Insurance and superannuation funds also impose explicit charges for some services and derive other income from building rent, securities trading and other activities — collectively, 14 per cent of production in 2011-12. Auxiliary services is the only subdivision in Financial and insurance services for which all output is measured directly rather than imputed. These services accounted for around 20 per cent of division production in 2011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850" cy="292100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pPr>
            <w:r>
              <w:rPr>
                <w:rStyle w:val="NoteLabel"/>
              </w:rPr>
              <w:t>a</w:t>
            </w:r>
            <w:r>
              <w:t xml:space="preserve"> Detailed data are not available for 2012-13. </w:t>
            </w:r>
            <w:r>
              <w:rPr>
                <w:rStyle w:val="NoteLabel"/>
              </w:rPr>
              <w:t>b</w:t>
            </w:r>
            <w:r>
              <w:t xml:space="preserve"> Includes own-account computer software and R&amp;D of Finance, and Insurance and superannuation. </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E64A51">
            <w:pPr>
              <w:pStyle w:val="Source"/>
            </w:pPr>
            <w:r>
              <w:rPr>
                <w:i/>
              </w:rPr>
              <w:t>S</w:t>
            </w:r>
            <w:r w:rsidRPr="00784A05">
              <w:rPr>
                <w:i/>
              </w:rPr>
              <w:t>ource</w:t>
            </w:r>
            <w:r w:rsidRPr="00176D3F">
              <w:t xml:space="preserve">: </w:t>
            </w:r>
            <w:r w:rsidR="00E64A51">
              <w:t>Authors’ estimates b</w:t>
            </w:r>
            <w:r>
              <w:t>ased on unpublished ABS 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spacing w:before="0" w:after="0"/>
            </w:pPr>
          </w:p>
        </w:tc>
      </w:tr>
    </w:tbl>
    <w:p w:rsidR="00105BA3" w:rsidRDefault="00105BA3" w:rsidP="00105BA3">
      <w:pPr>
        <w:pStyle w:val="BodyText"/>
      </w:pPr>
      <w:r>
        <w:t>The Insurance service charge is</w:t>
      </w:r>
      <w:r w:rsidR="00AB6E61">
        <w:t xml:space="preserve"> also an imputed output measure. It includes </w:t>
      </w:r>
      <w:r w:rsidR="00DB439D">
        <w:t xml:space="preserve">both </w:t>
      </w:r>
      <w:r w:rsidR="00AB6E61">
        <w:t xml:space="preserve">the </w:t>
      </w:r>
      <w:r>
        <w:t>difference between insurance premiums and claims for n</w:t>
      </w:r>
      <w:r w:rsidR="00AB6E61">
        <w:t xml:space="preserve">on-life insurance companies, and </w:t>
      </w:r>
      <w:r>
        <w:t>the direct costs of service provision for life insurance companies and for superannuation funds. The imputed Insurance service charge accounted for 20 per</w:t>
      </w:r>
      <w:r w:rsidR="000A5624">
        <w:t xml:space="preserve"> </w:t>
      </w:r>
      <w:r>
        <w:t>cent of Financial and insurance services production in 2011</w:t>
      </w:r>
      <w:r>
        <w:noBreakHyphen/>
        <w:t>12 (figure</w:t>
      </w:r>
      <w:r w:rsidR="00AB6E61">
        <w:t> 7</w:t>
      </w:r>
      <w:r w:rsidRPr="000A7227">
        <w:t>)</w:t>
      </w:r>
      <w:r w:rsidR="00207198">
        <w:t>.</w:t>
      </w:r>
    </w:p>
    <w:p w:rsidR="00105BA3" w:rsidRDefault="00105BA3" w:rsidP="00105BA3">
      <w:pPr>
        <w:pStyle w:val="BodyText"/>
      </w:pPr>
      <w:r>
        <w:t xml:space="preserve">The final part of imputed production relates to </w:t>
      </w:r>
      <w:r w:rsidR="00F10A30">
        <w:t xml:space="preserve">the cost of </w:t>
      </w:r>
      <w:r>
        <w:t>services provided by the Reserve Bank of Australia and financial intermediaries not elsewhere classified, which are estimated on the basis of direct costs (</w:t>
      </w:r>
      <w:r w:rsidR="003C0F51">
        <w:t>1</w:t>
      </w:r>
      <w:r>
        <w:t> per</w:t>
      </w:r>
      <w:r w:rsidR="000A5624">
        <w:t xml:space="preserve"> </w:t>
      </w:r>
      <w:r>
        <w:t xml:space="preserve">cent of production). </w:t>
      </w:r>
    </w:p>
    <w:p w:rsidR="00105BA3" w:rsidRDefault="00105BA3" w:rsidP="00105BA3">
      <w:pPr>
        <w:pStyle w:val="BodyText"/>
      </w:pPr>
      <w:r>
        <w:t xml:space="preserve">Banking and finance companies as well as </w:t>
      </w:r>
      <w:r w:rsidR="00D64D5E">
        <w:t>i</w:t>
      </w:r>
      <w:r>
        <w:t>nsurance and superannuation funds impose explicit charges for some services and derive other income from building rent, securities trading and other activities — collectively, 1</w:t>
      </w:r>
      <w:r w:rsidRPr="00E322A4">
        <w:t>4</w:t>
      </w:r>
      <w:r>
        <w:t> per</w:t>
      </w:r>
      <w:r w:rsidR="000A5624">
        <w:t xml:space="preserve"> </w:t>
      </w:r>
      <w:r>
        <w:t>cent of production in 2011</w:t>
      </w:r>
      <w:r w:rsidR="00092C5A">
        <w:noBreakHyphen/>
      </w:r>
      <w:r>
        <w:t>12. Auxiliary services is the only subdivision in Financial and insurance services for which all output is measured directly rather than imputed. These services accounted for around 20 per</w:t>
      </w:r>
      <w:r w:rsidR="000A5624">
        <w:t xml:space="preserve"> </w:t>
      </w:r>
      <w:r>
        <w:t>cent of division production in 2011</w:t>
      </w:r>
      <w:r>
        <w:noBreakHyphen/>
        <w:t>12.</w:t>
      </w:r>
    </w:p>
    <w:p w:rsidR="00105BA3" w:rsidRDefault="00105BA3" w:rsidP="00105BA3">
      <w:pPr>
        <w:pStyle w:val="Heading4"/>
      </w:pPr>
      <w:r>
        <w:lastRenderedPageBreak/>
        <w:t>Imputed output has grown faster than other sources of production after 2007</w:t>
      </w:r>
      <w:r w:rsidR="00092C5A">
        <w:noBreakHyphen/>
      </w:r>
      <w:r>
        <w:t>08</w:t>
      </w:r>
    </w:p>
    <w:p w:rsidR="00105BA3" w:rsidRDefault="00105BA3" w:rsidP="00105BA3">
      <w:pPr>
        <w:pStyle w:val="BodyText"/>
      </w:pPr>
      <w:r>
        <w:t>Over the period 1994</w:t>
      </w:r>
      <w:r w:rsidR="00092C5A">
        <w:noBreakHyphen/>
      </w:r>
      <w:r>
        <w:t>95 to 2006</w:t>
      </w:r>
      <w:r>
        <w:noBreakHyphen/>
        <w:t>07, FISIM grew at 4.2</w:t>
      </w:r>
      <w:r w:rsidR="000A5624">
        <w:t> </w:t>
      </w:r>
      <w:r>
        <w:t>per</w:t>
      </w:r>
      <w:r w:rsidR="000A5624">
        <w:t xml:space="preserve"> </w:t>
      </w:r>
      <w:r>
        <w:t>cent a year and other imputed income at 5.1 per</w:t>
      </w:r>
      <w:r w:rsidR="000A5624">
        <w:t xml:space="preserve"> </w:t>
      </w:r>
      <w:r>
        <w:t>cent a year, compared with an average growth of 7.1</w:t>
      </w:r>
      <w:r w:rsidR="000A5624">
        <w:t> </w:t>
      </w:r>
      <w:r>
        <w:t>per</w:t>
      </w:r>
      <w:r w:rsidR="000A5624">
        <w:t xml:space="preserve"> </w:t>
      </w:r>
      <w:r>
        <w:t>cent in explicit cha</w:t>
      </w:r>
      <w:r w:rsidR="00AB6E61">
        <w:t>rges and other income. From</w:t>
      </w:r>
      <w:r>
        <w:t xml:space="preserve"> 2006-07</w:t>
      </w:r>
      <w:r w:rsidR="00AB6E61">
        <w:t>,</w:t>
      </w:r>
      <w:r>
        <w:t xml:space="preserve"> and</w:t>
      </w:r>
      <w:r w:rsidR="00AB6E61">
        <w:t xml:space="preserve"> particularly</w:t>
      </w:r>
      <w:r>
        <w:t xml:space="preserve"> after the GFC, FISIM increased by around 6.9 per</w:t>
      </w:r>
      <w:r w:rsidR="000A5624">
        <w:t xml:space="preserve"> </w:t>
      </w:r>
      <w:r>
        <w:t>cent</w:t>
      </w:r>
      <w:r w:rsidR="000A5624">
        <w:t xml:space="preserve"> </w:t>
      </w:r>
      <w:r>
        <w:t>per</w:t>
      </w:r>
      <w:r w:rsidR="000A5624">
        <w:t xml:space="preserve"> </w:t>
      </w:r>
      <w:r>
        <w:t>year, while production from other activities is estimated to have remained fairly flat</w:t>
      </w:r>
      <w:r w:rsidR="00AB6E61">
        <w:t xml:space="preserve"> or to have declined (figure 8</w:t>
      </w:r>
      <w:r>
        <w:t>).</w:t>
      </w:r>
      <w:r w:rsidRPr="00046658">
        <w:rPr>
          <w:rStyle w:val="FootnoteReference"/>
        </w:rPr>
        <w:footnoteReference w:id="9"/>
      </w:r>
      <w:r>
        <w:t xml:space="preserve"> </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F51C72" w:rsidRDefault="00105BA3" w:rsidP="007B18B1">
            <w:pPr>
              <w:pStyle w:val="FigureTitle"/>
            </w:pPr>
            <w:r w:rsidRPr="00F51C72">
              <w:rPr>
                <w:b w:val="0"/>
              </w:rPr>
              <w:t>Figure </w:t>
            </w:r>
            <w:r w:rsidR="00AB6E61">
              <w:rPr>
                <w:b w:val="0"/>
              </w:rPr>
              <w:t>8</w:t>
            </w:r>
            <w:r w:rsidRPr="00F51C72">
              <w:tab/>
              <w:t>Components of real production of Financial and insurance services</w:t>
            </w:r>
            <w:r w:rsidRPr="00F51C72">
              <w:rPr>
                <w:rStyle w:val="NoteLabel"/>
                <w:b/>
              </w:rPr>
              <w:t>a,b</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87"/>
            </w:tblGrid>
            <w:tr w:rsidR="00105BA3" w:rsidTr="00105BA3">
              <w:tc>
                <w:tcPr>
                  <w:tcW w:w="5000" w:type="pct"/>
                  <w:tcBorders>
                    <w:top w:val="nil"/>
                    <w:bottom w:val="nil"/>
                  </w:tcBorders>
                </w:tcPr>
                <w:p w:rsidR="00105BA3" w:rsidRDefault="005044B9" w:rsidP="00105BA3">
                  <w:pPr>
                    <w:pStyle w:val="Figure"/>
                    <w:spacing w:before="0" w:after="0"/>
                  </w:pPr>
                  <w:r>
                    <w:rPr>
                      <w:noProof/>
                    </w:rPr>
                    <w:drawing>
                      <wp:inline distT="0" distB="0" distL="0" distR="0" wp14:anchorId="02861FC4" wp14:editId="6E7D63FD">
                        <wp:extent cx="5216525" cy="2964815"/>
                        <wp:effectExtent l="0" t="0" r="3175" b="6985"/>
                        <wp:docPr id="38" name="Picture 38" descr="Figure 8: This figure presents components of real production of Financial and insurance services (FISIM, Other imputed income and Explicit charges and other income) for the period between 1994-95 and 2011-12.&#10;Over the period 1994-95 to 2006-07, FISIM grew at 4.2 per cent a year and other imputed income at 5.1 per cent a year, compared with an average growth of 7.1 per cent in explicit charges and other income. From 2006-07, and particularly after the GFC, FISIM increased by around 6.9 per cent per year, while production from other activities is estimated to have remained fairly flat or to have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6525" cy="2964815"/>
                                </a:xfrm>
                                <a:prstGeom prst="rect">
                                  <a:avLst/>
                                </a:prstGeom>
                                <a:noFill/>
                                <a:ln>
                                  <a:noFill/>
                                </a:ln>
                              </pic:spPr>
                            </pic:pic>
                          </a:graphicData>
                        </a:graphic>
                      </wp:inline>
                    </w:drawing>
                  </w:r>
                </w:p>
              </w:tc>
            </w:tr>
            <w:tr w:rsidR="00105BA3" w:rsidTr="00105BA3">
              <w:tc>
                <w:tcPr>
                  <w:tcW w:w="5000" w:type="pct"/>
                  <w:tcBorders>
                    <w:top w:val="nil"/>
                    <w:bottom w:val="nil"/>
                  </w:tcBorders>
                </w:tcPr>
                <w:p w:rsidR="00105BA3" w:rsidRDefault="00D74040" w:rsidP="00105BA3">
                  <w:pPr>
                    <w:pStyle w:val="Figure"/>
                    <w:spacing w:before="0" w:after="0"/>
                  </w:pPr>
                  <w:r>
                    <w:rPr>
                      <w:noProof/>
                    </w:rPr>
                    <w:drawing>
                      <wp:inline distT="0" distB="0" distL="0" distR="0" wp14:anchorId="5B71CD2F" wp14:editId="37D9609D">
                        <wp:extent cx="5391150" cy="247650"/>
                        <wp:effectExtent l="0" t="0" r="0" b="0"/>
                        <wp:docPr id="4" name="Picture 4" descr="Figure 8: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4765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2B5DA4" w:rsidRDefault="00105BA3" w:rsidP="003F5F63">
            <w:pPr>
              <w:pStyle w:val="Note"/>
            </w:pPr>
            <w:r>
              <w:rPr>
                <w:rStyle w:val="NoteLabel"/>
              </w:rPr>
              <w:t>a </w:t>
            </w:r>
            <w:r>
              <w:t xml:space="preserve">Other imputed income includes </w:t>
            </w:r>
            <w:r w:rsidRPr="0030560C">
              <w:t xml:space="preserve">imputed output of financial intermediaries </w:t>
            </w:r>
            <w:r>
              <w:t>nec, and of the RBA; and the insurance service charge. ‘</w:t>
            </w:r>
            <w:r w:rsidRPr="005C52E9">
              <w:t xml:space="preserve">Explicit charges </w:t>
            </w:r>
            <w:r>
              <w:t>and other income’ includes the components listed in table </w:t>
            </w:r>
            <w:r w:rsidR="003F5F63">
              <w:t>2</w:t>
            </w:r>
            <w:r>
              <w:t xml:space="preserve"> under the headings of explicit charges and other income plus sales of goods and services for Auxiliary services plus own account software and R&amp;D</w:t>
            </w:r>
            <w:r w:rsidRPr="005C52E9">
              <w:t>.</w:t>
            </w:r>
            <w:r>
              <w:t xml:space="preserve"> </w:t>
            </w:r>
            <w:r>
              <w:rPr>
                <w:rStyle w:val="NoteLabel"/>
              </w:rPr>
              <w:t>b</w:t>
            </w:r>
            <w:r>
              <w:t> Deflated by CPI (All groups).</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2D29FF">
            <w:pPr>
              <w:pStyle w:val="Source"/>
            </w:pPr>
            <w:r w:rsidRPr="00F51C72">
              <w:rPr>
                <w:i/>
              </w:rPr>
              <w:t>Source:</w:t>
            </w:r>
            <w:r w:rsidRPr="00176D3F">
              <w:t xml:space="preserve"> </w:t>
            </w:r>
            <w:r w:rsidR="002D29FF">
              <w:t>Authors’ estimates b</w:t>
            </w:r>
            <w:r>
              <w:t>ased on unpublished ABS data.</w:t>
            </w:r>
          </w:p>
        </w:tc>
      </w:tr>
      <w:tr w:rsidR="00105BA3" w:rsidTr="00105BA3">
        <w:tc>
          <w:tcPr>
            <w:tcW w:w="8771" w:type="dxa"/>
            <w:tcBorders>
              <w:top w:val="nil"/>
              <w:left w:val="nil"/>
              <w:bottom w:val="single" w:sz="6" w:space="0" w:color="78A22F"/>
              <w:right w:val="nil"/>
            </w:tcBorders>
            <w:shd w:val="clear" w:color="auto" w:fill="auto"/>
          </w:tcPr>
          <w:p w:rsidR="00105BA3" w:rsidRPr="00F51C72"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Heading3"/>
      </w:pPr>
      <w:r>
        <w:t>Intermediate inputs and real value added</w:t>
      </w:r>
    </w:p>
    <w:p w:rsidR="000A76FE" w:rsidRDefault="00105BA3" w:rsidP="00105BA3">
      <w:pPr>
        <w:pStyle w:val="BodyText"/>
      </w:pPr>
      <w:r>
        <w:t xml:space="preserve">MFP statistics use real value added </w:t>
      </w:r>
      <w:r w:rsidR="00565C4D">
        <w:t xml:space="preserve">(so called as it reflects the value added by capital and labour inputs used in production) </w:t>
      </w:r>
      <w:r>
        <w:t xml:space="preserve">as a measure of output rather than gross output. Hence the production </w:t>
      </w:r>
      <w:r w:rsidR="00565C4D">
        <w:t xml:space="preserve">(gross output) </w:t>
      </w:r>
      <w:r>
        <w:t>estimates have to be adjusted for intermediate inputs to get a net output or value added measure</w:t>
      </w:r>
      <w:r w:rsidR="00565C4D">
        <w:t xml:space="preserve">. </w:t>
      </w:r>
      <w:r w:rsidR="000A76FE">
        <w:t>For the FIS sector, real value added grew at an average 5.1 per</w:t>
      </w:r>
      <w:r w:rsidR="000A5624">
        <w:t xml:space="preserve"> </w:t>
      </w:r>
      <w:r w:rsidR="000A76FE">
        <w:t>cent</w:t>
      </w:r>
      <w:r w:rsidR="000A5624">
        <w:t xml:space="preserve"> </w:t>
      </w:r>
      <w:r w:rsidR="000A76FE">
        <w:t>per</w:t>
      </w:r>
      <w:r w:rsidR="000A5624">
        <w:t xml:space="preserve"> </w:t>
      </w:r>
      <w:r w:rsidR="000A76FE">
        <w:t>year over the period 1994</w:t>
      </w:r>
      <w:r w:rsidR="000A76FE">
        <w:noBreakHyphen/>
        <w:t>95 to 2011</w:t>
      </w:r>
      <w:r w:rsidR="000A76FE">
        <w:noBreakHyphen/>
        <w:t xml:space="preserve">12. This was faster than the growth </w:t>
      </w:r>
      <w:r w:rsidR="000A76FE">
        <w:lastRenderedPageBreak/>
        <w:t>in production as intermediate inputs grew by 3.5</w:t>
      </w:r>
      <w:r w:rsidR="000A76FE" w:rsidRPr="00303622">
        <w:t> </w:t>
      </w:r>
      <w:r w:rsidR="000A76FE">
        <w:t>per</w:t>
      </w:r>
      <w:r w:rsidR="000A5624">
        <w:t xml:space="preserve"> </w:t>
      </w:r>
      <w:r w:rsidR="000A76FE">
        <w:t>cent</w:t>
      </w:r>
      <w:r w:rsidR="000A5624">
        <w:t xml:space="preserve"> </w:t>
      </w:r>
      <w:r w:rsidR="000A76FE">
        <w:t>per</w:t>
      </w:r>
      <w:r w:rsidR="000A5624">
        <w:t xml:space="preserve"> </w:t>
      </w:r>
      <w:r w:rsidR="000A76FE">
        <w:t xml:space="preserve">year compared with growth of </w:t>
      </w:r>
      <w:r w:rsidR="000A76FE" w:rsidRPr="00AA0ED9">
        <w:t>4.4</w:t>
      </w:r>
      <w:r w:rsidR="000A76FE">
        <w:t> per</w:t>
      </w:r>
      <w:r w:rsidR="000A5624">
        <w:t xml:space="preserve"> </w:t>
      </w:r>
      <w:r w:rsidR="000A76FE">
        <w:t>cent</w:t>
      </w:r>
      <w:r w:rsidR="000A5624">
        <w:t xml:space="preserve"> </w:t>
      </w:r>
      <w:r w:rsidR="000A76FE">
        <w:t>per</w:t>
      </w:r>
      <w:r w:rsidR="000A5624">
        <w:t xml:space="preserve"> </w:t>
      </w:r>
      <w:r w:rsidR="000A76FE">
        <w:t>ye</w:t>
      </w:r>
      <w:r w:rsidR="00AB6E61">
        <w:t>ar in FIS production (figure 9</w:t>
      </w:r>
      <w:r w:rsidR="000A76FE">
        <w:t xml:space="preserve">, left-hand panel). </w:t>
      </w:r>
    </w:p>
    <w:p w:rsidR="00105BA3" w:rsidRPr="00D74040"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7B18B1">
            <w:pPr>
              <w:pStyle w:val="FigureTitle"/>
            </w:pPr>
            <w:r>
              <w:rPr>
                <w:b w:val="0"/>
              </w:rPr>
              <w:t>Figur</w:t>
            </w:r>
            <w:r w:rsidR="00AB6E61">
              <w:rPr>
                <w:b w:val="0"/>
              </w:rPr>
              <w:t>e 9</w:t>
            </w:r>
            <w:r>
              <w:tab/>
              <w:t>Trends in production and intermediate input use of Financial and insurance services</w:t>
            </w:r>
            <w:r w:rsidRPr="00877F30">
              <w:rPr>
                <w:rStyle w:val="NoteLabel"/>
                <w:b/>
              </w:rPr>
              <w:t>a</w:t>
            </w:r>
            <w:r>
              <w:rPr>
                <w:rStyle w:val="NoteLabel"/>
                <w:b/>
              </w:rPr>
              <w:t>,b</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8625" w:type="dxa"/>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312"/>
              <w:gridCol w:w="4313"/>
            </w:tblGrid>
            <w:tr w:rsidR="00105BA3" w:rsidTr="00105BA3">
              <w:tc>
                <w:tcPr>
                  <w:tcW w:w="2500" w:type="pct"/>
                  <w:tcBorders>
                    <w:top w:val="nil"/>
                    <w:bottom w:val="nil"/>
                  </w:tcBorders>
                  <w:vAlign w:val="bottom"/>
                </w:tcPr>
                <w:p w:rsidR="00105BA3" w:rsidRDefault="00105BA3" w:rsidP="00207198">
                  <w:pPr>
                    <w:pStyle w:val="TableColumnHeading"/>
                    <w:spacing w:before="0" w:after="0"/>
                    <w:jc w:val="center"/>
                  </w:pPr>
                  <w:r>
                    <w:t>Trends (index 1994-95 = 100)</w:t>
                  </w:r>
                </w:p>
              </w:tc>
              <w:tc>
                <w:tcPr>
                  <w:tcW w:w="2500" w:type="pct"/>
                  <w:tcBorders>
                    <w:top w:val="nil"/>
                    <w:bottom w:val="nil"/>
                  </w:tcBorders>
                  <w:vAlign w:val="bottom"/>
                </w:tcPr>
                <w:p w:rsidR="00105BA3" w:rsidRDefault="00105BA3" w:rsidP="00207198">
                  <w:pPr>
                    <w:pStyle w:val="TableColumnHeading"/>
                    <w:spacing w:before="0" w:after="0"/>
                    <w:jc w:val="center"/>
                  </w:pPr>
                  <w:r>
                    <w:t>Input composition</w:t>
                  </w:r>
                  <w:r w:rsidRPr="008B2556">
                    <w:rPr>
                      <w:rStyle w:val="NoteLabel"/>
                      <w:i w:val="0"/>
                    </w:rPr>
                    <w:t>c</w:t>
                  </w:r>
                  <w:r>
                    <w:rPr>
                      <w:rStyle w:val="NoteLabel"/>
                      <w:i w:val="0"/>
                    </w:rPr>
                    <w:t xml:space="preserve"> </w:t>
                  </w:r>
                  <w:r>
                    <w:t>(2011-12 $m)</w:t>
                  </w:r>
                </w:p>
              </w:tc>
            </w:tr>
            <w:tr w:rsidR="00105BA3" w:rsidTr="00105BA3">
              <w:tc>
                <w:tcPr>
                  <w:tcW w:w="2500" w:type="pct"/>
                  <w:tcBorders>
                    <w:top w:val="nil"/>
                    <w:bottom w:val="nil"/>
                  </w:tcBorders>
                </w:tcPr>
                <w:p w:rsidR="00105BA3" w:rsidRDefault="009C6E93" w:rsidP="00105BA3">
                  <w:pPr>
                    <w:pStyle w:val="Figure"/>
                    <w:spacing w:before="60" w:after="60"/>
                  </w:pPr>
                  <w:r>
                    <w:rPr>
                      <w:noProof/>
                    </w:rPr>
                    <w:drawing>
                      <wp:inline distT="0" distB="0" distL="0" distR="0" wp14:anchorId="295C2707" wp14:editId="4F51EFAA">
                        <wp:extent cx="2521585" cy="2701925"/>
                        <wp:effectExtent l="0" t="0" r="0" b="3175"/>
                        <wp:docPr id="39" name="Picture 39" descr="Figure 9, left hand panel: This figure has two panels. The left panel shows the trends (expressed as indexes) in production and intermediate input use of Financial and insurance services (FIS) between 1994-95 and 2012-13.&#10;For the FIS sector, real value added grew at an average 5.1 per cent per year over the period 1994 95 to 2012-13 (see right panel). This was faster than the growth in production as intermediate inputs grew by 3.5 per cent per year compared with growth of 4.4 per cent per year in FIS prod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1585" cy="2701925"/>
                                </a:xfrm>
                                <a:prstGeom prst="rect">
                                  <a:avLst/>
                                </a:prstGeom>
                                <a:noFill/>
                                <a:ln>
                                  <a:noFill/>
                                </a:ln>
                              </pic:spPr>
                            </pic:pic>
                          </a:graphicData>
                        </a:graphic>
                      </wp:inline>
                    </w:drawing>
                  </w:r>
                </w:p>
              </w:tc>
              <w:tc>
                <w:tcPr>
                  <w:tcW w:w="2500" w:type="pct"/>
                  <w:tcBorders>
                    <w:top w:val="nil"/>
                    <w:bottom w:val="nil"/>
                  </w:tcBorders>
                </w:tcPr>
                <w:p w:rsidR="00105BA3" w:rsidRDefault="009F202E" w:rsidP="00105BA3">
                  <w:pPr>
                    <w:pStyle w:val="Figure"/>
                    <w:spacing w:before="60" w:after="60"/>
                  </w:pPr>
                  <w:r>
                    <w:rPr>
                      <w:noProof/>
                    </w:rPr>
                    <w:drawing>
                      <wp:inline distT="0" distB="0" distL="0" distR="0" wp14:anchorId="15642879" wp14:editId="3E716A05">
                        <wp:extent cx="2514600" cy="2701925"/>
                        <wp:effectExtent l="0" t="0" r="0" b="3175"/>
                        <wp:docPr id="40" name="Picture 40" descr="Figure 9, right hand panel: This panel shows the value (in million dollar at 2011-12 constant prices) of value added and intermediate inputs use of FIS between 1994-95 and 2012-13. Real value added grew at an average 5.1 per cent per year over the period 1994-95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pPr>
            <w:r>
              <w:rPr>
                <w:rStyle w:val="NoteLabel"/>
              </w:rPr>
              <w:t>a</w:t>
            </w:r>
            <w:r>
              <w:t xml:space="preserve"> Chain volume measures. </w:t>
            </w:r>
            <w:r>
              <w:rPr>
                <w:rStyle w:val="NoteLabel"/>
              </w:rPr>
              <w:t>b </w:t>
            </w:r>
            <w:r>
              <w:t xml:space="preserve">Production can be decomposed into intermediate inputs used in producing output, and value added. </w:t>
            </w:r>
            <w:r>
              <w:rPr>
                <w:rStyle w:val="NoteLabel"/>
              </w:rPr>
              <w:t>c</w:t>
            </w:r>
            <w:r>
              <w:t> Value added is double deflated — derived as the difference between real production and real intermediate inputs. The value of production is deflated by CPI (All groups). Intermediate inputs is deflated by the implicit price deflator for intermediate inputs for Financial and insurance services division.</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FE14D1">
            <w:pPr>
              <w:pStyle w:val="Source"/>
            </w:pPr>
            <w:r>
              <w:rPr>
                <w:i/>
              </w:rPr>
              <w:t>S</w:t>
            </w:r>
            <w:r w:rsidRPr="00784A05">
              <w:rPr>
                <w:i/>
              </w:rPr>
              <w:t>ource</w:t>
            </w:r>
            <w:r w:rsidRPr="00176D3F">
              <w:t xml:space="preserve">: </w:t>
            </w:r>
            <w:r w:rsidR="00FE14D1">
              <w:t>Authors’ estimates based on u</w:t>
            </w:r>
            <w:r>
              <w:t>npublished ABS 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BodyText"/>
      </w:pPr>
      <w:r>
        <w:t xml:space="preserve">Intermediate inputs in </w:t>
      </w:r>
      <w:r w:rsidR="000A76FE">
        <w:t>FIS</w:t>
      </w:r>
      <w:r>
        <w:t xml:space="preserve"> declined from 44 per</w:t>
      </w:r>
      <w:r w:rsidR="00447726">
        <w:t xml:space="preserve"> </w:t>
      </w:r>
      <w:r>
        <w:t>cent in 1994</w:t>
      </w:r>
      <w:r w:rsidR="00447726">
        <w:noBreakHyphen/>
      </w:r>
      <w:r>
        <w:t>95 to 37 per</w:t>
      </w:r>
      <w:r w:rsidR="00447726">
        <w:t xml:space="preserve"> </w:t>
      </w:r>
      <w:r>
        <w:t>cent of the value of production in 2011</w:t>
      </w:r>
      <w:r w:rsidR="00447726">
        <w:noBreakHyphen/>
      </w:r>
      <w:r>
        <w:t>12 (figure </w:t>
      </w:r>
      <w:r w:rsidR="00AB6E61">
        <w:t>9</w:t>
      </w:r>
      <w:r>
        <w:t xml:space="preserve">, right-hand panel). However, the mix of inputs varies between activities so once again the aggregate masks significant differences at the sub-division level. </w:t>
      </w:r>
      <w:r w:rsidR="000A76FE">
        <w:t>In 2011</w:t>
      </w:r>
      <w:r w:rsidR="00447726">
        <w:noBreakHyphen/>
      </w:r>
      <w:r w:rsidR="000A76FE">
        <w:t>12 intermediate input use in Finance was around 25</w:t>
      </w:r>
      <w:r w:rsidR="00447726">
        <w:t> </w:t>
      </w:r>
      <w:r w:rsidR="000A76FE">
        <w:t>per</w:t>
      </w:r>
      <w:r w:rsidR="00447726">
        <w:t xml:space="preserve"> </w:t>
      </w:r>
      <w:r w:rsidR="000A76FE">
        <w:t>cent of gross output, compared with 66 per</w:t>
      </w:r>
      <w:r w:rsidR="00447726">
        <w:t xml:space="preserve"> </w:t>
      </w:r>
      <w:r w:rsidR="000A76FE">
        <w:t>cent in Insurance and superannuation, and 45 per</w:t>
      </w:r>
      <w:r w:rsidR="00447726">
        <w:t xml:space="preserve"> </w:t>
      </w:r>
      <w:r w:rsidR="000A76FE">
        <w:t>cent in Auxiliary services</w:t>
      </w:r>
      <w:r>
        <w:t xml:space="preserve"> (figure </w:t>
      </w:r>
      <w:r w:rsidR="00AB6E61">
        <w:t>10</w:t>
      </w:r>
      <w:r>
        <w:t xml:space="preserve">). </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Default="00105BA3" w:rsidP="00105BA3">
            <w:pPr>
              <w:pStyle w:val="FigureTitle"/>
            </w:pPr>
            <w:r>
              <w:rPr>
                <w:b w:val="0"/>
              </w:rPr>
              <w:t>Figure </w:t>
            </w:r>
            <w:r w:rsidR="00AB6E61">
              <w:rPr>
                <w:b w:val="0"/>
              </w:rPr>
              <w:t>10</w:t>
            </w:r>
            <w:r>
              <w:tab/>
              <w:t>Input structure of Financial and insurance services subdivisions</w:t>
            </w:r>
            <w:r w:rsidRPr="007156DB">
              <w:rPr>
                <w:rStyle w:val="NoteLabel"/>
                <w:b/>
              </w:rPr>
              <w:t>a</w:t>
            </w:r>
            <w:r>
              <w:rPr>
                <w:rStyle w:val="NoteLabel"/>
                <w:b/>
              </w:rPr>
              <w:t>,b</w:t>
            </w:r>
          </w:p>
          <w:p w:rsidR="00105BA3" w:rsidRPr="00981083" w:rsidRDefault="00105BA3" w:rsidP="00105BA3">
            <w:pPr>
              <w:pStyle w:val="Subtitle"/>
            </w:pPr>
            <w:r>
              <w:t>Index 1994</w:t>
            </w:r>
            <w:r w:rsidR="00092C5A">
              <w:noBreakHyphen/>
            </w:r>
            <w:r>
              <w:t>95 = 100 (left-hand panel); 2011</w:t>
            </w:r>
            <w:r w:rsidR="00092C5A">
              <w:noBreakHyphen/>
            </w:r>
            <w:r>
              <w:t>12 $m (right-hand panel)</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105BA3" w:rsidTr="00105BA3">
              <w:tc>
                <w:tcPr>
                  <w:tcW w:w="2500" w:type="pct"/>
                  <w:tcBorders>
                    <w:top w:val="nil"/>
                    <w:bottom w:val="nil"/>
                  </w:tcBorders>
                  <w:vAlign w:val="bottom"/>
                </w:tcPr>
                <w:p w:rsidR="00105BA3" w:rsidRDefault="00105BA3" w:rsidP="00105BA3">
                  <w:pPr>
                    <w:pStyle w:val="TableColumnHeading"/>
                    <w:spacing w:before="0" w:after="0"/>
                    <w:jc w:val="center"/>
                  </w:pPr>
                  <w:r>
                    <w:t>Trends (index 1994-95 = 100)</w:t>
                  </w:r>
                </w:p>
              </w:tc>
              <w:tc>
                <w:tcPr>
                  <w:tcW w:w="2500" w:type="pct"/>
                  <w:tcBorders>
                    <w:top w:val="nil"/>
                    <w:bottom w:val="nil"/>
                  </w:tcBorders>
                  <w:vAlign w:val="bottom"/>
                </w:tcPr>
                <w:p w:rsidR="00105BA3" w:rsidRDefault="00105BA3" w:rsidP="00105BA3">
                  <w:pPr>
                    <w:pStyle w:val="TableColumnHeading"/>
                    <w:spacing w:before="0" w:after="0"/>
                    <w:jc w:val="center"/>
                  </w:pPr>
                  <w:r>
                    <w:t>Input composition</w:t>
                  </w:r>
                  <w:r w:rsidRPr="008B2556">
                    <w:rPr>
                      <w:rStyle w:val="NoteLabel"/>
                      <w:i w:val="0"/>
                    </w:rPr>
                    <w:t>c</w:t>
                  </w:r>
                  <w:r>
                    <w:rPr>
                      <w:rStyle w:val="NoteLabel"/>
                      <w:i w:val="0"/>
                    </w:rPr>
                    <w:t xml:space="preserve"> </w:t>
                  </w:r>
                  <w:r>
                    <w:t>(2011-12 $m)</w:t>
                  </w:r>
                </w:p>
              </w:tc>
            </w:tr>
            <w:tr w:rsidR="00105BA3" w:rsidTr="00105BA3">
              <w:tc>
                <w:tcPr>
                  <w:tcW w:w="5000" w:type="pct"/>
                  <w:gridSpan w:val="2"/>
                  <w:tcBorders>
                    <w:top w:val="nil"/>
                    <w:bottom w:val="nil"/>
                  </w:tcBorders>
                </w:tcPr>
                <w:p w:rsidR="00105BA3" w:rsidRPr="00207198" w:rsidRDefault="00105BA3" w:rsidP="00105BA3">
                  <w:pPr>
                    <w:pStyle w:val="Figure"/>
                    <w:spacing w:before="40" w:after="0"/>
                    <w:rPr>
                      <w:rFonts w:ascii="Arial" w:hAnsi="Arial"/>
                      <w:b/>
                      <w:sz w:val="18"/>
                    </w:rPr>
                  </w:pPr>
                  <w:r w:rsidRPr="00207198">
                    <w:rPr>
                      <w:rFonts w:ascii="Arial" w:hAnsi="Arial"/>
                      <w:b/>
                      <w:sz w:val="18"/>
                    </w:rPr>
                    <w:t>Finance</w:t>
                  </w:r>
                </w:p>
              </w:tc>
            </w:tr>
            <w:tr w:rsidR="00105BA3" w:rsidTr="00105BA3">
              <w:tc>
                <w:tcPr>
                  <w:tcW w:w="2500" w:type="pct"/>
                  <w:tcBorders>
                    <w:top w:val="nil"/>
                    <w:bottom w:val="nil"/>
                  </w:tcBorders>
                </w:tcPr>
                <w:p w:rsidR="00105BA3" w:rsidRDefault="00BE606D" w:rsidP="00105BA3">
                  <w:pPr>
                    <w:pStyle w:val="Figure"/>
                    <w:spacing w:before="0" w:after="0"/>
                    <w:rPr>
                      <w:b/>
                    </w:rPr>
                  </w:pPr>
                  <w:r>
                    <w:rPr>
                      <w:i/>
                      <w:noProof/>
                    </w:rPr>
                    <w:drawing>
                      <wp:inline distT="0" distB="0" distL="0" distR="0" wp14:anchorId="1FFD2746" wp14:editId="4DD859A8">
                        <wp:extent cx="2694940" cy="1870075"/>
                        <wp:effectExtent l="0" t="0" r="0" b="0"/>
                        <wp:docPr id="43" name="Picture 43" descr="Figure 10, top left panel: This figure has six panels that show the input structure of three subdivisions of FIS — Finance, Insurance and superannuation and Auxiliary services. This panel shows the indexes (1994-95=100) of production and intermediate input of Finance between 1994-95 and 2011-12. The index for production increased to 209.9 and the index for intermediate input increased to 178.6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4940" cy="1870075"/>
                                </a:xfrm>
                                <a:prstGeom prst="rect">
                                  <a:avLst/>
                                </a:prstGeom>
                                <a:noFill/>
                                <a:ln>
                                  <a:noFill/>
                                </a:ln>
                              </pic:spPr>
                            </pic:pic>
                          </a:graphicData>
                        </a:graphic>
                      </wp:inline>
                    </w:drawing>
                  </w:r>
                </w:p>
              </w:tc>
              <w:tc>
                <w:tcPr>
                  <w:tcW w:w="2500" w:type="pct"/>
                  <w:tcBorders>
                    <w:top w:val="nil"/>
                    <w:bottom w:val="nil"/>
                  </w:tcBorders>
                </w:tcPr>
                <w:p w:rsidR="00105BA3" w:rsidRDefault="00BE606D" w:rsidP="00105BA3">
                  <w:pPr>
                    <w:pStyle w:val="Figure"/>
                    <w:spacing w:before="0" w:after="0"/>
                    <w:rPr>
                      <w:i/>
                    </w:rPr>
                  </w:pPr>
                  <w:r>
                    <w:rPr>
                      <w:b/>
                      <w:noProof/>
                    </w:rPr>
                    <w:drawing>
                      <wp:inline distT="0" distB="0" distL="0" distR="0" wp14:anchorId="7FF468D4" wp14:editId="5E66954F">
                        <wp:extent cx="2750185" cy="1905000"/>
                        <wp:effectExtent l="0" t="0" r="0" b="0"/>
                        <wp:docPr id="44" name="Picture 44" descr="Figure 10, top right panel: This figure shows the values of production intermediate input (million dollars in 2011-12 constant prices) of Finance between 1994-95 and 2011-12. In 2011-12 intermediate input use in Finance was around 25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5000" w:type="pct"/>
                  <w:gridSpan w:val="2"/>
                  <w:tcBorders>
                    <w:top w:val="nil"/>
                    <w:bottom w:val="nil"/>
                  </w:tcBorders>
                </w:tcPr>
                <w:p w:rsidR="00105BA3" w:rsidRPr="00207198" w:rsidRDefault="00105BA3" w:rsidP="00105BA3">
                  <w:pPr>
                    <w:pStyle w:val="Figure"/>
                    <w:spacing w:before="40" w:after="0"/>
                    <w:rPr>
                      <w:rFonts w:ascii="Arial" w:hAnsi="Arial"/>
                      <w:b/>
                      <w:sz w:val="18"/>
                    </w:rPr>
                  </w:pPr>
                  <w:r w:rsidRPr="00207198">
                    <w:rPr>
                      <w:rFonts w:ascii="Arial" w:hAnsi="Arial"/>
                      <w:b/>
                      <w:sz w:val="18"/>
                    </w:rPr>
                    <w:t>Insurance and superannuation</w:t>
                  </w:r>
                </w:p>
              </w:tc>
            </w:tr>
            <w:tr w:rsidR="00105BA3" w:rsidTr="00105BA3">
              <w:tc>
                <w:tcPr>
                  <w:tcW w:w="2500" w:type="pct"/>
                  <w:tcBorders>
                    <w:top w:val="nil"/>
                    <w:bottom w:val="nil"/>
                  </w:tcBorders>
                  <w:vAlign w:val="center"/>
                </w:tcPr>
                <w:p w:rsidR="00105BA3" w:rsidRDefault="00BE606D" w:rsidP="00105BA3">
                  <w:pPr>
                    <w:pStyle w:val="Figure"/>
                    <w:spacing w:before="0" w:after="0"/>
                    <w:rPr>
                      <w:b/>
                    </w:rPr>
                  </w:pPr>
                  <w:r>
                    <w:rPr>
                      <w:b/>
                      <w:noProof/>
                    </w:rPr>
                    <w:drawing>
                      <wp:inline distT="0" distB="0" distL="0" distR="0" wp14:anchorId="207AE120" wp14:editId="251B51E8">
                        <wp:extent cx="2694940" cy="1870075"/>
                        <wp:effectExtent l="0" t="0" r="0" b="0"/>
                        <wp:docPr id="45" name="Picture 45" descr="Figure 10, middle left panel: This figure shows the indexes (1994-95=100) of production and intermediate input of Insurance and superannuation between 1994-95 and 2011-12. Both indexes were slightly above 174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4940" cy="1870075"/>
                                </a:xfrm>
                                <a:prstGeom prst="rect">
                                  <a:avLst/>
                                </a:prstGeom>
                                <a:noFill/>
                                <a:ln>
                                  <a:noFill/>
                                </a:ln>
                              </pic:spPr>
                            </pic:pic>
                          </a:graphicData>
                        </a:graphic>
                      </wp:inline>
                    </w:drawing>
                  </w:r>
                </w:p>
              </w:tc>
              <w:tc>
                <w:tcPr>
                  <w:tcW w:w="2500" w:type="pct"/>
                  <w:tcBorders>
                    <w:top w:val="nil"/>
                    <w:bottom w:val="nil"/>
                  </w:tcBorders>
                  <w:vAlign w:val="center"/>
                </w:tcPr>
                <w:p w:rsidR="00105BA3" w:rsidRDefault="00BE606D" w:rsidP="00105BA3">
                  <w:pPr>
                    <w:pStyle w:val="Figure"/>
                    <w:spacing w:before="0" w:after="0"/>
                    <w:rPr>
                      <w:b/>
                    </w:rPr>
                  </w:pPr>
                  <w:r>
                    <w:rPr>
                      <w:b/>
                      <w:noProof/>
                    </w:rPr>
                    <w:drawing>
                      <wp:inline distT="0" distB="0" distL="0" distR="0" wp14:anchorId="2421FD7C" wp14:editId="47064D79">
                        <wp:extent cx="2750185" cy="1905000"/>
                        <wp:effectExtent l="0" t="0" r="0" b="0"/>
                        <wp:docPr id="46" name="Picture 46" descr="Figure 10, middle right panel: This figure shows the values of production and intermediate input (million dollars in 2011-12 constant prices) of Insurance and superannuation between 1994-95 and 2011-12. In 2011-12 intermediate input use in Insurance and superannuation was around 66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5000" w:type="pct"/>
                  <w:gridSpan w:val="2"/>
                  <w:tcBorders>
                    <w:top w:val="nil"/>
                    <w:bottom w:val="nil"/>
                  </w:tcBorders>
                  <w:vAlign w:val="center"/>
                </w:tcPr>
                <w:p w:rsidR="00105BA3" w:rsidRPr="00207198" w:rsidRDefault="00105BA3" w:rsidP="00105BA3">
                  <w:pPr>
                    <w:pStyle w:val="Figure"/>
                    <w:spacing w:before="40" w:after="0"/>
                    <w:rPr>
                      <w:rFonts w:ascii="Arial" w:hAnsi="Arial"/>
                      <w:b/>
                      <w:sz w:val="18"/>
                    </w:rPr>
                  </w:pPr>
                  <w:r w:rsidRPr="00207198">
                    <w:rPr>
                      <w:rFonts w:ascii="Arial" w:hAnsi="Arial"/>
                      <w:b/>
                      <w:sz w:val="18"/>
                    </w:rPr>
                    <w:t>Auxiliary services</w:t>
                  </w:r>
                </w:p>
              </w:tc>
            </w:tr>
            <w:tr w:rsidR="00105BA3" w:rsidTr="00105BA3">
              <w:tc>
                <w:tcPr>
                  <w:tcW w:w="2500" w:type="pct"/>
                  <w:tcBorders>
                    <w:top w:val="nil"/>
                    <w:bottom w:val="nil"/>
                  </w:tcBorders>
                  <w:vAlign w:val="center"/>
                </w:tcPr>
                <w:p w:rsidR="00105BA3" w:rsidRDefault="00BE606D" w:rsidP="00105BA3">
                  <w:pPr>
                    <w:pStyle w:val="Figure"/>
                    <w:spacing w:before="0" w:after="0"/>
                    <w:rPr>
                      <w:b/>
                    </w:rPr>
                  </w:pPr>
                  <w:r>
                    <w:rPr>
                      <w:b/>
                      <w:noProof/>
                    </w:rPr>
                    <w:drawing>
                      <wp:inline distT="0" distB="0" distL="0" distR="0" wp14:anchorId="57D6E31D" wp14:editId="69D3A64D">
                        <wp:extent cx="2750185" cy="1905000"/>
                        <wp:effectExtent l="0" t="0" r="0" b="0"/>
                        <wp:docPr id="47" name="Picture 47" descr="Figure 10, bottom left panel: This figure shows the indexes (1994-95=100) of production and intermediate input of Auxiliary services between 1994-95 and 2011-12. The index for production increased to 263.8 and the index for intermediate input increased to 184.1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c>
                <w:tcPr>
                  <w:tcW w:w="2500" w:type="pct"/>
                  <w:tcBorders>
                    <w:top w:val="nil"/>
                    <w:bottom w:val="nil"/>
                  </w:tcBorders>
                  <w:vAlign w:val="center"/>
                </w:tcPr>
                <w:p w:rsidR="00105BA3" w:rsidRDefault="00BE606D" w:rsidP="00105BA3">
                  <w:pPr>
                    <w:pStyle w:val="Figure"/>
                    <w:spacing w:before="0" w:after="0"/>
                    <w:rPr>
                      <w:b/>
                    </w:rPr>
                  </w:pPr>
                  <w:r w:rsidRPr="00947324">
                    <w:rPr>
                      <w:b/>
                      <w:noProof/>
                    </w:rPr>
                    <w:drawing>
                      <wp:inline distT="0" distB="0" distL="0" distR="0" wp14:anchorId="779FBED9" wp14:editId="466973BB">
                        <wp:extent cx="2750185" cy="1905000"/>
                        <wp:effectExtent l="0" t="0" r="0" b="0"/>
                        <wp:docPr id="48" name="Picture 48" descr="Figure 10, bottom right panel: this figure shows the values of production and intermediate input (million dollars in 2011-12 constant prices) of Auxiliary services between 1994-95 and 2011-12. In 2011-12 intermediate input use in Auxiliary services was around 45 per cent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inline>
                    </w:drawing>
                  </w:r>
                </w:p>
              </w:tc>
            </w:tr>
            <w:tr w:rsidR="00105BA3" w:rsidTr="00105BA3">
              <w:tc>
                <w:tcPr>
                  <w:tcW w:w="2500" w:type="pct"/>
                  <w:tcBorders>
                    <w:top w:val="nil"/>
                    <w:bottom w:val="nil"/>
                  </w:tcBorders>
                  <w:vAlign w:val="center"/>
                </w:tcPr>
                <w:p w:rsidR="00105BA3" w:rsidRDefault="00D74040" w:rsidP="00105BA3">
                  <w:pPr>
                    <w:pStyle w:val="Figure"/>
                    <w:spacing w:before="0" w:after="0"/>
                    <w:rPr>
                      <w:b/>
                    </w:rPr>
                  </w:pPr>
                  <w:r>
                    <w:rPr>
                      <w:b/>
                      <w:noProof/>
                    </w:rPr>
                    <w:drawing>
                      <wp:inline distT="0" distB="0" distL="0" distR="0" wp14:anchorId="5689B229" wp14:editId="7B84B7F1">
                        <wp:extent cx="2647950" cy="247650"/>
                        <wp:effectExtent l="0" t="0" r="0" b="0"/>
                        <wp:docPr id="7" name="Picture 7" descr="Figure 10 legend for left pane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tc>
              <w:tc>
                <w:tcPr>
                  <w:tcW w:w="2500" w:type="pct"/>
                  <w:tcBorders>
                    <w:top w:val="nil"/>
                    <w:bottom w:val="nil"/>
                  </w:tcBorders>
                  <w:vAlign w:val="center"/>
                </w:tcPr>
                <w:p w:rsidR="00105BA3" w:rsidRDefault="00D74040" w:rsidP="00105BA3">
                  <w:pPr>
                    <w:pStyle w:val="Figure"/>
                    <w:spacing w:before="0" w:after="0"/>
                    <w:rPr>
                      <w:b/>
                    </w:rPr>
                  </w:pPr>
                  <w:r>
                    <w:rPr>
                      <w:b/>
                      <w:noProof/>
                    </w:rPr>
                    <w:drawing>
                      <wp:inline distT="0" distB="0" distL="0" distR="0" wp14:anchorId="2D918BB8" wp14:editId="43A9CC5D">
                        <wp:extent cx="2647950" cy="247650"/>
                        <wp:effectExtent l="0" t="0" r="0" b="0"/>
                        <wp:docPr id="8" name="Picture 8" descr="Figure 10, legend for right pane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105BA3">
            <w:pPr>
              <w:pStyle w:val="Note"/>
              <w:spacing w:before="40"/>
            </w:pPr>
            <w:r>
              <w:rPr>
                <w:rStyle w:val="NoteLabel"/>
              </w:rPr>
              <w:t>a</w:t>
            </w:r>
            <w:r>
              <w:t xml:space="preserve"> Chain volume measures. </w:t>
            </w:r>
            <w:r>
              <w:rPr>
                <w:rStyle w:val="NoteLabel"/>
              </w:rPr>
              <w:t>b</w:t>
            </w:r>
            <w:r w:rsidRPr="00175AA1">
              <w:t> </w:t>
            </w:r>
            <w:r>
              <w:t xml:space="preserve">Production can be decomposed into intermediate inputs used in producing output, and value added. </w:t>
            </w:r>
            <w:r>
              <w:rPr>
                <w:rStyle w:val="NoteLabel"/>
              </w:rPr>
              <w:t>c</w:t>
            </w:r>
            <w:r>
              <w:t> Value added is double deflated — derived as the difference between real production and real intermediate inputs. The value of production is deflated by CPI (All groups). Intermediate inputs is deflated by the implicit price deflator for intermediate inputs for Financial and insurance services division.</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FE14D1">
            <w:pPr>
              <w:pStyle w:val="Source"/>
              <w:spacing w:before="40"/>
            </w:pPr>
            <w:r>
              <w:rPr>
                <w:i/>
              </w:rPr>
              <w:t>Source</w:t>
            </w:r>
            <w:r w:rsidRPr="00176D3F">
              <w:t xml:space="preserve">: </w:t>
            </w:r>
            <w:r w:rsidR="00FE14D1">
              <w:t>Authors’ estimates based on u</w:t>
            </w:r>
            <w:r>
              <w:t xml:space="preserve">npublished </w:t>
            </w:r>
            <w:r w:rsidRPr="00464B62">
              <w:t xml:space="preserve">ABS </w:t>
            </w:r>
            <w:r>
              <w:t>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spacing w:line="40" w:lineRule="exact"/>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spacing w:before="0" w:after="0"/>
            </w:pPr>
          </w:p>
        </w:tc>
      </w:tr>
    </w:tbl>
    <w:p w:rsidR="00105BA3" w:rsidRDefault="00105BA3" w:rsidP="00105BA3">
      <w:pPr>
        <w:pStyle w:val="Heading3"/>
      </w:pPr>
      <w:r>
        <w:lastRenderedPageBreak/>
        <w:t>Impacts on the measurement of MFP</w:t>
      </w:r>
    </w:p>
    <w:p w:rsidR="00105BA3" w:rsidRDefault="00AB6E61" w:rsidP="00105BA3">
      <w:pPr>
        <w:pStyle w:val="BodyText"/>
      </w:pPr>
      <w:r>
        <w:t xml:space="preserve">The very different rates of intermediate </w:t>
      </w:r>
      <w:r w:rsidR="00D23F93">
        <w:t xml:space="preserve">input </w:t>
      </w:r>
      <w:r w:rsidR="00DB439D">
        <w:t>use</w:t>
      </w:r>
      <w:r w:rsidR="00D23F93">
        <w:t xml:space="preserve"> mean</w:t>
      </w:r>
      <w:r>
        <w:t xml:space="preserve"> that the shares of value added</w:t>
      </w:r>
      <w:r w:rsidR="00D23F93">
        <w:t xml:space="preserve"> (figure 11</w:t>
      </w:r>
      <w:r w:rsidR="00537410">
        <w:t xml:space="preserve">, </w:t>
      </w:r>
      <w:r w:rsidR="00D23F93">
        <w:t>right panel)</w:t>
      </w:r>
      <w:r>
        <w:t xml:space="preserve"> differ considerably from gross output shares across the sub-divisions</w:t>
      </w:r>
      <w:r w:rsidR="00105BA3">
        <w:t xml:space="preserve"> (figure </w:t>
      </w:r>
      <w:r>
        <w:t>11</w:t>
      </w:r>
      <w:r w:rsidR="00537410">
        <w:t xml:space="preserve">, </w:t>
      </w:r>
      <w:r>
        <w:t>left panel</w:t>
      </w:r>
      <w:r w:rsidR="00105BA3">
        <w:t>). Superannuation and Insurance contributed similar shares of divisional production (</w:t>
      </w:r>
      <w:r w:rsidR="00D23F93">
        <w:t xml:space="preserve">each </w:t>
      </w:r>
      <w:r w:rsidR="00105BA3">
        <w:t>around 10 per</w:t>
      </w:r>
      <w:r w:rsidR="00447726">
        <w:t xml:space="preserve"> </w:t>
      </w:r>
      <w:r w:rsidR="00105BA3">
        <w:t>cent</w:t>
      </w:r>
      <w:r w:rsidR="00D23F93">
        <w:t xml:space="preserve"> to total 21</w:t>
      </w:r>
      <w:r w:rsidR="00447726">
        <w:t> </w:t>
      </w:r>
      <w:r w:rsidR="00D23F93">
        <w:t>per</w:t>
      </w:r>
      <w:r w:rsidR="00447726">
        <w:t xml:space="preserve"> </w:t>
      </w:r>
      <w:r w:rsidR="00D23F93">
        <w:t xml:space="preserve">cent), but </w:t>
      </w:r>
      <w:r w:rsidR="00B94F66">
        <w:t xml:space="preserve">together </w:t>
      </w:r>
      <w:r w:rsidR="00DB439D">
        <w:t xml:space="preserve">accounted </w:t>
      </w:r>
      <w:r w:rsidR="00D23F93">
        <w:t xml:space="preserve">for a much </w:t>
      </w:r>
      <w:r w:rsidR="00105BA3">
        <w:t>smaller share of the division’s value added (11 per</w:t>
      </w:r>
      <w:r w:rsidR="00447726">
        <w:t xml:space="preserve"> </w:t>
      </w:r>
      <w:r w:rsidR="00105BA3">
        <w:t>cent</w:t>
      </w:r>
      <w:r w:rsidR="00D23F93">
        <w:t>) because of their higher share of intermediate input use.</w:t>
      </w:r>
      <w:r w:rsidR="00105BA3">
        <w:t xml:space="preserve"> It was not possible to separately estimate valued added for Insurance and Superannuation.</w:t>
      </w:r>
    </w:p>
    <w:p w:rsidR="00105BA3" w:rsidRDefault="00105BA3" w:rsidP="00105B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105BA3" w:rsidTr="00D74040">
        <w:trPr>
          <w:tblHeader/>
        </w:trPr>
        <w:tc>
          <w:tcPr>
            <w:tcW w:w="8771" w:type="dxa"/>
            <w:tcBorders>
              <w:top w:val="single" w:sz="6" w:space="0" w:color="78A22F"/>
              <w:left w:val="nil"/>
              <w:bottom w:val="nil"/>
              <w:right w:val="nil"/>
            </w:tcBorders>
            <w:shd w:val="clear" w:color="auto" w:fill="auto"/>
          </w:tcPr>
          <w:p w:rsidR="00105BA3" w:rsidRPr="00176D3F" w:rsidRDefault="00105BA3" w:rsidP="00E40A7C">
            <w:pPr>
              <w:pStyle w:val="FigureTitle"/>
            </w:pPr>
            <w:r>
              <w:rPr>
                <w:b w:val="0"/>
              </w:rPr>
              <w:t>Figure </w:t>
            </w:r>
            <w:r w:rsidR="00D23F93">
              <w:rPr>
                <w:b w:val="0"/>
              </w:rPr>
              <w:t>11</w:t>
            </w:r>
            <w:r>
              <w:tab/>
              <w:t>Production</w:t>
            </w:r>
            <w:r w:rsidRPr="00245CFC">
              <w:rPr>
                <w:rStyle w:val="NoteLabel"/>
                <w:b/>
              </w:rPr>
              <w:t>a</w:t>
            </w:r>
            <w:r>
              <w:t xml:space="preserve"> and value added of Financial and insurance services subdivisions/groups, 2011</w:t>
            </w:r>
            <w:r>
              <w:noBreakHyphen/>
              <w:t>12</w:t>
            </w:r>
          </w:p>
        </w:tc>
      </w:tr>
      <w:tr w:rsidR="00105BA3" w:rsidTr="00105BA3">
        <w:tc>
          <w:tcPr>
            <w:tcW w:w="8771"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43"/>
              <w:gridCol w:w="4244"/>
            </w:tblGrid>
            <w:tr w:rsidR="00105BA3" w:rsidTr="00105BA3">
              <w:tc>
                <w:tcPr>
                  <w:tcW w:w="2500" w:type="pct"/>
                  <w:tcBorders>
                    <w:top w:val="nil"/>
                    <w:bottom w:val="nil"/>
                  </w:tcBorders>
                </w:tcPr>
                <w:p w:rsidR="00105BA3" w:rsidRPr="00DF6AF7" w:rsidRDefault="00105BA3" w:rsidP="00105BA3">
                  <w:pPr>
                    <w:pStyle w:val="Figure"/>
                    <w:spacing w:before="40" w:after="0"/>
                    <w:rPr>
                      <w:rFonts w:ascii="Arial" w:hAnsi="Arial"/>
                      <w:i/>
                      <w:sz w:val="18"/>
                    </w:rPr>
                  </w:pPr>
                  <w:r w:rsidRPr="00DF6AF7">
                    <w:rPr>
                      <w:rFonts w:ascii="Arial" w:hAnsi="Arial"/>
                      <w:i/>
                      <w:sz w:val="18"/>
                    </w:rPr>
                    <w:t>Production</w:t>
                  </w:r>
                </w:p>
              </w:tc>
              <w:tc>
                <w:tcPr>
                  <w:tcW w:w="2500" w:type="pct"/>
                  <w:tcBorders>
                    <w:top w:val="nil"/>
                    <w:bottom w:val="nil"/>
                  </w:tcBorders>
                </w:tcPr>
                <w:p w:rsidR="00105BA3" w:rsidRPr="00DF6AF7" w:rsidRDefault="00105BA3" w:rsidP="00105BA3">
                  <w:pPr>
                    <w:pStyle w:val="Figure"/>
                    <w:spacing w:before="40" w:after="0"/>
                    <w:rPr>
                      <w:rFonts w:ascii="Arial" w:hAnsi="Arial"/>
                      <w:i/>
                      <w:sz w:val="18"/>
                    </w:rPr>
                  </w:pPr>
                  <w:r w:rsidRPr="00DF6AF7">
                    <w:rPr>
                      <w:rFonts w:ascii="Arial" w:hAnsi="Arial"/>
                      <w:i/>
                      <w:sz w:val="18"/>
                    </w:rPr>
                    <w:t>Value added</w:t>
                  </w:r>
                </w:p>
              </w:tc>
            </w:tr>
            <w:tr w:rsidR="00105BA3" w:rsidTr="00105BA3">
              <w:tc>
                <w:tcPr>
                  <w:tcW w:w="2500" w:type="pct"/>
                  <w:tcBorders>
                    <w:top w:val="nil"/>
                    <w:bottom w:val="nil"/>
                  </w:tcBorders>
                </w:tcPr>
                <w:p w:rsidR="00105BA3" w:rsidRDefault="007417C2" w:rsidP="00105BA3">
                  <w:pPr>
                    <w:pStyle w:val="Figure"/>
                    <w:spacing w:before="60" w:after="60"/>
                  </w:pPr>
                  <w:r>
                    <w:rPr>
                      <w:noProof/>
                    </w:rPr>
                    <w:drawing>
                      <wp:inline distT="0" distB="0" distL="0" distR="0" wp14:anchorId="6411E04D" wp14:editId="1CD6E5FB">
                        <wp:extent cx="2660015" cy="2521585"/>
                        <wp:effectExtent l="0" t="0" r="6985" b="0"/>
                        <wp:docPr id="50" name="Picture 50" descr="Figure 11, left panel: This figure has two panels. This panel shows the shares of production of FIS subdivisions in 2011-12. The subdivisions include Finance (59 per cent), Auxiliary services (20 per cent) and Insurance and superannuation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0015" cy="2521585"/>
                                </a:xfrm>
                                <a:prstGeom prst="rect">
                                  <a:avLst/>
                                </a:prstGeom>
                                <a:noFill/>
                                <a:ln>
                                  <a:noFill/>
                                </a:ln>
                              </pic:spPr>
                            </pic:pic>
                          </a:graphicData>
                        </a:graphic>
                      </wp:inline>
                    </w:drawing>
                  </w:r>
                </w:p>
              </w:tc>
              <w:tc>
                <w:tcPr>
                  <w:tcW w:w="2500" w:type="pct"/>
                  <w:tcBorders>
                    <w:top w:val="nil"/>
                    <w:bottom w:val="nil"/>
                  </w:tcBorders>
                </w:tcPr>
                <w:p w:rsidR="00105BA3" w:rsidRDefault="007417C2" w:rsidP="00105BA3">
                  <w:pPr>
                    <w:pStyle w:val="Figure"/>
                    <w:spacing w:before="60" w:after="60"/>
                  </w:pPr>
                  <w:r>
                    <w:rPr>
                      <w:noProof/>
                    </w:rPr>
                    <w:drawing>
                      <wp:inline distT="0" distB="0" distL="0" distR="0" wp14:anchorId="7B419942" wp14:editId="1EA17955">
                        <wp:extent cx="2667000" cy="2521585"/>
                        <wp:effectExtent l="0" t="0" r="0" b="0"/>
                        <wp:docPr id="51" name="Picture 51" descr="Figure 11, right panel: &lt;Text for the right panel&gt;&#10;This panel shows the shares of value added of FIS subdivisions in 2011-12. The subdivisions include Finance (71 per cent), Auxiliary services (18 per cent) and Insurance and superannuation (1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0" cy="2521585"/>
                                </a:xfrm>
                                <a:prstGeom prst="rect">
                                  <a:avLst/>
                                </a:prstGeom>
                                <a:noFill/>
                                <a:ln>
                                  <a:noFill/>
                                </a:ln>
                              </pic:spPr>
                            </pic:pic>
                          </a:graphicData>
                        </a:graphic>
                      </wp:inline>
                    </w:drawing>
                  </w:r>
                </w:p>
              </w:tc>
            </w:tr>
          </w:tbl>
          <w:p w:rsidR="00105BA3" w:rsidRDefault="00105BA3" w:rsidP="00105BA3">
            <w:pPr>
              <w:pStyle w:val="Figure"/>
            </w:pP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207198">
            <w:pPr>
              <w:pStyle w:val="Note"/>
              <w:spacing w:before="0"/>
            </w:pPr>
            <w:r>
              <w:rPr>
                <w:rStyle w:val="NoteLabel"/>
              </w:rPr>
              <w:t>a</w:t>
            </w:r>
            <w:r>
              <w:t> Includes own</w:t>
            </w:r>
            <w:r>
              <w:noBreakHyphen/>
              <w:t>account software and R&amp;D.</w:t>
            </w:r>
          </w:p>
        </w:tc>
      </w:tr>
      <w:tr w:rsidR="00105BA3" w:rsidRPr="00176D3F" w:rsidTr="00105BA3">
        <w:tc>
          <w:tcPr>
            <w:tcW w:w="8771" w:type="dxa"/>
            <w:tcBorders>
              <w:top w:val="nil"/>
              <w:left w:val="nil"/>
              <w:bottom w:val="nil"/>
              <w:right w:val="nil"/>
            </w:tcBorders>
            <w:shd w:val="clear" w:color="auto" w:fill="auto"/>
          </w:tcPr>
          <w:p w:rsidR="00105BA3" w:rsidRPr="00176D3F" w:rsidRDefault="00105BA3" w:rsidP="00E64A51">
            <w:pPr>
              <w:pStyle w:val="Source"/>
            </w:pPr>
            <w:r>
              <w:rPr>
                <w:i/>
              </w:rPr>
              <w:t>Source</w:t>
            </w:r>
            <w:r w:rsidRPr="00176D3F">
              <w:t xml:space="preserve">: </w:t>
            </w:r>
            <w:r w:rsidR="00E64A51">
              <w:t>Authors’ estimates based on u</w:t>
            </w:r>
            <w:r>
              <w:t xml:space="preserve">npublished </w:t>
            </w:r>
            <w:r w:rsidRPr="00464B62">
              <w:t xml:space="preserve">ABS </w:t>
            </w:r>
            <w:r>
              <w:t>data.</w:t>
            </w:r>
          </w:p>
        </w:tc>
      </w:tr>
      <w:tr w:rsidR="00105BA3" w:rsidTr="00105BA3">
        <w:tc>
          <w:tcPr>
            <w:tcW w:w="8771" w:type="dxa"/>
            <w:tcBorders>
              <w:top w:val="nil"/>
              <w:left w:val="nil"/>
              <w:bottom w:val="single" w:sz="6" w:space="0" w:color="78A22F"/>
              <w:right w:val="nil"/>
            </w:tcBorders>
            <w:shd w:val="clear" w:color="auto" w:fill="auto"/>
          </w:tcPr>
          <w:p w:rsidR="00105BA3" w:rsidRDefault="00105BA3" w:rsidP="00105BA3">
            <w:pPr>
              <w:pStyle w:val="Figurespace"/>
            </w:pPr>
          </w:p>
        </w:tc>
      </w:tr>
      <w:tr w:rsidR="00105BA3" w:rsidRPr="000863A5" w:rsidTr="00105BA3">
        <w:tc>
          <w:tcPr>
            <w:tcW w:w="8771" w:type="dxa"/>
            <w:tcBorders>
              <w:top w:val="single" w:sz="6" w:space="0" w:color="78A22F"/>
              <w:left w:val="nil"/>
              <w:bottom w:val="nil"/>
              <w:right w:val="nil"/>
            </w:tcBorders>
          </w:tcPr>
          <w:p w:rsidR="00105BA3" w:rsidRPr="00626D32" w:rsidRDefault="00105BA3" w:rsidP="00105BA3">
            <w:pPr>
              <w:pStyle w:val="BoxSpaceBelow"/>
            </w:pPr>
          </w:p>
        </w:tc>
      </w:tr>
    </w:tbl>
    <w:p w:rsidR="00105BA3" w:rsidRDefault="00105BA3" w:rsidP="00105BA3">
      <w:pPr>
        <w:pStyle w:val="BodyText"/>
      </w:pPr>
      <w:r>
        <w:t>As noted, MFP is measured as the growth in value added less growth in capital and labour inputs</w:t>
      </w:r>
      <w:r w:rsidR="00A41295">
        <w:t xml:space="preserve"> and by </w:t>
      </w:r>
      <w:r>
        <w:t xml:space="preserve">construction, </w:t>
      </w:r>
      <w:r w:rsidR="00A41295">
        <w:t xml:space="preserve">it reflects </w:t>
      </w:r>
      <w:r>
        <w:t>changes in the shares of intermediate inputs in production change value added. However, as intermediate inputs are substitut</w:t>
      </w:r>
      <w:r w:rsidR="00A41295">
        <w:t>able</w:t>
      </w:r>
      <w:r>
        <w:t xml:space="preserve"> for capital and labour inputs, changes in intermediate inputs should be mirrored by a change in capital and labour inputs. Hence, to the extent that there is a shift toward or away from outsourcing </w:t>
      </w:r>
      <w:r w:rsidR="000A76FE">
        <w:t>(</w:t>
      </w:r>
      <w:r>
        <w:t>where the activity is undertaken</w:t>
      </w:r>
      <w:r w:rsidR="000A76FE">
        <w:t>)</w:t>
      </w:r>
      <w:r>
        <w:t xml:space="preserve"> measured MFP should not change. As </w:t>
      </w:r>
      <w:r w:rsidR="00B94F66">
        <w:t xml:space="preserve">changes in </w:t>
      </w:r>
      <w:r>
        <w:t>outsourcing should</w:t>
      </w:r>
      <w:r w:rsidR="000A76FE">
        <w:t xml:space="preserve"> be a</w:t>
      </w:r>
      <w:r>
        <w:t xml:space="preserve"> re</w:t>
      </w:r>
      <w:r w:rsidR="000A76FE">
        <w:t>sponse</w:t>
      </w:r>
      <w:r>
        <w:t xml:space="preserve"> to </w:t>
      </w:r>
      <w:r w:rsidR="000A76FE">
        <w:t>there being a less</w:t>
      </w:r>
      <w:r>
        <w:t xml:space="preserve"> costly way of undertaking a particular activity, it would be expected that such shifts should be associated with productivity gains (relative to the counterfactual). </w:t>
      </w:r>
    </w:p>
    <w:p w:rsidR="0088562E" w:rsidRDefault="00365A65" w:rsidP="00365A65">
      <w:pPr>
        <w:pStyle w:val="Heading2nosectionno"/>
      </w:pPr>
      <w:r>
        <w:lastRenderedPageBreak/>
        <w:t xml:space="preserve">Imputed </w:t>
      </w:r>
      <w:r w:rsidR="00B94F66">
        <w:t xml:space="preserve">output </w:t>
      </w:r>
      <w:r>
        <w:t>measures</w:t>
      </w:r>
      <w:r w:rsidR="00B94F66">
        <w:t xml:space="preserve"> i</w:t>
      </w:r>
      <w:r w:rsidR="00D66A49">
        <w:t>n more deta</w:t>
      </w:r>
      <w:r w:rsidR="00B94F66">
        <w:t>il</w:t>
      </w:r>
    </w:p>
    <w:p w:rsidR="00365A65" w:rsidRDefault="00D80572" w:rsidP="00365A65">
      <w:pPr>
        <w:pStyle w:val="BodyText"/>
      </w:pPr>
      <w:r>
        <w:t xml:space="preserve">There are three main types of imputed measures: </w:t>
      </w:r>
      <w:r w:rsidR="00B94F66">
        <w:t>FISIM</w:t>
      </w:r>
      <w:r>
        <w:t xml:space="preserve"> is </w:t>
      </w:r>
      <w:r w:rsidR="00B74AF1">
        <w:t>derived from</w:t>
      </w:r>
      <w:r>
        <w:t xml:space="preserve"> the gap between lending and deposit r</w:t>
      </w:r>
      <w:r w:rsidR="00B94F66">
        <w:t xml:space="preserve">ates; the insurance service charge, </w:t>
      </w:r>
      <w:r w:rsidR="00DB439D">
        <w:t xml:space="preserve">(which </w:t>
      </w:r>
      <w:r w:rsidR="00B94F66">
        <w:t xml:space="preserve">for non-life insurance </w:t>
      </w:r>
      <w:r w:rsidR="00DB439D">
        <w:t>is</w:t>
      </w:r>
      <w:r>
        <w:t xml:space="preserve"> based on the difference between insurance premiums and pay-</w:t>
      </w:r>
      <w:r w:rsidR="00DB439D">
        <w:t>outs)</w:t>
      </w:r>
      <w:r>
        <w:t xml:space="preserve"> and the cost of production, which draws on the cost of providing the service</w:t>
      </w:r>
      <w:r w:rsidR="00B94F66">
        <w:t>.</w:t>
      </w:r>
      <w:r w:rsidR="00B94F66">
        <w:rPr>
          <w:rStyle w:val="FootnoteReference"/>
        </w:rPr>
        <w:footnoteReference w:id="10"/>
      </w:r>
      <w:r>
        <w:t xml:space="preserve"> </w:t>
      </w:r>
    </w:p>
    <w:p w:rsidR="00D80572" w:rsidRDefault="00D80572" w:rsidP="00D80572">
      <w:pPr>
        <w:pStyle w:val="Heading3"/>
        <w:spacing w:after="360"/>
      </w:pPr>
      <w:r>
        <w:t>FISIM makes up a major share of production in Finance</w:t>
      </w:r>
    </w:p>
    <w:p w:rsidR="00D80572" w:rsidRDefault="00D80572" w:rsidP="00D80572">
      <w:pPr>
        <w:pStyle w:val="BodyText"/>
      </w:pPr>
      <w:r>
        <w:t>In 2011</w:t>
      </w:r>
      <w:r w:rsidR="00447726">
        <w:noBreakHyphen/>
      </w:r>
      <w:r>
        <w:t>12, FISIM contributed around 76</w:t>
      </w:r>
      <w:r w:rsidR="00447726">
        <w:t> </w:t>
      </w:r>
      <w:r>
        <w:t>per cent to gross output in the Finance subdivision</w:t>
      </w:r>
      <w:r w:rsidR="00B94F66">
        <w:t xml:space="preserve"> (figure 12</w:t>
      </w:r>
      <w:r w:rsidR="00E40A7C">
        <w:t>)</w:t>
      </w:r>
      <w:r>
        <w:t>. The relative shares of the various output components in the Finance subdivision remained fairly constant during the period from 1994</w:t>
      </w:r>
      <w:r w:rsidR="00447726">
        <w:noBreakHyphen/>
      </w:r>
      <w:r>
        <w:t>95 to 2007</w:t>
      </w:r>
      <w:r w:rsidR="00447726">
        <w:noBreakHyphen/>
      </w:r>
      <w:r>
        <w:t>08. However, since 2007</w:t>
      </w:r>
      <w:r w:rsidR="00447726">
        <w:noBreakHyphen/>
      </w:r>
      <w:r>
        <w:t>08 the sha</w:t>
      </w:r>
      <w:r w:rsidR="00B94F66">
        <w:t>re of FISIM has increased substantial</w:t>
      </w:r>
      <w:r>
        <w:t>ly (it averaged 67</w:t>
      </w:r>
      <w:r w:rsidR="00447726">
        <w:t> </w:t>
      </w:r>
      <w:r>
        <w:t>per cent over 1994</w:t>
      </w:r>
      <w:r w:rsidR="00447726">
        <w:noBreakHyphen/>
      </w:r>
      <w:r>
        <w:t>95 to 2006</w:t>
      </w:r>
      <w:r w:rsidR="00447726">
        <w:noBreakHyphen/>
      </w:r>
      <w:r>
        <w:t>07).</w:t>
      </w:r>
    </w:p>
    <w:p w:rsidR="00D80572" w:rsidRDefault="00D80572" w:rsidP="00D80572">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909"/>
      </w:tblGrid>
      <w:tr w:rsidR="00D80572" w:rsidTr="00D74040">
        <w:trPr>
          <w:tblHeader/>
        </w:trPr>
        <w:tc>
          <w:tcPr>
            <w:tcW w:w="8771" w:type="dxa"/>
            <w:tcBorders>
              <w:top w:val="single" w:sz="6" w:space="0" w:color="78A22F"/>
              <w:left w:val="nil"/>
              <w:bottom w:val="nil"/>
              <w:right w:val="nil"/>
            </w:tcBorders>
            <w:hideMark/>
          </w:tcPr>
          <w:p w:rsidR="00D80572" w:rsidRDefault="00D80572">
            <w:pPr>
              <w:pStyle w:val="FigureTitle"/>
            </w:pPr>
            <w:r>
              <w:rPr>
                <w:b w:val="0"/>
              </w:rPr>
              <w:t>Figure</w:t>
            </w:r>
            <w:r w:rsidR="00E40A7C">
              <w:t> </w:t>
            </w:r>
            <w:r w:rsidR="00B94F66">
              <w:rPr>
                <w:b w:val="0"/>
              </w:rPr>
              <w:t>12</w:t>
            </w:r>
            <w:r>
              <w:tab/>
              <w:t>Gross output components of the Finance subdivision</w:t>
            </w:r>
            <w:r w:rsidRPr="008712D7">
              <w:rPr>
                <w:rStyle w:val="NoteLabel"/>
                <w:b/>
              </w:rPr>
              <w:t>a,b</w:t>
            </w:r>
          </w:p>
          <w:p w:rsidR="00D80572" w:rsidRDefault="00D80572">
            <w:pPr>
              <w:pStyle w:val="Subtitle"/>
            </w:pPr>
            <w:r>
              <w:t>Current $m</w:t>
            </w:r>
          </w:p>
        </w:tc>
      </w:tr>
      <w:tr w:rsidR="00D80572" w:rsidTr="0020719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CellMar>
                <w:top w:w="28" w:type="dxa"/>
              </w:tblCellMar>
              <w:tblLook w:val="04A0" w:firstRow="1" w:lastRow="0" w:firstColumn="1" w:lastColumn="0" w:noHBand="0" w:noVBand="1"/>
            </w:tblPr>
            <w:tblGrid>
              <w:gridCol w:w="8625"/>
            </w:tblGrid>
            <w:tr w:rsidR="00D80572" w:rsidTr="00207198">
              <w:tc>
                <w:tcPr>
                  <w:tcW w:w="5000" w:type="pct"/>
                  <w:tcBorders>
                    <w:top w:val="nil"/>
                    <w:left w:val="nil"/>
                    <w:bottom w:val="nil"/>
                    <w:right w:val="nil"/>
                  </w:tcBorders>
                  <w:hideMark/>
                </w:tcPr>
                <w:p w:rsidR="00D80572" w:rsidRDefault="00477F34">
                  <w:pPr>
                    <w:pStyle w:val="Figure"/>
                    <w:spacing w:before="60" w:after="60"/>
                  </w:pPr>
                  <w:r>
                    <w:rPr>
                      <w:noProof/>
                    </w:rPr>
                    <w:drawing>
                      <wp:inline distT="0" distB="0" distL="0" distR="0" wp14:anchorId="33B86B33" wp14:editId="44F55BA5">
                        <wp:extent cx="5389200" cy="2869200"/>
                        <wp:effectExtent l="0" t="0" r="2540" b="7620"/>
                        <wp:docPr id="52" name="Picture 52" descr="Figure 12: This figure shows Gross output components of the Finance subdivisions — FISIM, Explicit charges and other income between 1994-95 and 2011-12.&#10;In 2011-12, FISIM contributed around 76 per cent to gross output in the Finance subdivision. The relative shares of the various output components in the Finance subdivision remained fairly constant during the period from 1994-95 to 2007-08. However, since 2007-08 the share of FISIM has increased substantially (it averaged 67 per cent over 1994-95 to 200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901"/>
                                <a:stretch/>
                              </pic:blipFill>
                              <pic:spPr bwMode="auto">
                                <a:xfrm>
                                  <a:off x="0" y="0"/>
                                  <a:ext cx="5389200" cy="286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0572" w:rsidRDefault="00D80572">
            <w:pPr>
              <w:pStyle w:val="Figure"/>
            </w:pPr>
          </w:p>
        </w:tc>
      </w:tr>
      <w:tr w:rsidR="00D80572" w:rsidTr="00207198">
        <w:tc>
          <w:tcPr>
            <w:tcW w:w="8771" w:type="dxa"/>
            <w:tcBorders>
              <w:top w:val="nil"/>
              <w:left w:val="nil"/>
              <w:bottom w:val="nil"/>
              <w:right w:val="nil"/>
            </w:tcBorders>
            <w:hideMark/>
          </w:tcPr>
          <w:p w:rsidR="00D80572" w:rsidRDefault="00D80572">
            <w:pPr>
              <w:pStyle w:val="Note"/>
            </w:pPr>
            <w:r>
              <w:rPr>
                <w:rStyle w:val="NoteLabel"/>
              </w:rPr>
              <w:t xml:space="preserve">a </w:t>
            </w:r>
            <w:r>
              <w:t xml:space="preserve">Does not include own-account software and R&amp;D. </w:t>
            </w:r>
            <w:r>
              <w:rPr>
                <w:rStyle w:val="NoteLabel"/>
              </w:rPr>
              <w:t>b</w:t>
            </w:r>
            <w:r>
              <w:t xml:space="preserve"> Other income includes rental income and other service income from activities such as trading securities, and a small proportion of other imputed income from financial intermediaries not elsewhere classified and the RBA. In 2011</w:t>
            </w:r>
            <w:r w:rsidR="00447726">
              <w:noBreakHyphen/>
            </w:r>
            <w:r>
              <w:t>12 the latter imputed component contributed around 3</w:t>
            </w:r>
            <w:r w:rsidR="00447726">
              <w:t> </w:t>
            </w:r>
            <w:r>
              <w:t>per cent of gross output in the Finance subdivision.</w:t>
            </w:r>
          </w:p>
        </w:tc>
      </w:tr>
      <w:tr w:rsidR="00D80572" w:rsidTr="00207198">
        <w:tc>
          <w:tcPr>
            <w:tcW w:w="8771" w:type="dxa"/>
            <w:tcBorders>
              <w:top w:val="nil"/>
              <w:left w:val="nil"/>
              <w:bottom w:val="nil"/>
              <w:right w:val="nil"/>
            </w:tcBorders>
            <w:hideMark/>
          </w:tcPr>
          <w:p w:rsidR="00D80572" w:rsidRDefault="00D80572" w:rsidP="00E64A51">
            <w:pPr>
              <w:pStyle w:val="Source"/>
            </w:pPr>
            <w:r>
              <w:rPr>
                <w:i/>
              </w:rPr>
              <w:t>Source</w:t>
            </w:r>
            <w:r>
              <w:t xml:space="preserve">: </w:t>
            </w:r>
            <w:r w:rsidR="00E64A51">
              <w:t>Authors’ estimates based on u</w:t>
            </w:r>
            <w:r>
              <w:t>npublished ABS data.</w:t>
            </w:r>
          </w:p>
        </w:tc>
      </w:tr>
      <w:tr w:rsidR="00D80572" w:rsidTr="00207198">
        <w:tc>
          <w:tcPr>
            <w:tcW w:w="8771" w:type="dxa"/>
            <w:tcBorders>
              <w:top w:val="nil"/>
              <w:left w:val="nil"/>
              <w:bottom w:val="single" w:sz="6" w:space="0" w:color="78A22F"/>
              <w:right w:val="nil"/>
            </w:tcBorders>
          </w:tcPr>
          <w:p w:rsidR="00D80572" w:rsidRDefault="00D80572">
            <w:pPr>
              <w:pStyle w:val="Figurespace"/>
            </w:pPr>
          </w:p>
        </w:tc>
      </w:tr>
      <w:tr w:rsidR="00D80572" w:rsidTr="00207198">
        <w:tc>
          <w:tcPr>
            <w:tcW w:w="8771" w:type="dxa"/>
            <w:tcBorders>
              <w:top w:val="single" w:sz="6" w:space="0" w:color="78A22F"/>
              <w:left w:val="nil"/>
              <w:bottom w:val="nil"/>
              <w:right w:val="nil"/>
            </w:tcBorders>
            <w:hideMark/>
          </w:tcPr>
          <w:p w:rsidR="00D80572" w:rsidRDefault="00D80572">
            <w:pPr>
              <w:pStyle w:val="BoxSpaceBelow"/>
            </w:pPr>
          </w:p>
        </w:tc>
      </w:tr>
    </w:tbl>
    <w:p w:rsidR="00D80572" w:rsidRDefault="00D80572" w:rsidP="00D80572">
      <w:pPr>
        <w:pStyle w:val="BodyText"/>
      </w:pPr>
      <w:r>
        <w:lastRenderedPageBreak/>
        <w:t>It is worth noting that FISIM makes up a higher share of value added than gross output. This is because value added is smaller than gross output (by the level of intermediate services). Consequently any measurement bias or instability in FISIM will have a bigger effect on estimates of the growth in value added (and hence MFP) than on growth in gross output.</w:t>
      </w:r>
      <w:r>
        <w:rPr>
          <w:rStyle w:val="FootnoteReference"/>
        </w:rPr>
        <w:footnoteReference w:id="11"/>
      </w:r>
      <w:r>
        <w:t xml:space="preserve"> </w:t>
      </w:r>
    </w:p>
    <w:p w:rsidR="00D80572" w:rsidRDefault="00D80572" w:rsidP="002C396D">
      <w:pPr>
        <w:pStyle w:val="Heading4"/>
      </w:pPr>
      <w:r>
        <w:t>Some issues in measuring FISIM</w:t>
      </w:r>
    </w:p>
    <w:p w:rsidR="00D80572" w:rsidRDefault="00D80572" w:rsidP="00D80572">
      <w:pPr>
        <w:pStyle w:val="BodyText"/>
      </w:pPr>
      <w:r>
        <w:t>There is a substantial literature on</w:t>
      </w:r>
      <w:r w:rsidR="00EA28E1">
        <w:t xml:space="preserve"> the estimation of FISIM involving</w:t>
      </w:r>
      <w:r>
        <w:t xml:space="preserve"> a wide range of complicated conceptual and technical issues</w:t>
      </w:r>
      <w:r w:rsidR="00783AD3">
        <w:t>. For the purposes of exposition the explanation below relates only to banks</w:t>
      </w:r>
      <w:r>
        <w:t xml:space="preserve">. FISIM captures the value of banks’ services associated with </w:t>
      </w:r>
      <w:r w:rsidRPr="00EA28E1">
        <w:t>deposit taking</w:t>
      </w:r>
      <w:r>
        <w:t xml:space="preserve"> (such as taking, managing and transferring deposits and facilitating withdrawal of funds etc.) and services associated with </w:t>
      </w:r>
      <w:r w:rsidRPr="00EA28E1">
        <w:t>loan making</w:t>
      </w:r>
      <w:r>
        <w:t xml:space="preserve"> (such as assessing risks of borrowers; screening investment projects; monitoring loan performance; transforming deposits into loans to meet required size; and pricing the risk characteristics, terms to maturity, repayment schedule and other conditions). </w:t>
      </w:r>
    </w:p>
    <w:p w:rsidR="00D80572" w:rsidRDefault="00EA28E1" w:rsidP="00D80572">
      <w:pPr>
        <w:pStyle w:val="BodyText"/>
      </w:pPr>
      <w:r>
        <w:t>Part of this difference</w:t>
      </w:r>
      <w:r w:rsidR="00D80572">
        <w:t xml:space="preserve"> relate</w:t>
      </w:r>
      <w:r>
        <w:t>s to financial risks. T</w:t>
      </w:r>
      <w:r w:rsidR="00D80572">
        <w:t xml:space="preserve">he bank is exposed to the risk of depositors wishing to withdraw their funds (liquidity risk), and the borrower failing to meet the repayment obligations on loans (late payment and default risks). </w:t>
      </w:r>
      <w:r>
        <w:t xml:space="preserve">These risks vary with specific borrowers and lenders (idiosyncratic risk), but also with market conditions (market risk). </w:t>
      </w:r>
      <w:r w:rsidR="00D80572">
        <w:t>The margin between deposit and lending rates includes this market risk premium as well as the return to the bank’s intermediation and risk management activities. The difference is explained in box</w:t>
      </w:r>
      <w:r w:rsidR="00E40A7C">
        <w:t> </w:t>
      </w:r>
      <w:r w:rsidR="005A70F4">
        <w:t>1</w:t>
      </w:r>
      <w:r w:rsidR="00D80572">
        <w:t xml:space="preserve">. </w:t>
      </w:r>
    </w:p>
    <w:p w:rsidR="00D66A49" w:rsidRDefault="00D66A49" w:rsidP="00D80572">
      <w:pPr>
        <w:pStyle w:val="BodyText"/>
      </w:pPr>
      <w:r>
        <w:t>This inclusion of the market risk premium in the formulation of FISIM suggests that FISIM, and by extension the size of the Finance industry, has been systematically overestimated. Estimates for the United States and European Union are that FISIM is overestimated by around 40</w:t>
      </w:r>
      <w:r w:rsidR="00447726">
        <w:t> </w:t>
      </w:r>
      <w:r>
        <w:t>per</w:t>
      </w:r>
      <w:r w:rsidR="00447726">
        <w:t xml:space="preserve"> </w:t>
      </w:r>
      <w:r>
        <w:t>cent (Basu et al. (2011) and Colangelo and Inklaar (2012)).</w:t>
      </w:r>
    </w:p>
    <w:p w:rsidR="00D66A49" w:rsidRDefault="00D66A49" w:rsidP="00D66A49">
      <w:pPr>
        <w:pStyle w:val="BodyText"/>
      </w:pPr>
      <w:r>
        <w:t xml:space="preserve">Nevertheless, </w:t>
      </w:r>
      <w:r w:rsidRPr="00230E98">
        <w:t>growth rates</w:t>
      </w:r>
      <w:r>
        <w:t xml:space="preserve"> of output and value added, and by extension estimates of MFP, are robust to the overestimate of FISIM if: </w:t>
      </w:r>
    </w:p>
    <w:p w:rsidR="00D66A49" w:rsidRDefault="00D66A49" w:rsidP="00D66A49">
      <w:pPr>
        <w:pStyle w:val="ListBullet"/>
      </w:pPr>
      <w:r>
        <w:t xml:space="preserve">the market risk premium remains a stable share of FISIM over time </w:t>
      </w:r>
    </w:p>
    <w:p w:rsidR="00477F34" w:rsidRDefault="00D66A49" w:rsidP="00D66A49">
      <w:pPr>
        <w:pStyle w:val="ListBullet"/>
      </w:pPr>
      <w:r>
        <w:t>FISIM is a stable share of value added.</w:t>
      </w:r>
    </w:p>
    <w:p w:rsidR="00477F34" w:rsidRDefault="00477F34">
      <w:pPr>
        <w:rPr>
          <w:szCs w:val="20"/>
        </w:rPr>
      </w:pPr>
      <w:r>
        <w:br w:type="page"/>
      </w:r>
    </w:p>
    <w:p w:rsidR="00D80572" w:rsidRDefault="00D80572" w:rsidP="00D80572">
      <w:pPr>
        <w:pStyle w:val="BoxSpaceAbove"/>
      </w:pPr>
    </w:p>
    <w:tbl>
      <w:tblPr>
        <w:tblpPr w:leftFromText="180" w:rightFromText="180" w:vertAnchor="text" w:horzAnchor="margin" w:tblpX="142" w:tblpY="30"/>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4108"/>
        <w:gridCol w:w="4681"/>
      </w:tblGrid>
      <w:tr w:rsidR="00D80572" w:rsidTr="00FC2F32">
        <w:trPr>
          <w:trHeight w:val="389"/>
          <w:tblHeader/>
        </w:trPr>
        <w:tc>
          <w:tcPr>
            <w:tcW w:w="8789" w:type="dxa"/>
            <w:gridSpan w:val="2"/>
            <w:tcBorders>
              <w:top w:val="single" w:sz="6" w:space="0" w:color="78A22F"/>
              <w:left w:val="nil"/>
              <w:bottom w:val="nil"/>
              <w:right w:val="nil"/>
            </w:tcBorders>
            <w:shd w:val="clear" w:color="auto" w:fill="F2F2F2"/>
            <w:hideMark/>
          </w:tcPr>
          <w:p w:rsidR="00D80572" w:rsidRDefault="00D80572" w:rsidP="00FC2F32">
            <w:pPr>
              <w:pStyle w:val="BoxTitle"/>
            </w:pPr>
            <w:r>
              <w:rPr>
                <w:b w:val="0"/>
              </w:rPr>
              <w:t>Box</w:t>
            </w:r>
            <w:r w:rsidR="00E40A7C">
              <w:t> </w:t>
            </w:r>
            <w:r w:rsidR="00607B73">
              <w:rPr>
                <w:b w:val="0"/>
              </w:rPr>
              <w:t>1</w:t>
            </w:r>
            <w:r>
              <w:tab/>
              <w:t>Stylised representation of FISIM and risk premium estimation</w:t>
            </w:r>
          </w:p>
        </w:tc>
      </w:tr>
      <w:tr w:rsidR="00D80572" w:rsidTr="00FC2F32">
        <w:trPr>
          <w:cantSplit/>
          <w:trHeight w:val="263"/>
        </w:trPr>
        <w:tc>
          <w:tcPr>
            <w:tcW w:w="8789" w:type="dxa"/>
            <w:gridSpan w:val="2"/>
            <w:tcBorders>
              <w:top w:val="nil"/>
              <w:left w:val="nil"/>
              <w:bottom w:val="nil"/>
              <w:right w:val="nil"/>
            </w:tcBorders>
            <w:shd w:val="clear" w:color="auto" w:fill="F2F2F2"/>
          </w:tcPr>
          <w:p w:rsidR="00D80572" w:rsidRDefault="00D80572" w:rsidP="00FC2F32">
            <w:pPr>
              <w:pStyle w:val="Box"/>
            </w:pPr>
            <w:r>
              <w:t>In the figure for the ‘Current method’ (left panel), in each period, total value of FISIM is defined as the difference between the rate received on loans (</w:t>
            </w:r>
            <m:oMath>
              <m:sSup>
                <m:sSupPr>
                  <m:ctrlPr>
                    <w:rPr>
                      <w:rFonts w:ascii="Cambria Math" w:hAnsi="Cambria Math"/>
                      <w:sz w:val="24"/>
                    </w:rPr>
                  </m:ctrlPr>
                </m:sSupPr>
                <m:e>
                  <m:r>
                    <w:rPr>
                      <w:rFonts w:ascii="Cambria Math" w:hAnsi="Cambria Math"/>
                    </w:rPr>
                    <m:t>r</m:t>
                  </m:r>
                </m:e>
                <m:sup>
                  <m:r>
                    <w:rPr>
                      <w:rFonts w:ascii="Cambria Math" w:hAnsi="Cambria Math"/>
                    </w:rPr>
                    <m:t>A</m:t>
                  </m:r>
                </m:sup>
              </m:sSup>
            </m:oMath>
            <w:r>
              <w:t>) and interest payable on deposits (</w:t>
            </w:r>
            <m:oMath>
              <m:sSup>
                <m:sSupPr>
                  <m:ctrlPr>
                    <w:rPr>
                      <w:rFonts w:ascii="Cambria Math" w:hAnsi="Cambria Math"/>
                      <w:sz w:val="24"/>
                    </w:rPr>
                  </m:ctrlPr>
                </m:sSupPr>
                <m:e>
                  <m:r>
                    <w:rPr>
                      <w:rFonts w:ascii="Cambria Math" w:hAnsi="Cambria Math"/>
                    </w:rPr>
                    <m:t>r</m:t>
                  </m:r>
                </m:e>
                <m:sup>
                  <m:r>
                    <w:rPr>
                      <w:rFonts w:ascii="Cambria Math" w:hAnsi="Cambria Math"/>
                    </w:rPr>
                    <m:t>D</m:t>
                  </m:r>
                </m:sup>
              </m:sSup>
            </m:oMath>
            <w:r>
              <w:t>) multiplied by outstanding loan (</w:t>
            </w:r>
            <m:oMath>
              <m:r>
                <w:rPr>
                  <w:rFonts w:ascii="Cambria Math" w:hAnsi="Cambria Math"/>
                </w:rPr>
                <m:t>A)</m:t>
              </m:r>
            </m:oMath>
            <w:r>
              <w:t xml:space="preserve"> and deposit (D) balances, respectively. In this method, the ABS uses the average of the effective loan and deposit rates, known as the ‘midpoint reference rate’ (r</w:t>
            </w:r>
            <w:r>
              <w:rPr>
                <w:vertAlign w:val="superscript"/>
              </w:rPr>
              <w:t>MP</w:t>
            </w:r>
            <w:r>
              <w:t>), to divide FISIM into banks’ services associated with loan-making (Loan FISIM) and deposit-taking activities (Deposit FISIM). Other statistical agencies use an ‘exogenous’ reference rate, usually a short-term ‘risk-free’ rate (r</w:t>
            </w:r>
            <w:r>
              <w:rPr>
                <w:vertAlign w:val="superscript"/>
              </w:rPr>
              <w:t>F</w:t>
            </w:r>
            <w:r>
              <w:t>) such as an interbank loan rate, to achieve the separation.</w:t>
            </w:r>
          </w:p>
        </w:tc>
      </w:tr>
      <w:tr w:rsidR="00D80572" w:rsidTr="00FC2F32">
        <w:trPr>
          <w:cantSplit/>
          <w:trHeight w:val="263"/>
        </w:trPr>
        <w:tc>
          <w:tcPr>
            <w:tcW w:w="4108" w:type="dxa"/>
            <w:tcBorders>
              <w:top w:val="nil"/>
              <w:left w:val="nil"/>
              <w:bottom w:val="nil"/>
              <w:right w:val="nil"/>
            </w:tcBorders>
            <w:shd w:val="clear" w:color="auto" w:fill="F2F2F2"/>
            <w:hideMark/>
          </w:tcPr>
          <w:p w:rsidR="00D80572" w:rsidRPr="00207198" w:rsidRDefault="00D80572" w:rsidP="00FC2F32">
            <w:pPr>
              <w:pStyle w:val="Box"/>
              <w:jc w:val="left"/>
              <w:rPr>
                <w:b/>
              </w:rPr>
            </w:pPr>
            <w:r w:rsidRPr="00207198">
              <w:rPr>
                <w:b/>
                <w:noProof/>
              </w:rPr>
              <w:t xml:space="preserve">Current method – where risk premium </w:t>
            </w:r>
            <w:r w:rsidR="00207198">
              <w:rPr>
                <w:b/>
                <w:noProof/>
              </w:rPr>
              <w:br/>
            </w:r>
            <w:r w:rsidRPr="00207198">
              <w:rPr>
                <w:b/>
                <w:noProof/>
              </w:rPr>
              <w:t>is not explicitly recognised</w:t>
            </w:r>
          </w:p>
        </w:tc>
        <w:tc>
          <w:tcPr>
            <w:tcW w:w="4681" w:type="dxa"/>
            <w:tcBorders>
              <w:top w:val="nil"/>
              <w:left w:val="nil"/>
              <w:bottom w:val="nil"/>
              <w:right w:val="nil"/>
            </w:tcBorders>
            <w:shd w:val="clear" w:color="auto" w:fill="F2F2F2"/>
            <w:hideMark/>
          </w:tcPr>
          <w:p w:rsidR="00D80572" w:rsidRPr="00207198" w:rsidRDefault="00D80572" w:rsidP="00FC2F32">
            <w:pPr>
              <w:pStyle w:val="Box"/>
              <w:ind w:left="284"/>
              <w:jc w:val="left"/>
              <w:rPr>
                <w:b/>
              </w:rPr>
            </w:pPr>
            <w:r w:rsidRPr="00207198">
              <w:rPr>
                <w:b/>
              </w:rPr>
              <w:t>An alternative view – where a risk premium would be explicitly recognised</w:t>
            </w:r>
          </w:p>
        </w:tc>
      </w:tr>
      <w:tr w:rsidR="00D80572" w:rsidTr="00FC2F32">
        <w:trPr>
          <w:cantSplit/>
          <w:trHeight w:val="263"/>
        </w:trPr>
        <w:tc>
          <w:tcPr>
            <w:tcW w:w="4108" w:type="dxa"/>
            <w:tcBorders>
              <w:top w:val="nil"/>
              <w:left w:val="nil"/>
              <w:bottom w:val="nil"/>
              <w:right w:val="nil"/>
            </w:tcBorders>
            <w:shd w:val="clear" w:color="auto" w:fill="F2F2F2"/>
            <w:hideMark/>
          </w:tcPr>
          <w:p w:rsidR="00D80572" w:rsidRDefault="008862EF" w:rsidP="00FC2F32">
            <w:pPr>
              <w:pStyle w:val="Box"/>
              <w:jc w:val="center"/>
            </w:pPr>
            <w:r>
              <w:rPr>
                <w:noProof/>
              </w:rPr>
              <w:drawing>
                <wp:inline distT="0" distB="0" distL="0" distR="0" wp14:anchorId="36560796" wp14:editId="1D6DC75B">
                  <wp:extent cx="2516400" cy="3006000"/>
                  <wp:effectExtent l="0" t="0" r="0" b="4445"/>
                  <wp:docPr id="28" name="Picture 28" descr="Box 2, left hand figure. This figure illustrates a stylised representation of FISIM and risk premium estimation. It has two panels. This panel show the ‘Current method’. In this method, in each period, total value of FISIM is defined as the difference between the rate received on loans (r^A) and interest payable on deposits (r^D) multiplied by outstanding loan (A) and deposit (D) balances, respectively. In this method, the ABS uses the average of the effective loan and deposit rates, known as the ‘midpoint reference rate’ (rMP), to divide FISIM into banks’ services associated with loan-making (Loan FISIM) and deposit-taking activities (Deposit FISIM). Other statistical agencies use an ‘exogenous’ reference rate, usually a short-term ‘risk-free’ rate (rF) such as an interbank loan rate, to achieve the sepa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6400" cy="3006000"/>
                          </a:xfrm>
                          <a:prstGeom prst="rect">
                            <a:avLst/>
                          </a:prstGeom>
                          <a:noFill/>
                          <a:ln>
                            <a:noFill/>
                          </a:ln>
                        </pic:spPr>
                      </pic:pic>
                    </a:graphicData>
                  </a:graphic>
                </wp:inline>
              </w:drawing>
            </w:r>
          </w:p>
        </w:tc>
        <w:tc>
          <w:tcPr>
            <w:tcW w:w="4681" w:type="dxa"/>
            <w:tcBorders>
              <w:top w:val="nil"/>
              <w:left w:val="nil"/>
              <w:bottom w:val="nil"/>
              <w:right w:val="nil"/>
            </w:tcBorders>
            <w:shd w:val="clear" w:color="auto" w:fill="F2F2F2"/>
            <w:hideMark/>
          </w:tcPr>
          <w:p w:rsidR="00D80572" w:rsidRDefault="008862EF" w:rsidP="00FC2F32">
            <w:pPr>
              <w:pStyle w:val="Box"/>
              <w:jc w:val="center"/>
            </w:pPr>
            <w:r>
              <w:rPr>
                <w:noProof/>
              </w:rPr>
              <w:drawing>
                <wp:inline distT="0" distB="0" distL="0" distR="0" wp14:anchorId="1785BAF0" wp14:editId="00614A9B">
                  <wp:extent cx="2517775" cy="3004185"/>
                  <wp:effectExtent l="0" t="0" r="0" b="5715"/>
                  <wp:docPr id="27" name="Picture 27" descr="This panel show the ‘Alternative method’. In this method, a component, known as ‘risk premium’ is recognised and the remaining represents the value of ‘pure’ FISIM. Under this view, a value for the ‘risk premium’ would be defined as the difference between the risk-bearing rate (rM) and a risk-free rate (rF’) multiplied by outstanding loan balanc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7775" cy="3004185"/>
                          </a:xfrm>
                          <a:prstGeom prst="rect">
                            <a:avLst/>
                          </a:prstGeom>
                          <a:noFill/>
                          <a:ln>
                            <a:noFill/>
                          </a:ln>
                        </pic:spPr>
                      </pic:pic>
                    </a:graphicData>
                  </a:graphic>
                </wp:inline>
              </w:drawing>
            </w:r>
          </w:p>
        </w:tc>
      </w:tr>
      <w:tr w:rsidR="00D80572" w:rsidTr="00FC2F32">
        <w:trPr>
          <w:cantSplit/>
          <w:trHeight w:val="2905"/>
        </w:trPr>
        <w:tc>
          <w:tcPr>
            <w:tcW w:w="8789" w:type="dxa"/>
            <w:gridSpan w:val="2"/>
            <w:tcBorders>
              <w:top w:val="nil"/>
              <w:left w:val="nil"/>
              <w:bottom w:val="nil"/>
              <w:right w:val="nil"/>
            </w:tcBorders>
            <w:shd w:val="clear" w:color="auto" w:fill="F2F2F2"/>
            <w:hideMark/>
          </w:tcPr>
          <w:p w:rsidR="00D80572" w:rsidRDefault="00D80572" w:rsidP="00FC2F32">
            <w:pPr>
              <w:pStyle w:val="Box"/>
              <w:rPr>
                <w:sz w:val="24"/>
              </w:rPr>
            </w:pPr>
            <w:r>
              <w:t>In the graph for an ‘Alternative view’ (right panel), a component, known as ‘risk premium’ is recognised and the remaining represents the value of ‘pure’ FISIM. Under this view, a value for the ‘risk premium’ would be defined as the difference between the risk-bearing rate (r</w:t>
            </w:r>
            <w:r>
              <w:rPr>
                <w:vertAlign w:val="superscript"/>
              </w:rPr>
              <w:t>M</w:t>
            </w:r>
            <w:r>
              <w:t>) and a risk-free rate (r</w:t>
            </w:r>
            <w:r>
              <w:rPr>
                <w:vertAlign w:val="superscript"/>
              </w:rPr>
              <w:t>F</w:t>
            </w:r>
            <w:r>
              <w:rPr>
                <w:b/>
                <w:vertAlign w:val="superscript"/>
              </w:rPr>
              <w:t>’</w:t>
            </w:r>
            <w:r>
              <w:t>) multiplied by outstanding loan balances (</w:t>
            </w:r>
            <w:r>
              <w:rPr>
                <w:i/>
              </w:rPr>
              <w:t>A</w:t>
            </w:r>
            <w:r>
              <w:t xml:space="preserve">). It should be noted that empirical analysis often focuses on the risk premium associated with loan-making, because deposits are usually guaranteed. In Australia, prudential regulation and the supervision system has worked effectively to protect depositors from default risk </w:t>
            </w:r>
            <w:r>
              <w:rPr>
                <w:rFonts w:cs="Arial"/>
                <w:szCs w:val="24"/>
              </w:rPr>
              <w:t>(Turner 2011)</w:t>
            </w:r>
            <w:r>
              <w:t>.</w:t>
            </w:r>
          </w:p>
          <w:p w:rsidR="00D80572" w:rsidRDefault="00D80572" w:rsidP="00FC2F32">
            <w:pPr>
              <w:pStyle w:val="Box"/>
            </w:pPr>
            <w:r>
              <w:t>It is important to note that these figures are a ‘stylised’ representation of the FISIM methods. It abstracts from many technical issues for the purpose of illustrating the concept of risk premium in the measure of FISIM.</w:t>
            </w:r>
          </w:p>
        </w:tc>
      </w:tr>
      <w:tr w:rsidR="00D80572" w:rsidTr="00FC2F32">
        <w:trPr>
          <w:cantSplit/>
          <w:trHeight w:val="138"/>
        </w:trPr>
        <w:tc>
          <w:tcPr>
            <w:tcW w:w="8789" w:type="dxa"/>
            <w:gridSpan w:val="2"/>
            <w:tcBorders>
              <w:top w:val="nil"/>
              <w:left w:val="nil"/>
              <w:bottom w:val="single" w:sz="6" w:space="0" w:color="78A22F"/>
              <w:right w:val="nil"/>
            </w:tcBorders>
            <w:shd w:val="clear" w:color="auto" w:fill="F2F2F2"/>
          </w:tcPr>
          <w:p w:rsidR="00D80572" w:rsidRDefault="00D80572" w:rsidP="00FC2F32">
            <w:pPr>
              <w:pStyle w:val="Box"/>
              <w:spacing w:before="0" w:line="120" w:lineRule="exact"/>
            </w:pPr>
          </w:p>
        </w:tc>
      </w:tr>
      <w:tr w:rsidR="00D80572" w:rsidTr="00FC2F32">
        <w:trPr>
          <w:trHeight w:val="138"/>
        </w:trPr>
        <w:tc>
          <w:tcPr>
            <w:tcW w:w="8789" w:type="dxa"/>
            <w:gridSpan w:val="2"/>
            <w:tcBorders>
              <w:top w:val="single" w:sz="6" w:space="0" w:color="78A22F"/>
              <w:left w:val="nil"/>
              <w:bottom w:val="nil"/>
              <w:right w:val="nil"/>
            </w:tcBorders>
            <w:hideMark/>
          </w:tcPr>
          <w:p w:rsidR="00D80572" w:rsidRDefault="00D80572" w:rsidP="00FC2F32">
            <w:pPr>
              <w:pStyle w:val="BoxSpaceBelow"/>
            </w:pPr>
          </w:p>
        </w:tc>
      </w:tr>
    </w:tbl>
    <w:p w:rsidR="00D80572" w:rsidRDefault="00EA28E1" w:rsidP="00D80572">
      <w:pPr>
        <w:pStyle w:val="BodyText"/>
      </w:pPr>
      <w:r>
        <w:t>Yet, as figure 12</w:t>
      </w:r>
      <w:r w:rsidR="00783AD3">
        <w:t xml:space="preserve"> shows, </w:t>
      </w:r>
      <w:r w:rsidR="002C396D">
        <w:t xml:space="preserve">in Australia </w:t>
      </w:r>
      <w:r w:rsidR="00783AD3">
        <w:t xml:space="preserve">FISIM has risen over time as a share of gross output </w:t>
      </w:r>
      <w:r w:rsidR="00230E98">
        <w:t>(</w:t>
      </w:r>
      <w:r w:rsidR="00783AD3">
        <w:t xml:space="preserve">and </w:t>
      </w:r>
      <w:r w:rsidR="00230E98">
        <w:t xml:space="preserve">hence also </w:t>
      </w:r>
      <w:r w:rsidR="00783AD3">
        <w:t>value added</w:t>
      </w:r>
      <w:r w:rsidR="00230E98">
        <w:t>)</w:t>
      </w:r>
      <w:r w:rsidR="00783AD3">
        <w:t>. Moreover, the market risk premium</w:t>
      </w:r>
      <w:r w:rsidR="00D80572">
        <w:t xml:space="preserve"> particularly affect</w:t>
      </w:r>
      <w:r w:rsidR="00783AD3">
        <w:t>s</w:t>
      </w:r>
      <w:r w:rsidR="00D80572">
        <w:t xml:space="preserve"> banking output during periods of </w:t>
      </w:r>
      <w:r w:rsidR="00783AD3">
        <w:t>financial or economic turmoil</w:t>
      </w:r>
      <w:r w:rsidR="002C396D">
        <w:t>, suggesting that FISIM is a less reliable measure of output in these situations</w:t>
      </w:r>
      <w:r w:rsidR="00783AD3">
        <w:t>. As Haldane</w:t>
      </w:r>
      <w:r w:rsidR="00592BA1">
        <w:t> </w:t>
      </w:r>
      <w:r w:rsidR="00783AD3">
        <w:t>(2010) explains, i</w:t>
      </w:r>
      <w:r w:rsidR="00D80572">
        <w:t>n this situation, financial institutions:</w:t>
      </w:r>
    </w:p>
    <w:p w:rsidR="00D80572" w:rsidRDefault="00D80572" w:rsidP="00D80572">
      <w:pPr>
        <w:pStyle w:val="Quote"/>
      </w:pPr>
      <w:r>
        <w:lastRenderedPageBreak/>
        <w:t>…will rationally respond by increasing interest rates to cover the rise in expected losses. FISIM will score this increased compensation for expected losses on lending as a rise in output. In other words, at times when risk is rising, the contribution of the financial sector to the real economy m</w:t>
      </w:r>
      <w:r w:rsidR="00783AD3">
        <w:t>ay be overstated. (</w:t>
      </w:r>
      <w:r>
        <w:t>p. 7)</w:t>
      </w:r>
    </w:p>
    <w:p w:rsidR="000714AD" w:rsidRDefault="002C396D" w:rsidP="002C396D">
      <w:pPr>
        <w:pStyle w:val="Heading3"/>
      </w:pPr>
      <w:r>
        <w:t>The insurance service charge</w:t>
      </w:r>
    </w:p>
    <w:p w:rsidR="002C396D" w:rsidRDefault="002C396D" w:rsidP="002C396D">
      <w:pPr>
        <w:pStyle w:val="BodyText"/>
      </w:pPr>
      <w:r>
        <w:t xml:space="preserve">Insurance is a form of financial intermediation in which funds are paid by policy-holders and invested in assets to meet future claims arising from the events specified in insurance policies. These assets (which can be financial or other assets) are known as technical reserves and the ability to earn investment income from these assets will affect the price charged for insurance </w:t>
      </w:r>
      <w:r>
        <w:rPr>
          <w:szCs w:val="24"/>
        </w:rPr>
        <w:t>(APRA 2010)</w:t>
      </w:r>
      <w:r>
        <w:t xml:space="preserve">. Typically, insurance companies do not have a separate charge for the service of arranging the financial protection or security which insurance is intended to provide — it is included in the premium. The implicit charge for this service is known as the insurance service charge and has to be indirectly estimated </w:t>
      </w:r>
      <w:r>
        <w:rPr>
          <w:szCs w:val="24"/>
        </w:rPr>
        <w:t>(ABS 2013</w:t>
      </w:r>
      <w:r w:rsidR="00D8282E">
        <w:rPr>
          <w:szCs w:val="24"/>
        </w:rPr>
        <w:t>a</w:t>
      </w:r>
      <w:r>
        <w:rPr>
          <w:szCs w:val="24"/>
        </w:rPr>
        <w:t>, p. 112)</w:t>
      </w:r>
      <w:r>
        <w:t>.</w:t>
      </w:r>
      <w:r>
        <w:rPr>
          <w:rStyle w:val="FootnoteReference"/>
        </w:rPr>
        <w:footnoteReference w:id="12"/>
      </w:r>
    </w:p>
    <w:p w:rsidR="002C396D" w:rsidRDefault="002C396D" w:rsidP="002C396D">
      <w:pPr>
        <w:pStyle w:val="BodyText"/>
      </w:pPr>
      <w:r>
        <w:t>The insurance service charge was around 95</w:t>
      </w:r>
      <w:r w:rsidR="00447726">
        <w:t> </w:t>
      </w:r>
      <w:r>
        <w:t xml:space="preserve">per cent of total </w:t>
      </w:r>
      <w:r w:rsidR="00EA28E1">
        <w:t xml:space="preserve">insurance </w:t>
      </w:r>
      <w:r>
        <w:t>output in 2011</w:t>
      </w:r>
      <w:r w:rsidR="00447726">
        <w:noBreakHyphen/>
      </w:r>
      <w:r>
        <w:t>12 (figure </w:t>
      </w:r>
      <w:r w:rsidR="00EA28E1">
        <w:t>13</w:t>
      </w:r>
      <w:r>
        <w:t xml:space="preserve">). </w:t>
      </w:r>
      <w:r w:rsidR="00EA28E1">
        <w:t xml:space="preserve">Most, but not all of this is related to the premium based estimate. </w:t>
      </w:r>
      <w:r>
        <w:t>Rental income, other service income and explicit charges made up the remaining 5</w:t>
      </w:r>
      <w:r w:rsidR="00447726">
        <w:t> </w:t>
      </w:r>
      <w:r>
        <w:t xml:space="preserve">per cent. </w:t>
      </w:r>
    </w:p>
    <w:p w:rsidR="00D66A49" w:rsidRDefault="00D66A49" w:rsidP="00D66A49">
      <w:pPr>
        <w:pStyle w:val="BodyText"/>
        <w:spacing w:before="100" w:beforeAutospacing="1" w:after="240"/>
      </w:pPr>
      <w:r>
        <w:t>Non-life insurance accounted for 7</w:t>
      </w:r>
      <w:r w:rsidR="00D8282E">
        <w:t>1</w:t>
      </w:r>
      <w:r w:rsidR="00447726">
        <w:t> </w:t>
      </w:r>
      <w:r>
        <w:t>per cent of the insurance service charge in 2011</w:t>
      </w:r>
      <w:r w:rsidR="00447726">
        <w:noBreakHyphen/>
      </w:r>
      <w:r>
        <w:t>12 (50</w:t>
      </w:r>
      <w:r w:rsidR="00537410">
        <w:t> </w:t>
      </w:r>
      <w:r>
        <w:t>percentage points general insurance and 21</w:t>
      </w:r>
      <w:r w:rsidR="00537410">
        <w:t> </w:t>
      </w:r>
      <w:r>
        <w:t>percentage points health insurance), while life insurance was 29</w:t>
      </w:r>
      <w:r w:rsidR="00447726">
        <w:t> </w:t>
      </w:r>
      <w:r>
        <w:t>per cent (figure 13). The volatility in the non-life insurance seen in figure 1</w:t>
      </w:r>
      <w:r w:rsidR="00D8282E">
        <w:t>3</w:t>
      </w:r>
      <w:r>
        <w:t xml:space="preserve"> points to the insurance service charge as a major source of the volatility in insurance value added and hence the ISA MFP.</w:t>
      </w:r>
    </w:p>
    <w:p w:rsidR="00D66A49" w:rsidRDefault="00D66A49" w:rsidP="00D66A49">
      <w:pPr>
        <w:pStyle w:val="Heading4"/>
      </w:pPr>
      <w:r>
        <w:t>The insurance service charge is sensitive to external events</w:t>
      </w:r>
    </w:p>
    <w:p w:rsidR="00D66A49" w:rsidRDefault="00D66A49" w:rsidP="00D66A49">
      <w:pPr>
        <w:pStyle w:val="BodyText"/>
        <w:spacing w:before="100" w:beforeAutospacing="1"/>
      </w:pPr>
      <w:r>
        <w:t xml:space="preserve">Variability in claims over time likely plays a major </w:t>
      </w:r>
      <w:r w:rsidR="00D8282E">
        <w:t xml:space="preserve">role </w:t>
      </w:r>
      <w:r>
        <w:t>in driving the variation in gross output — an increase in claims will result in lower output (since output is premiums plus premium supplements less claims). The ABS measure of gross output is smoother than that derived directly from published APRA data because the ABS smooths the claims measure it uses in its estimation of insurance output.</w:t>
      </w:r>
    </w:p>
    <w:p w:rsidR="002C396D" w:rsidRDefault="002C396D" w:rsidP="002C396D">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2C396D" w:rsidTr="00D74040">
        <w:trPr>
          <w:tblHeader/>
        </w:trPr>
        <w:tc>
          <w:tcPr>
            <w:tcW w:w="8771" w:type="dxa"/>
            <w:tcBorders>
              <w:top w:val="single" w:sz="6" w:space="0" w:color="78A22F"/>
              <w:left w:val="nil"/>
              <w:bottom w:val="nil"/>
              <w:right w:val="nil"/>
            </w:tcBorders>
            <w:hideMark/>
          </w:tcPr>
          <w:p w:rsidR="002C396D" w:rsidRDefault="002C396D">
            <w:pPr>
              <w:pStyle w:val="FigureTitle"/>
            </w:pPr>
            <w:r>
              <w:rPr>
                <w:b w:val="0"/>
              </w:rPr>
              <w:t>Figure</w:t>
            </w:r>
            <w:r w:rsidR="00E40A7C">
              <w:t> </w:t>
            </w:r>
            <w:r w:rsidR="00EA28E1">
              <w:rPr>
                <w:b w:val="0"/>
              </w:rPr>
              <w:t>13</w:t>
            </w:r>
            <w:r>
              <w:tab/>
              <w:t>Gross output components of Insurance</w:t>
            </w:r>
            <w:r w:rsidRPr="008712D7">
              <w:rPr>
                <w:rStyle w:val="NoteLabel"/>
                <w:b/>
              </w:rPr>
              <w:t>a</w:t>
            </w:r>
          </w:p>
          <w:p w:rsidR="002C396D" w:rsidRDefault="002C396D">
            <w:pPr>
              <w:pStyle w:val="Subtitle"/>
            </w:pPr>
            <w:r>
              <w:t>Current $m</w:t>
            </w:r>
          </w:p>
        </w:tc>
      </w:tr>
      <w:tr w:rsidR="002C396D" w:rsidTr="002C396D">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2C396D">
              <w:tc>
                <w:tcPr>
                  <w:tcW w:w="5000" w:type="pct"/>
                  <w:tcBorders>
                    <w:top w:val="nil"/>
                    <w:left w:val="nil"/>
                    <w:bottom w:val="nil"/>
                    <w:right w:val="nil"/>
                  </w:tcBorders>
                  <w:hideMark/>
                </w:tcPr>
                <w:p w:rsidR="002C396D" w:rsidRDefault="00D74040">
                  <w:pPr>
                    <w:pStyle w:val="Figure"/>
                    <w:spacing w:before="60" w:after="60"/>
                  </w:pPr>
                  <w:r>
                    <w:rPr>
                      <w:noProof/>
                    </w:rPr>
                    <w:drawing>
                      <wp:inline distT="0" distB="0" distL="0" distR="0" wp14:anchorId="338A821C" wp14:editId="63AE3E11">
                        <wp:extent cx="5372100" cy="2781300"/>
                        <wp:effectExtent l="0" t="0" r="0" b="0"/>
                        <wp:docPr id="9" name="Picture 9" descr="Figure 13: This figure shows values of Gross output components of Insurance between 1994-95 and 2011-12, which include Insurance services charge (non-life — general), Insurance services charge (non-life — health), Insurance service charge (life) and Explicit, other services and rental income. In this period, the Gross outputs of Explicit, other services and rental income declined slightly but Insurance services charge (non-life — health), Insurance service charge (life) increase mildly. Over the whole period, the Gross production of Insurance services charge (non-life — general) increased slightly but it was volatile from year to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b="4871"/>
                                <a:stretch>
                                  <a:fillRect/>
                                </a:stretch>
                              </pic:blipFill>
                              <pic:spPr bwMode="auto">
                                <a:xfrm>
                                  <a:off x="0" y="0"/>
                                  <a:ext cx="5372100" cy="2781300"/>
                                </a:xfrm>
                                <a:prstGeom prst="rect">
                                  <a:avLst/>
                                </a:prstGeom>
                                <a:noFill/>
                                <a:ln>
                                  <a:noFill/>
                                </a:ln>
                              </pic:spPr>
                            </pic:pic>
                          </a:graphicData>
                        </a:graphic>
                      </wp:inline>
                    </w:drawing>
                  </w:r>
                </w:p>
              </w:tc>
            </w:tr>
          </w:tbl>
          <w:p w:rsidR="002C396D" w:rsidRDefault="002C396D">
            <w:pPr>
              <w:pStyle w:val="Figure"/>
            </w:pPr>
          </w:p>
        </w:tc>
      </w:tr>
      <w:tr w:rsidR="002C396D" w:rsidTr="002C396D">
        <w:tc>
          <w:tcPr>
            <w:tcW w:w="8771" w:type="dxa"/>
            <w:tcBorders>
              <w:top w:val="nil"/>
              <w:left w:val="nil"/>
              <w:bottom w:val="nil"/>
              <w:right w:val="nil"/>
            </w:tcBorders>
            <w:hideMark/>
          </w:tcPr>
          <w:p w:rsidR="002C396D" w:rsidRDefault="002C396D">
            <w:pPr>
              <w:pStyle w:val="Note"/>
              <w:rPr>
                <w:b/>
              </w:rPr>
            </w:pPr>
            <w:r>
              <w:rPr>
                <w:rStyle w:val="NoteLabel"/>
              </w:rPr>
              <w:t xml:space="preserve">a </w:t>
            </w:r>
            <w:r>
              <w:t>Does not include own-account software and R&amp;D.</w:t>
            </w:r>
            <w:r>
              <w:rPr>
                <w:b/>
              </w:rPr>
              <w:t xml:space="preserve"> </w:t>
            </w:r>
          </w:p>
        </w:tc>
      </w:tr>
      <w:tr w:rsidR="002C396D" w:rsidTr="002C396D">
        <w:tc>
          <w:tcPr>
            <w:tcW w:w="8771" w:type="dxa"/>
            <w:tcBorders>
              <w:top w:val="nil"/>
              <w:left w:val="nil"/>
              <w:bottom w:val="nil"/>
              <w:right w:val="nil"/>
            </w:tcBorders>
            <w:hideMark/>
          </w:tcPr>
          <w:p w:rsidR="002C396D" w:rsidRDefault="002C396D" w:rsidP="00E64A51">
            <w:pPr>
              <w:pStyle w:val="Source"/>
            </w:pPr>
            <w:r>
              <w:rPr>
                <w:i/>
              </w:rPr>
              <w:t>Data source</w:t>
            </w:r>
            <w:r>
              <w:t xml:space="preserve">: </w:t>
            </w:r>
            <w:r w:rsidR="00E64A51">
              <w:t>Authors’ estimates based on u</w:t>
            </w:r>
            <w:r>
              <w:t>npublished ABS data.</w:t>
            </w:r>
          </w:p>
        </w:tc>
      </w:tr>
      <w:tr w:rsidR="002C396D" w:rsidTr="002C396D">
        <w:tc>
          <w:tcPr>
            <w:tcW w:w="8771" w:type="dxa"/>
            <w:tcBorders>
              <w:top w:val="nil"/>
              <w:left w:val="nil"/>
              <w:bottom w:val="single" w:sz="6" w:space="0" w:color="78A22F"/>
              <w:right w:val="nil"/>
            </w:tcBorders>
          </w:tcPr>
          <w:p w:rsidR="002C396D" w:rsidRDefault="002C396D">
            <w:pPr>
              <w:pStyle w:val="Figurespace"/>
            </w:pPr>
          </w:p>
        </w:tc>
      </w:tr>
      <w:tr w:rsidR="002C396D" w:rsidTr="002C396D">
        <w:tc>
          <w:tcPr>
            <w:tcW w:w="8771" w:type="dxa"/>
            <w:tcBorders>
              <w:top w:val="single" w:sz="6" w:space="0" w:color="78A22F"/>
              <w:left w:val="nil"/>
              <w:bottom w:val="nil"/>
              <w:right w:val="nil"/>
            </w:tcBorders>
            <w:hideMark/>
          </w:tcPr>
          <w:p w:rsidR="002C396D" w:rsidRDefault="002C396D">
            <w:pPr>
              <w:pStyle w:val="BoxSpaceBelow"/>
            </w:pPr>
          </w:p>
        </w:tc>
      </w:tr>
    </w:tbl>
    <w:p w:rsidR="002F2E2C" w:rsidRDefault="002F2E2C" w:rsidP="00207198">
      <w:pPr>
        <w:pStyle w:val="BodyText"/>
        <w:spacing w:before="100" w:beforeAutospacing="1"/>
      </w:pPr>
      <w:r>
        <w:t>As premium adjustments tend to lag claims, trends in the pattern of natural disasters over time and other major events, like the collapse of HIH, can lead to volatility in output. To the extent that claims also require greater inputs (claim assessment and processing), productivity statistics are even more likely to be negatively affected with high claims following natural disasters or other insured events. Box</w:t>
      </w:r>
      <w:r w:rsidR="00796034">
        <w:t> </w:t>
      </w:r>
      <w:r w:rsidR="005A70F4">
        <w:t>2</w:t>
      </w:r>
      <w:r>
        <w:t xml:space="preserve"> illustrates the effect that natural disaster patterns can have on the output of the insurance industry.</w:t>
      </w:r>
    </w:p>
    <w:p w:rsidR="002C396D" w:rsidRDefault="00DF3347" w:rsidP="002C396D">
      <w:pPr>
        <w:pStyle w:val="BodyText"/>
        <w:spacing w:before="100" w:beforeAutospacing="1"/>
      </w:pPr>
      <w:r>
        <w:t>Drilling down further,</w:t>
      </w:r>
      <w:r w:rsidR="002C396D">
        <w:t xml:space="preserve"> the comp</w:t>
      </w:r>
      <w:r>
        <w:t>onents of non-life insurance have</w:t>
      </w:r>
      <w:r w:rsidR="002C396D">
        <w:t xml:space="preserve"> </w:t>
      </w:r>
      <w:r w:rsidR="00E40A7C">
        <w:t>als</w:t>
      </w:r>
      <w:r w:rsidR="00EA28E1">
        <w:t>o varied considerably (figure 14</w:t>
      </w:r>
      <w:r w:rsidR="002C396D">
        <w:t xml:space="preserve">). Insurance of health, motor vehicles; public and product liability and professional indemnity; fire and industrial special risks; and insurance not elsewhere classified (nec) (which includes house building insurance and mortgage insurance, amongst others) were the main contributors to </w:t>
      </w:r>
      <w:r>
        <w:t xml:space="preserve">the strong </w:t>
      </w:r>
      <w:r w:rsidR="002C396D">
        <w:t>growth in the 2001</w:t>
      </w:r>
      <w:r w:rsidR="002C396D">
        <w:noBreakHyphen/>
        <w:t>02 to 2003</w:t>
      </w:r>
      <w:r w:rsidR="00092C5A">
        <w:noBreakHyphen/>
      </w:r>
      <w:r w:rsidR="002C396D">
        <w:t>04 period. While total non-life insurance output was relatively stable from 2003</w:t>
      </w:r>
      <w:r w:rsidR="006F2116">
        <w:noBreakHyphen/>
      </w:r>
      <w:r w:rsidR="002C396D">
        <w:t>04 to 2007</w:t>
      </w:r>
      <w:r w:rsidR="008712D7">
        <w:noBreakHyphen/>
      </w:r>
      <w:r w:rsidR="002C396D">
        <w:t>08, there was offsetting growth and contraction in the different types of insurances — such as high growth in health but a decline in motor vehicle insurance output. The decline in total output in 2008</w:t>
      </w:r>
      <w:r w:rsidR="00092C5A">
        <w:noBreakHyphen/>
      </w:r>
      <w:r w:rsidR="002C396D">
        <w:t>09 was largely attributable to declines in employer liability, fire and industrial special risks insurances, and insurance nec (mainly lenders mortgage insurance).</w:t>
      </w:r>
    </w:p>
    <w:p w:rsidR="00DF3347" w:rsidRDefault="00DF3347" w:rsidP="00DF33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67"/>
      </w:tblGrid>
      <w:tr w:rsidR="00DF3347" w:rsidTr="00D74040">
        <w:trPr>
          <w:trHeight w:val="360"/>
          <w:tblHeader/>
        </w:trPr>
        <w:tc>
          <w:tcPr>
            <w:tcW w:w="8767" w:type="dxa"/>
            <w:tcBorders>
              <w:top w:val="single" w:sz="6" w:space="0" w:color="78A22F"/>
              <w:left w:val="nil"/>
              <w:bottom w:val="nil"/>
              <w:right w:val="nil"/>
            </w:tcBorders>
            <w:shd w:val="clear" w:color="auto" w:fill="F2F2F2"/>
            <w:hideMark/>
          </w:tcPr>
          <w:p w:rsidR="00DF3347" w:rsidRDefault="00DF3347" w:rsidP="00E40A7C">
            <w:pPr>
              <w:pStyle w:val="BoxTitle"/>
            </w:pPr>
            <w:r w:rsidRPr="00E40A7C">
              <w:rPr>
                <w:b w:val="0"/>
              </w:rPr>
              <w:t>Box</w:t>
            </w:r>
            <w:r w:rsidR="00E40A7C" w:rsidRPr="00E40A7C">
              <w:rPr>
                <w:b w:val="0"/>
              </w:rPr>
              <w:t> </w:t>
            </w:r>
            <w:r w:rsidR="005A70F4">
              <w:rPr>
                <w:b w:val="0"/>
              </w:rPr>
              <w:t>2</w:t>
            </w:r>
            <w:r>
              <w:tab/>
              <w:t>Effect of natural disasters on insurance output and inputs</w:t>
            </w:r>
          </w:p>
        </w:tc>
      </w:tr>
      <w:tr w:rsidR="00DF3347" w:rsidTr="00207198">
        <w:trPr>
          <w:cantSplit/>
          <w:trHeight w:val="10357"/>
        </w:trPr>
        <w:tc>
          <w:tcPr>
            <w:tcW w:w="8767" w:type="dxa"/>
            <w:tcBorders>
              <w:top w:val="nil"/>
              <w:left w:val="nil"/>
              <w:bottom w:val="nil"/>
              <w:right w:val="nil"/>
            </w:tcBorders>
            <w:shd w:val="clear" w:color="auto" w:fill="F2F2F2"/>
            <w:hideMark/>
          </w:tcPr>
          <w:p w:rsidR="00DF3347" w:rsidRPr="001D4F97" w:rsidRDefault="00DF3347" w:rsidP="001D4F97">
            <w:pPr>
              <w:pStyle w:val="Box"/>
            </w:pPr>
            <w:r w:rsidRPr="001D4F97">
              <w:t xml:space="preserve">A rise in the number and cost of natural disasters has a number of implications for the insurance service </w:t>
            </w:r>
            <w:r w:rsidR="00A923F8">
              <w:t>output</w:t>
            </w:r>
            <w:r w:rsidRPr="001D4F97">
              <w:t xml:space="preserve"> as it:</w:t>
            </w:r>
          </w:p>
          <w:p w:rsidR="00DF3347" w:rsidRPr="001D4F97" w:rsidRDefault="00DF3347" w:rsidP="001D4F97">
            <w:pPr>
              <w:pStyle w:val="BoxListBullet"/>
              <w:numPr>
                <w:ilvl w:val="0"/>
                <w:numId w:val="34"/>
              </w:numPr>
            </w:pPr>
            <w:r w:rsidRPr="001D4F97">
              <w:t xml:space="preserve">increases the number and size of claims, thereby reducing the insurance service </w:t>
            </w:r>
            <w:r w:rsidR="00A923F8">
              <w:t>output</w:t>
            </w:r>
            <w:r w:rsidRPr="001D4F97">
              <w:t>, all else equal — however the ABS smooths the claims before including them in their output estimates (by applying a five-year centred moving average) (ABS 2013</w:t>
            </w:r>
            <w:r w:rsidR="00A923F8">
              <w:t>a</w:t>
            </w:r>
            <w:r w:rsidRPr="001D4F97">
              <w:t>), so the trend toward higher numbers and/or costs of events is reflected in the insurance service charge</w:t>
            </w:r>
          </w:p>
          <w:p w:rsidR="00DF3347" w:rsidRPr="001D4F97" w:rsidRDefault="00DF3347" w:rsidP="001D4F97">
            <w:pPr>
              <w:pStyle w:val="BoxListBullet"/>
              <w:numPr>
                <w:ilvl w:val="0"/>
                <w:numId w:val="34"/>
              </w:numPr>
            </w:pPr>
            <w:r w:rsidRPr="001D4F97">
              <w:t>increases the level of reserves required if the probability of infrequent large events rises</w:t>
            </w:r>
          </w:p>
          <w:p w:rsidR="00DF3347" w:rsidRPr="001D4F97" w:rsidRDefault="00DF3347" w:rsidP="001D4F97">
            <w:pPr>
              <w:pStyle w:val="BoxListBullet"/>
              <w:numPr>
                <w:ilvl w:val="0"/>
                <w:numId w:val="34"/>
              </w:numPr>
            </w:pPr>
            <w:r w:rsidRPr="001D4F97">
              <w:t xml:space="preserve">increases premiums due to rising reinsurance costs. </w:t>
            </w:r>
          </w:p>
          <w:p w:rsidR="00DF3347" w:rsidRPr="001D4F97" w:rsidRDefault="00DF3347" w:rsidP="001D4F97">
            <w:pPr>
              <w:pStyle w:val="Box"/>
            </w:pPr>
            <w:r w:rsidRPr="001D4F97">
              <w:t>Natural disasters also affect the inputs needed as they:</w:t>
            </w:r>
          </w:p>
          <w:p w:rsidR="00DF3347" w:rsidRPr="001D4F97" w:rsidRDefault="00DF3347" w:rsidP="001D4F97">
            <w:pPr>
              <w:pStyle w:val="BoxListBullet"/>
              <w:numPr>
                <w:ilvl w:val="0"/>
                <w:numId w:val="34"/>
              </w:numPr>
            </w:pPr>
            <w:r>
              <w:rPr>
                <w:sz w:val="18"/>
              </w:rPr>
              <w:t>i</w:t>
            </w:r>
            <w:r w:rsidRPr="001D4F97">
              <w:t>ncrease administrative costs associated with managing claims following large events</w:t>
            </w:r>
          </w:p>
          <w:p w:rsidR="00DF3347" w:rsidRPr="001D4F97" w:rsidRDefault="00DF3347" w:rsidP="001D4F97">
            <w:pPr>
              <w:pStyle w:val="BoxListBullet"/>
              <w:numPr>
                <w:ilvl w:val="0"/>
                <w:numId w:val="34"/>
              </w:numPr>
            </w:pPr>
            <w:r w:rsidRPr="001D4F97">
              <w:t>to the extent that the additional hours are outsourced, intermediate inputs rise and value added is lower than otherwise.</w:t>
            </w:r>
          </w:p>
          <w:p w:rsidR="00DF3347" w:rsidRPr="001D4F97" w:rsidRDefault="00DF3347" w:rsidP="001D4F97">
            <w:pPr>
              <w:pStyle w:val="Box"/>
            </w:pPr>
            <w:r w:rsidRPr="001D4F97">
              <w:t>Data from the Insurance Council of Australia show that disaster costs account for a relatively small proportion of the APRA measure of general insurance claims (figure below) and hence are unlikely to be a major influence on the measure of output. With the available data it is difficult to demonstrate a clear correlation between disasters and claims because of the aggregation of many types of insurance, some of which will not be affected by disasters. However, there is an upward trend in claims during the period of higher disaster costs from 2006</w:t>
            </w:r>
            <w:r w:rsidR="00092C5A">
              <w:noBreakHyphen/>
            </w:r>
            <w:r w:rsidRPr="001D4F97">
              <w:t>07 to 2010</w:t>
            </w:r>
            <w:r w:rsidR="00092C5A">
              <w:noBreakHyphen/>
            </w:r>
            <w:r w:rsidRPr="001D4F97">
              <w:t>11.</w:t>
            </w:r>
          </w:p>
          <w:p w:rsidR="00DF3347" w:rsidRDefault="00DF3347" w:rsidP="001D4F97">
            <w:pPr>
              <w:pStyle w:val="BoxHeading1"/>
              <w:rPr>
                <w:highlight w:val="yellow"/>
              </w:rPr>
            </w:pPr>
            <w:r>
              <w:t>Comparison of disaster costs and ABS gross output for insurance</w:t>
            </w:r>
          </w:p>
          <w:p w:rsidR="008862EF" w:rsidRDefault="008862EF" w:rsidP="008C163A">
            <w:pPr>
              <w:pStyle w:val="Box"/>
              <w:spacing w:before="0"/>
              <w:jc w:val="center"/>
              <w:rPr>
                <w:noProof/>
              </w:rPr>
            </w:pPr>
            <w:r>
              <w:rPr>
                <w:noProof/>
              </w:rPr>
              <w:drawing>
                <wp:inline distT="0" distB="0" distL="0" distR="0" wp14:anchorId="2E900079" wp14:editId="656EE3D1">
                  <wp:extent cx="5328000" cy="2561129"/>
                  <wp:effectExtent l="0" t="0" r="0" b="0"/>
                  <wp:docPr id="34" name="Picture 34" descr="Box 3 figure: This figure compares disaster costs, APRA total GI net claims and disaster costs for insurance between 1994-95 and 2013-14. It shows that the ABS gross output moved in a similar direction with APRA total GI net claims between 2003-04 and 2013-14 but it moved in an opposite direction with the ABS gros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8000" cy="2561129"/>
                          </a:xfrm>
                          <a:prstGeom prst="rect">
                            <a:avLst/>
                          </a:prstGeom>
                          <a:noFill/>
                          <a:ln>
                            <a:noFill/>
                          </a:ln>
                        </pic:spPr>
                      </pic:pic>
                    </a:graphicData>
                  </a:graphic>
                </wp:inline>
              </w:drawing>
            </w:r>
          </w:p>
          <w:p w:rsidR="00DF3347" w:rsidRDefault="00DF3347">
            <w:pPr>
              <w:pStyle w:val="Box"/>
              <w:spacing w:before="0" w:after="100" w:afterAutospacing="1"/>
              <w:rPr>
                <w:szCs w:val="24"/>
              </w:rPr>
            </w:pPr>
            <w:r>
              <w:t>Source: Insurance Council of Australia</w:t>
            </w:r>
            <w:r w:rsidR="00592BA1">
              <w:t> </w:t>
            </w:r>
            <w:r>
              <w:rPr>
                <w:rFonts w:cs="Arial"/>
              </w:rPr>
              <w:t>(2014)</w:t>
            </w:r>
            <w:r w:rsidR="00207198">
              <w:t>.</w:t>
            </w:r>
          </w:p>
        </w:tc>
      </w:tr>
      <w:tr w:rsidR="00DF3347" w:rsidTr="00207198">
        <w:trPr>
          <w:cantSplit/>
          <w:trHeight w:val="106"/>
        </w:trPr>
        <w:tc>
          <w:tcPr>
            <w:tcW w:w="8767" w:type="dxa"/>
            <w:tcBorders>
              <w:top w:val="nil"/>
              <w:left w:val="nil"/>
              <w:bottom w:val="single" w:sz="6" w:space="0" w:color="78A22F"/>
              <w:right w:val="nil"/>
            </w:tcBorders>
            <w:shd w:val="clear" w:color="auto" w:fill="F2F2F2"/>
          </w:tcPr>
          <w:p w:rsidR="00DF3347" w:rsidRDefault="00DF3347" w:rsidP="00E543E5">
            <w:pPr>
              <w:pStyle w:val="Box"/>
              <w:spacing w:before="0" w:line="120" w:lineRule="exact"/>
            </w:pPr>
          </w:p>
        </w:tc>
      </w:tr>
      <w:tr w:rsidR="00DF3347" w:rsidTr="00207198">
        <w:trPr>
          <w:trHeight w:val="187"/>
        </w:trPr>
        <w:tc>
          <w:tcPr>
            <w:tcW w:w="8767" w:type="dxa"/>
            <w:tcBorders>
              <w:top w:val="single" w:sz="6" w:space="0" w:color="78A22F"/>
              <w:left w:val="nil"/>
              <w:bottom w:val="nil"/>
              <w:right w:val="nil"/>
            </w:tcBorders>
            <w:hideMark/>
          </w:tcPr>
          <w:p w:rsidR="00DF3347" w:rsidRDefault="00DF3347" w:rsidP="00E543E5">
            <w:pPr>
              <w:pStyle w:val="BoxSpaceBelow"/>
            </w:pPr>
          </w:p>
        </w:tc>
      </w:tr>
    </w:tbl>
    <w:p w:rsidR="002F2E2C" w:rsidRDefault="002F2E2C" w:rsidP="002F2E2C">
      <w:pPr>
        <w:pStyle w:val="BoxSpaceAbove"/>
        <w:spacing w:before="100" w:beforeAutospacing="1"/>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67"/>
      </w:tblGrid>
      <w:tr w:rsidR="002F2E2C" w:rsidTr="00D74040">
        <w:trPr>
          <w:trHeight w:val="1110"/>
          <w:tblHeader/>
        </w:trPr>
        <w:tc>
          <w:tcPr>
            <w:tcW w:w="8767" w:type="dxa"/>
            <w:tcBorders>
              <w:top w:val="single" w:sz="6" w:space="0" w:color="78A22F"/>
              <w:left w:val="nil"/>
              <w:bottom w:val="nil"/>
              <w:right w:val="nil"/>
            </w:tcBorders>
            <w:hideMark/>
          </w:tcPr>
          <w:p w:rsidR="002F2E2C" w:rsidRDefault="002F2E2C" w:rsidP="00E7575C">
            <w:pPr>
              <w:pStyle w:val="FigureTitle"/>
            </w:pPr>
            <w:r>
              <w:rPr>
                <w:b w:val="0"/>
              </w:rPr>
              <w:t>Figure</w:t>
            </w:r>
            <w:r>
              <w:t> </w:t>
            </w:r>
            <w:r>
              <w:rPr>
                <w:b w:val="0"/>
              </w:rPr>
              <w:t>14</w:t>
            </w:r>
            <w:r>
              <w:tab/>
              <w:t>Gross output (insurance service charge) by type of non-life insurance</w:t>
            </w:r>
          </w:p>
          <w:p w:rsidR="002F2E2C" w:rsidRDefault="002F2E2C" w:rsidP="00E7575C">
            <w:pPr>
              <w:pStyle w:val="Subtitle"/>
            </w:pPr>
            <w:r>
              <w:t>Current $million</w:t>
            </w:r>
          </w:p>
        </w:tc>
      </w:tr>
      <w:tr w:rsidR="002F2E2C" w:rsidTr="009C7085">
        <w:trPr>
          <w:trHeight w:val="7759"/>
        </w:trPr>
        <w:tc>
          <w:tcPr>
            <w:tcW w:w="8767" w:type="dxa"/>
            <w:tcBorders>
              <w:top w:val="nil"/>
              <w:left w:val="nil"/>
              <w:bottom w:val="nil"/>
              <w:right w:val="nil"/>
            </w:tcBorders>
            <w:tcMar>
              <w:top w:w="28" w:type="dxa"/>
              <w:left w:w="142" w:type="dxa"/>
              <w:bottom w:w="28" w:type="dxa"/>
              <w:right w:w="142" w:type="dxa"/>
            </w:tcMar>
            <w:hideMark/>
          </w:tcPr>
          <w:p w:rsidR="002F2E2C" w:rsidRDefault="008C538C" w:rsidP="00E7575C">
            <w:pPr>
              <w:pStyle w:val="Figure"/>
            </w:pPr>
            <w:r>
              <w:rPr>
                <w:noProof/>
              </w:rPr>
              <w:drawing>
                <wp:inline distT="0" distB="0" distL="0" distR="0" wp14:anchorId="6A26BC2A" wp14:editId="6B0D7F08">
                  <wp:extent cx="1743965" cy="1548000"/>
                  <wp:effectExtent l="0" t="0" r="8890" b="0"/>
                  <wp:docPr id="63" name="Picture 63" descr="Figure 14, top left panel: This figure contains 9 figures which show the value of Gross output by types of non-life insurance between 1994-95 and 2011-12. The non-life insurance includes Health, Motor vehicle, Employer liability, Home contents, Marine and aviation, Public and product liability and professional indemnity, Fire and industrial special risks, Insurance nec and Total non-life insurance. This panel shows the Gross output value of Health.&#10;Drilling down further, the components of non-life insurance have varied considerably. Insurance of health, motor vehicles; public and product liability and professional indemnity; fire and industrial special risks; and insurance not elsewhere classified (nec) (which includes house building insurance and mortgage insurance, amongst others) were the main contributors to the strong growth in the 2001 02 to 2003-04 period. While total non-life insurance output was relatively stable from 2003 04 to 2007 08, there was offsetting growth and contraction in the different types of insurances — such as high growth in health but a decline in motor vehicle insurance output. The decline in total output in 2008-09 was largely attributable to declines in employer liability, fire and industrial special risks insurances, and insurance nec (mainly lenders mortgage 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r>
              <w:rPr>
                <w:noProof/>
              </w:rPr>
              <w:drawing>
                <wp:inline distT="0" distB="0" distL="0" distR="0" wp14:anchorId="7FCF45B2" wp14:editId="4DB1BE2A">
                  <wp:extent cx="1743965" cy="1548000"/>
                  <wp:effectExtent l="0" t="0" r="8890" b="0"/>
                  <wp:docPr id="64" name="Picture 64" descr="Figure 14, top middle panel: This panel shows the Gross output value of Motor vehicle. See the description for the top left panel for a brie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r>
              <w:rPr>
                <w:noProof/>
              </w:rPr>
              <w:drawing>
                <wp:inline distT="0" distB="0" distL="0" distR="0" wp14:anchorId="36D93EE1" wp14:editId="474E0D9D">
                  <wp:extent cx="1743965" cy="1548000"/>
                  <wp:effectExtent l="0" t="0" r="8890" b="0"/>
                  <wp:docPr id="65" name="Picture 65" descr="Figure 14, top right panel: This panel shows the Gross output value of Employer liability. See the description for the top left panel for a brief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965" cy="1548000"/>
                          </a:xfrm>
                          <a:prstGeom prst="rect">
                            <a:avLst/>
                          </a:prstGeom>
                          <a:noFill/>
                          <a:ln>
                            <a:noFill/>
                          </a:ln>
                        </pic:spPr>
                      </pic:pic>
                    </a:graphicData>
                  </a:graphic>
                </wp:inline>
              </w:drawing>
            </w:r>
          </w:p>
          <w:p w:rsidR="008C538C" w:rsidRDefault="008C538C" w:rsidP="00E7575C">
            <w:pPr>
              <w:pStyle w:val="Figure"/>
            </w:pPr>
            <w:r>
              <w:rPr>
                <w:noProof/>
              </w:rPr>
              <w:drawing>
                <wp:inline distT="0" distB="0" distL="0" distR="0" wp14:anchorId="186D0BA4" wp14:editId="2A64509F">
                  <wp:extent cx="1742400" cy="1548000"/>
                  <wp:effectExtent l="0" t="0" r="0" b="0"/>
                  <wp:docPr id="66" name="Picture 66" descr="Figure 14, middle left panel: This panel shows the Gross output value of Home contents.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rPr>
              <w:drawing>
                <wp:inline distT="0" distB="0" distL="0" distR="0" wp14:anchorId="6575A685" wp14:editId="6D823672">
                  <wp:extent cx="1742400" cy="1548000"/>
                  <wp:effectExtent l="0" t="0" r="0" b="0"/>
                  <wp:docPr id="67" name="Picture 67" descr="Figure 14, middle panel: This panel shows the Gross output value of Marine and aviation.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rPr>
              <w:drawing>
                <wp:inline distT="0" distB="0" distL="0" distR="0" wp14:anchorId="376FB677" wp14:editId="53B7C13B">
                  <wp:extent cx="1742400" cy="1548000"/>
                  <wp:effectExtent l="0" t="0" r="0" b="0"/>
                  <wp:docPr id="68" name="Picture 68" descr="Figure 14, middle right panel: This panel shows the Gross output value of Public and product liability and professional indemnity.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p>
          <w:p w:rsidR="008C538C" w:rsidRDefault="008C538C" w:rsidP="00E7575C">
            <w:pPr>
              <w:pStyle w:val="Figure"/>
            </w:pPr>
            <w:r>
              <w:rPr>
                <w:noProof/>
              </w:rPr>
              <w:drawing>
                <wp:inline distT="0" distB="0" distL="0" distR="0" wp14:anchorId="4B7CD1A5" wp14:editId="0E837F49">
                  <wp:extent cx="1742400" cy="1548000"/>
                  <wp:effectExtent l="0" t="0" r="0" b="0"/>
                  <wp:docPr id="71" name="Picture 71" descr="Figure 14, bottom left panel: This panel shows the Gross output value of Fire and industrial special risks.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rPr>
              <w:drawing>
                <wp:inline distT="0" distB="0" distL="0" distR="0" wp14:anchorId="65B6CCEA" wp14:editId="30E00C18">
                  <wp:extent cx="1742400" cy="1548000"/>
                  <wp:effectExtent l="0" t="0" r="0" b="0"/>
                  <wp:docPr id="72" name="Picture 72" descr="Figure 14, bottom middle panel: This panel shows the Gross output value of Insurance nec.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r>
              <w:rPr>
                <w:noProof/>
              </w:rPr>
              <w:drawing>
                <wp:inline distT="0" distB="0" distL="0" distR="0" wp14:anchorId="1E3CBB74" wp14:editId="1AF0169A">
                  <wp:extent cx="1742400" cy="1548000"/>
                  <wp:effectExtent l="0" t="0" r="0" b="0"/>
                  <wp:docPr id="73" name="Picture 73" descr="Figure 14, bottom right panel: This panel shows the Gross output value ofTotal non-life insurance. See the description for the top left panel for a brief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2400" cy="1548000"/>
                          </a:xfrm>
                          <a:prstGeom prst="rect">
                            <a:avLst/>
                          </a:prstGeom>
                          <a:noFill/>
                          <a:ln>
                            <a:noFill/>
                          </a:ln>
                        </pic:spPr>
                      </pic:pic>
                    </a:graphicData>
                  </a:graphic>
                </wp:inline>
              </w:drawing>
            </w:r>
          </w:p>
        </w:tc>
      </w:tr>
      <w:tr w:rsidR="002F2E2C" w:rsidTr="008C538C">
        <w:trPr>
          <w:trHeight w:val="386"/>
        </w:trPr>
        <w:tc>
          <w:tcPr>
            <w:tcW w:w="8767" w:type="dxa"/>
            <w:tcBorders>
              <w:top w:val="nil"/>
              <w:left w:val="nil"/>
              <w:bottom w:val="nil"/>
              <w:right w:val="nil"/>
            </w:tcBorders>
            <w:hideMark/>
          </w:tcPr>
          <w:p w:rsidR="002F2E2C" w:rsidRDefault="002F2E2C" w:rsidP="008C538C">
            <w:pPr>
              <w:pStyle w:val="Note"/>
            </w:pPr>
            <w:r>
              <w:rPr>
                <w:rStyle w:val="NoteLabel"/>
              </w:rPr>
              <w:t xml:space="preserve">a </w:t>
            </w:r>
            <w:r>
              <w:t>Insurance nec (not elsewhere classified) includes household building insurance, reinsurance, consumer credit insurance, mortgage insurance, travel insurance, and other insurance.</w:t>
            </w:r>
          </w:p>
        </w:tc>
      </w:tr>
      <w:tr w:rsidR="002F2E2C" w:rsidTr="008C538C">
        <w:trPr>
          <w:trHeight w:val="322"/>
        </w:trPr>
        <w:tc>
          <w:tcPr>
            <w:tcW w:w="8767" w:type="dxa"/>
            <w:tcBorders>
              <w:top w:val="nil"/>
              <w:left w:val="nil"/>
              <w:bottom w:val="nil"/>
              <w:right w:val="nil"/>
            </w:tcBorders>
            <w:hideMark/>
          </w:tcPr>
          <w:p w:rsidR="002F2E2C" w:rsidRDefault="002F2E2C" w:rsidP="00FE14D1">
            <w:pPr>
              <w:pStyle w:val="Source"/>
            </w:pPr>
            <w:r>
              <w:rPr>
                <w:i/>
              </w:rPr>
              <w:t>Data source</w:t>
            </w:r>
            <w:r>
              <w:t xml:space="preserve">: </w:t>
            </w:r>
            <w:r w:rsidR="00FE14D1">
              <w:t>Authors’ estimates based on u</w:t>
            </w:r>
            <w:r>
              <w:t xml:space="preserve">npublished ABS data. </w:t>
            </w:r>
          </w:p>
        </w:tc>
      </w:tr>
      <w:tr w:rsidR="002F2E2C" w:rsidTr="008C538C">
        <w:trPr>
          <w:trHeight w:val="129"/>
        </w:trPr>
        <w:tc>
          <w:tcPr>
            <w:tcW w:w="8767" w:type="dxa"/>
            <w:tcBorders>
              <w:top w:val="nil"/>
              <w:left w:val="nil"/>
              <w:bottom w:val="single" w:sz="6" w:space="0" w:color="78A22F"/>
              <w:right w:val="nil"/>
            </w:tcBorders>
          </w:tcPr>
          <w:p w:rsidR="002F2E2C" w:rsidRDefault="002F2E2C" w:rsidP="00E7575C">
            <w:pPr>
              <w:pStyle w:val="Figurespace"/>
            </w:pPr>
          </w:p>
        </w:tc>
      </w:tr>
      <w:tr w:rsidR="002F2E2C" w:rsidTr="008C538C">
        <w:trPr>
          <w:trHeight w:val="209"/>
        </w:trPr>
        <w:tc>
          <w:tcPr>
            <w:tcW w:w="8767" w:type="dxa"/>
            <w:tcBorders>
              <w:top w:val="single" w:sz="6" w:space="0" w:color="78A22F"/>
              <w:left w:val="nil"/>
              <w:bottom w:val="nil"/>
              <w:right w:val="nil"/>
            </w:tcBorders>
            <w:hideMark/>
          </w:tcPr>
          <w:p w:rsidR="002F2E2C" w:rsidRDefault="002F2E2C" w:rsidP="00E7575C">
            <w:pPr>
              <w:pStyle w:val="BoxSpaceBelow"/>
            </w:pPr>
          </w:p>
        </w:tc>
      </w:tr>
    </w:tbl>
    <w:p w:rsidR="002F2E2C" w:rsidRDefault="002F2E2C" w:rsidP="002F2E2C">
      <w:pPr>
        <w:pStyle w:val="BodyText"/>
        <w:spacing w:before="100" w:beforeAutospacing="1"/>
      </w:pPr>
      <w:r>
        <w:t>A subsequent fall in public and product liability, and professional indemnity insurance contributed to output remaining at that lower level in 2009</w:t>
      </w:r>
      <w:r w:rsidR="00092C5A">
        <w:noBreakHyphen/>
      </w:r>
      <w:r>
        <w:t>10. The recovery in output after this year was driven by fire and industrial special risks, insurance nec (mainly house insurance), and health insurance.</w:t>
      </w:r>
    </w:p>
    <w:p w:rsidR="008E0D79" w:rsidRDefault="00F72C73" w:rsidP="00DF3347">
      <w:pPr>
        <w:pStyle w:val="BodyText"/>
      </w:pPr>
      <w:r>
        <w:t>The economic slowdown in 2008</w:t>
      </w:r>
      <w:r>
        <w:noBreakHyphen/>
        <w:t xml:space="preserve">09 also impacted on the insurance service charge through increased claims costs for underwriters of professional indemnity and director's and officer's policies (APRA 2014a, p. 101). </w:t>
      </w:r>
      <w:r w:rsidR="00DF3347">
        <w:t>And claims related to GFC events (such as corporate collapses) can take a number of years t</w:t>
      </w:r>
      <w:r w:rsidR="002F2E2C">
        <w:t>o appear (KPMG</w:t>
      </w:r>
      <w:r w:rsidR="00592BA1">
        <w:t> </w:t>
      </w:r>
      <w:r w:rsidR="002F2E2C">
        <w:t>2008). Figure 15</w:t>
      </w:r>
      <w:r w:rsidR="00DF3347">
        <w:t xml:space="preserve"> shows that there was some increase in (nominal)</w:t>
      </w:r>
      <w:r w:rsidR="00E40A7C">
        <w:t xml:space="preserve"> claims on </w:t>
      </w:r>
      <w:r w:rsidR="008E0D79">
        <w:t xml:space="preserve">other </w:t>
      </w:r>
      <w:r w:rsidR="00E40A7C">
        <w:t xml:space="preserve">professional indemnity insurance </w:t>
      </w:r>
      <w:r w:rsidR="00E40A7C">
        <w:lastRenderedPageBreak/>
        <w:t>policies in the period following the GFC. This broadly coincides with a period of lower measured output for ‘public and product liability and professional indemnity insurance’.</w:t>
      </w:r>
      <w:r w:rsidR="00E40A7C">
        <w:rPr>
          <w:rStyle w:val="FootnoteReference"/>
        </w:rPr>
        <w:footnoteReference w:id="13"/>
      </w:r>
      <w:r w:rsidR="00E40A7C">
        <w:t xml:space="preserve"> </w:t>
      </w:r>
    </w:p>
    <w:p w:rsidR="00DF3347" w:rsidRDefault="00DF3347" w:rsidP="00DF33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67"/>
      </w:tblGrid>
      <w:tr w:rsidR="00DF3347" w:rsidTr="00FC2F32">
        <w:trPr>
          <w:trHeight w:val="443"/>
          <w:tblHeader/>
        </w:trPr>
        <w:tc>
          <w:tcPr>
            <w:tcW w:w="8767" w:type="dxa"/>
            <w:tcBorders>
              <w:top w:val="single" w:sz="6" w:space="0" w:color="78A22F"/>
              <w:left w:val="nil"/>
              <w:bottom w:val="nil"/>
              <w:right w:val="nil"/>
            </w:tcBorders>
            <w:hideMark/>
          </w:tcPr>
          <w:p w:rsidR="00DF3347" w:rsidRDefault="00E40A7C">
            <w:pPr>
              <w:pStyle w:val="FigureTitle"/>
            </w:pPr>
            <w:r>
              <w:rPr>
                <w:b w:val="0"/>
              </w:rPr>
              <w:t>Figure </w:t>
            </w:r>
            <w:r w:rsidR="002F2E2C">
              <w:rPr>
                <w:b w:val="0"/>
              </w:rPr>
              <w:t>15</w:t>
            </w:r>
            <w:r w:rsidR="00DF3347">
              <w:tab/>
              <w:t>Gross claims on professional indemnity insurance policies</w:t>
            </w:r>
          </w:p>
          <w:p w:rsidR="00DF3347" w:rsidRDefault="00DF3347" w:rsidP="008C163A">
            <w:pPr>
              <w:pStyle w:val="Subtitle"/>
              <w:spacing w:after="0"/>
            </w:pPr>
            <w:r>
              <w:t xml:space="preserve">‘000 current dollars </w:t>
            </w:r>
          </w:p>
        </w:tc>
      </w:tr>
      <w:tr w:rsidR="00DF3347" w:rsidTr="00FC2F32">
        <w:trPr>
          <w:trHeight w:val="2817"/>
        </w:trPr>
        <w:tc>
          <w:tcPr>
            <w:tcW w:w="8767" w:type="dxa"/>
            <w:tcBorders>
              <w:top w:val="nil"/>
              <w:left w:val="nil"/>
              <w:bottom w:val="nil"/>
              <w:right w:val="nil"/>
            </w:tcBorders>
            <w:tcMar>
              <w:top w:w="28" w:type="dxa"/>
              <w:left w:w="142" w:type="dxa"/>
              <w:bottom w:w="28" w:type="dxa"/>
              <w:right w:w="142" w:type="dxa"/>
            </w:tcMar>
            <w:hideMark/>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4A0" w:firstRow="1" w:lastRow="0" w:firstColumn="1" w:lastColumn="0" w:noHBand="0" w:noVBand="1"/>
            </w:tblPr>
            <w:tblGrid>
              <w:gridCol w:w="8483"/>
            </w:tblGrid>
            <w:tr w:rsidR="00DF3347" w:rsidTr="00FC2F32">
              <w:trPr>
                <w:trHeight w:val="3440"/>
                <w:jc w:val="center"/>
              </w:trPr>
              <w:tc>
                <w:tcPr>
                  <w:tcW w:w="5000" w:type="pct"/>
                  <w:tcBorders>
                    <w:top w:val="nil"/>
                    <w:left w:val="nil"/>
                    <w:bottom w:val="nil"/>
                    <w:right w:val="nil"/>
                  </w:tcBorders>
                  <w:hideMark/>
                </w:tcPr>
                <w:p w:rsidR="00DF3347" w:rsidRDefault="00DF3347">
                  <w:pPr>
                    <w:pStyle w:val="Figure"/>
                    <w:spacing w:before="60" w:after="60"/>
                  </w:pPr>
                  <w:r>
                    <w:rPr>
                      <w:noProof/>
                    </w:rPr>
                    <w:drawing>
                      <wp:inline distT="0" distB="0" distL="0" distR="0" wp14:anchorId="17D34744" wp14:editId="1F61AFEE">
                        <wp:extent cx="5256000" cy="2955934"/>
                        <wp:effectExtent l="0" t="0" r="1905" b="0"/>
                        <wp:docPr id="16" name="Picture 16" descr="Figure 15: This figure shows values of Gross claims on professional indemnity insurance policies between 2003 and 2013. It has two components — Directors’ and officers’ liability &amp; employment practice and Other professional indemnity products. &#10;This figure shows that there was some increase in (nominal) claims on other professional indemnity insurance policies in the period following the GFC. This broadly coincides with a period of lower measured output for ‘public and product liability and professional indemnity 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2"/>
                                <pic:cNvPicPr>
                                  <a:picLocks noChangeAspect="1" noChangeArrowheads="1"/>
                                </pic:cNvPicPr>
                              </pic:nvPicPr>
                              <pic:blipFill rotWithShape="1">
                                <a:blip r:embed="rId55">
                                  <a:extLst>
                                    <a:ext uri="{28A0092B-C50C-407E-A947-70E740481C1C}">
                                      <a14:useLocalDpi xmlns:a14="http://schemas.microsoft.com/office/drawing/2010/main" val="0"/>
                                    </a:ext>
                                  </a:extLst>
                                </a:blip>
                                <a:srcRect b="3594"/>
                                <a:stretch/>
                              </pic:blipFill>
                              <pic:spPr bwMode="auto">
                                <a:xfrm>
                                  <a:off x="0" y="0"/>
                                  <a:ext cx="5256000" cy="2955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F3347" w:rsidRDefault="00DF3347" w:rsidP="008C163A">
            <w:pPr>
              <w:pStyle w:val="Figure"/>
              <w:spacing w:before="0" w:after="0"/>
            </w:pPr>
          </w:p>
        </w:tc>
      </w:tr>
      <w:tr w:rsidR="00DF3347" w:rsidTr="00FC2F32">
        <w:trPr>
          <w:trHeight w:val="426"/>
        </w:trPr>
        <w:tc>
          <w:tcPr>
            <w:tcW w:w="8767" w:type="dxa"/>
            <w:tcBorders>
              <w:top w:val="nil"/>
              <w:left w:val="nil"/>
              <w:bottom w:val="nil"/>
              <w:right w:val="nil"/>
            </w:tcBorders>
            <w:hideMark/>
          </w:tcPr>
          <w:p w:rsidR="00DF3347" w:rsidRDefault="00DF3347">
            <w:pPr>
              <w:pStyle w:val="Note"/>
            </w:pPr>
            <w:r>
              <w:rPr>
                <w:rStyle w:val="NoteLabel"/>
              </w:rPr>
              <w:t>a</w:t>
            </w:r>
            <w:r>
              <w:t xml:space="preserve"> Other professional indemnity products include policies that provide cover for a professional for actions taken against that person in tort and/or statute law in respect of advice or services provided as part of their professional practice. </w:t>
            </w:r>
          </w:p>
        </w:tc>
      </w:tr>
      <w:tr w:rsidR="00DF3347" w:rsidTr="00FC2F32">
        <w:trPr>
          <w:trHeight w:val="174"/>
        </w:trPr>
        <w:tc>
          <w:tcPr>
            <w:tcW w:w="8767" w:type="dxa"/>
            <w:tcBorders>
              <w:top w:val="nil"/>
              <w:left w:val="nil"/>
              <w:bottom w:val="nil"/>
              <w:right w:val="nil"/>
            </w:tcBorders>
            <w:hideMark/>
          </w:tcPr>
          <w:p w:rsidR="00DF3347" w:rsidRDefault="00DF3347">
            <w:pPr>
              <w:pStyle w:val="Source"/>
            </w:pPr>
            <w:r>
              <w:rPr>
                <w:i/>
              </w:rPr>
              <w:t>Source</w:t>
            </w:r>
            <w:r>
              <w:t>: APRA</w:t>
            </w:r>
            <w:r w:rsidR="00592BA1">
              <w:t> </w:t>
            </w:r>
            <w:r>
              <w:rPr>
                <w:rFonts w:cs="Arial"/>
              </w:rPr>
              <w:t>(</w:t>
            </w:r>
            <w:r w:rsidR="00CD79BD">
              <w:rPr>
                <w:rFonts w:cs="Arial"/>
              </w:rPr>
              <w:t>2014b</w:t>
            </w:r>
            <w:r>
              <w:rPr>
                <w:rFonts w:cs="Arial"/>
              </w:rPr>
              <w:t>)</w:t>
            </w:r>
            <w:r w:rsidR="0083075C">
              <w:t>.</w:t>
            </w:r>
          </w:p>
        </w:tc>
      </w:tr>
      <w:tr w:rsidR="00DF3347" w:rsidTr="00FC2F32">
        <w:trPr>
          <w:trHeight w:val="69"/>
        </w:trPr>
        <w:tc>
          <w:tcPr>
            <w:tcW w:w="8767" w:type="dxa"/>
            <w:tcBorders>
              <w:top w:val="nil"/>
              <w:left w:val="nil"/>
              <w:bottom w:val="single" w:sz="6" w:space="0" w:color="78A22F"/>
              <w:right w:val="nil"/>
            </w:tcBorders>
          </w:tcPr>
          <w:p w:rsidR="00DF3347" w:rsidRDefault="00DF3347">
            <w:pPr>
              <w:pStyle w:val="Figurespace"/>
            </w:pPr>
          </w:p>
        </w:tc>
      </w:tr>
      <w:tr w:rsidR="00DF3347" w:rsidTr="00FC2F32">
        <w:trPr>
          <w:trHeight w:val="122"/>
        </w:trPr>
        <w:tc>
          <w:tcPr>
            <w:tcW w:w="8767" w:type="dxa"/>
            <w:tcBorders>
              <w:top w:val="single" w:sz="6" w:space="0" w:color="78A22F"/>
              <w:left w:val="nil"/>
              <w:bottom w:val="nil"/>
              <w:right w:val="nil"/>
            </w:tcBorders>
            <w:hideMark/>
          </w:tcPr>
          <w:p w:rsidR="00DF3347" w:rsidRDefault="00DF3347">
            <w:pPr>
              <w:pStyle w:val="BoxSpaceBelow"/>
            </w:pPr>
          </w:p>
        </w:tc>
      </w:tr>
    </w:tbl>
    <w:p w:rsidR="002F2E2C" w:rsidRPr="00DF3347" w:rsidRDefault="002F2E2C" w:rsidP="002F2E2C">
      <w:pPr>
        <w:pStyle w:val="Heading4"/>
      </w:pPr>
      <w:r w:rsidRPr="00DF3347">
        <w:t>Earnings on reserves are included in output</w:t>
      </w:r>
    </w:p>
    <w:p w:rsidR="002F2E2C" w:rsidRDefault="002F2E2C" w:rsidP="002F2E2C">
      <w:pPr>
        <w:pStyle w:val="BodyText"/>
      </w:pPr>
      <w:r>
        <w:t xml:space="preserve">Insurance services output is also affected by reserves held, with a minimum mandated by regulation. Regulatory responses to events like the collapse of HIH and the GFC can result in higher output as the funds are required to hold higher reserves. Working in the other direction, the </w:t>
      </w:r>
      <w:r w:rsidR="002A2480">
        <w:t xml:space="preserve">GFC </w:t>
      </w:r>
      <w:r>
        <w:t>also reduced the earnings on reserves held.</w:t>
      </w:r>
    </w:p>
    <w:p w:rsidR="002F2E2C" w:rsidRDefault="002F2E2C" w:rsidP="002F2E2C">
      <w:pPr>
        <w:pStyle w:val="BodyText"/>
      </w:pPr>
      <w:r>
        <w:t>Different segments of the industry are prone to different shocks and so their reserves also respond differently. For example, there was an increase in mortgage defaults during 2008</w:t>
      </w:r>
      <w:r w:rsidR="00092C5A">
        <w:noBreakHyphen/>
      </w:r>
      <w:r>
        <w:t>09, although default levels remained at relatively low levels (APRA</w:t>
      </w:r>
      <w:r w:rsidR="00592BA1">
        <w:t> </w:t>
      </w:r>
      <w:r>
        <w:t>2014</w:t>
      </w:r>
      <w:r w:rsidR="00193662">
        <w:t>a</w:t>
      </w:r>
      <w:r>
        <w:t>, p.</w:t>
      </w:r>
      <w:r w:rsidR="00592BA1">
        <w:t> </w:t>
      </w:r>
      <w:r>
        <w:t>101)</w:t>
      </w:r>
      <w:r>
        <w:rPr>
          <w:rStyle w:val="BodyTextChar"/>
        </w:rPr>
        <w:t>.</w:t>
      </w:r>
      <w:r>
        <w:t xml:space="preserve"> A fall in the gross output of lenders mortgage insurers accounted for around 8</w:t>
      </w:r>
      <w:r w:rsidR="00447726">
        <w:t> </w:t>
      </w:r>
      <w:r>
        <w:t>per cent of the total fall in the ABS measure of general insurance output in 2008</w:t>
      </w:r>
      <w:r w:rsidR="00092C5A">
        <w:noBreakHyphen/>
      </w:r>
      <w:r>
        <w:t>09.</w:t>
      </w:r>
      <w:r>
        <w:rPr>
          <w:rStyle w:val="FootnoteReference"/>
        </w:rPr>
        <w:footnoteReference w:id="14"/>
      </w:r>
    </w:p>
    <w:p w:rsidR="00124C88" w:rsidRDefault="00124C88" w:rsidP="00124C88">
      <w:pPr>
        <w:pStyle w:val="Heading3"/>
      </w:pPr>
      <w:r>
        <w:lastRenderedPageBreak/>
        <w:t>Cost-based imputed outcome measures</w:t>
      </w:r>
    </w:p>
    <w:p w:rsidR="00124C88" w:rsidRDefault="002F2E2C" w:rsidP="00124C88">
      <w:pPr>
        <w:pStyle w:val="BodyText"/>
      </w:pPr>
      <w:r>
        <w:t>C</w:t>
      </w:r>
      <w:r w:rsidR="00124C88">
        <w:t xml:space="preserve">ost based measures are used for </w:t>
      </w:r>
      <w:r>
        <w:t xml:space="preserve">estimating </w:t>
      </w:r>
      <w:r w:rsidR="00124C88">
        <w:t>several elements of FIS, including the</w:t>
      </w:r>
      <w:r>
        <w:t xml:space="preserve"> services of the Reserve Bank. T</w:t>
      </w:r>
      <w:r w:rsidR="00124C88">
        <w:t>he largest cost-based element in production is Superannuation.</w:t>
      </w:r>
    </w:p>
    <w:p w:rsidR="00124C88" w:rsidRDefault="00124C88" w:rsidP="00124C88">
      <w:pPr>
        <w:pStyle w:val="Heading4"/>
      </w:pPr>
      <w:r>
        <w:t>Growth in aggregate contributions to superannuation drive industry output</w:t>
      </w:r>
    </w:p>
    <w:p w:rsidR="00124C88" w:rsidRDefault="00124C88" w:rsidP="00124C88">
      <w:pPr>
        <w:pStyle w:val="BodyText"/>
      </w:pPr>
      <w:r>
        <w:t xml:space="preserve">In Superannuation, imputed income is measured as operating costs (investment and administrative costs </w:t>
      </w:r>
      <w:r w:rsidR="002F59A1">
        <w:t xml:space="preserve">— </w:t>
      </w:r>
      <w:r>
        <w:t>which is mainly labour), while explicit charges and other income are directly measured. Imputed income contributed 98 per cent of gross output in 2011</w:t>
      </w:r>
      <w:r>
        <w:noBreakHyphen/>
        <w:t>12</w:t>
      </w:r>
      <w:r w:rsidR="00923D98">
        <w:t xml:space="preserve"> (figure 16</w:t>
      </w:r>
      <w:r w:rsidR="008A25EF">
        <w:t>)</w:t>
      </w:r>
      <w:r>
        <w:t>. Of this, administrative costs were relatively high in the lead up to the GFC (2002</w:t>
      </w:r>
      <w:r>
        <w:noBreakHyphen/>
        <w:t>03 to 2007</w:t>
      </w:r>
      <w:r>
        <w:noBreakHyphen/>
        <w:t xml:space="preserve">08) while investment costs drove imputed income growth in the subsequent period. The relative share of explicit charges and other income has declined over time. </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923D98">
              <w:rPr>
                <w:b w:val="0"/>
              </w:rPr>
              <w:t> 16</w:t>
            </w:r>
            <w:r>
              <w:tab/>
              <w:t>Gross output components of Superannuation funds</w:t>
            </w:r>
            <w:r>
              <w:rPr>
                <w:rStyle w:val="NoteLabel"/>
                <w:b/>
              </w:rPr>
              <w:t>a</w:t>
            </w:r>
          </w:p>
          <w:p w:rsidR="00124C88" w:rsidRDefault="00124C88" w:rsidP="00DD26E6">
            <w:pPr>
              <w:pStyle w:val="Subtitle"/>
              <w:spacing w:after="0"/>
              <w:rPr>
                <w:i/>
              </w:rPr>
            </w:pPr>
            <w:r>
              <w:t>Current $million</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124C88">
              <w:tc>
                <w:tcPr>
                  <w:tcW w:w="5000" w:type="pct"/>
                  <w:tcBorders>
                    <w:top w:val="nil"/>
                    <w:left w:val="nil"/>
                    <w:bottom w:val="nil"/>
                    <w:right w:val="nil"/>
                  </w:tcBorders>
                  <w:hideMark/>
                </w:tcPr>
                <w:p w:rsidR="00124C88" w:rsidRDefault="00304AE4">
                  <w:pPr>
                    <w:pStyle w:val="Figure"/>
                    <w:spacing w:before="60" w:after="60"/>
                  </w:pPr>
                  <w:r>
                    <w:rPr>
                      <w:noProof/>
                    </w:rPr>
                    <w:drawing>
                      <wp:inline distT="0" distB="0" distL="0" distR="0" wp14:anchorId="2E3DF35A" wp14:editId="19AD8E40">
                        <wp:extent cx="5390515" cy="3391535"/>
                        <wp:effectExtent l="0" t="0" r="635" b="0"/>
                        <wp:docPr id="74" name="Picture 74" descr="Figure 16: This figure shows 4 Gross output components of Superannuation — Administrative costs, Investment costs, Explicit charges and Other income between 1996-97 and 2011-12. &#10;In Superannuation, imputed income is measured as operating costs (investment and administrative costs — which is mainly labour), while explicit charges and other income are directly measured. Imputed income contributed 98 per cent of gross output in 2011-12. Of this, administrative costs were relatively high in the lead up to the GFC (2002-03 to 2007-08) while investment costs drove imputed income growth in the subsequent period. The relative share of explicit charges and other income has declined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0515" cy="3391535"/>
                                </a:xfrm>
                                <a:prstGeom prst="rect">
                                  <a:avLst/>
                                </a:prstGeom>
                                <a:noFill/>
                                <a:ln>
                                  <a:noFill/>
                                </a:ln>
                              </pic:spPr>
                            </pic:pic>
                          </a:graphicData>
                        </a:graphic>
                      </wp:inline>
                    </w:drawing>
                  </w:r>
                </w:p>
              </w:tc>
            </w:tr>
          </w:tbl>
          <w:p w:rsidR="00124C88" w:rsidRDefault="00124C88">
            <w:pPr>
              <w:pStyle w:val="Figure"/>
            </w:pPr>
          </w:p>
        </w:tc>
      </w:tr>
      <w:tr w:rsidR="00D74040" w:rsidRPr="00D74040" w:rsidTr="00124C88">
        <w:tc>
          <w:tcPr>
            <w:tcW w:w="8771" w:type="dxa"/>
            <w:tcBorders>
              <w:top w:val="nil"/>
              <w:left w:val="nil"/>
              <w:bottom w:val="nil"/>
              <w:right w:val="nil"/>
            </w:tcBorders>
            <w:hideMark/>
          </w:tcPr>
          <w:p w:rsidR="00124C88" w:rsidRPr="00D74040" w:rsidRDefault="00124C88">
            <w:pPr>
              <w:pStyle w:val="Note"/>
              <w:rPr>
                <w:rStyle w:val="DraftingNote"/>
                <w:b w:val="0"/>
                <w:color w:val="000000" w:themeColor="text1"/>
              </w:rPr>
            </w:pPr>
            <w:r w:rsidRPr="00D74040">
              <w:rPr>
                <w:rStyle w:val="NoteLabel"/>
                <w:color w:val="000000" w:themeColor="text1"/>
              </w:rPr>
              <w:t>a</w:t>
            </w:r>
            <w:r w:rsidRPr="00D74040">
              <w:rPr>
                <w:color w:val="000000" w:themeColor="text1"/>
              </w:rPr>
              <w:t xml:space="preserve"> Does not include own</w:t>
            </w:r>
            <w:r w:rsidRPr="00D74040">
              <w:rPr>
                <w:color w:val="000000" w:themeColor="text1"/>
              </w:rPr>
              <w:noBreakHyphen/>
              <w:t>account software and R&amp;D.</w:t>
            </w:r>
          </w:p>
        </w:tc>
      </w:tr>
      <w:tr w:rsidR="00124C88" w:rsidTr="00124C88">
        <w:tc>
          <w:tcPr>
            <w:tcW w:w="8771" w:type="dxa"/>
            <w:tcBorders>
              <w:top w:val="nil"/>
              <w:left w:val="nil"/>
              <w:bottom w:val="nil"/>
              <w:right w:val="nil"/>
            </w:tcBorders>
            <w:hideMark/>
          </w:tcPr>
          <w:p w:rsidR="00124C88" w:rsidRDefault="00124C88" w:rsidP="00FE14D1">
            <w:pPr>
              <w:pStyle w:val="Source"/>
            </w:pPr>
            <w:r>
              <w:rPr>
                <w:i/>
              </w:rPr>
              <w:t>Source</w:t>
            </w:r>
            <w:r>
              <w:t xml:space="preserve">: </w:t>
            </w:r>
            <w:r w:rsidR="00FE14D1">
              <w:t>Authors’ estimates based on u</w:t>
            </w:r>
            <w:r>
              <w:t>npublished ABS data.</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230E98" w:rsidRDefault="00124C88" w:rsidP="0083075C">
      <w:pPr>
        <w:pStyle w:val="BodyText"/>
      </w:pPr>
      <w:r>
        <w:t>There has been a fivefold increase in Superannuation gross output bet</w:t>
      </w:r>
      <w:r w:rsidR="00923D98">
        <w:t>ween 1994</w:t>
      </w:r>
      <w:r w:rsidR="00923D98">
        <w:noBreakHyphen/>
        <w:t>95 and 2011</w:t>
      </w:r>
      <w:r w:rsidR="00923D98">
        <w:noBreakHyphen/>
        <w:t>12. G</w:t>
      </w:r>
      <w:r>
        <w:t>rowth</w:t>
      </w:r>
      <w:r w:rsidR="00923D98">
        <w:t xml:space="preserve"> rates slowed after </w:t>
      </w:r>
      <w:r>
        <w:t>the GFC</w:t>
      </w:r>
      <w:r w:rsidR="00923D98">
        <w:t xml:space="preserve"> following a period of high growth from 2003</w:t>
      </w:r>
      <w:r w:rsidR="00C65649">
        <w:noBreakHyphen/>
        <w:t>0</w:t>
      </w:r>
      <w:r w:rsidR="00923D98">
        <w:t>4 to 2007</w:t>
      </w:r>
      <w:r w:rsidR="00092C5A">
        <w:noBreakHyphen/>
      </w:r>
      <w:r w:rsidR="00923D98">
        <w:t xml:space="preserve">08 </w:t>
      </w:r>
      <w:r>
        <w:t>(figure </w:t>
      </w:r>
      <w:r w:rsidR="00923D98">
        <w:t>16</w:t>
      </w:r>
      <w:r>
        <w:t>).</w:t>
      </w:r>
      <w:r w:rsidR="00213C30" w:rsidDel="00213C30">
        <w:t xml:space="preserve"> </w:t>
      </w:r>
    </w:p>
    <w:p w:rsidR="00124C88" w:rsidRPr="00124C88" w:rsidRDefault="00124C88" w:rsidP="00F055A0">
      <w:pPr>
        <w:pStyle w:val="Heading4"/>
      </w:pPr>
      <w:r w:rsidRPr="00124C88">
        <w:lastRenderedPageBreak/>
        <w:t>Production is highly related to assets under management</w:t>
      </w:r>
    </w:p>
    <w:p w:rsidR="00124C88" w:rsidRPr="008C163A" w:rsidRDefault="00923D98" w:rsidP="00124C88">
      <w:pPr>
        <w:pStyle w:val="BodyText"/>
        <w:rPr>
          <w:spacing w:val="-2"/>
        </w:rPr>
      </w:pPr>
      <w:r w:rsidRPr="008C163A">
        <w:rPr>
          <w:spacing w:val="-2"/>
        </w:rPr>
        <w:t xml:space="preserve">The </w:t>
      </w:r>
      <w:r w:rsidR="00124C88" w:rsidRPr="008C163A">
        <w:rPr>
          <w:spacing w:val="-2"/>
        </w:rPr>
        <w:t xml:space="preserve">rise in </w:t>
      </w:r>
      <w:r w:rsidRPr="008C163A">
        <w:rPr>
          <w:spacing w:val="-2"/>
        </w:rPr>
        <w:t xml:space="preserve">superannuation </w:t>
      </w:r>
      <w:r w:rsidR="00124C88" w:rsidRPr="008C163A">
        <w:rPr>
          <w:spacing w:val="-2"/>
        </w:rPr>
        <w:t>administrative and investment costs are closely related to the assets un</w:t>
      </w:r>
      <w:r w:rsidRPr="008C163A">
        <w:rPr>
          <w:spacing w:val="-2"/>
        </w:rPr>
        <w:t>der management</w:t>
      </w:r>
      <w:r w:rsidR="00124C88" w:rsidRPr="008C163A">
        <w:rPr>
          <w:spacing w:val="-2"/>
        </w:rPr>
        <w:t xml:space="preserve">. Administrative costs are also related to the movement of funds into and out of the superannuation </w:t>
      </w:r>
      <w:r w:rsidR="008A25EF" w:rsidRPr="008C163A">
        <w:rPr>
          <w:spacing w:val="-2"/>
        </w:rPr>
        <w:t>funds. Figure </w:t>
      </w:r>
      <w:r w:rsidRPr="008C163A">
        <w:rPr>
          <w:spacing w:val="-2"/>
        </w:rPr>
        <w:t>17</w:t>
      </w:r>
      <w:r w:rsidR="00124C88" w:rsidRPr="008C163A">
        <w:rPr>
          <w:spacing w:val="-2"/>
        </w:rPr>
        <w:t xml:space="preserve"> shows the rapid growth in superannuation assets (left panel) and the flows into and out of superannuation (right panel). </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8A25EF">
              <w:t> </w:t>
            </w:r>
            <w:r w:rsidR="00923D98">
              <w:rPr>
                <w:b w:val="0"/>
              </w:rPr>
              <w:t>17</w:t>
            </w:r>
            <w:r>
              <w:tab/>
              <w:t>Superannuation assets and superannuation fund activity</w:t>
            </w:r>
            <w:r>
              <w:rPr>
                <w:rStyle w:val="NoteLabel"/>
                <w:b/>
              </w:rPr>
              <w:t>a</w:t>
            </w:r>
          </w:p>
          <w:p w:rsidR="00124C88" w:rsidRDefault="00124C88">
            <w:pPr>
              <w:pStyle w:val="Subtitle"/>
            </w:pPr>
            <w:r>
              <w:t>Current $million</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4243"/>
              <w:gridCol w:w="4244"/>
            </w:tblGrid>
            <w:tr w:rsidR="00124C88">
              <w:tc>
                <w:tcPr>
                  <w:tcW w:w="2500" w:type="pct"/>
                  <w:tcBorders>
                    <w:top w:val="nil"/>
                    <w:left w:val="nil"/>
                    <w:bottom w:val="nil"/>
                    <w:right w:val="nil"/>
                  </w:tcBorders>
                  <w:hideMark/>
                </w:tcPr>
                <w:p w:rsidR="00124C88" w:rsidRPr="0070081D" w:rsidRDefault="00124C88">
                  <w:pPr>
                    <w:pStyle w:val="Figure"/>
                    <w:spacing w:before="60" w:after="60"/>
                    <w:rPr>
                      <w:rFonts w:ascii="Arial" w:hAnsi="Arial" w:cs="Arial"/>
                      <w:i/>
                      <w:sz w:val="18"/>
                      <w:szCs w:val="18"/>
                    </w:rPr>
                  </w:pPr>
                  <w:r w:rsidRPr="0070081D">
                    <w:rPr>
                      <w:rFonts w:ascii="Arial" w:hAnsi="Arial" w:cs="Arial"/>
                      <w:i/>
                      <w:sz w:val="18"/>
                      <w:szCs w:val="18"/>
                    </w:rPr>
                    <w:t>Total assets</w:t>
                  </w:r>
                  <w:r w:rsidRPr="005506E4">
                    <w:rPr>
                      <w:rStyle w:val="NoteLabel"/>
                      <w:rFonts w:cs="Arial"/>
                      <w:szCs w:val="18"/>
                    </w:rPr>
                    <w:t>a</w:t>
                  </w:r>
                </w:p>
              </w:tc>
              <w:tc>
                <w:tcPr>
                  <w:tcW w:w="2500" w:type="pct"/>
                  <w:tcBorders>
                    <w:top w:val="nil"/>
                    <w:left w:val="nil"/>
                    <w:bottom w:val="nil"/>
                    <w:right w:val="nil"/>
                  </w:tcBorders>
                  <w:hideMark/>
                </w:tcPr>
                <w:p w:rsidR="00124C88" w:rsidRPr="0070081D" w:rsidRDefault="00124C88">
                  <w:pPr>
                    <w:pStyle w:val="Figure"/>
                    <w:spacing w:before="60" w:after="60"/>
                    <w:rPr>
                      <w:rFonts w:ascii="Arial" w:hAnsi="Arial" w:cs="Arial"/>
                      <w:i/>
                      <w:sz w:val="18"/>
                      <w:szCs w:val="18"/>
                    </w:rPr>
                  </w:pPr>
                  <w:r w:rsidRPr="0070081D">
                    <w:rPr>
                      <w:rFonts w:ascii="Arial" w:hAnsi="Arial" w:cs="Arial"/>
                      <w:i/>
                      <w:sz w:val="18"/>
                      <w:szCs w:val="18"/>
                    </w:rPr>
                    <w:t>Flows in and out of Superannuation funds</w:t>
                  </w:r>
                  <w:r w:rsidRPr="005506E4">
                    <w:rPr>
                      <w:rStyle w:val="NoteLabel"/>
                      <w:rFonts w:cs="Arial"/>
                      <w:szCs w:val="18"/>
                    </w:rPr>
                    <w:t>b</w:t>
                  </w:r>
                </w:p>
              </w:tc>
            </w:tr>
            <w:tr w:rsidR="00124C88">
              <w:tc>
                <w:tcPr>
                  <w:tcW w:w="2500" w:type="pct"/>
                  <w:tcBorders>
                    <w:top w:val="nil"/>
                    <w:left w:val="nil"/>
                    <w:bottom w:val="nil"/>
                    <w:right w:val="nil"/>
                  </w:tcBorders>
                  <w:hideMark/>
                </w:tcPr>
                <w:p w:rsidR="00124C88" w:rsidRDefault="00304AE4" w:rsidP="00304AE4">
                  <w:pPr>
                    <w:pStyle w:val="Figure"/>
                    <w:spacing w:before="60" w:after="60"/>
                  </w:pPr>
                  <w:r>
                    <w:rPr>
                      <w:noProof/>
                    </w:rPr>
                    <w:drawing>
                      <wp:inline distT="0" distB="0" distL="0" distR="0" wp14:anchorId="3236FCD3" wp14:editId="028E00C0">
                        <wp:extent cx="2445489" cy="2700670"/>
                        <wp:effectExtent l="0" t="0" r="0" b="4445"/>
                        <wp:docPr id="75" name="Picture 75" descr="Figure 17, left panel: This figure has 2 panels that shows total Superannuation assets and superannuation fund activity between 1996-97 and 2012-13. This panel shows that superannuation assets increased rapidly from 321,049 to 1,618,967 million dollars in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5219"/>
                                <a:stretch/>
                              </pic:blipFill>
                              <pic:spPr bwMode="auto">
                                <a:xfrm>
                                  <a:off x="0" y="0"/>
                                  <a:ext cx="2445385" cy="2700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hideMark/>
                </w:tcPr>
                <w:p w:rsidR="00124C88" w:rsidRDefault="00C42915">
                  <w:pPr>
                    <w:pStyle w:val="Figure"/>
                    <w:spacing w:before="60" w:after="60"/>
                  </w:pPr>
                  <w:r>
                    <w:rPr>
                      <w:noProof/>
                    </w:rPr>
                    <w:drawing>
                      <wp:inline distT="0" distB="0" distL="0" distR="0" wp14:anchorId="1CBF6DEA" wp14:editId="76E86B45">
                        <wp:extent cx="2514600" cy="2701925"/>
                        <wp:effectExtent l="0" t="0" r="0" b="3175"/>
                        <wp:docPr id="14" name="Picture 14" descr="Figure 17, right panel: This panel shows flows in and out of Superannuation funds between 1996-97 and 2012-13. The flows are represented by 3 components — Contributions, Investment income and Benefit payments. Over this period, the flows increased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4600" cy="2701925"/>
                                </a:xfrm>
                                <a:prstGeom prst="rect">
                                  <a:avLst/>
                                </a:prstGeom>
                                <a:noFill/>
                                <a:ln>
                                  <a:noFill/>
                                </a:ln>
                              </pic:spPr>
                            </pic:pic>
                          </a:graphicData>
                        </a:graphic>
                      </wp:inline>
                    </w:drawing>
                  </w:r>
                </w:p>
              </w:tc>
            </w:tr>
          </w:tbl>
          <w:p w:rsidR="00124C88" w:rsidRDefault="00124C88">
            <w:pPr>
              <w:pStyle w:val="Figure"/>
            </w:pPr>
          </w:p>
        </w:tc>
      </w:tr>
      <w:tr w:rsidR="00124C88" w:rsidTr="00124C88">
        <w:tc>
          <w:tcPr>
            <w:tcW w:w="8771" w:type="dxa"/>
            <w:tcBorders>
              <w:top w:val="nil"/>
              <w:left w:val="nil"/>
              <w:bottom w:val="nil"/>
              <w:right w:val="nil"/>
            </w:tcBorders>
            <w:hideMark/>
          </w:tcPr>
          <w:p w:rsidR="00124C88" w:rsidRDefault="00124C88">
            <w:pPr>
              <w:pStyle w:val="Note"/>
            </w:pPr>
            <w:r>
              <w:rPr>
                <w:rStyle w:val="NoteLabel"/>
              </w:rPr>
              <w:t>a</w:t>
            </w:r>
            <w:r>
              <w:t xml:space="preserve"> Total assets under management at the end of financial year. Excludes pooled superannuation trusts. </w:t>
            </w:r>
            <w:r>
              <w:rPr>
                <w:rStyle w:val="NoteLabel"/>
              </w:rPr>
              <w:t>b </w:t>
            </w:r>
            <w:r>
              <w:t>Flows exclude operating expenses and other charges.</w:t>
            </w:r>
          </w:p>
        </w:tc>
      </w:tr>
      <w:tr w:rsidR="00124C88" w:rsidTr="00124C88">
        <w:tc>
          <w:tcPr>
            <w:tcW w:w="8771" w:type="dxa"/>
            <w:tcBorders>
              <w:top w:val="nil"/>
              <w:left w:val="nil"/>
              <w:bottom w:val="nil"/>
              <w:right w:val="nil"/>
            </w:tcBorders>
            <w:hideMark/>
          </w:tcPr>
          <w:p w:rsidR="00124C88" w:rsidRDefault="00124C88">
            <w:pPr>
              <w:pStyle w:val="Source"/>
            </w:pPr>
            <w:r>
              <w:rPr>
                <w:i/>
              </w:rPr>
              <w:t>Source</w:t>
            </w:r>
            <w:r>
              <w:t xml:space="preserve">: </w:t>
            </w:r>
            <w:r>
              <w:rPr>
                <w:rFonts w:cs="Arial"/>
                <w:szCs w:val="24"/>
              </w:rPr>
              <w:t>(APRA 2013)</w:t>
            </w:r>
            <w:r>
              <w:t>.</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124C88" w:rsidRDefault="00124C88" w:rsidP="00124C88">
      <w:pPr>
        <w:pStyle w:val="BodyText"/>
      </w:pPr>
      <w:r>
        <w:t>Contributions to superannuation peaked in 2006</w:t>
      </w:r>
      <w:r>
        <w:noBreakHyphen/>
        <w:t xml:space="preserve">07 </w:t>
      </w:r>
      <w:r w:rsidR="00923D98">
        <w:t>with</w:t>
      </w:r>
      <w:r>
        <w:t xml:space="preserve"> temporary concessions during the transition phase of the Simplified Superannuation System reforms.</w:t>
      </w:r>
      <w:r>
        <w:rPr>
          <w:rStyle w:val="FootnoteReference"/>
        </w:rPr>
        <w:footnoteReference w:id="15"/>
      </w:r>
      <w:r>
        <w:t xml:space="preserve"> The compounding nature of investment income has also influenced asset growth. In 2006</w:t>
      </w:r>
      <w:r>
        <w:noBreakHyphen/>
        <w:t>07, prior to the GFC, investment income was greater than contributions, but total assets declined in 2007</w:t>
      </w:r>
      <w:r>
        <w:noBreakHyphen/>
        <w:t>08 and 2008</w:t>
      </w:r>
      <w:r>
        <w:noBreakHyphen/>
        <w:t>09 because negative income growth was greater than the contributions made to Superannuation. Benefit payments, which are assets flowing out of the Superannuation industry, have increased steadily, with a one off increase around the onset of the GFC in 2007</w:t>
      </w:r>
      <w:r>
        <w:noBreakHyphen/>
        <w:t xml:space="preserve">08. Assets are now staying within the Superannuation system longer, as the share of benefit payments being provided as an income stream has grown from </w:t>
      </w:r>
      <w:r>
        <w:lastRenderedPageBreak/>
        <w:t>around 21</w:t>
      </w:r>
      <w:r w:rsidR="00796034">
        <w:t> </w:t>
      </w:r>
      <w:r>
        <w:t>per cent in 1996</w:t>
      </w:r>
      <w:r>
        <w:noBreakHyphen/>
        <w:t>97 to 51</w:t>
      </w:r>
      <w:r w:rsidR="00796034">
        <w:t> </w:t>
      </w:r>
      <w:r>
        <w:t>per cent in 2012</w:t>
      </w:r>
      <w:r>
        <w:noBreakHyphen/>
        <w:t>13</w:t>
      </w:r>
      <w:r w:rsidR="0012348B">
        <w:t>, at least in part due to</w:t>
      </w:r>
      <w:r>
        <w:t xml:space="preserve"> concessional tax treatments afforded to income streams a</w:t>
      </w:r>
      <w:r w:rsidR="0012348B">
        <w:t>s well as</w:t>
      </w:r>
      <w:r>
        <w:t xml:space="preserve"> the ageing of the population </w:t>
      </w:r>
      <w:r>
        <w:rPr>
          <w:szCs w:val="24"/>
        </w:rPr>
        <w:t>(APRA 2012)</w:t>
      </w:r>
      <w:r>
        <w:t xml:space="preserve">. </w:t>
      </w:r>
    </w:p>
    <w:p w:rsidR="00124C88" w:rsidRPr="0012348B" w:rsidRDefault="00124C88" w:rsidP="0012348B">
      <w:pPr>
        <w:pStyle w:val="Heading4"/>
      </w:pPr>
      <w:r w:rsidRPr="0012348B">
        <w:t>Asset allocation changes affect costs</w:t>
      </w:r>
    </w:p>
    <w:p w:rsidR="00124C88" w:rsidRDefault="00124C88" w:rsidP="00124C88">
      <w:pPr>
        <w:pStyle w:val="BodyText"/>
      </w:pPr>
      <w:r>
        <w:t>The cost of production is also affected by asset allocation. Asset all</w:t>
      </w:r>
      <w:r w:rsidR="00E543E5">
        <w:t xml:space="preserve">ocation in Superannuation changes </w:t>
      </w:r>
      <w:r w:rsidR="0012348B">
        <w:t xml:space="preserve">with preferences </w:t>
      </w:r>
      <w:r w:rsidR="00E543E5">
        <w:t>over</w:t>
      </w:r>
      <w:r>
        <w:t xml:space="preserve"> risk and return. Structural changes, like the shift from defined benefit to defined contribution plans, </w:t>
      </w:r>
      <w:r w:rsidR="00E543E5">
        <w:t>also influence</w:t>
      </w:r>
      <w:r>
        <w:t xml:space="preserve"> asset allocation trends.</w:t>
      </w:r>
      <w:r>
        <w:rPr>
          <w:rStyle w:val="FootnoteReference"/>
        </w:rPr>
        <w:footnoteReference w:id="16"/>
      </w:r>
      <w:r>
        <w:t xml:space="preserve"> Defined benefits plans were more prominent during the late 1980s and early 1990s. These plans were not linked to investment returns, and were typically invested in </w:t>
      </w:r>
      <w:r w:rsidR="000C57A7">
        <w:t>low-</w:t>
      </w:r>
      <w:r>
        <w:t xml:space="preserve">risk index funds. As superannuation developed, defined benefit plans were closed to new members in response to changing employment patterns and a desire by employers to reduce their exposure to investment risk </w:t>
      </w:r>
      <w:r>
        <w:rPr>
          <w:szCs w:val="24"/>
        </w:rPr>
        <w:t>(ASFA 2014)</w:t>
      </w:r>
      <w:r>
        <w:t>. Assets under defined contribution plans have been increasing and represented around 83</w:t>
      </w:r>
      <w:r w:rsidR="00796034">
        <w:t> </w:t>
      </w:r>
      <w:r>
        <w:t>per cent of all APRA</w:t>
      </w:r>
      <w:r>
        <w:noBreakHyphen/>
        <w:t>regulated fund assets in 2012</w:t>
      </w:r>
      <w:r>
        <w:noBreakHyphen/>
        <w:t xml:space="preserve">13 </w:t>
      </w:r>
      <w:r>
        <w:rPr>
          <w:szCs w:val="24"/>
        </w:rPr>
        <w:t>(APRA 2013)</w:t>
      </w:r>
      <w:r>
        <w:t xml:space="preserve">. Generally, defined contribution plans invest in a broader range </w:t>
      </w:r>
      <w:r w:rsidR="000C57A7">
        <w:t xml:space="preserve">of growth-based </w:t>
      </w:r>
      <w:r>
        <w:t>assets, including overseas equities and direct investments in infrastructure.</w:t>
      </w:r>
    </w:p>
    <w:p w:rsidR="00124C88" w:rsidRDefault="00124C88" w:rsidP="00124C88">
      <w:pPr>
        <w:pStyle w:val="BodyText"/>
      </w:pPr>
      <w:r>
        <w:t>In 2012</w:t>
      </w:r>
      <w:r>
        <w:noBreakHyphen/>
        <w:t>13, the majority of superannuation assets were held in Australian equities, followed by deposits, bonds and other financial assets (figure </w:t>
      </w:r>
      <w:r w:rsidR="00923D98">
        <w:t>18</w:t>
      </w:r>
      <w:r>
        <w:t>). Just prior to the GFC (2003</w:t>
      </w:r>
      <w:r>
        <w:noBreakHyphen/>
        <w:t>04 to 2007</w:t>
      </w:r>
      <w:r>
        <w:noBreakHyphen/>
        <w:t>08), the share of equities increased as the Australian share market index rose. Proportionally, investment in deposits, bonds and other financial assets all declined during this period. In the subsequent period (2007</w:t>
      </w:r>
      <w:r>
        <w:noBreakHyphen/>
        <w:t>08 to 2011</w:t>
      </w:r>
      <w:r>
        <w:noBreakHyphen/>
        <w:t>12)</w:t>
      </w:r>
      <w:r w:rsidR="00923D98">
        <w:t>,</w:t>
      </w:r>
      <w:r>
        <w:t xml:space="preserve"> the proportion of assets in defensive assets, like deposits, bonds and other financial assets, increased, while the share in equities declined marginally. This trend reflects chang</w:t>
      </w:r>
      <w:r w:rsidR="00E543E5">
        <w:t>es in consumer risk preferences —</w:t>
      </w:r>
      <w:r>
        <w:t xml:space="preserve"> around 30</w:t>
      </w:r>
      <w:r w:rsidR="00796034">
        <w:t> </w:t>
      </w:r>
      <w:r>
        <w:t xml:space="preserve">per cent of surveyed self-managed superannuation fund (SMSF) trustees said they would be more likely to favour cash and fixed interest in their portfolio allocation following the GFC </w:t>
      </w:r>
      <w:r>
        <w:rPr>
          <w:szCs w:val="24"/>
        </w:rPr>
        <w:t>(CPA Australia 2009)</w:t>
      </w:r>
      <w:r>
        <w:t>.</w:t>
      </w:r>
    </w:p>
    <w:p w:rsidR="00124C88" w:rsidRDefault="00124C88" w:rsidP="00124C88">
      <w:pPr>
        <w:pStyle w:val="BodyText"/>
      </w:pPr>
      <w:r>
        <w:t>The shift to high-growth potential assets, like equities and overseas assets</w:t>
      </w:r>
      <w:r w:rsidR="00E543E5">
        <w:t>,</w:t>
      </w:r>
      <w:r>
        <w:t xml:space="preserve"> increased superannuation costs as these asset classes are generally more expensive to access and manage compared with deposits, bonds and other financial assets. The growth of direct investment in infrastructure, private equity and hedge funds has also contributed to costs </w:t>
      </w:r>
      <w:r>
        <w:rPr>
          <w:szCs w:val="24"/>
        </w:rPr>
        <w:t>(Warner 2014)</w:t>
      </w:r>
      <w:r>
        <w:t xml:space="preserve">. This has been complemented by the prevalence of active management strategies in Australia, which increase investment costs as fund managers undertake research in an effort to </w:t>
      </w:r>
      <w:r w:rsidR="00E543E5">
        <w:t>outperform the market average. However, s</w:t>
      </w:r>
      <w:r>
        <w:t>ince the GFC, there is evidence to suggest that passively managed portfolios, which invest in indexed products, have increased in popularity</w:t>
      </w:r>
      <w:r w:rsidR="000C57A7">
        <w:t xml:space="preserve"> due to their lower costs for given risk/return combinations</w:t>
      </w:r>
      <w:r>
        <w:t xml:space="preserve"> </w:t>
      </w:r>
      <w:r>
        <w:rPr>
          <w:szCs w:val="24"/>
        </w:rPr>
        <w:t>(Warner 2012)</w:t>
      </w:r>
      <w:r>
        <w:t>.</w:t>
      </w:r>
    </w:p>
    <w:p w:rsidR="00124C88" w:rsidRDefault="00124C88" w:rsidP="00124C8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124C88" w:rsidTr="00D74040">
        <w:trPr>
          <w:tblHeader/>
        </w:trPr>
        <w:tc>
          <w:tcPr>
            <w:tcW w:w="8771" w:type="dxa"/>
            <w:tcBorders>
              <w:top w:val="single" w:sz="6" w:space="0" w:color="78A22F"/>
              <w:left w:val="nil"/>
              <w:bottom w:val="nil"/>
              <w:right w:val="nil"/>
            </w:tcBorders>
            <w:hideMark/>
          </w:tcPr>
          <w:p w:rsidR="00124C88" w:rsidRDefault="00124C88">
            <w:pPr>
              <w:pStyle w:val="FigureTitle"/>
            </w:pPr>
            <w:r>
              <w:rPr>
                <w:b w:val="0"/>
              </w:rPr>
              <w:t>Figure</w:t>
            </w:r>
            <w:r w:rsidR="008A25EF">
              <w:t> </w:t>
            </w:r>
            <w:r w:rsidR="00923D98">
              <w:rPr>
                <w:b w:val="0"/>
              </w:rPr>
              <w:t>18</w:t>
            </w:r>
            <w:r>
              <w:tab/>
              <w:t>Asset allocation has varied</w:t>
            </w:r>
            <w:r>
              <w:rPr>
                <w:rStyle w:val="NoteLabel"/>
                <w:b/>
              </w:rPr>
              <w:t>a</w:t>
            </w:r>
          </w:p>
          <w:p w:rsidR="00124C88" w:rsidRDefault="00124C88">
            <w:pPr>
              <w:pStyle w:val="Subtitle"/>
            </w:pPr>
            <w:r>
              <w:t>Percentage of total assets</w:t>
            </w:r>
          </w:p>
        </w:tc>
      </w:tr>
      <w:tr w:rsidR="00124C88" w:rsidTr="00124C88">
        <w:tc>
          <w:tcPr>
            <w:tcW w:w="8771" w:type="dxa"/>
            <w:tcBorders>
              <w:top w:val="nil"/>
              <w:left w:val="nil"/>
              <w:bottom w:val="nil"/>
              <w:right w:val="nil"/>
            </w:tcBorders>
            <w:tcMar>
              <w:top w:w="28" w:type="dxa"/>
              <w:left w:w="142" w:type="dxa"/>
              <w:bottom w:w="28" w:type="dxa"/>
              <w:right w:w="142" w:type="dxa"/>
            </w:tcMar>
            <w:hideMark/>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487"/>
            </w:tblGrid>
            <w:tr w:rsidR="00124C88">
              <w:tc>
                <w:tcPr>
                  <w:tcW w:w="5000" w:type="pct"/>
                  <w:tcBorders>
                    <w:top w:val="nil"/>
                    <w:left w:val="nil"/>
                    <w:bottom w:val="nil"/>
                    <w:right w:val="nil"/>
                  </w:tcBorders>
                  <w:hideMark/>
                </w:tcPr>
                <w:p w:rsidR="00124C88" w:rsidRDefault="00D74040">
                  <w:pPr>
                    <w:pStyle w:val="Figure"/>
                    <w:spacing w:before="60" w:after="60"/>
                  </w:pPr>
                  <w:r>
                    <w:rPr>
                      <w:noProof/>
                    </w:rPr>
                    <w:drawing>
                      <wp:inline distT="0" distB="0" distL="0" distR="0" wp14:anchorId="4D682EED" wp14:editId="30DD137D">
                        <wp:extent cx="5334000" cy="2876550"/>
                        <wp:effectExtent l="0" t="0" r="0" b="0"/>
                        <wp:docPr id="10" name="Picture 10" descr="Figure 18: This figure shows Asset allocation of Superannuation funds over 4 periods — 1994-95 to 1998-99, 1998-99 to 2003-04, 2003-04 to 2007-08 and 2007-08 to 2011-12. The funds are allocated into Deposits, bonds and other financial assets, Equities, Life office reserves, Non-financial assets and Assets overseas.&#10;In 2012 13, the majority of superannuation assets were held in Australian equities, followed by deposits, bonds and other financial assets. Just prior to the GFC (2003-04 to 2007-08), the share of equities increased as the Australian share market index rose. Proportionally, investment in deposits, bonds and other financial assets all declined during this period. In the subsequent period (2007-08 to 2011-12), the proportion of assets in defensive assets, like deposits, bonds and other financial assets, increased, while the share in equities declined marginally. This trend reflects changes in consumer risk preferences — around 30 per cent of surveyed self-managed superannuation fund (SMSF) trustees said they would be more likely to favour cash and fixed interest in their portfolio allocation following the GF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0" cy="2876550"/>
                                </a:xfrm>
                                <a:prstGeom prst="rect">
                                  <a:avLst/>
                                </a:prstGeom>
                                <a:noFill/>
                                <a:ln>
                                  <a:noFill/>
                                </a:ln>
                              </pic:spPr>
                            </pic:pic>
                          </a:graphicData>
                        </a:graphic>
                      </wp:inline>
                    </w:drawing>
                  </w:r>
                </w:p>
              </w:tc>
            </w:tr>
          </w:tbl>
          <w:p w:rsidR="00124C88" w:rsidRDefault="00124C88">
            <w:pPr>
              <w:pStyle w:val="Figure"/>
            </w:pPr>
          </w:p>
        </w:tc>
      </w:tr>
      <w:tr w:rsidR="00124C88" w:rsidTr="00124C88">
        <w:tc>
          <w:tcPr>
            <w:tcW w:w="8771" w:type="dxa"/>
            <w:tcBorders>
              <w:top w:val="nil"/>
              <w:left w:val="nil"/>
              <w:bottom w:val="nil"/>
              <w:right w:val="nil"/>
            </w:tcBorders>
            <w:hideMark/>
          </w:tcPr>
          <w:p w:rsidR="00124C88" w:rsidRDefault="00124C88">
            <w:pPr>
              <w:pStyle w:val="Note"/>
            </w:pPr>
            <w:r>
              <w:rPr>
                <w:rStyle w:val="NoteLabel"/>
              </w:rPr>
              <w:t>a</w:t>
            </w:r>
            <w:r>
              <w:t xml:space="preserve"> Life office reserves is the net equity of pension funds in life office reserves. Non</w:t>
            </w:r>
            <w:r>
              <w:noBreakHyphen/>
              <w:t>financial assets include land, buildings, equipment and other non</w:t>
            </w:r>
            <w:r>
              <w:noBreakHyphen/>
              <w:t>financial assets. Assets overseas include all physical assets located outside of Australia and financial claims on non</w:t>
            </w:r>
            <w:r>
              <w:noBreakHyphen/>
              <w:t>residents.</w:t>
            </w:r>
          </w:p>
        </w:tc>
      </w:tr>
      <w:tr w:rsidR="00124C88" w:rsidTr="00124C88">
        <w:tc>
          <w:tcPr>
            <w:tcW w:w="8771" w:type="dxa"/>
            <w:tcBorders>
              <w:top w:val="nil"/>
              <w:left w:val="nil"/>
              <w:bottom w:val="nil"/>
              <w:right w:val="nil"/>
            </w:tcBorders>
            <w:hideMark/>
          </w:tcPr>
          <w:p w:rsidR="00124C88" w:rsidRDefault="00124C88">
            <w:pPr>
              <w:pStyle w:val="Source"/>
            </w:pPr>
            <w:r>
              <w:rPr>
                <w:i/>
              </w:rPr>
              <w:t>Source</w:t>
            </w:r>
            <w:r>
              <w:t xml:space="preserve">: </w:t>
            </w:r>
            <w:r>
              <w:rPr>
                <w:i/>
                <w:iCs/>
              </w:rPr>
              <w:t xml:space="preserve">Based on </w:t>
            </w:r>
            <w:r>
              <w:t>ABS (</w:t>
            </w:r>
            <w:r>
              <w:rPr>
                <w:i/>
                <w:iCs/>
              </w:rPr>
              <w:t>Managed Funds, Australia</w:t>
            </w:r>
            <w:r>
              <w:t>, March 2014, Cat. no. 5655.0).</w:t>
            </w:r>
          </w:p>
        </w:tc>
      </w:tr>
      <w:tr w:rsidR="00124C88" w:rsidTr="00124C88">
        <w:tc>
          <w:tcPr>
            <w:tcW w:w="8771" w:type="dxa"/>
            <w:tcBorders>
              <w:top w:val="nil"/>
              <w:left w:val="nil"/>
              <w:bottom w:val="single" w:sz="6" w:space="0" w:color="78A22F"/>
              <w:right w:val="nil"/>
            </w:tcBorders>
          </w:tcPr>
          <w:p w:rsidR="00124C88" w:rsidRDefault="00124C88">
            <w:pPr>
              <w:pStyle w:val="Figurespace"/>
            </w:pPr>
          </w:p>
        </w:tc>
      </w:tr>
      <w:tr w:rsidR="00124C88" w:rsidTr="00124C88">
        <w:tc>
          <w:tcPr>
            <w:tcW w:w="8771" w:type="dxa"/>
            <w:tcBorders>
              <w:top w:val="single" w:sz="6" w:space="0" w:color="78A22F"/>
              <w:left w:val="nil"/>
              <w:bottom w:val="nil"/>
              <w:right w:val="nil"/>
            </w:tcBorders>
            <w:hideMark/>
          </w:tcPr>
          <w:p w:rsidR="00124C88" w:rsidRDefault="00124C88">
            <w:pPr>
              <w:pStyle w:val="BoxSpaceBelow"/>
            </w:pPr>
          </w:p>
        </w:tc>
      </w:tr>
    </w:tbl>
    <w:p w:rsidR="00124C88" w:rsidRDefault="00124C88" w:rsidP="00124C88">
      <w:pPr>
        <w:pStyle w:val="BodyText"/>
      </w:pPr>
      <w:r>
        <w:t>To the extent that active asset management delivers higher return</w:t>
      </w:r>
      <w:r w:rsidR="00EF68B1">
        <w:t>s</w:t>
      </w:r>
      <w:r>
        <w:t xml:space="preserve"> to the investors in superannuation, the industry production can be considered to increase. But additional management effort, as reflected in costs, is only warranted (and will improve productivity) if it is matched (or exceeded) by an increase in risk adjusted returns to investors.</w:t>
      </w:r>
      <w:r>
        <w:rPr>
          <w:rStyle w:val="FootnoteReference"/>
        </w:rPr>
        <w:footnoteReference w:id="17"/>
      </w:r>
    </w:p>
    <w:p w:rsidR="00075E6C" w:rsidRDefault="00075E6C" w:rsidP="00572D43">
      <w:pPr>
        <w:pStyle w:val="Heading3"/>
      </w:pPr>
      <w:r>
        <w:t>Fee based outputs and derived demand</w:t>
      </w:r>
    </w:p>
    <w:p w:rsidR="00075E6C" w:rsidRDefault="00075E6C" w:rsidP="00075E6C">
      <w:pPr>
        <w:pStyle w:val="BodyText"/>
      </w:pPr>
      <w:r>
        <w:t xml:space="preserve">The Auxiliary services industry, provides: </w:t>
      </w:r>
    </w:p>
    <w:p w:rsidR="00075E6C" w:rsidRDefault="00075E6C" w:rsidP="00075E6C">
      <w:pPr>
        <w:pStyle w:val="ListBullet"/>
        <w:numPr>
          <w:ilvl w:val="0"/>
          <w:numId w:val="35"/>
        </w:numPr>
      </w:pPr>
      <w:r>
        <w:t xml:space="preserve">alternative channels or avenues to banks and other established financial intermediaries, for consumers to access </w:t>
      </w:r>
      <w:r w:rsidR="00572D43">
        <w:t xml:space="preserve">a </w:t>
      </w:r>
      <w:r>
        <w:t>wider ra</w:t>
      </w:r>
      <w:r w:rsidR="00572D43">
        <w:t>nge of investment opportunities</w:t>
      </w:r>
    </w:p>
    <w:p w:rsidR="00075E6C" w:rsidRDefault="00075E6C" w:rsidP="00075E6C">
      <w:pPr>
        <w:pStyle w:val="ListBullet"/>
        <w:numPr>
          <w:ilvl w:val="0"/>
          <w:numId w:val="35"/>
        </w:numPr>
      </w:pPr>
      <w:r>
        <w:t>direct assistance (through outsourcing) to other finance intermediaries in the process of undertaking investment transactions, through for example, broking, share registr</w:t>
      </w:r>
      <w:r w:rsidR="00572D43">
        <w:t xml:space="preserve">y, </w:t>
      </w:r>
      <w:r w:rsidR="00923D98">
        <w:t xml:space="preserve">and </w:t>
      </w:r>
      <w:r w:rsidR="00572D43">
        <w:t>fund management services</w:t>
      </w:r>
    </w:p>
    <w:p w:rsidR="00075E6C" w:rsidRDefault="00075E6C" w:rsidP="00075E6C">
      <w:pPr>
        <w:pStyle w:val="ListBullet"/>
        <w:numPr>
          <w:ilvl w:val="0"/>
          <w:numId w:val="35"/>
        </w:numPr>
      </w:pPr>
      <w:r>
        <w:lastRenderedPageBreak/>
        <w:t xml:space="preserve">advice to consumers in dealing with complex financial products, especially products that require individuals to play a more active role in their investment decisions (for example, self-managed superannuation products). </w:t>
      </w:r>
    </w:p>
    <w:p w:rsidR="00075E6C" w:rsidRDefault="00075E6C" w:rsidP="00075E6C">
      <w:pPr>
        <w:pStyle w:val="BodyText"/>
      </w:pPr>
      <w:r>
        <w:t xml:space="preserve">The expansion in Auxiliary finance and insurance services prior to the GFC appears to be driven to a large extent by the growth in superannuation. APRA found that by 2012, two-thirds of superannuation funds it surveyed outsourced six or more functions, including actuarial, administration, asset allocation, auditing, custody, investment management, legal services and sales and marketing services </w:t>
      </w:r>
      <w:r>
        <w:rPr>
          <w:szCs w:val="24"/>
        </w:rPr>
        <w:t>(Liu and Arnold 2012)</w:t>
      </w:r>
      <w:r>
        <w:t>. Many of these functions are primary activities provided by firms in the Auxiliary services subdivision.</w:t>
      </w:r>
    </w:p>
    <w:p w:rsidR="00075E6C" w:rsidRDefault="00572D43" w:rsidP="00075E6C">
      <w:pPr>
        <w:pStyle w:val="BodyText"/>
      </w:pPr>
      <w:r>
        <w:t xml:space="preserve">Output trends in the Superannuation industry and the Auxiliary services industry appear to be </w:t>
      </w:r>
      <w:r w:rsidR="00401A96">
        <w:t>closely related, at least until the GFC</w:t>
      </w:r>
      <w:r>
        <w:t xml:space="preserve"> (figure</w:t>
      </w:r>
      <w:r w:rsidR="00923D98">
        <w:t> 19</w:t>
      </w:r>
      <w:r w:rsidR="00401A96">
        <w:t>)</w:t>
      </w:r>
      <w:r>
        <w:t xml:space="preserve">. </w:t>
      </w:r>
      <w:r w:rsidR="00923D98">
        <w:t>According to Rainmaker (2012)</w:t>
      </w:r>
      <w:r w:rsidR="00075E6C">
        <w:t>, t</w:t>
      </w:r>
      <w:r>
        <w:t>he superannuation industry drew</w:t>
      </w:r>
      <w:r w:rsidR="00075E6C">
        <w:t xml:space="preserve"> an estimated $20.1 billion </w:t>
      </w:r>
      <w:r>
        <w:t>in fee revenue per year, which wa</w:t>
      </w:r>
      <w:r w:rsidR="00075E6C">
        <w:t>s dispersed to cover other auxiliary services</w:t>
      </w:r>
      <w:r>
        <w:t>. This included</w:t>
      </w:r>
      <w:r w:rsidR="00075E6C">
        <w:t>: super administration (39 per</w:t>
      </w:r>
      <w:r w:rsidR="00092C5A">
        <w:t xml:space="preserve"> </w:t>
      </w:r>
      <w:r w:rsidR="00075E6C">
        <w:t>cent), fund managers (31 per</w:t>
      </w:r>
      <w:r w:rsidR="00092C5A">
        <w:t xml:space="preserve"> </w:t>
      </w:r>
      <w:r w:rsidR="00075E6C">
        <w:t>cent), financial advice (14 per</w:t>
      </w:r>
      <w:r w:rsidR="00092C5A">
        <w:t xml:space="preserve"> </w:t>
      </w:r>
      <w:r w:rsidR="00075E6C">
        <w:t>cent), group insurance (e.g. life insurance) (13 per</w:t>
      </w:r>
      <w:r w:rsidR="00092C5A">
        <w:t xml:space="preserve"> </w:t>
      </w:r>
      <w:r w:rsidR="00075E6C">
        <w:t>cent), asset consulting (2 per</w:t>
      </w:r>
      <w:r w:rsidR="00092C5A">
        <w:t xml:space="preserve"> </w:t>
      </w:r>
      <w:r w:rsidR="00075E6C">
        <w:t>cent), and custodial services (1 per</w:t>
      </w:r>
      <w:r w:rsidR="00092C5A">
        <w:t xml:space="preserve"> </w:t>
      </w:r>
      <w:r w:rsidR="00075E6C">
        <w:t>cent).</w:t>
      </w:r>
    </w:p>
    <w:p w:rsidR="00075E6C" w:rsidRDefault="00075E6C" w:rsidP="00075E6C">
      <w:pPr>
        <w:pStyle w:val="BodyText"/>
      </w:pPr>
      <w:r>
        <w:t>Growth in other parts of the FIS industry has also driven growth in Auxiliary services as has direct demand by consumers. For example, growth in the non-banking sector opened the way for mortgage brokers to enter the market, acting as a ‘</w:t>
      </w:r>
      <w:r w:rsidR="00EF68B1">
        <w:t>one-</w:t>
      </w:r>
      <w:r>
        <w:t xml:space="preserve">stop shop’ for consumers by providing advice on the numerous home loans available </w:t>
      </w:r>
      <w:r>
        <w:rPr>
          <w:szCs w:val="24"/>
        </w:rPr>
        <w:t>(MFAA 2010)</w:t>
      </w:r>
      <w:r>
        <w:t>.</w:t>
      </w:r>
    </w:p>
    <w:p w:rsidR="00D66A49" w:rsidRDefault="00D66A49" w:rsidP="00D66A49">
      <w:pPr>
        <w:pStyle w:val="BodyText"/>
      </w:pPr>
      <w:r>
        <w:t xml:space="preserve">The contraction of the global securitisation market as a result of the financial crisis increased the cost of funding for many non-bank credit providers and brokers, forcing some of them out of the market </w:t>
      </w:r>
      <w:r>
        <w:rPr>
          <w:szCs w:val="24"/>
        </w:rPr>
        <w:t>(MFAA 2010)</w:t>
      </w:r>
      <w:r>
        <w:t>. The MFAA noted that the non-banking sector’s market share fell from around 12 per</w:t>
      </w:r>
      <w:r w:rsidR="00092C5A">
        <w:t xml:space="preserve"> </w:t>
      </w:r>
      <w:r>
        <w:t>cent in 2006 to 5 per</w:t>
      </w:r>
      <w:r w:rsidR="00092C5A">
        <w:t xml:space="preserve"> </w:t>
      </w:r>
      <w:r>
        <w:t>cent in 2010.</w:t>
      </w:r>
    </w:p>
    <w:p w:rsidR="0083075C" w:rsidRDefault="0083075C" w:rsidP="0083075C">
      <w:pPr>
        <w:pStyle w:val="BodyText"/>
      </w:pPr>
      <w:r>
        <w:t>The GFC exposed the risks that some investment firms were taking during the extended period of economic growth. Several large firms collapsed as a result of the financial shock, further reducing the confidence of consumers in these types of investments and in the services that promoted them.</w:t>
      </w:r>
      <w:r w:rsidR="00B65AA0">
        <w:t xml:space="preserve"> </w:t>
      </w:r>
      <w:r>
        <w:t>Some of the significant failures are listed in table 3.</w:t>
      </w:r>
    </w:p>
    <w:p w:rsidR="0083075C" w:rsidRDefault="0083075C" w:rsidP="00D66A49">
      <w:pPr>
        <w:pStyle w:val="BodyText"/>
      </w:pPr>
      <w:r>
        <w:t xml:space="preserve">This fall in output in Auxiliary services since the GFC is likely to explain part of the strong fall in MFP in ISA since the crisis. But it begs the question of why inputs did not fall in line with output. One reason might be that capital was not quickly transferred to other uses (the crisis having created excess capacity in the FIS sector, and some capital being of a highly specialised nature). A reduction in labour inputs may also have been tempered by the ability of the industry to reduce remuneration rather than hours of work. </w:t>
      </w:r>
    </w:p>
    <w:p w:rsidR="00075E6C" w:rsidRDefault="00075E6C" w:rsidP="00075E6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075E6C" w:rsidTr="00D74040">
        <w:trPr>
          <w:tblHeader/>
        </w:trPr>
        <w:tc>
          <w:tcPr>
            <w:tcW w:w="8771" w:type="dxa"/>
            <w:tcBorders>
              <w:top w:val="single" w:sz="6" w:space="0" w:color="78A22F"/>
              <w:left w:val="nil"/>
              <w:bottom w:val="nil"/>
              <w:right w:val="nil"/>
            </w:tcBorders>
            <w:hideMark/>
          </w:tcPr>
          <w:p w:rsidR="00075E6C" w:rsidRDefault="00075E6C">
            <w:pPr>
              <w:pStyle w:val="FigureTitle"/>
            </w:pPr>
            <w:r>
              <w:rPr>
                <w:b w:val="0"/>
              </w:rPr>
              <w:t>Figure</w:t>
            </w:r>
            <w:r w:rsidR="00923D98">
              <w:rPr>
                <w:b w:val="0"/>
              </w:rPr>
              <w:t> 19</w:t>
            </w:r>
            <w:r>
              <w:tab/>
              <w:t>Output in Superannuation and Auxiliary services</w:t>
            </w:r>
          </w:p>
          <w:p w:rsidR="00075E6C" w:rsidRDefault="00075E6C">
            <w:pPr>
              <w:pStyle w:val="Subtitle"/>
            </w:pPr>
            <w:r>
              <w:t>Index 1994</w:t>
            </w:r>
            <w:r w:rsidR="00092C5A">
              <w:noBreakHyphen/>
            </w:r>
            <w:r>
              <w:t>95 = 100</w:t>
            </w:r>
          </w:p>
        </w:tc>
      </w:tr>
      <w:tr w:rsidR="00075E6C" w:rsidTr="00D74040">
        <w:trPr>
          <w:tblHeader/>
        </w:trPr>
        <w:tc>
          <w:tcPr>
            <w:tcW w:w="8771" w:type="dxa"/>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505"/>
            </w:tblGrid>
            <w:tr w:rsidR="00075E6C">
              <w:trPr>
                <w:jc w:val="center"/>
              </w:trPr>
              <w:tc>
                <w:tcPr>
                  <w:tcW w:w="5000" w:type="pct"/>
                  <w:tcBorders>
                    <w:top w:val="nil"/>
                    <w:left w:val="nil"/>
                    <w:bottom w:val="nil"/>
                    <w:right w:val="nil"/>
                  </w:tcBorders>
                  <w:hideMark/>
                </w:tcPr>
                <w:p w:rsidR="00075E6C" w:rsidRDefault="00304AE4">
                  <w:pPr>
                    <w:pStyle w:val="Figure"/>
                    <w:spacing w:before="60" w:after="60"/>
                  </w:pPr>
                  <w:r>
                    <w:rPr>
                      <w:noProof/>
                    </w:rPr>
                    <w:drawing>
                      <wp:inline distT="0" distB="0" distL="0" distR="0" wp14:anchorId="2C4170A3" wp14:editId="658AE8F7">
                        <wp:extent cx="5114072" cy="2849526"/>
                        <wp:effectExtent l="0" t="0" r="0" b="8255"/>
                        <wp:docPr id="76" name="Picture 76" descr="Figure 19: This figure shows indexes of the outputs of Superannuation and Auxiliary services between 1994-95 and 2011-12. The trends of the two indexes appear to be closely related, at least until the GFC. In the years after the GFC, output of Superannuation continued to increased but it remained more or less unchanged in the Auxili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721" b="6123"/>
                                <a:stretch/>
                              </pic:blipFill>
                              <pic:spPr bwMode="auto">
                                <a:xfrm>
                                  <a:off x="0" y="0"/>
                                  <a:ext cx="5114290" cy="28496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75E6C" w:rsidRDefault="00075E6C">
            <w:pPr>
              <w:pStyle w:val="Figure"/>
            </w:pPr>
          </w:p>
        </w:tc>
      </w:tr>
      <w:tr w:rsidR="00075E6C" w:rsidTr="00D74040">
        <w:trPr>
          <w:tblHeader/>
        </w:trPr>
        <w:tc>
          <w:tcPr>
            <w:tcW w:w="8771" w:type="dxa"/>
            <w:tcBorders>
              <w:top w:val="nil"/>
              <w:left w:val="nil"/>
              <w:bottom w:val="nil"/>
              <w:right w:val="nil"/>
            </w:tcBorders>
            <w:hideMark/>
          </w:tcPr>
          <w:p w:rsidR="00075E6C" w:rsidRDefault="00075E6C" w:rsidP="00E64A51">
            <w:pPr>
              <w:pStyle w:val="Source"/>
            </w:pPr>
            <w:r>
              <w:rPr>
                <w:i/>
              </w:rPr>
              <w:t>Source</w:t>
            </w:r>
            <w:r>
              <w:t xml:space="preserve">: </w:t>
            </w:r>
            <w:r w:rsidR="00E64A51">
              <w:t>Authors’’ estimates based on u</w:t>
            </w:r>
            <w:r>
              <w:t>npublished ABS data.</w:t>
            </w:r>
          </w:p>
        </w:tc>
      </w:tr>
      <w:tr w:rsidR="00075E6C" w:rsidTr="00D74040">
        <w:trPr>
          <w:tblHeader/>
        </w:trPr>
        <w:tc>
          <w:tcPr>
            <w:tcW w:w="8771" w:type="dxa"/>
            <w:tcBorders>
              <w:top w:val="nil"/>
              <w:left w:val="nil"/>
              <w:bottom w:val="single" w:sz="6" w:space="0" w:color="78A22F"/>
              <w:right w:val="nil"/>
            </w:tcBorders>
          </w:tcPr>
          <w:p w:rsidR="00075E6C" w:rsidRDefault="00075E6C">
            <w:pPr>
              <w:pStyle w:val="Figurespace"/>
            </w:pPr>
          </w:p>
        </w:tc>
      </w:tr>
      <w:tr w:rsidR="00075E6C" w:rsidTr="00D74040">
        <w:trPr>
          <w:tblHeader/>
        </w:trPr>
        <w:tc>
          <w:tcPr>
            <w:tcW w:w="8771" w:type="dxa"/>
            <w:tcBorders>
              <w:top w:val="single" w:sz="6" w:space="0" w:color="78A22F"/>
              <w:left w:val="nil"/>
              <w:bottom w:val="nil"/>
              <w:right w:val="nil"/>
            </w:tcBorders>
            <w:hideMark/>
          </w:tcPr>
          <w:p w:rsidR="00075E6C" w:rsidRDefault="00075E6C">
            <w:pPr>
              <w:pStyle w:val="BoxSpaceBelow"/>
            </w:pPr>
          </w:p>
        </w:tc>
      </w:tr>
    </w:tbl>
    <w:p w:rsidR="00075E6C" w:rsidRDefault="00075E6C" w:rsidP="00304AE4">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075E6C" w:rsidTr="00D74040">
        <w:trPr>
          <w:tblHeader/>
        </w:trPr>
        <w:tc>
          <w:tcPr>
            <w:tcW w:w="8771" w:type="dxa"/>
            <w:tcBorders>
              <w:top w:val="single" w:sz="6" w:space="0" w:color="78A22F"/>
              <w:left w:val="nil"/>
              <w:bottom w:val="nil"/>
              <w:right w:val="nil"/>
            </w:tcBorders>
          </w:tcPr>
          <w:p w:rsidR="00075E6C" w:rsidRDefault="00075E6C" w:rsidP="00304AE4">
            <w:pPr>
              <w:pStyle w:val="TableTitle"/>
              <w:spacing w:after="120"/>
            </w:pPr>
            <w:r>
              <w:rPr>
                <w:b w:val="0"/>
              </w:rPr>
              <w:t>Table</w:t>
            </w:r>
            <w:r w:rsidR="008A25EF" w:rsidRPr="008A25EF">
              <w:rPr>
                <w:b w:val="0"/>
              </w:rPr>
              <w:t> 3</w:t>
            </w:r>
            <w:r>
              <w:tab/>
            </w:r>
            <w:r>
              <w:rPr>
                <w:bCs/>
              </w:rPr>
              <w:t>Financial collapses between 2006 to 2010</w:t>
            </w:r>
          </w:p>
        </w:tc>
      </w:tr>
      <w:tr w:rsidR="00075E6C" w:rsidTr="00075E6C">
        <w:trPr>
          <w:cantSplit/>
        </w:trPr>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962"/>
              <w:gridCol w:w="1276"/>
              <w:gridCol w:w="2694"/>
              <w:gridCol w:w="2555"/>
            </w:tblGrid>
            <w:tr w:rsidR="00075E6C">
              <w:tc>
                <w:tcPr>
                  <w:tcW w:w="1156" w:type="pct"/>
                  <w:tcBorders>
                    <w:top w:val="single" w:sz="6" w:space="0" w:color="BFBFBF"/>
                    <w:left w:val="nil"/>
                    <w:bottom w:val="single" w:sz="6" w:space="0" w:color="BFBFBF"/>
                    <w:right w:val="nil"/>
                  </w:tcBorders>
                  <w:hideMark/>
                </w:tcPr>
                <w:p w:rsidR="00075E6C" w:rsidRDefault="00075E6C">
                  <w:pPr>
                    <w:pStyle w:val="TableColumnHeading"/>
                    <w:jc w:val="left"/>
                  </w:pPr>
                  <w:r>
                    <w:t>Company</w:t>
                  </w:r>
                </w:p>
              </w:tc>
              <w:tc>
                <w:tcPr>
                  <w:tcW w:w="752" w:type="pct"/>
                  <w:tcBorders>
                    <w:top w:val="single" w:sz="6" w:space="0" w:color="BFBFBF"/>
                    <w:left w:val="nil"/>
                    <w:bottom w:val="single" w:sz="6" w:space="0" w:color="BFBFBF"/>
                    <w:right w:val="nil"/>
                  </w:tcBorders>
                  <w:hideMark/>
                </w:tcPr>
                <w:p w:rsidR="00075E6C" w:rsidRDefault="00075E6C">
                  <w:pPr>
                    <w:pStyle w:val="TableColumnHeading"/>
                  </w:pPr>
                  <w:r>
                    <w:t>Year</w:t>
                  </w:r>
                </w:p>
              </w:tc>
              <w:tc>
                <w:tcPr>
                  <w:tcW w:w="1587" w:type="pct"/>
                  <w:tcBorders>
                    <w:top w:val="single" w:sz="6" w:space="0" w:color="BFBFBF"/>
                    <w:left w:val="nil"/>
                    <w:bottom w:val="single" w:sz="6" w:space="0" w:color="BFBFBF"/>
                    <w:right w:val="nil"/>
                  </w:tcBorders>
                  <w:hideMark/>
                </w:tcPr>
                <w:p w:rsidR="00075E6C" w:rsidRDefault="00075E6C" w:rsidP="008C163A">
                  <w:pPr>
                    <w:pStyle w:val="TableColumnHeading"/>
                    <w:ind w:left="227"/>
                    <w:jc w:val="left"/>
                  </w:pPr>
                  <w:r>
                    <w:t>Scheme</w:t>
                  </w:r>
                </w:p>
              </w:tc>
              <w:tc>
                <w:tcPr>
                  <w:tcW w:w="1505" w:type="pct"/>
                  <w:tcBorders>
                    <w:top w:val="single" w:sz="6" w:space="0" w:color="BFBFBF"/>
                    <w:left w:val="nil"/>
                    <w:bottom w:val="single" w:sz="6" w:space="0" w:color="BFBFBF"/>
                    <w:right w:val="nil"/>
                  </w:tcBorders>
                  <w:hideMark/>
                </w:tcPr>
                <w:p w:rsidR="00075E6C" w:rsidRDefault="00075E6C">
                  <w:pPr>
                    <w:pStyle w:val="TableColumnHeading"/>
                  </w:pPr>
                  <w:r>
                    <w:t xml:space="preserve">Total losses </w:t>
                  </w:r>
                </w:p>
              </w:tc>
            </w:tr>
            <w:tr w:rsidR="00075E6C">
              <w:tc>
                <w:tcPr>
                  <w:tcW w:w="1156" w:type="pct"/>
                  <w:tcBorders>
                    <w:top w:val="single" w:sz="6" w:space="0" w:color="BFBFBF"/>
                    <w:left w:val="nil"/>
                    <w:bottom w:val="nil"/>
                    <w:right w:val="nil"/>
                  </w:tcBorders>
                  <w:hideMark/>
                </w:tcPr>
                <w:p w:rsidR="00075E6C" w:rsidRDefault="00075E6C">
                  <w:pPr>
                    <w:pStyle w:val="TableUnitsRow"/>
                    <w:jc w:val="left"/>
                  </w:pPr>
                  <w:r>
                    <w:t>Westpoint</w:t>
                  </w:r>
                </w:p>
              </w:tc>
              <w:tc>
                <w:tcPr>
                  <w:tcW w:w="752" w:type="pct"/>
                  <w:tcBorders>
                    <w:top w:val="single" w:sz="6" w:space="0" w:color="BFBFBF"/>
                    <w:left w:val="nil"/>
                    <w:bottom w:val="nil"/>
                    <w:right w:val="nil"/>
                  </w:tcBorders>
                  <w:hideMark/>
                </w:tcPr>
                <w:p w:rsidR="00075E6C" w:rsidRDefault="00075E6C">
                  <w:pPr>
                    <w:pStyle w:val="TableUnitsRow"/>
                  </w:pPr>
                  <w:r>
                    <w:t>2006</w:t>
                  </w:r>
                </w:p>
              </w:tc>
              <w:tc>
                <w:tcPr>
                  <w:tcW w:w="1587" w:type="pct"/>
                  <w:tcBorders>
                    <w:top w:val="single" w:sz="6" w:space="0" w:color="BFBFBF"/>
                    <w:left w:val="nil"/>
                    <w:bottom w:val="nil"/>
                    <w:right w:val="nil"/>
                  </w:tcBorders>
                  <w:hideMark/>
                </w:tcPr>
                <w:p w:rsidR="00075E6C" w:rsidRDefault="00075E6C" w:rsidP="008C163A">
                  <w:pPr>
                    <w:pStyle w:val="TableUnitsRow"/>
                    <w:ind w:left="227"/>
                    <w:jc w:val="left"/>
                  </w:pPr>
                  <w:r>
                    <w:t>Margin lending</w:t>
                  </w:r>
                </w:p>
              </w:tc>
              <w:tc>
                <w:tcPr>
                  <w:tcW w:w="1505" w:type="pct"/>
                  <w:tcBorders>
                    <w:top w:val="single" w:sz="6" w:space="0" w:color="BFBFBF"/>
                    <w:left w:val="nil"/>
                    <w:bottom w:val="nil"/>
                    <w:right w:val="nil"/>
                  </w:tcBorders>
                  <w:hideMark/>
                </w:tcPr>
                <w:p w:rsidR="00075E6C" w:rsidRDefault="00075E6C">
                  <w:pPr>
                    <w:pStyle w:val="TableUnitsRow"/>
                  </w:pPr>
                  <w:r>
                    <w:t>$388 million</w:t>
                  </w:r>
                </w:p>
              </w:tc>
            </w:tr>
            <w:tr w:rsidR="00075E6C">
              <w:tc>
                <w:tcPr>
                  <w:tcW w:w="1156" w:type="pct"/>
                  <w:hideMark/>
                </w:tcPr>
                <w:p w:rsidR="00075E6C" w:rsidRDefault="00075E6C">
                  <w:pPr>
                    <w:pStyle w:val="TableUnitsRow"/>
                    <w:jc w:val="left"/>
                  </w:pPr>
                  <w:r>
                    <w:t>Bridgecorp</w:t>
                  </w:r>
                </w:p>
              </w:tc>
              <w:tc>
                <w:tcPr>
                  <w:tcW w:w="752" w:type="pct"/>
                  <w:hideMark/>
                </w:tcPr>
                <w:p w:rsidR="00075E6C" w:rsidRDefault="00075E6C">
                  <w:pPr>
                    <w:pStyle w:val="TableUnitsRow"/>
                  </w:pPr>
                  <w:r>
                    <w:t>2007</w:t>
                  </w:r>
                </w:p>
              </w:tc>
              <w:tc>
                <w:tcPr>
                  <w:tcW w:w="1587" w:type="pct"/>
                  <w:hideMark/>
                </w:tcPr>
                <w:p w:rsidR="00075E6C" w:rsidRDefault="00075E6C" w:rsidP="008C163A">
                  <w:pPr>
                    <w:pStyle w:val="TableUnitsRow"/>
                    <w:ind w:left="227"/>
                    <w:jc w:val="left"/>
                  </w:pPr>
                  <w:r>
                    <w:t>Property investment</w:t>
                  </w:r>
                </w:p>
              </w:tc>
              <w:tc>
                <w:tcPr>
                  <w:tcW w:w="1505" w:type="pct"/>
                  <w:hideMark/>
                </w:tcPr>
                <w:p w:rsidR="00075E6C" w:rsidRDefault="00075E6C">
                  <w:pPr>
                    <w:pStyle w:val="TableUnitsRow"/>
                  </w:pPr>
                  <w:r>
                    <w:t>$459 million</w:t>
                  </w:r>
                </w:p>
              </w:tc>
            </w:tr>
            <w:tr w:rsidR="00075E6C">
              <w:tc>
                <w:tcPr>
                  <w:tcW w:w="1156" w:type="pct"/>
                  <w:hideMark/>
                </w:tcPr>
                <w:p w:rsidR="00075E6C" w:rsidRDefault="00075E6C">
                  <w:pPr>
                    <w:pStyle w:val="TableUnitsRow"/>
                    <w:jc w:val="left"/>
                  </w:pPr>
                  <w:r>
                    <w:t>Fincorp</w:t>
                  </w:r>
                </w:p>
              </w:tc>
              <w:tc>
                <w:tcPr>
                  <w:tcW w:w="752" w:type="pct"/>
                  <w:hideMark/>
                </w:tcPr>
                <w:p w:rsidR="00075E6C" w:rsidRDefault="00075E6C">
                  <w:pPr>
                    <w:pStyle w:val="TableUnitsRow"/>
                  </w:pPr>
                  <w:r>
                    <w:t>2007</w:t>
                  </w:r>
                </w:p>
              </w:tc>
              <w:tc>
                <w:tcPr>
                  <w:tcW w:w="1587" w:type="pct"/>
                  <w:hideMark/>
                </w:tcPr>
                <w:p w:rsidR="00075E6C" w:rsidRDefault="00075E6C" w:rsidP="008C163A">
                  <w:pPr>
                    <w:pStyle w:val="TableUnitsRow"/>
                    <w:ind w:left="227"/>
                    <w:jc w:val="left"/>
                  </w:pPr>
                  <w:r>
                    <w:t>Property investment</w:t>
                  </w:r>
                </w:p>
              </w:tc>
              <w:tc>
                <w:tcPr>
                  <w:tcW w:w="1505" w:type="pct"/>
                  <w:hideMark/>
                </w:tcPr>
                <w:p w:rsidR="00075E6C" w:rsidRDefault="00075E6C">
                  <w:pPr>
                    <w:pStyle w:val="TableUnitsRow"/>
                  </w:pPr>
                  <w:r>
                    <w:t>$201 million</w:t>
                  </w:r>
                </w:p>
              </w:tc>
            </w:tr>
            <w:tr w:rsidR="00075E6C">
              <w:tc>
                <w:tcPr>
                  <w:tcW w:w="1156" w:type="pct"/>
                  <w:hideMark/>
                </w:tcPr>
                <w:p w:rsidR="00075E6C" w:rsidRDefault="00075E6C">
                  <w:pPr>
                    <w:pStyle w:val="TableUnitsRow"/>
                    <w:jc w:val="left"/>
                  </w:pPr>
                  <w:r>
                    <w:t>Opes Prime</w:t>
                  </w:r>
                </w:p>
              </w:tc>
              <w:tc>
                <w:tcPr>
                  <w:tcW w:w="752" w:type="pct"/>
                  <w:hideMark/>
                </w:tcPr>
                <w:p w:rsidR="00075E6C" w:rsidRDefault="00075E6C">
                  <w:pPr>
                    <w:pStyle w:val="TableUnitsRow"/>
                  </w:pPr>
                  <w:r>
                    <w:t>2008</w:t>
                  </w:r>
                </w:p>
              </w:tc>
              <w:tc>
                <w:tcPr>
                  <w:tcW w:w="1587" w:type="pct"/>
                  <w:hideMark/>
                </w:tcPr>
                <w:p w:rsidR="00075E6C" w:rsidRDefault="00075E6C" w:rsidP="008C163A">
                  <w:pPr>
                    <w:pStyle w:val="TableUnitsRow"/>
                    <w:ind w:left="227"/>
                    <w:jc w:val="left"/>
                  </w:pPr>
                  <w:r>
                    <w:t>Non-standard margin loan or ‘equity finance scheme’</w:t>
                  </w:r>
                </w:p>
              </w:tc>
              <w:tc>
                <w:tcPr>
                  <w:tcW w:w="1505" w:type="pct"/>
                  <w:hideMark/>
                </w:tcPr>
                <w:p w:rsidR="00075E6C" w:rsidRDefault="00075E6C">
                  <w:pPr>
                    <w:pStyle w:val="TableUnitsRow"/>
                  </w:pPr>
                  <w:r>
                    <w:t>Up to $1 billion</w:t>
                  </w:r>
                </w:p>
              </w:tc>
            </w:tr>
            <w:tr w:rsidR="00075E6C">
              <w:tc>
                <w:tcPr>
                  <w:tcW w:w="1156" w:type="pct"/>
                  <w:hideMark/>
                </w:tcPr>
                <w:p w:rsidR="00075E6C" w:rsidRDefault="00075E6C">
                  <w:pPr>
                    <w:pStyle w:val="TableUnitsRow"/>
                    <w:jc w:val="left"/>
                  </w:pPr>
                  <w:r>
                    <w:t>Storm Financial</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Margin lending/ Financial planning</w:t>
                  </w:r>
                </w:p>
              </w:tc>
              <w:tc>
                <w:tcPr>
                  <w:tcW w:w="1505" w:type="pct"/>
                  <w:hideMark/>
                </w:tcPr>
                <w:p w:rsidR="00075E6C" w:rsidRDefault="00075E6C">
                  <w:pPr>
                    <w:pStyle w:val="TableUnitsRow"/>
                  </w:pPr>
                  <w:r>
                    <w:t>$830 million</w:t>
                  </w:r>
                </w:p>
              </w:tc>
            </w:tr>
            <w:tr w:rsidR="00075E6C">
              <w:tc>
                <w:tcPr>
                  <w:tcW w:w="1156" w:type="pct"/>
                  <w:hideMark/>
                </w:tcPr>
                <w:p w:rsidR="00075E6C" w:rsidRDefault="00075E6C">
                  <w:pPr>
                    <w:pStyle w:val="TableUnitsRow"/>
                    <w:jc w:val="left"/>
                  </w:pPr>
                  <w:r>
                    <w:t>Timbercorp/Great Southern</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Managed investment scheme</w:t>
                  </w:r>
                </w:p>
              </w:tc>
              <w:tc>
                <w:tcPr>
                  <w:tcW w:w="1505" w:type="pct"/>
                  <w:hideMark/>
                </w:tcPr>
                <w:p w:rsidR="00075E6C" w:rsidRDefault="00075E6C">
                  <w:pPr>
                    <w:pStyle w:val="TableUnitsRow"/>
                  </w:pPr>
                  <w:r>
                    <w:t>$3 billion +</w:t>
                  </w:r>
                </w:p>
              </w:tc>
            </w:tr>
            <w:tr w:rsidR="00075E6C">
              <w:tc>
                <w:tcPr>
                  <w:tcW w:w="1156" w:type="pct"/>
                  <w:hideMark/>
                </w:tcPr>
                <w:p w:rsidR="00075E6C" w:rsidRDefault="00075E6C">
                  <w:pPr>
                    <w:pStyle w:val="TableUnitsRow"/>
                    <w:jc w:val="left"/>
                  </w:pPr>
                  <w:r>
                    <w:t>Trio/Astarra</w:t>
                  </w:r>
                </w:p>
              </w:tc>
              <w:tc>
                <w:tcPr>
                  <w:tcW w:w="752" w:type="pct"/>
                  <w:hideMark/>
                </w:tcPr>
                <w:p w:rsidR="00075E6C" w:rsidRDefault="00075E6C">
                  <w:pPr>
                    <w:pStyle w:val="TableUnitsRow"/>
                  </w:pPr>
                  <w:r>
                    <w:t>2009</w:t>
                  </w:r>
                </w:p>
              </w:tc>
              <w:tc>
                <w:tcPr>
                  <w:tcW w:w="1587" w:type="pct"/>
                  <w:hideMark/>
                </w:tcPr>
                <w:p w:rsidR="00075E6C" w:rsidRDefault="00075E6C" w:rsidP="008C163A">
                  <w:pPr>
                    <w:pStyle w:val="TableUnitsRow"/>
                    <w:ind w:left="227"/>
                    <w:jc w:val="left"/>
                  </w:pPr>
                  <w:r>
                    <w:t>Corporate and retail super</w:t>
                  </w:r>
                </w:p>
              </w:tc>
              <w:tc>
                <w:tcPr>
                  <w:tcW w:w="1505" w:type="pct"/>
                  <w:hideMark/>
                </w:tcPr>
                <w:p w:rsidR="00075E6C" w:rsidRDefault="00075E6C">
                  <w:pPr>
                    <w:pStyle w:val="TableUnitsRow"/>
                  </w:pPr>
                  <w:r>
                    <w:t>$176 million</w:t>
                  </w:r>
                </w:p>
              </w:tc>
            </w:tr>
            <w:tr w:rsidR="00075E6C">
              <w:tc>
                <w:tcPr>
                  <w:tcW w:w="1156" w:type="pct"/>
                  <w:tcBorders>
                    <w:top w:val="nil"/>
                    <w:left w:val="nil"/>
                    <w:bottom w:val="single" w:sz="6" w:space="0" w:color="BFBFBF"/>
                    <w:right w:val="nil"/>
                  </w:tcBorders>
                  <w:hideMark/>
                </w:tcPr>
                <w:p w:rsidR="00075E6C" w:rsidRDefault="00075E6C">
                  <w:pPr>
                    <w:pStyle w:val="TableUnitsRow"/>
                    <w:jc w:val="left"/>
                  </w:pPr>
                  <w:r>
                    <w:t>Commonwealth Financial Planning Ltd</w:t>
                  </w:r>
                </w:p>
              </w:tc>
              <w:tc>
                <w:tcPr>
                  <w:tcW w:w="752" w:type="pct"/>
                  <w:tcBorders>
                    <w:top w:val="nil"/>
                    <w:left w:val="nil"/>
                    <w:bottom w:val="single" w:sz="6" w:space="0" w:color="BFBFBF"/>
                    <w:right w:val="nil"/>
                  </w:tcBorders>
                  <w:hideMark/>
                </w:tcPr>
                <w:p w:rsidR="00075E6C" w:rsidRDefault="00075E6C">
                  <w:pPr>
                    <w:pStyle w:val="TableUnitsRow"/>
                  </w:pPr>
                  <w:r>
                    <w:t>2009-2010</w:t>
                  </w:r>
                </w:p>
              </w:tc>
              <w:tc>
                <w:tcPr>
                  <w:tcW w:w="1587" w:type="pct"/>
                  <w:tcBorders>
                    <w:top w:val="nil"/>
                    <w:left w:val="nil"/>
                    <w:bottom w:val="single" w:sz="6" w:space="0" w:color="BFBFBF"/>
                    <w:right w:val="nil"/>
                  </w:tcBorders>
                  <w:hideMark/>
                </w:tcPr>
                <w:p w:rsidR="00075E6C" w:rsidRDefault="00075E6C" w:rsidP="008C163A">
                  <w:pPr>
                    <w:pStyle w:val="TableUnitsRow"/>
                    <w:ind w:left="227"/>
                    <w:jc w:val="left"/>
                  </w:pPr>
                  <w:r>
                    <w:t>Financial planning</w:t>
                  </w:r>
                </w:p>
              </w:tc>
              <w:tc>
                <w:tcPr>
                  <w:tcW w:w="1505" w:type="pct"/>
                  <w:tcBorders>
                    <w:top w:val="nil"/>
                    <w:left w:val="nil"/>
                    <w:bottom w:val="single" w:sz="6" w:space="0" w:color="BFBFBF"/>
                    <w:right w:val="nil"/>
                  </w:tcBorders>
                  <w:hideMark/>
                </w:tcPr>
                <w:p w:rsidR="00075E6C" w:rsidRDefault="00075E6C">
                  <w:pPr>
                    <w:pStyle w:val="TableUnitsRow"/>
                  </w:pPr>
                  <w:r>
                    <w:t>$50 million in compensation. Actual losses unknown</w:t>
                  </w:r>
                </w:p>
              </w:tc>
            </w:tr>
          </w:tbl>
          <w:p w:rsidR="00075E6C" w:rsidRDefault="00075E6C">
            <w:pPr>
              <w:pStyle w:val="Box"/>
            </w:pPr>
          </w:p>
        </w:tc>
      </w:tr>
      <w:tr w:rsidR="00075E6C" w:rsidTr="00075E6C">
        <w:trPr>
          <w:cantSplit/>
        </w:trPr>
        <w:tc>
          <w:tcPr>
            <w:tcW w:w="8771" w:type="dxa"/>
            <w:tcBorders>
              <w:top w:val="nil"/>
              <w:left w:val="nil"/>
              <w:bottom w:val="nil"/>
              <w:right w:val="nil"/>
            </w:tcBorders>
            <w:hideMark/>
          </w:tcPr>
          <w:p w:rsidR="00075E6C" w:rsidRDefault="00075E6C" w:rsidP="00F055A0">
            <w:pPr>
              <w:pStyle w:val="Source"/>
              <w:rPr>
                <w:i/>
              </w:rPr>
            </w:pPr>
            <w:r>
              <w:rPr>
                <w:i/>
              </w:rPr>
              <w:t>Source</w:t>
            </w:r>
            <w:r>
              <w:t>: Industry Super Australia</w:t>
            </w:r>
            <w:r w:rsidR="00592BA1">
              <w:t> </w:t>
            </w:r>
            <w:r>
              <w:rPr>
                <w:rFonts w:cs="Arial"/>
                <w:szCs w:val="24"/>
              </w:rPr>
              <w:t>(2014, pp. 3–4)</w:t>
            </w:r>
            <w:r>
              <w:t>.</w:t>
            </w:r>
          </w:p>
        </w:tc>
      </w:tr>
      <w:tr w:rsidR="00075E6C" w:rsidTr="00075E6C">
        <w:trPr>
          <w:cantSplit/>
        </w:trPr>
        <w:tc>
          <w:tcPr>
            <w:tcW w:w="8771" w:type="dxa"/>
            <w:tcBorders>
              <w:top w:val="nil"/>
              <w:left w:val="nil"/>
              <w:bottom w:val="single" w:sz="6" w:space="0" w:color="78A22F"/>
              <w:right w:val="nil"/>
            </w:tcBorders>
          </w:tcPr>
          <w:p w:rsidR="00075E6C" w:rsidRDefault="00075E6C">
            <w:pPr>
              <w:pStyle w:val="Box"/>
              <w:spacing w:before="0" w:line="120" w:lineRule="exact"/>
            </w:pPr>
          </w:p>
        </w:tc>
      </w:tr>
      <w:tr w:rsidR="00075E6C" w:rsidTr="00075E6C">
        <w:tc>
          <w:tcPr>
            <w:tcW w:w="8771" w:type="dxa"/>
            <w:tcBorders>
              <w:top w:val="single" w:sz="6" w:space="0" w:color="78A22F"/>
              <w:left w:val="nil"/>
              <w:bottom w:val="nil"/>
              <w:right w:val="nil"/>
            </w:tcBorders>
            <w:hideMark/>
          </w:tcPr>
          <w:p w:rsidR="00075E6C" w:rsidRDefault="00075E6C">
            <w:pPr>
              <w:pStyle w:val="BoxSpaceBelow"/>
            </w:pPr>
          </w:p>
        </w:tc>
      </w:tr>
    </w:tbl>
    <w:p w:rsidR="002C396D" w:rsidRDefault="00401A96" w:rsidP="00401A96">
      <w:pPr>
        <w:pStyle w:val="Heading2nosectionno"/>
      </w:pPr>
      <w:r>
        <w:lastRenderedPageBreak/>
        <w:t>Implications for productivity measurement</w:t>
      </w:r>
    </w:p>
    <w:p w:rsidR="00401A96" w:rsidRDefault="00401A96" w:rsidP="00401A96">
      <w:pPr>
        <w:pStyle w:val="BodyText"/>
      </w:pPr>
      <w:r>
        <w:t xml:space="preserve">The challenges in estimating productivity for the FIS sector are considerable. </w:t>
      </w:r>
      <w:r w:rsidR="008A25EF">
        <w:t>This note</w:t>
      </w:r>
      <w:r>
        <w:t xml:space="preserve"> has described the way in which output is estimated, pointing to the need to rely on imputed output estimates for much of the sector. To summarise:</w:t>
      </w:r>
    </w:p>
    <w:p w:rsidR="00401A96" w:rsidRDefault="00401A96" w:rsidP="00401A96">
      <w:pPr>
        <w:pStyle w:val="ListBullet"/>
      </w:pPr>
      <w:r>
        <w:t>almost 70</w:t>
      </w:r>
      <w:r w:rsidR="00092C5A">
        <w:t> </w:t>
      </w:r>
      <w:r>
        <w:t>per</w:t>
      </w:r>
      <w:r w:rsidR="00092C5A">
        <w:t xml:space="preserve"> </w:t>
      </w:r>
      <w:r>
        <w:t>cent of Finance output is imputed</w:t>
      </w:r>
      <w:r w:rsidR="00954D24">
        <w:t xml:space="preserve">, and the inclusion of the risk premium in the estimate of FISIM suggests that the </w:t>
      </w:r>
      <w:r w:rsidR="00004E53">
        <w:t xml:space="preserve">level of </w:t>
      </w:r>
      <w:r w:rsidR="00954D24">
        <w:t>re</w:t>
      </w:r>
      <w:r w:rsidR="008A25EF">
        <w:t xml:space="preserve">al gross output </w:t>
      </w:r>
      <w:r w:rsidR="00954D24">
        <w:t xml:space="preserve">is </w:t>
      </w:r>
      <w:r w:rsidR="00EF68B1">
        <w:t xml:space="preserve">systematically </w:t>
      </w:r>
      <w:r w:rsidR="00954D24">
        <w:t>overstated</w:t>
      </w:r>
    </w:p>
    <w:p w:rsidR="00954D24" w:rsidRDefault="00954D24" w:rsidP="00401A96">
      <w:pPr>
        <w:pStyle w:val="ListBullet"/>
      </w:pPr>
      <w:r>
        <w:t>over 90</w:t>
      </w:r>
      <w:r w:rsidR="00092C5A">
        <w:t> </w:t>
      </w:r>
      <w:r>
        <w:t>per</w:t>
      </w:r>
      <w:r w:rsidR="00092C5A">
        <w:t xml:space="preserve"> </w:t>
      </w:r>
      <w:r>
        <w:t>cent of the output of Insurance is estimated as the insurance service charge, which is sensitive to volatility in claims and investment returns</w:t>
      </w:r>
    </w:p>
    <w:p w:rsidR="00954D24" w:rsidRDefault="00954D24" w:rsidP="00401A96">
      <w:pPr>
        <w:pStyle w:val="ListBullet"/>
      </w:pPr>
      <w:r>
        <w:t xml:space="preserve">Superannuation output is estimated based almost entirely on expenditure, </w:t>
      </w:r>
      <w:r w:rsidR="008A25EF">
        <w:t>which</w:t>
      </w:r>
      <w:r>
        <w:t xml:space="preserve"> is closely related to the size of assets under management, but also to </w:t>
      </w:r>
      <w:r w:rsidR="00B95772">
        <w:t xml:space="preserve">the level of active </w:t>
      </w:r>
      <w:r w:rsidR="008A25EF">
        <w:t xml:space="preserve">asset </w:t>
      </w:r>
      <w:r w:rsidR="00B95772">
        <w:t xml:space="preserve">management </w:t>
      </w:r>
    </w:p>
    <w:p w:rsidR="00B95772" w:rsidRDefault="00B95772" w:rsidP="00401A96">
      <w:pPr>
        <w:pStyle w:val="ListBullet"/>
      </w:pPr>
      <w:r>
        <w:t xml:space="preserve">Auxiliary services output is mostly estimated by actual fees and charges. High rates of outsourcing of investment services by superannuation </w:t>
      </w:r>
      <w:r w:rsidR="008A25EF">
        <w:t xml:space="preserve">and insurance </w:t>
      </w:r>
      <w:r>
        <w:t>funds explain the strong common trend in output up to the GFC.</w:t>
      </w:r>
    </w:p>
    <w:p w:rsidR="00923D98" w:rsidRDefault="00B95772" w:rsidP="00401A96">
      <w:pPr>
        <w:pStyle w:val="BodyText"/>
      </w:pPr>
      <w:r>
        <w:t xml:space="preserve">One of the challenges in interpreting </w:t>
      </w:r>
      <w:r w:rsidR="000F7DB6">
        <w:t xml:space="preserve">these </w:t>
      </w:r>
      <w:r>
        <w:t xml:space="preserve">output estimates for productivity analysis is that </w:t>
      </w:r>
      <w:r w:rsidR="000F7DB6">
        <w:t xml:space="preserve">many of these measures do not reflect what is commonly thought of as a supply response to demand. FISIM reflects market conditions that affect interest rate spreads as well as the volume of assets. The insurance service charge is affected by changes in tort law and natural disasters as well as the overall level of insurance services consumed. Growth in superannuation output reflects the compulsory nature of superannuation, as well as various policy incentives. Expenditure based measures render MFP estimates effectively meaningless (expenditure divided by estimates of inputs is by definition equal to one). </w:t>
      </w:r>
    </w:p>
    <w:p w:rsidR="00B95772" w:rsidRDefault="00923D98" w:rsidP="00401A96">
      <w:pPr>
        <w:pStyle w:val="BodyText"/>
      </w:pPr>
      <w:r>
        <w:t>With imputed output i</w:t>
      </w:r>
      <w:r w:rsidR="00C07260">
        <w:t>t is easy to conceive of ways that measured output will increase that would not relate to what is usually considered to be a pr</w:t>
      </w:r>
      <w:r>
        <w:t>oductivity promoting activity. For example, i</w:t>
      </w:r>
      <w:r w:rsidR="00C07260">
        <w:t xml:space="preserve">ncreasing payments to investment managers would boost superannuation output, even if no additional service </w:t>
      </w:r>
      <w:r w:rsidR="00EF68B1">
        <w:t xml:space="preserve">(or even lower levels of service) </w:t>
      </w:r>
      <w:r w:rsidR="00C07260">
        <w:t xml:space="preserve">was provided. Markets becoming more risk averse leading to a rise in the risk premium increases FISIM, even though this does not </w:t>
      </w:r>
      <w:r w:rsidR="00004E53">
        <w:t xml:space="preserve">necessarily </w:t>
      </w:r>
      <w:r w:rsidR="00C07260">
        <w:t xml:space="preserve">raise the service level provided by a bank. A natural disaster </w:t>
      </w:r>
      <w:r w:rsidR="008A25EF">
        <w:t>raises claims, which reduces</w:t>
      </w:r>
      <w:r w:rsidR="00C07260">
        <w:t xml:space="preserve"> the margins between premiums and claims, reducing measured output while delivering </w:t>
      </w:r>
      <w:r w:rsidR="00004E53">
        <w:t xml:space="preserve">much </w:t>
      </w:r>
      <w:r w:rsidR="00C07260">
        <w:t xml:space="preserve">the </w:t>
      </w:r>
      <w:r w:rsidR="00004E53">
        <w:t xml:space="preserve">same </w:t>
      </w:r>
      <w:r w:rsidR="00C07260">
        <w:t xml:space="preserve">service </w:t>
      </w:r>
      <w:r w:rsidR="00004E53">
        <w:t>customers</w:t>
      </w:r>
      <w:r w:rsidR="00C07260">
        <w:t xml:space="preserve"> buy insurance for. These complex relationships make interpretation of measured trends challenging.</w:t>
      </w:r>
    </w:p>
    <w:p w:rsidR="005159C7" w:rsidRDefault="00C07260" w:rsidP="00401A96">
      <w:pPr>
        <w:pStyle w:val="BodyText"/>
      </w:pPr>
      <w:r>
        <w:t>An additional complexity is that</w:t>
      </w:r>
      <w:r w:rsidR="00004E53">
        <w:t>,</w:t>
      </w:r>
      <w:r>
        <w:t xml:space="preserve"> to</w:t>
      </w:r>
      <w:r w:rsidR="005159C7">
        <w:t xml:space="preserve"> the extent to which gross output is over</w:t>
      </w:r>
      <w:r>
        <w:t xml:space="preserve">/under </w:t>
      </w:r>
      <w:r w:rsidR="005159C7">
        <w:t>estimated, productivity</w:t>
      </w:r>
      <w:r w:rsidR="00CA650E">
        <w:t>,</w:t>
      </w:r>
      <w:r w:rsidR="005159C7">
        <w:t xml:space="preserve"> both labour and MFP will be over</w:t>
      </w:r>
      <w:r>
        <w:t xml:space="preserve">/under </w:t>
      </w:r>
      <w:r w:rsidR="005159C7">
        <w:t>stated. However, as long as such over</w:t>
      </w:r>
      <w:r>
        <w:t xml:space="preserve">/under </w:t>
      </w:r>
      <w:r w:rsidR="005159C7">
        <w:t xml:space="preserve">estimation is consistent (remains a constant share of gross output) growth rates, which are the focus of productivity analysis, are unaffected. Given the trends in FISIM, it may well be the case that </w:t>
      </w:r>
      <w:r w:rsidR="00CF2001">
        <w:t>both the level and the growth in productivity may be overestimated in Finance, at least since the GFC</w:t>
      </w:r>
      <w:r>
        <w:t xml:space="preserve">, </w:t>
      </w:r>
      <w:r w:rsidR="001D54A6">
        <w:t>suggesting</w:t>
      </w:r>
      <w:r w:rsidR="00CF2001">
        <w:t xml:space="preserve"> </w:t>
      </w:r>
      <w:r>
        <w:t>additional</w:t>
      </w:r>
      <w:r w:rsidR="00CF2001">
        <w:t xml:space="preserve"> caution is required in interpreting </w:t>
      </w:r>
      <w:r>
        <w:t xml:space="preserve">Finance </w:t>
      </w:r>
      <w:r w:rsidR="00CF2001">
        <w:t>productivity statistics.</w:t>
      </w:r>
      <w:r w:rsidR="00EF68B1">
        <w:t xml:space="preserve"> </w:t>
      </w:r>
    </w:p>
    <w:p w:rsidR="00224FA5" w:rsidRDefault="005159C7" w:rsidP="00401A96">
      <w:pPr>
        <w:pStyle w:val="BodyText"/>
      </w:pPr>
      <w:r>
        <w:lastRenderedPageBreak/>
        <w:t>R</w:t>
      </w:r>
      <w:r w:rsidR="00401A96">
        <w:t>eliable measurement of gross output is only the f</w:t>
      </w:r>
      <w:r w:rsidR="00224FA5">
        <w:t>irs</w:t>
      </w:r>
      <w:r w:rsidR="00401A96">
        <w:t>t step</w:t>
      </w:r>
      <w:r>
        <w:t xml:space="preserve"> in measuring productivity</w:t>
      </w:r>
      <w:r w:rsidR="00401A96">
        <w:t xml:space="preserve">. </w:t>
      </w:r>
      <w:r w:rsidR="00224FA5">
        <w:t xml:space="preserve">The second step is measurement of value added (gross output less intermediate inputs). This requires estimating intermediate inputs </w:t>
      </w:r>
      <w:r w:rsidR="00DB3481">
        <w:t xml:space="preserve">for </w:t>
      </w:r>
      <w:r w:rsidR="00224FA5">
        <w:t xml:space="preserve">each industry. Such estimates are available for three sub-divisions — Finance, Insurance and Superannuation, and Auxiliary services. One of the distinctive features of FIS is the relatively high use of its own output as input into the sector. Changes in the extent of outsourcing of services to other sub-divisions can mean considerable shifts in value added at the sub-division level, that are masked at the sector level. </w:t>
      </w:r>
      <w:r w:rsidR="00CF2001">
        <w:t>However, changes in value added arising from changes in outsourcing shares should not affect productivity estimates directly as a rise (fall) in outsourcing should be accompanied by a matching fall (rise) in labour and capital inputs. A rise in intra</w:t>
      </w:r>
      <w:r w:rsidR="00CF2001">
        <w:noBreakHyphen/>
        <w:t>sector outsourcing should raise FIS productivity (as it should be motivated by profit and so require less inputs per unit output), but to the extent that outsourcing is motivated by a shift to cheaper rather than less</w:t>
      </w:r>
      <w:r w:rsidR="000C48D9">
        <w:t>,</w:t>
      </w:r>
      <w:r w:rsidR="00CF2001">
        <w:t xml:space="preserve"> labour</w:t>
      </w:r>
      <w:r w:rsidR="000C48D9">
        <w:t xml:space="preserve"> productivity (output per hour worked) </w:t>
      </w:r>
      <w:r w:rsidR="00C65649">
        <w:t>does not improve</w:t>
      </w:r>
      <w:r w:rsidR="000C48D9">
        <w:t>.</w:t>
      </w:r>
      <w:r w:rsidR="00923D98">
        <w:t xml:space="preserve"> Separation off intermediate inputs into Insurance and Superannuation would assist in interpreting these trends.</w:t>
      </w:r>
    </w:p>
    <w:p w:rsidR="00401A96" w:rsidRDefault="00923D98" w:rsidP="00401A96">
      <w:pPr>
        <w:pStyle w:val="BodyText"/>
      </w:pPr>
      <w:r>
        <w:t>The third step in estimat</w:t>
      </w:r>
      <w:r w:rsidR="00224FA5">
        <w:t xml:space="preserve">ing productivity is measurement of capital and labour inputs. </w:t>
      </w:r>
      <w:r w:rsidR="00401A96">
        <w:t>As discussed, MFP can only be estimated for two sub-divisions — Finance</w:t>
      </w:r>
      <w:r w:rsidR="00DB3481">
        <w:t>,</w:t>
      </w:r>
      <w:r w:rsidR="00401A96">
        <w:t xml:space="preserve"> and </w:t>
      </w:r>
      <w:r w:rsidR="00876F62">
        <w:t>ISA</w:t>
      </w:r>
      <w:r w:rsidR="00401A96">
        <w:t xml:space="preserve">. </w:t>
      </w:r>
      <w:r w:rsidR="00224FA5">
        <w:t xml:space="preserve">This is because capital can only be reliably estimated at the sector level and for Finance — capital </w:t>
      </w:r>
      <w:r w:rsidR="00876F62">
        <w:t>for ISA</w:t>
      </w:r>
      <w:r w:rsidR="00224FA5">
        <w:t xml:space="preserve"> is the difference between the two. </w:t>
      </w:r>
      <w:r w:rsidR="000C48D9">
        <w:t>The very different trends in gross output for the each of the industri</w:t>
      </w:r>
      <w:r w:rsidR="00876F62">
        <w:t>es that make up ISA</w:t>
      </w:r>
      <w:r w:rsidR="000C48D9">
        <w:t xml:space="preserve"> suggest that productivity patterns could be very different across these industries. </w:t>
      </w:r>
      <w:r w:rsidR="00EF68B1">
        <w:t xml:space="preserve">Without </w:t>
      </w:r>
      <w:r w:rsidR="00876F62">
        <w:t>capital data at the sub-division level this cannot be investigated.</w:t>
      </w:r>
    </w:p>
    <w:p w:rsidR="000C48D9" w:rsidRPr="002C396D" w:rsidRDefault="000C48D9" w:rsidP="00401A96">
      <w:pPr>
        <w:pStyle w:val="BodyText"/>
      </w:pPr>
      <w:r>
        <w:t xml:space="preserve">These measurement issues make the interpretation of productivity statistics in the FIS sector a complex task. The relatively strong </w:t>
      </w:r>
      <w:r w:rsidR="00954D24">
        <w:t xml:space="preserve">productivity </w:t>
      </w:r>
      <w:r>
        <w:t xml:space="preserve">performance of FIS over a considerable period is largely due to strong output growth combined with considerable labour saving at various points in time. </w:t>
      </w:r>
      <w:r w:rsidR="00954D24">
        <w:t>This aligns with</w:t>
      </w:r>
      <w:r>
        <w:t xml:space="preserve"> the growth of the sector from 6 per</w:t>
      </w:r>
      <w:r w:rsidR="00092C5A">
        <w:t xml:space="preserve"> </w:t>
      </w:r>
      <w:r>
        <w:t>cent in the early 1990s to 9 per</w:t>
      </w:r>
      <w:r w:rsidR="00092C5A">
        <w:t xml:space="preserve"> </w:t>
      </w:r>
      <w:r>
        <w:t>cen</w:t>
      </w:r>
      <w:r w:rsidR="00954D24">
        <w:t>t of Australia’s GDP in 2012</w:t>
      </w:r>
      <w:r w:rsidR="00092C5A">
        <w:noBreakHyphen/>
      </w:r>
      <w:r w:rsidR="00954D24">
        <w:t>13</w:t>
      </w:r>
      <w:r>
        <w:t>.</w:t>
      </w:r>
      <w:r w:rsidR="00954D24">
        <w:t xml:space="preserve"> However, the measurement issues do raise a number of questions about the real performance of the individual industries</w:t>
      </w:r>
      <w:r w:rsidR="00DB3481">
        <w:t xml:space="preserve"> in the FIS sector</w:t>
      </w:r>
      <w:r w:rsidR="00954D24">
        <w:t xml:space="preserve">, and just what value they </w:t>
      </w:r>
      <w:r w:rsidR="00876F62">
        <w:t xml:space="preserve">have </w:t>
      </w:r>
      <w:r w:rsidR="00954D24">
        <w:t>deliver</w:t>
      </w:r>
      <w:r w:rsidR="00876F62">
        <w:t>ed</w:t>
      </w:r>
      <w:r w:rsidR="00954D24">
        <w:t xml:space="preserve"> to consumers and the economy.</w:t>
      </w:r>
    </w:p>
    <w:p w:rsidR="00401A96" w:rsidRDefault="00401A96">
      <w:pPr>
        <w:rPr>
          <w:rFonts w:ascii="Arial" w:hAnsi="Arial"/>
          <w:b/>
          <w:sz w:val="32"/>
          <w:szCs w:val="20"/>
        </w:rPr>
      </w:pPr>
      <w:r>
        <w:br w:type="page"/>
      </w:r>
    </w:p>
    <w:p w:rsidR="00BF082E" w:rsidRDefault="000714AD" w:rsidP="00724C50">
      <w:pPr>
        <w:pStyle w:val="Heading2"/>
      </w:pPr>
      <w:r>
        <w:lastRenderedPageBreak/>
        <w:t>R</w:t>
      </w:r>
      <w:r w:rsidR="00B54227" w:rsidRPr="00B54227">
        <w:t>eferences</w:t>
      </w:r>
    </w:p>
    <w:p w:rsidR="008C163A" w:rsidRDefault="004F7433" w:rsidP="008C163A">
      <w:pPr>
        <w:pStyle w:val="Reference"/>
      </w:pPr>
      <w:r>
        <w:t xml:space="preserve">ABS </w:t>
      </w:r>
      <w:r w:rsidRPr="00F23C31">
        <w:t>(Australian Bureau of Stat</w:t>
      </w:r>
      <w:r>
        <w:t xml:space="preserve">istics), </w:t>
      </w:r>
      <w:r w:rsidR="008C163A" w:rsidRPr="00F23C31">
        <w:t>——</w:t>
      </w:r>
      <w:r w:rsidR="008C163A">
        <w:t xml:space="preserve"> 2006, </w:t>
      </w:r>
      <w:r w:rsidR="008C163A" w:rsidRPr="00E70E0D">
        <w:rPr>
          <w:i/>
        </w:rPr>
        <w:t>Australian and New Zealand Standard Industrial Classification, 2006</w:t>
      </w:r>
      <w:r w:rsidR="008C163A">
        <w:t>, Cat. no. 1292.0, ABS, Canberra.</w:t>
      </w:r>
    </w:p>
    <w:p w:rsidR="004F7433" w:rsidRDefault="004F7433" w:rsidP="004F7433">
      <w:pPr>
        <w:pStyle w:val="Reference"/>
      </w:pPr>
      <w:r w:rsidRPr="00F23C31">
        <w:t>——</w:t>
      </w:r>
      <w:r w:rsidR="00304AE4">
        <w:t> </w:t>
      </w:r>
      <w:r w:rsidRPr="00F23C31">
        <w:t>2013</w:t>
      </w:r>
      <w:r>
        <w:t>a</w:t>
      </w:r>
      <w:r w:rsidRPr="00F23C31">
        <w:t xml:space="preserve">, </w:t>
      </w:r>
      <w:r w:rsidRPr="00F23C31">
        <w:rPr>
          <w:i/>
          <w:iCs/>
        </w:rPr>
        <w:t>Australian System of National Accounts: Concepts, Sources and Methods 2013</w:t>
      </w:r>
      <w:r w:rsidRPr="00F23C31">
        <w:t>, Cat. no. 5216.0, ABS, Canberra.</w:t>
      </w:r>
    </w:p>
    <w:p w:rsidR="004F7433" w:rsidRDefault="004F7433" w:rsidP="004F7433">
      <w:pPr>
        <w:pStyle w:val="Reference"/>
      </w:pPr>
      <w:r w:rsidRPr="00F23C31">
        <w:t>——</w:t>
      </w:r>
      <w:r w:rsidR="00304AE4">
        <w:t> </w:t>
      </w:r>
      <w:r w:rsidRPr="00F23C31">
        <w:t>2013</w:t>
      </w:r>
      <w:r>
        <w:t>b</w:t>
      </w:r>
      <w:r w:rsidRPr="00F23C31">
        <w:t xml:space="preserve">, </w:t>
      </w:r>
      <w:r w:rsidRPr="00F31204">
        <w:rPr>
          <w:i/>
        </w:rPr>
        <w:t>Labour Force, Australia, Detailed, Quarterly</w:t>
      </w:r>
      <w:r w:rsidRPr="00F31204">
        <w:t xml:space="preserve">, </w:t>
      </w:r>
      <w:r w:rsidRPr="00F31204">
        <w:rPr>
          <w:i/>
        </w:rPr>
        <w:t>November 2013</w:t>
      </w:r>
      <w:r w:rsidRPr="00F31204">
        <w:t>, Cat.</w:t>
      </w:r>
      <w:r>
        <w:t> no. 6291.0.55.003, ABS Canberra</w:t>
      </w:r>
      <w:r w:rsidRPr="00F31204">
        <w:t>.</w:t>
      </w:r>
    </w:p>
    <w:p w:rsidR="004F7433" w:rsidRDefault="004F7433" w:rsidP="004F7433">
      <w:pPr>
        <w:pStyle w:val="Reference"/>
      </w:pPr>
      <w:r w:rsidRPr="00F23C31">
        <w:t>——</w:t>
      </w:r>
      <w:r w:rsidR="00304AE4">
        <w:t> </w:t>
      </w:r>
      <w:r w:rsidRPr="00F23C31">
        <w:t>2013</w:t>
      </w:r>
      <w:r>
        <w:t>c</w:t>
      </w:r>
      <w:r w:rsidRPr="00F23C31">
        <w:t xml:space="preserve">, </w:t>
      </w:r>
      <w:r w:rsidRPr="0073245E">
        <w:rPr>
          <w:i/>
        </w:rPr>
        <w:t>Australia System of National Accounts</w:t>
      </w:r>
      <w:r w:rsidRPr="000F0FD9">
        <w:rPr>
          <w:i/>
        </w:rPr>
        <w:t xml:space="preserve">, </w:t>
      </w:r>
      <w:r w:rsidRPr="00CE2B88">
        <w:rPr>
          <w:i/>
        </w:rPr>
        <w:t>2012</w:t>
      </w:r>
      <w:r w:rsidRPr="00CE2B88">
        <w:rPr>
          <w:i/>
        </w:rPr>
        <w:noBreakHyphen/>
        <w:t>13,</w:t>
      </w:r>
      <w:r>
        <w:t xml:space="preserve"> Cat. no. 5204.0, ABS, Canberra.</w:t>
      </w:r>
    </w:p>
    <w:p w:rsidR="0089466D" w:rsidRDefault="0089466D" w:rsidP="004F7433">
      <w:pPr>
        <w:pStyle w:val="Reference"/>
      </w:pPr>
      <w:r w:rsidRPr="00F23C31">
        <w:t>——</w:t>
      </w:r>
      <w:r w:rsidR="00304AE4">
        <w:t> </w:t>
      </w:r>
      <w:r w:rsidRPr="00F23C31">
        <w:t>2013</w:t>
      </w:r>
      <w:r>
        <w:t>d</w:t>
      </w:r>
      <w:r w:rsidRPr="00F23C31">
        <w:t>,</w:t>
      </w:r>
      <w:r>
        <w:t xml:space="preserve"> </w:t>
      </w:r>
      <w:r w:rsidRPr="009A2742">
        <w:rPr>
          <w:i/>
        </w:rPr>
        <w:t>Australian National Accounts: Input</w:t>
      </w:r>
      <w:r>
        <w:rPr>
          <w:i/>
        </w:rPr>
        <w:noBreakHyphen/>
      </w:r>
      <w:r w:rsidRPr="009A2742">
        <w:rPr>
          <w:i/>
        </w:rPr>
        <w:t>Output Tables, 2009</w:t>
      </w:r>
      <w:r>
        <w:rPr>
          <w:i/>
        </w:rPr>
        <w:noBreakHyphen/>
      </w:r>
      <w:r w:rsidRPr="009A2742">
        <w:rPr>
          <w:i/>
        </w:rPr>
        <w:t>10</w:t>
      </w:r>
      <w:r>
        <w:t>, Cat. no. 5209.0.55.001)</w:t>
      </w:r>
    </w:p>
    <w:p w:rsidR="008C163A" w:rsidRDefault="008C163A" w:rsidP="008C163A">
      <w:pPr>
        <w:pStyle w:val="Reference"/>
      </w:pPr>
      <w:r w:rsidRPr="00F23C31">
        <w:t>——</w:t>
      </w:r>
      <w:r>
        <w:t xml:space="preserve"> 2014a, </w:t>
      </w:r>
      <w:r w:rsidRPr="00C40AE2">
        <w:t>‘Explanatory Notes’</w:t>
      </w:r>
      <w:r>
        <w:t xml:space="preserve">, </w:t>
      </w:r>
      <w:r w:rsidRPr="000C7EAE">
        <w:rPr>
          <w:bCs/>
          <w:i/>
        </w:rPr>
        <w:t>Counts of Australian Businesses, including Entries and Exits , Jun 2009 to Jun 2013</w:t>
      </w:r>
      <w:r w:rsidRPr="008A0E60">
        <w:t>,</w:t>
      </w:r>
      <w:r w:rsidRPr="00042E7B">
        <w:rPr>
          <w:i/>
        </w:rPr>
        <w:t xml:space="preserve"> </w:t>
      </w:r>
      <w:r w:rsidRPr="007B7F51">
        <w:t>Cat. no. </w:t>
      </w:r>
      <w:r>
        <w:t>8165.0.</w:t>
      </w:r>
    </w:p>
    <w:p w:rsidR="008C163A" w:rsidRPr="00E81E74" w:rsidRDefault="008C163A" w:rsidP="008C163A">
      <w:pPr>
        <w:pStyle w:val="Reference"/>
      </w:pPr>
      <w:r w:rsidRPr="00F23C31">
        <w:t>——</w:t>
      </w:r>
      <w:r>
        <w:t> 2014b</w:t>
      </w:r>
      <w:r w:rsidRPr="00F23C31">
        <w:t xml:space="preserve">, </w:t>
      </w:r>
      <w:r w:rsidRPr="00232E66">
        <w:rPr>
          <w:i/>
        </w:rPr>
        <w:t xml:space="preserve">Estimates of Industry Multifactor </w:t>
      </w:r>
      <w:r w:rsidRPr="00121723">
        <w:rPr>
          <w:i/>
        </w:rPr>
        <w:t>Productivity, 201</w:t>
      </w:r>
      <w:r>
        <w:rPr>
          <w:i/>
        </w:rPr>
        <w:t>2</w:t>
      </w:r>
      <w:r w:rsidRPr="00121723">
        <w:rPr>
          <w:i/>
        </w:rPr>
        <w:noBreakHyphen/>
        <w:t>1</w:t>
      </w:r>
      <w:r>
        <w:rPr>
          <w:i/>
        </w:rPr>
        <w:t>3</w:t>
      </w:r>
      <w:r>
        <w:t>, Cat. no. 5260.0.55.002, ABS, Canberra.</w:t>
      </w:r>
    </w:p>
    <w:p w:rsidR="004514CB" w:rsidRDefault="004F7433" w:rsidP="004514CB">
      <w:pPr>
        <w:pStyle w:val="Reference"/>
      </w:pPr>
      <w:r>
        <w:t>APRA</w:t>
      </w:r>
      <w:r w:rsidR="008C163A">
        <w:t xml:space="preserve"> (Australian Prudential Regulation Authority) </w:t>
      </w:r>
      <w:r w:rsidR="004514CB">
        <w:t xml:space="preserve">2012, </w:t>
      </w:r>
      <w:r w:rsidR="004514CB">
        <w:rPr>
          <w:i/>
          <w:iCs/>
        </w:rPr>
        <w:t>APRA Insight, Issue 1</w:t>
      </w:r>
      <w:r w:rsidR="004514CB">
        <w:t>, Sydney.</w:t>
      </w:r>
    </w:p>
    <w:p w:rsidR="00EE3EBD" w:rsidRDefault="00EE3EBD" w:rsidP="00EE3EBD">
      <w:pPr>
        <w:pStyle w:val="Reference"/>
      </w:pPr>
      <w:r>
        <w:t>——</w:t>
      </w:r>
      <w:r w:rsidR="004514CB">
        <w:t> </w:t>
      </w:r>
      <w:r>
        <w:t xml:space="preserve">2013, </w:t>
      </w:r>
      <w:r>
        <w:rPr>
          <w:i/>
          <w:iCs/>
        </w:rPr>
        <w:t>Annual Superannuation Bulletin</w:t>
      </w:r>
      <w:r>
        <w:t>, June, APRA, Sydney.</w:t>
      </w:r>
    </w:p>
    <w:p w:rsidR="008C163A" w:rsidRDefault="008C163A" w:rsidP="008C163A">
      <w:pPr>
        <w:pStyle w:val="Reference"/>
      </w:pPr>
      <w:r>
        <w:t xml:space="preserve">2014a, </w:t>
      </w:r>
      <w:r>
        <w:rPr>
          <w:i/>
          <w:iCs/>
        </w:rPr>
        <w:t>APRA’s Submission to the 2014 Financial System Inquiry (Murray Inquiry)</w:t>
      </w:r>
      <w:r>
        <w:t>, http://www.apra.gov.au/Submissions/Pages/14_01.aspx (accessed 30 September 2014).</w:t>
      </w:r>
    </w:p>
    <w:p w:rsidR="008C163A" w:rsidRDefault="008C163A" w:rsidP="008C163A">
      <w:pPr>
        <w:pStyle w:val="Reference"/>
      </w:pPr>
      <w:r>
        <w:t xml:space="preserve">—— (Australian Prudential Regulation Authority) 2014b, </w:t>
      </w:r>
      <w:r>
        <w:rPr>
          <w:i/>
          <w:iCs/>
        </w:rPr>
        <w:t>National Claims and Policy Database</w:t>
      </w:r>
      <w:r>
        <w:t>, http://www.apra.gov.au/GI/Publications/Pages/NCPD-Reports.aspx (accessed 11 September 2014).</w:t>
      </w:r>
    </w:p>
    <w:p w:rsidR="004F7433" w:rsidRDefault="004F7433" w:rsidP="004F7433">
      <w:pPr>
        <w:pStyle w:val="Reference"/>
      </w:pPr>
      <w:r>
        <w:t xml:space="preserve">ASFA (Association of Superannuation Funds of Australia) 2014, </w:t>
      </w:r>
      <w:r>
        <w:rPr>
          <w:i/>
          <w:iCs/>
        </w:rPr>
        <w:t>First round submission to the Financial System Inquiry</w:t>
      </w:r>
      <w:r>
        <w:t>, Sydney.</w:t>
      </w:r>
    </w:p>
    <w:p w:rsidR="004F7433" w:rsidRDefault="004F7433" w:rsidP="004F7433">
      <w:pPr>
        <w:pStyle w:val="Reference"/>
      </w:pPr>
      <w:r w:rsidRPr="00F23C31">
        <w:t xml:space="preserve">Barnes, P. 2011, </w:t>
      </w:r>
      <w:r w:rsidRPr="00F23C31">
        <w:rPr>
          <w:i/>
          <w:iCs/>
        </w:rPr>
        <w:t>Multifactor Productivity Growth Cycles At the Industry Level</w:t>
      </w:r>
      <w:r w:rsidRPr="00F23C31">
        <w:t>, Productivity Commission Staff Working Paper, Canberra.</w:t>
      </w:r>
    </w:p>
    <w:p w:rsidR="004F7433" w:rsidRDefault="004514CB" w:rsidP="004F7433">
      <w:pPr>
        <w:pStyle w:val="Reference"/>
      </w:pPr>
      <w:r>
        <w:t xml:space="preserve">——, </w:t>
      </w:r>
      <w:r w:rsidR="004F7433" w:rsidRPr="007A088F">
        <w:t xml:space="preserve">Soames, L., Li, C. and Munoz, M. 2013, </w:t>
      </w:r>
      <w:r w:rsidR="004F7433" w:rsidRPr="007A088F">
        <w:rPr>
          <w:i/>
          <w:iCs/>
        </w:rPr>
        <w:t>Productivity in Manufacturing: Measurement and Interpretation</w:t>
      </w:r>
      <w:r w:rsidR="004F7433" w:rsidRPr="007A088F">
        <w:t>, Productivity Commission Staff Working Paper, Canberra.</w:t>
      </w:r>
    </w:p>
    <w:p w:rsidR="004F7433" w:rsidRDefault="004F7433" w:rsidP="004F7433">
      <w:pPr>
        <w:pStyle w:val="Reference"/>
      </w:pPr>
      <w:r>
        <w:t xml:space="preserve">Basu, S., Inklaar, R. and Wang, J.C. 2011, ‘The Value of Risk: Measuring the Service Output of U.s. Commercial Banks’, </w:t>
      </w:r>
      <w:r>
        <w:rPr>
          <w:i/>
          <w:iCs/>
        </w:rPr>
        <w:t>Economic Inquiry</w:t>
      </w:r>
      <w:r>
        <w:t>, vol. 49, no. 1, pp. 226–245.</w:t>
      </w:r>
    </w:p>
    <w:p w:rsidR="004F7433" w:rsidRDefault="004F7433" w:rsidP="004F7433">
      <w:pPr>
        <w:pStyle w:val="Reference"/>
      </w:pPr>
      <w:r>
        <w:t xml:space="preserve">Colangelo, A. and Inklaar, R. 2012, ‘Banking sector output measurement in the Euro Area: A modified approach’, </w:t>
      </w:r>
      <w:r>
        <w:rPr>
          <w:i/>
          <w:iCs/>
        </w:rPr>
        <w:t>Review of Income and Wealth</w:t>
      </w:r>
      <w:r>
        <w:t>, vol. 58, no. 1, pp. 142–165.</w:t>
      </w:r>
    </w:p>
    <w:p w:rsidR="004F7433" w:rsidRDefault="004F7433" w:rsidP="004F7433">
      <w:pPr>
        <w:pStyle w:val="Reference"/>
      </w:pPr>
      <w:r>
        <w:t xml:space="preserve">Commonwealth of Australia 2006, </w:t>
      </w:r>
      <w:r>
        <w:rPr>
          <w:i/>
          <w:iCs/>
        </w:rPr>
        <w:t>Simplified Superannuation - Final Decisions</w:t>
      </w:r>
      <w:r>
        <w:t>, 5 September, Canberra, http://www.simplersuper.treasury.gov.au/documents/decision/</w:t>
      </w:r>
      <w:r w:rsidR="004514CB">
        <w:br/>
      </w:r>
      <w:r>
        <w:t>html/final_decision_full.asp (accessed 29 October 2014).</w:t>
      </w:r>
    </w:p>
    <w:p w:rsidR="004F7433" w:rsidRDefault="004F7433" w:rsidP="004F7433">
      <w:pPr>
        <w:pStyle w:val="Reference"/>
      </w:pPr>
      <w:r>
        <w:t xml:space="preserve">CPA Australia 2009, </w:t>
      </w:r>
      <w:r>
        <w:rPr>
          <w:i/>
          <w:iCs/>
        </w:rPr>
        <w:t>Self-managed super funds insights</w:t>
      </w:r>
      <w:r>
        <w:t>, November, Melbourne.</w:t>
      </w:r>
    </w:p>
    <w:p w:rsidR="004F7433" w:rsidRDefault="004F7433" w:rsidP="004F7433">
      <w:pPr>
        <w:pStyle w:val="Reference"/>
      </w:pPr>
      <w:r>
        <w:lastRenderedPageBreak/>
        <w:t>Gordon, J., Zhao, S. and Gretton, P. 2015, On productivity: concepts and measurement, Staff Research Note, Productivity Commission, Canberra.</w:t>
      </w:r>
    </w:p>
    <w:p w:rsidR="004F7433" w:rsidRPr="00AC5AC5" w:rsidRDefault="004F7433" w:rsidP="004F7433">
      <w:pPr>
        <w:pStyle w:val="Reference"/>
      </w:pPr>
      <w:r>
        <w:t>Haldane, A., Brennan, S,</w:t>
      </w:r>
      <w:r w:rsidRPr="00AC5AC5">
        <w:t xml:space="preserve"> and Madouros</w:t>
      </w:r>
      <w:r>
        <w:t>, V. (2010), '</w:t>
      </w:r>
      <w:r w:rsidRPr="00AC5AC5">
        <w:t>What is the contribution of the finan</w:t>
      </w:r>
      <w:r>
        <w:t>cial sector: Miracle or mirage?'</w:t>
      </w:r>
      <w:r w:rsidRPr="00AC5AC5">
        <w:t xml:space="preserve">, </w:t>
      </w:r>
      <w:r>
        <w:t xml:space="preserve">in Turner et al (2010), </w:t>
      </w:r>
      <w:r w:rsidRPr="00AC5AC5">
        <w:rPr>
          <w:i/>
        </w:rPr>
        <w:t>The Future of Finance: The LSE Report</w:t>
      </w:r>
      <w:r w:rsidRPr="00AC5AC5">
        <w:t>, London School of Economics and Political Science, available at http://harr123et.files.wordpress.com/2010/07/futureoffinance-chapter21.pdf.</w:t>
      </w:r>
    </w:p>
    <w:p w:rsidR="004F7433" w:rsidRDefault="004F7433" w:rsidP="004F7433">
      <w:pPr>
        <w:pStyle w:val="Reference"/>
      </w:pPr>
      <w:r>
        <w:t xml:space="preserve">Industry Super Australia 2014, </w:t>
      </w:r>
      <w:r>
        <w:rPr>
          <w:i/>
          <w:iCs/>
        </w:rPr>
        <w:t>ISA Submission: Exposure Draft: Corporations Amendment (Streamlining of Future of Financial Advice) Bill 2014</w:t>
      </w:r>
      <w:r>
        <w:t>, February, Industry Super Australia, Melbourne.</w:t>
      </w:r>
    </w:p>
    <w:p w:rsidR="004F7433" w:rsidRDefault="004F7433" w:rsidP="004F7433">
      <w:pPr>
        <w:pStyle w:val="Reference"/>
      </w:pPr>
      <w:r>
        <w:t xml:space="preserve">Insurance Council of Australia 2014, </w:t>
      </w:r>
      <w:r>
        <w:rPr>
          <w:i/>
          <w:iCs/>
        </w:rPr>
        <w:t>Disaster statistics</w:t>
      </w:r>
      <w:r>
        <w:t>, http://www.insurancecouncil.com.au/industry-statistics-data/disaster-statistics/historical</w:t>
      </w:r>
      <w:r w:rsidR="004514CB">
        <w:br/>
      </w:r>
      <w:r>
        <w:t>-disaster-statistics (accessed 12 September 2014).</w:t>
      </w:r>
    </w:p>
    <w:p w:rsidR="004F7433" w:rsidRDefault="004F7433" w:rsidP="004F7433">
      <w:pPr>
        <w:pStyle w:val="Reference"/>
      </w:pPr>
      <w:r>
        <w:t xml:space="preserve">KPMG 2008, General Insurance Industry Survey 2008, </w:t>
      </w:r>
      <w:r w:rsidRPr="004F6ACC">
        <w:t>http://www.kpmg.com/</w:t>
      </w:r>
      <w:r w:rsidR="004514CB">
        <w:br/>
      </w:r>
      <w:r w:rsidRPr="004F6ACC">
        <w:t>AU/en/IssuesAndInsights/ArticlesPublications/Financial-Institutions-Peformance-Survey/Insurance/Pages/General-Insurance-Industry-Survey-2008.aspx</w:t>
      </w:r>
      <w:r w:rsidR="00A604E7">
        <w:t>.</w:t>
      </w:r>
      <w:r w:rsidR="004514CB">
        <w:t xml:space="preserve"> </w:t>
      </w:r>
    </w:p>
    <w:p w:rsidR="004F7433" w:rsidRDefault="004F7433" w:rsidP="004F7433">
      <w:pPr>
        <w:pStyle w:val="Reference"/>
      </w:pPr>
      <w:r>
        <w:t xml:space="preserve">Liu, K. and Arnold, B. 2012, </w:t>
      </w:r>
      <w:r>
        <w:rPr>
          <w:i/>
          <w:iCs/>
        </w:rPr>
        <w:t>Australian superannuation – the outsourcing landscape</w:t>
      </w:r>
      <w:r>
        <w:t>, Working paper, July, APRA, Sydney.</w:t>
      </w:r>
    </w:p>
    <w:p w:rsidR="004F7433" w:rsidRDefault="004F7433" w:rsidP="004F7433">
      <w:pPr>
        <w:pStyle w:val="Reference"/>
      </w:pPr>
      <w:r>
        <w:t xml:space="preserve">MFAA (Mortgage and Finance Association of Australia) 2010, </w:t>
      </w:r>
      <w:r>
        <w:rPr>
          <w:i/>
          <w:iCs/>
        </w:rPr>
        <w:t>Submission to the Senate Economics References Committee inquiry into competition within the banking Sector</w:t>
      </w:r>
      <w:r>
        <w:t>, November, MFAA, Neutral Bay, NSW.</w:t>
      </w:r>
    </w:p>
    <w:p w:rsidR="00612C98" w:rsidRPr="00F617B6" w:rsidRDefault="004F7433" w:rsidP="004F7433">
      <w:pPr>
        <w:pStyle w:val="Reference"/>
      </w:pPr>
      <w:r>
        <w:t>Minifie, J., Cameron, T., and Savage, J. 2015, Super savings, Grattan Institute, April.</w:t>
      </w:r>
    </w:p>
    <w:p w:rsidR="00612C98" w:rsidRDefault="00612C98" w:rsidP="00610187">
      <w:pPr>
        <w:pStyle w:val="Reference"/>
      </w:pPr>
      <w:r w:rsidRPr="00946964">
        <w:t xml:space="preserve">Parham, D. 2012, </w:t>
      </w:r>
      <w:r w:rsidRPr="00946964">
        <w:rPr>
          <w:i/>
          <w:iCs/>
        </w:rPr>
        <w:t>Australia’s Productivity Growth Slump: Signs of Crisis, Adjustment or Both?</w:t>
      </w:r>
      <w:r w:rsidRPr="00946964">
        <w:t>, Visiting Researcher Paper, Productivity Commission, Canberra.</w:t>
      </w:r>
    </w:p>
    <w:p w:rsidR="004F7433" w:rsidRPr="007A088F" w:rsidRDefault="004F7433" w:rsidP="004F7433">
      <w:pPr>
        <w:pStyle w:val="Reference"/>
      </w:pPr>
      <w:r w:rsidRPr="007A088F">
        <w:t xml:space="preserve">PC (Productivity Commission) 2009, </w:t>
      </w:r>
      <w:r w:rsidRPr="007A088F">
        <w:rPr>
          <w:i/>
          <w:iCs/>
        </w:rPr>
        <w:t>Submission to the House of Representatives Standing Committee on Economics: Inquiry into Raising the Level of Productivity Growth in Australia</w:t>
      </w:r>
      <w:r w:rsidRPr="007A088F">
        <w:t>, Productivity Commission, Canberra.</w:t>
      </w:r>
    </w:p>
    <w:p w:rsidR="004F7433" w:rsidRPr="007A088F" w:rsidRDefault="004F7433" w:rsidP="004F7433">
      <w:pPr>
        <w:pStyle w:val="Reference"/>
      </w:pPr>
      <w:r w:rsidRPr="007A088F">
        <w:t>——</w:t>
      </w:r>
      <w:r w:rsidR="008C163A">
        <w:t> </w:t>
      </w:r>
      <w:r w:rsidRPr="007A088F">
        <w:t xml:space="preserve">2013, </w:t>
      </w:r>
      <w:r w:rsidRPr="007A088F">
        <w:rPr>
          <w:i/>
          <w:iCs/>
        </w:rPr>
        <w:t>PC Productivity Update</w:t>
      </w:r>
      <w:r w:rsidRPr="007A088F">
        <w:t>, May, Canberra.</w:t>
      </w:r>
    </w:p>
    <w:p w:rsidR="004F7433" w:rsidRDefault="004F7433" w:rsidP="004F7433">
      <w:pPr>
        <w:pStyle w:val="Reference"/>
      </w:pPr>
      <w:r w:rsidRPr="007A088F">
        <w:t>——</w:t>
      </w:r>
      <w:r w:rsidR="008C163A">
        <w:t> </w:t>
      </w:r>
      <w:r w:rsidRPr="007A088F">
        <w:t xml:space="preserve">2014, </w:t>
      </w:r>
      <w:r w:rsidRPr="007A088F">
        <w:rPr>
          <w:i/>
          <w:iCs/>
        </w:rPr>
        <w:t>PC Productivity Update</w:t>
      </w:r>
      <w:r w:rsidRPr="007A088F">
        <w:t>, April, Canberra.</w:t>
      </w:r>
    </w:p>
    <w:p w:rsidR="004F7433" w:rsidRPr="004F6ACC" w:rsidRDefault="004F7433" w:rsidP="004F7433">
      <w:pPr>
        <w:pStyle w:val="Reference"/>
      </w:pPr>
      <w:r>
        <w:t xml:space="preserve">Rainmaker </w:t>
      </w:r>
      <w:r w:rsidRPr="00FC2F32">
        <w:t>2012</w:t>
      </w:r>
      <w:r>
        <w:t xml:space="preserve">, </w:t>
      </w:r>
      <w:r>
        <w:rPr>
          <w:i/>
        </w:rPr>
        <w:t>Superannuation Industry Revenue Report 2012,</w:t>
      </w:r>
      <w:r w:rsidRPr="004F6ACC">
        <w:t xml:space="preserve"> http://www.rainmaker.com.au/research/industry_reports/superannuation</w:t>
      </w:r>
    </w:p>
    <w:p w:rsidR="004F7433" w:rsidRPr="007A088F" w:rsidRDefault="004F7433" w:rsidP="004F7433">
      <w:pPr>
        <w:pStyle w:val="Reference"/>
      </w:pPr>
      <w:r w:rsidRPr="007A088F">
        <w:t xml:space="preserve">Topp, V. and Kulys, T. 2012, </w:t>
      </w:r>
      <w:r w:rsidRPr="007A088F">
        <w:rPr>
          <w:i/>
          <w:iCs/>
        </w:rPr>
        <w:t>Productivity in Electricity, Gas and Water: Measurement and Interpretation</w:t>
      </w:r>
      <w:r w:rsidRPr="007A088F">
        <w:t>, Productivity Commission Staff Working Paper, Canberra.</w:t>
      </w:r>
    </w:p>
    <w:p w:rsidR="004F7433" w:rsidRPr="007A088F" w:rsidRDefault="004F7433" w:rsidP="004F7433">
      <w:pPr>
        <w:pStyle w:val="Reference"/>
      </w:pPr>
      <w:r w:rsidRPr="007A088F">
        <w:t xml:space="preserve">——, Soames, L., Parham, D. and Bloch, H. 2008, </w:t>
      </w:r>
      <w:r w:rsidRPr="007A088F">
        <w:rPr>
          <w:i/>
          <w:iCs/>
        </w:rPr>
        <w:t>Productivity in the Mining Industry: Measurement and Interpretation</w:t>
      </w:r>
      <w:r w:rsidRPr="007A088F">
        <w:t>, Productivity Commission Staff Working Paper, Canberra.</w:t>
      </w:r>
    </w:p>
    <w:p w:rsidR="004F7433" w:rsidRPr="002C4AB7" w:rsidRDefault="004F7433" w:rsidP="004F7433">
      <w:pPr>
        <w:pStyle w:val="Reference"/>
        <w:rPr>
          <w:highlight w:val="yellow"/>
        </w:rPr>
      </w:pPr>
      <w:r w:rsidRPr="00004E53">
        <w:t xml:space="preserve">Triplett, </w:t>
      </w:r>
      <w:r w:rsidR="00A20D2E" w:rsidRPr="00004E53">
        <w:t>J.</w:t>
      </w:r>
      <w:r w:rsidR="00A20D2E">
        <w:t xml:space="preserve"> </w:t>
      </w:r>
      <w:r w:rsidR="00A20D2E" w:rsidRPr="00004E53">
        <w:t>E</w:t>
      </w:r>
      <w:r w:rsidRPr="00004E53">
        <w:t xml:space="preserve">. and Bosworth, B. 2004, </w:t>
      </w:r>
      <w:r w:rsidRPr="00004E53">
        <w:rPr>
          <w:i/>
          <w:iCs/>
        </w:rPr>
        <w:t>Productivity in the U.S. Services Sector: New Sources of Economic Growth</w:t>
      </w:r>
      <w:r w:rsidRPr="00004E53">
        <w:t>, Brookings Institution Press.</w:t>
      </w:r>
    </w:p>
    <w:p w:rsidR="00004E53" w:rsidRDefault="00004E53" w:rsidP="00004E53">
      <w:pPr>
        <w:pStyle w:val="Reference"/>
      </w:pPr>
      <w:r w:rsidRPr="00004E53">
        <w:lastRenderedPageBreak/>
        <w:t>Turner, G. 2011 Depositor protection in Australia, Reserve Bank of Australia Bulletin, December Quarter 2011, pp. 45-55.</w:t>
      </w:r>
    </w:p>
    <w:p w:rsidR="00004E53" w:rsidRDefault="00004E53" w:rsidP="00004E53">
      <w:pPr>
        <w:pStyle w:val="Reference"/>
      </w:pPr>
      <w:r>
        <w:t xml:space="preserve">Warner, R. 2012, </w:t>
      </w:r>
      <w:r>
        <w:rPr>
          <w:i/>
          <w:iCs/>
        </w:rPr>
        <w:t>Superannuation Fees Research</w:t>
      </w:r>
      <w:r>
        <w:t>, Prepared for the Financial Services Council, Sydney.</w:t>
      </w:r>
    </w:p>
    <w:p w:rsidR="00313EB0" w:rsidRPr="002C4AB7" w:rsidRDefault="00004E53" w:rsidP="00610187">
      <w:pPr>
        <w:pStyle w:val="Reference"/>
        <w:rPr>
          <w:highlight w:val="yellow"/>
        </w:rPr>
      </w:pPr>
      <w:r>
        <w:t xml:space="preserve">—— 2014, </w:t>
      </w:r>
      <w:r>
        <w:rPr>
          <w:i/>
          <w:iCs/>
        </w:rPr>
        <w:t>FSC Superannuation Fees Report 2013</w:t>
      </w:r>
      <w:r>
        <w:t>, Prepared for the Financial Services Council, Sydney.</w:t>
      </w:r>
    </w:p>
    <w:sectPr w:rsidR="00313EB0" w:rsidRPr="002C4AB7" w:rsidSect="006F2AF4">
      <w:headerReference w:type="even" r:id="rId61"/>
      <w:headerReference w:type="default" r:id="rId62"/>
      <w:footerReference w:type="even" r:id="rId63"/>
      <w:footerReference w:type="default" r:id="rId64"/>
      <w:type w:val="oddPage"/>
      <w:pgSz w:w="11907" w:h="16840" w:code="9"/>
      <w:pgMar w:top="1984" w:right="1304" w:bottom="1247" w:left="1814" w:header="1701" w:footer="397" w:gutter="0"/>
      <w:pgNumType w:start="1" w:chapSep="period"/>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E33" w:rsidRDefault="00E66E33">
      <w:r>
        <w:separator/>
      </w:r>
    </w:p>
  </w:endnote>
  <w:endnote w:type="continuationSeparator" w:id="0">
    <w:p w:rsidR="00E66E33" w:rsidRDefault="00E66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Default="00E66E33">
          <w:pPr>
            <w:pStyle w:val="Footer"/>
            <w:ind w:right="360" w:firstLine="360"/>
          </w:pPr>
        </w:p>
      </w:tc>
      <w:tc>
        <w:tcPr>
          <w:tcW w:w="7767" w:type="dxa"/>
        </w:tcPr>
        <w:p w:rsidR="00E66E33" w:rsidRPr="00BA5B14" w:rsidRDefault="00E66E33" w:rsidP="002144D7">
          <w:pPr>
            <w:pStyle w:val="Footer"/>
            <w:jc w:val="right"/>
            <w:rPr>
              <w:rFonts w:cs="Arial"/>
            </w:rPr>
          </w:pPr>
          <w:r w:rsidRPr="00BA5B14">
            <w:rPr>
              <w:rFonts w:cs="Arial"/>
            </w:rPr>
            <w:fldChar w:fldCharType="begin"/>
          </w:r>
          <w:r w:rsidRPr="00BA5B14">
            <w:rPr>
              <w:rFonts w:cs="Arial"/>
            </w:rPr>
            <w:instrText xml:space="preserve"> SUBJECT  \* MERGEFORMAT </w:instrText>
          </w:r>
          <w:r w:rsidRPr="00BA5B14">
            <w:rPr>
              <w:rFonts w:cs="Arial"/>
            </w:rPr>
            <w:fldChar w:fldCharType="separate"/>
          </w:r>
          <w:r>
            <w:rPr>
              <w:rFonts w:cs="Arial"/>
            </w:rPr>
            <w:t>PRODUCTIVITY IN FINANCIAL AND INSURANCE SERVICES</w:t>
          </w:r>
          <w:r w:rsidRPr="00BA5B14">
            <w:rPr>
              <w:rFonts w:cs="Arial"/>
            </w:rPr>
            <w:fldChar w:fldCharType="end"/>
          </w:r>
        </w:p>
      </w:tc>
      <w:tc>
        <w:tcPr>
          <w:tcW w:w="510" w:type="dxa"/>
        </w:tcPr>
        <w:p w:rsidR="00E66E33" w:rsidRPr="00A24443" w:rsidRDefault="00E66E3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4B91">
            <w:rPr>
              <w:rStyle w:val="PageNumber"/>
              <w:caps w:val="0"/>
              <w:noProof/>
            </w:rPr>
            <w:t>1</w:t>
          </w:r>
          <w:r w:rsidRPr="00A24443">
            <w:rPr>
              <w:rStyle w:val="PageNumber"/>
              <w:caps w:val="0"/>
            </w:rPr>
            <w:fldChar w:fldCharType="end"/>
          </w:r>
        </w:p>
      </w:tc>
    </w:tr>
  </w:tbl>
  <w:p w:rsidR="00E66E33" w:rsidRDefault="00E66E33">
    <w:pPr>
      <w:pStyle w:val="FooterEnd"/>
    </w:pPr>
  </w:p>
  <w:p w:rsidR="00E66E33" w:rsidRDefault="00E66E3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Pr="00A24443" w:rsidRDefault="00E66E3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4B91">
            <w:rPr>
              <w:rStyle w:val="PageNumber"/>
              <w:caps w:val="0"/>
              <w:noProof/>
            </w:rPr>
            <w:t>34</w:t>
          </w:r>
          <w:r w:rsidRPr="00A24443">
            <w:rPr>
              <w:rStyle w:val="PageNumber"/>
              <w:caps w:val="0"/>
            </w:rPr>
            <w:fldChar w:fldCharType="end"/>
          </w:r>
        </w:p>
      </w:tc>
      <w:tc>
        <w:tcPr>
          <w:tcW w:w="7767" w:type="dxa"/>
        </w:tcPr>
        <w:p w:rsidR="00E66E33" w:rsidRPr="0013739A" w:rsidRDefault="00E66E33" w:rsidP="002144D7">
          <w:pPr>
            <w:pStyle w:val="Footer"/>
            <w:rPr>
              <w:rFonts w:cs="Arial"/>
            </w:rPr>
          </w:pPr>
          <w:r>
            <w:rPr>
              <w:rFonts w:cs="Arial"/>
            </w:rPr>
            <w:t>Staff research note</w:t>
          </w:r>
        </w:p>
      </w:tc>
      <w:tc>
        <w:tcPr>
          <w:tcW w:w="510" w:type="dxa"/>
        </w:tcPr>
        <w:p w:rsidR="00E66E33" w:rsidRDefault="00E66E33" w:rsidP="0019293B">
          <w:pPr>
            <w:pStyle w:val="Footer"/>
          </w:pPr>
        </w:p>
      </w:tc>
    </w:tr>
  </w:tbl>
  <w:p w:rsidR="00E66E33" w:rsidRDefault="00E66E33" w:rsidP="0019293B">
    <w:pPr>
      <w:pStyle w:val="FooterEnd"/>
    </w:pPr>
  </w:p>
  <w:p w:rsidR="00E66E33" w:rsidRDefault="00E66E33" w:rsidP="0019293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66E33" w:rsidTr="002144D7">
      <w:trPr>
        <w:trHeight w:hRule="exact" w:val="567"/>
      </w:trPr>
      <w:tc>
        <w:tcPr>
          <w:tcW w:w="510" w:type="dxa"/>
        </w:tcPr>
        <w:p w:rsidR="00E66E33" w:rsidRDefault="00E66E33">
          <w:pPr>
            <w:pStyle w:val="Footer"/>
            <w:ind w:right="360" w:firstLine="360"/>
          </w:pPr>
        </w:p>
      </w:tc>
      <w:tc>
        <w:tcPr>
          <w:tcW w:w="7767" w:type="dxa"/>
        </w:tcPr>
        <w:p w:rsidR="00E66E33" w:rsidRPr="00BA5B14" w:rsidRDefault="00E66E33" w:rsidP="002144D7">
          <w:pPr>
            <w:pStyle w:val="Footer"/>
            <w:jc w:val="right"/>
            <w:rPr>
              <w:rFonts w:cs="Arial"/>
            </w:rPr>
          </w:pPr>
          <w:r>
            <w:rPr>
              <w:rFonts w:cs="Arial"/>
            </w:rPr>
            <w:t>PRODUCTIVITY IN FINANCIAL AND INSURANCE SERVICES</w:t>
          </w:r>
        </w:p>
      </w:tc>
      <w:tc>
        <w:tcPr>
          <w:tcW w:w="510" w:type="dxa"/>
        </w:tcPr>
        <w:p w:rsidR="00E66E33" w:rsidRPr="00A24443" w:rsidRDefault="00E66E3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4B91">
            <w:rPr>
              <w:rStyle w:val="PageNumber"/>
              <w:caps w:val="0"/>
              <w:noProof/>
            </w:rPr>
            <w:t>35</w:t>
          </w:r>
          <w:r w:rsidRPr="00A24443">
            <w:rPr>
              <w:rStyle w:val="PageNumber"/>
              <w:caps w:val="0"/>
            </w:rPr>
            <w:fldChar w:fldCharType="end"/>
          </w:r>
        </w:p>
      </w:tc>
    </w:tr>
  </w:tbl>
  <w:p w:rsidR="00E66E33" w:rsidRDefault="00E66E33">
    <w:pPr>
      <w:pStyle w:val="FooterEnd"/>
    </w:pPr>
  </w:p>
  <w:p w:rsidR="00E66E33" w:rsidRDefault="00E66E3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E33" w:rsidRDefault="00E66E33">
      <w:r>
        <w:separator/>
      </w:r>
    </w:p>
  </w:footnote>
  <w:footnote w:type="continuationSeparator" w:id="0">
    <w:p w:rsidR="00E66E33" w:rsidRDefault="00E66E33">
      <w:r>
        <w:continuationSeparator/>
      </w:r>
    </w:p>
  </w:footnote>
  <w:footnote w:id="1">
    <w:p w:rsidR="00E66E33" w:rsidRDefault="00E66E33" w:rsidP="00E7575C">
      <w:pPr>
        <w:pStyle w:val="FootnoteText"/>
      </w:pPr>
      <w:r>
        <w:rPr>
          <w:rStyle w:val="FootnoteReference"/>
        </w:rPr>
        <w:footnoteRef/>
      </w:r>
      <w:r>
        <w:tab/>
        <w:t xml:space="preserve">Including </w:t>
      </w:r>
      <w:r w:rsidRPr="00072A9F">
        <w:t xml:space="preserve">major investment programs </w:t>
      </w:r>
      <w:r>
        <w:t>that</w:t>
      </w:r>
      <w:r w:rsidRPr="00072A9F">
        <w:t xml:space="preserve"> acted to increase input growth ahead of output growth</w:t>
      </w:r>
      <w:r>
        <w:t xml:space="preserve"> </w:t>
      </w:r>
      <w:r w:rsidRPr="00072A9F">
        <w:t>in Mining and Utilities,</w:t>
      </w:r>
      <w:r>
        <w:t xml:space="preserve"> and</w:t>
      </w:r>
      <w:r w:rsidRPr="00072A9F">
        <w:t xml:space="preserve"> the effect of natural disasters, including drought and floods, on output</w:t>
      </w:r>
      <w:r>
        <w:t xml:space="preserve"> in Agriculture (2003</w:t>
      </w:r>
      <w:r>
        <w:noBreakHyphen/>
        <w:t>04 to 2009</w:t>
      </w:r>
      <w:r>
        <w:noBreakHyphen/>
        <w:t>10) and Utilities.</w:t>
      </w:r>
    </w:p>
  </w:footnote>
  <w:footnote w:id="2">
    <w:p w:rsidR="00E66E33" w:rsidRDefault="00E66E33" w:rsidP="00E60268">
      <w:pPr>
        <w:pStyle w:val="FootnoteText"/>
      </w:pPr>
      <w:r>
        <w:rPr>
          <w:rStyle w:val="FootnoteReference"/>
        </w:rPr>
        <w:footnoteRef/>
      </w:r>
      <w:r>
        <w:tab/>
        <w:t>See Topp et. al. (2008) on Mining, Topp and Kulys (2012) on Electricity, gas, water and waste services, and Barnes et. al, (2013) on Manufacturing.</w:t>
      </w:r>
    </w:p>
  </w:footnote>
  <w:footnote w:id="3">
    <w:p w:rsidR="00E66E33" w:rsidRDefault="00E66E33" w:rsidP="005D0B4A">
      <w:pPr>
        <w:pStyle w:val="FootnoteText"/>
      </w:pPr>
      <w:r>
        <w:rPr>
          <w:rStyle w:val="FootnoteReference"/>
        </w:rPr>
        <w:footnoteRef/>
      </w:r>
      <w:r>
        <w:tab/>
        <w:t>In</w:t>
      </w:r>
      <w:r w:rsidRPr="00D823EE">
        <w:t xml:space="preserve"> some cases different parts of a business will be allocat</w:t>
      </w:r>
      <w:r>
        <w:t>ed to multiple subdivisions. For more detail see ABS (2014a).</w:t>
      </w:r>
    </w:p>
  </w:footnote>
  <w:footnote w:id="4">
    <w:p w:rsidR="00E66E33" w:rsidRDefault="00E66E33" w:rsidP="00823672">
      <w:pPr>
        <w:pStyle w:val="FootnoteText"/>
      </w:pPr>
      <w:r>
        <w:rPr>
          <w:rStyle w:val="FootnoteReference"/>
        </w:rPr>
        <w:footnoteRef/>
      </w:r>
      <w:r>
        <w:tab/>
        <w:t>In calculating MFP output is measured as value added — gross output (production) less intermediate inputs.</w:t>
      </w:r>
    </w:p>
  </w:footnote>
  <w:footnote w:id="5">
    <w:p w:rsidR="00E66E33" w:rsidRDefault="00E66E33">
      <w:pPr>
        <w:pStyle w:val="FootnoteText"/>
      </w:pPr>
      <w:r>
        <w:rPr>
          <w:rStyle w:val="FootnoteReference"/>
        </w:rPr>
        <w:footnoteRef/>
      </w:r>
      <w:r>
        <w:tab/>
        <w:t>ISA corresponds to subdivisions 63 and 64 in Table 1.</w:t>
      </w:r>
    </w:p>
  </w:footnote>
  <w:footnote w:id="6">
    <w:p w:rsidR="00E66E33" w:rsidRDefault="00E66E33" w:rsidP="00344095">
      <w:pPr>
        <w:pStyle w:val="FootnoteText"/>
      </w:pPr>
      <w:r>
        <w:rPr>
          <w:rStyle w:val="FootnoteReference"/>
        </w:rPr>
        <w:footnoteRef/>
      </w:r>
      <w:r>
        <w:tab/>
        <w:t xml:space="preserve">For a detailed description of productivity measurement and some of the general measurement issues see Gordon, Zhao and Gretton (2015). </w:t>
      </w:r>
    </w:p>
  </w:footnote>
  <w:footnote w:id="7">
    <w:p w:rsidR="00E66E33" w:rsidRDefault="00E66E33" w:rsidP="00105BA3">
      <w:pPr>
        <w:pStyle w:val="FootnoteText"/>
      </w:pPr>
      <w:r>
        <w:rPr>
          <w:rStyle w:val="FootnoteReference"/>
        </w:rPr>
        <w:footnoteRef/>
      </w:r>
      <w:r>
        <w:tab/>
        <w:t>This assumes that the quality improvements in Financial and insurance services are represented by the characteristic improvements, as measured, across the bundle of goods and services included in the CPI.</w:t>
      </w:r>
    </w:p>
  </w:footnote>
  <w:footnote w:id="8">
    <w:p w:rsidR="00E66E33" w:rsidRDefault="00E66E33">
      <w:pPr>
        <w:pStyle w:val="FootnoteText"/>
      </w:pPr>
      <w:r>
        <w:rPr>
          <w:rStyle w:val="FootnoteReference"/>
        </w:rPr>
        <w:footnoteRef/>
      </w:r>
      <w:r>
        <w:tab/>
        <w:t>ABS (2006) provides more details about the measurement of capital.</w:t>
      </w:r>
    </w:p>
  </w:footnote>
  <w:footnote w:id="9">
    <w:p w:rsidR="00E66E33" w:rsidRDefault="00E66E33" w:rsidP="00105BA3">
      <w:pPr>
        <w:pStyle w:val="FootnoteText"/>
      </w:pPr>
      <w:r w:rsidRPr="00046658">
        <w:rPr>
          <w:rStyle w:val="FootnoteReference"/>
        </w:rPr>
        <w:footnoteRef/>
      </w:r>
      <w:r>
        <w:tab/>
        <w:t>Detailed data on the components of production were available only from 1994-95 to 2011-12.</w:t>
      </w:r>
    </w:p>
  </w:footnote>
  <w:footnote w:id="10">
    <w:p w:rsidR="00E66E33" w:rsidRDefault="00E66E33">
      <w:pPr>
        <w:pStyle w:val="FootnoteText"/>
      </w:pPr>
      <w:r>
        <w:rPr>
          <w:rStyle w:val="FootnoteReference"/>
        </w:rPr>
        <w:footnoteRef/>
      </w:r>
      <w:r>
        <w:t xml:space="preserve"> The insurance service charge estimate includes both the premium based measure for non-life insurance and the direct cost based measure for life insurance and superannuation. In this section these approaches are discussed separately.</w:t>
      </w:r>
    </w:p>
  </w:footnote>
  <w:footnote w:id="11">
    <w:p w:rsidR="00E66E33" w:rsidRDefault="00E66E33" w:rsidP="00D80572">
      <w:pPr>
        <w:pStyle w:val="FootnoteText"/>
      </w:pPr>
      <w:r>
        <w:rPr>
          <w:rStyle w:val="FootnoteReference"/>
        </w:rPr>
        <w:footnoteRef/>
      </w:r>
      <w:r>
        <w:tab/>
        <w:t>This effect on MFP will be bigger than the effect on a measure of total factor productivity (TFP) as TFP statistics include intermediate inputs on both sides of the growth equation.</w:t>
      </w:r>
    </w:p>
  </w:footnote>
  <w:footnote w:id="12">
    <w:p w:rsidR="00E66E33" w:rsidRDefault="00E66E33" w:rsidP="002C396D">
      <w:pPr>
        <w:pStyle w:val="FootnoteText"/>
      </w:pPr>
      <w:r>
        <w:rPr>
          <w:rStyle w:val="FootnoteReference"/>
        </w:rPr>
        <w:footnoteRef/>
      </w:r>
      <w:r>
        <w:tab/>
        <w:t>SNA08 measures insurance output as premiums less claims, however it has been argued that it should be measured as just premiums (see Triplett and Bosworth </w:t>
      </w:r>
      <w:r>
        <w:fldChar w:fldCharType="begin"/>
      </w:r>
      <w:r>
        <w:instrText xml:space="preserve"> ADDIN ZOTERO_ITEM CSL_CITATION {"citationID":"70c8s8pjm","properties":{"formattedCitation":"(2004)","plainCitation":"(2004)"},"citationItems":[{"id":1042,"uris":["http://zotero.org/groups/236827/items/CE5KTIU9"],"uri":["http://zotero.org/groups/236827/items/CE5KTIU9"],"itemData":{"id":1042,"type":"book","title":"Productivity in the U.S. Services Sector: New Sources of Economic Growth","publisher":"Brookings Institution Press","number-of-pages":"420","source":"Google Books","abstract":"The services industries —which include jobs ranging from flipping hamburgers to providing investment advice —can no longer be characterized, as they have in the past, as a stagnant sector marked by low productivity growth. They have emerged as one of the most dynamic and innovative segments of the U.S. economy, now accounting for more than three-quarters of gross domestic product. During the 1990s, 19 million additional jobs were created in this sector, while growth was stagnant in the goods-producing sector.Here, Jack Triplett and Barry Bosworth analyze services sector productivity, demonstrating that fundamental changes have taken place in this sector of the U.S. economy. They show that growth in the services industries fueled the post-1995 expansion in the U.S. productivity and assess the role of information technology in transforming and accelerating services productivity. In addition to their findings for the services sector as a whole, they include separate chapters for a diverse range of industries within the sector, including transportation and communications, wholesale and retail trade, and finance and insurance.The authors also examine productivity measurement issues, chiefly statistical methods for measuring services industry output. They highlight the importance of making improvements within the U.S. statistical system to provide the more accurate and relevant measures essential for analyzing productivity and economic growth.","ISBN":"0815796633","shortTitle":"Productivity in the U.S. Services Sector","language":"en","author":[{"family":"Triplett","given":"Jack E."},{"family":"Bosworth","given":"Barry"}],"issued":{"date-parts":[["2004"]]}},"suppress-author":true}],"schema":"https://github.com/citation-style-language/schema/raw/master/csl-citation.json"} </w:instrText>
      </w:r>
      <w:r>
        <w:fldChar w:fldCharType="separate"/>
      </w:r>
      <w:r>
        <w:t>(2004)</w:t>
      </w:r>
      <w:r>
        <w:fldChar w:fldCharType="end"/>
      </w:r>
      <w:r>
        <w:t>). The difference in the conceptual framework between the two measures is that the first is based on insurance being risk pooling, while the second is based on insurance companies assuming the risk. In both approaches, income on reserves or premium supplements are included in output — although again with different rationales. Both approaches to measuring gross output of the insurance industry will lead to the same level of value added as in the ‘premiums’ approach to gross output, claims are deducted when estimating value added.</w:t>
      </w:r>
    </w:p>
  </w:footnote>
  <w:footnote w:id="13">
    <w:p w:rsidR="00E66E33" w:rsidRDefault="00E66E33" w:rsidP="00E40A7C">
      <w:pPr>
        <w:pStyle w:val="FootnoteText"/>
      </w:pPr>
      <w:r>
        <w:rPr>
          <w:rStyle w:val="FootnoteReference"/>
        </w:rPr>
        <w:footnoteRef/>
      </w:r>
      <w:r>
        <w:tab/>
        <w:t>APRA </w:t>
      </w:r>
      <w:r>
        <w:fldChar w:fldCharType="begin"/>
      </w:r>
      <w:r>
        <w:instrText xml:space="preserve"> ADDIN ZOTERO_ITEM CSL_CITATION {"citationID":"t9pZHNI5","properties":{"formattedCitation":"{\\rtf (2014, p.\\uc0\\u160{}101)}","plainCitation":"(2014, p. 101)"},"citationItems":[{"id":1083,"uris":["http://zotero.org/groups/236827/items/HF9G6T4C"],"uri":["http://zotero.org/groups/236827/items/HF9G6T4C"],"itemData":{"id":1083,"type":"webpage","title":"APRA's Submission to the 2014 Financial System Inquiry (Murray Inquiry)","URL":"http://www.apra.gov.au/Submissions/Pages/14_01.aspx","note":"APRA's submission to 2014 Financial System Inquiry (Murray Inquiry), 31 March 2014","language":"en","author":[{"family":"APRA","given":""}],"issued":{"date-parts":[["2014"]]},"accessed":{"date-parts":[["2014",9,30]]}},"locator":"101","label":"page","suppress-author":true}],"schema":"https://github.com/citation-style-language/schema/raw/master/csl-citation.json"} </w:instrText>
      </w:r>
      <w:r>
        <w:fldChar w:fldCharType="separate"/>
      </w:r>
      <w:r>
        <w:rPr>
          <w:szCs w:val="24"/>
        </w:rPr>
        <w:t>(2014, p. 101)</w:t>
      </w:r>
      <w:r>
        <w:fldChar w:fldCharType="end"/>
      </w:r>
      <w:r>
        <w:t xml:space="preserve"> noted that a large portion of reinsurance costs for professional indemnity insurance were passed on to reinsurers — which if they are overseas reinsurers will not show up as an effect on ABS gross output measure for the Australian industry. </w:t>
      </w:r>
    </w:p>
  </w:footnote>
  <w:footnote w:id="14">
    <w:p w:rsidR="00E66E33" w:rsidRDefault="00E66E33" w:rsidP="002F2E2C">
      <w:pPr>
        <w:pStyle w:val="FootnoteText"/>
      </w:pPr>
      <w:r>
        <w:rPr>
          <w:rStyle w:val="FootnoteReference"/>
        </w:rPr>
        <w:footnoteRef/>
      </w:r>
      <w:r>
        <w:tab/>
        <w:t>Based on authors’ estimates derived from unpublished ABS data.</w:t>
      </w:r>
    </w:p>
  </w:footnote>
  <w:footnote w:id="15">
    <w:p w:rsidR="00E66E33" w:rsidRDefault="00E66E33" w:rsidP="00124C88">
      <w:pPr>
        <w:pStyle w:val="FootnoteText"/>
      </w:pPr>
      <w:r>
        <w:rPr>
          <w:rStyle w:val="FootnoteReference"/>
        </w:rPr>
        <w:footnoteRef/>
      </w:r>
      <w:r>
        <w:tab/>
        <w:t xml:space="preserve">The Simplified Superannuation reforms included the introduction of tax free income stream payments for those over the age of 60, the removal of limits to lifetime concessional superannuation benefits and the streamlining of the transfer of assets between funds. It also included transitional arrangements for those under 65 who could bring forward two years of concessional contributions </w:t>
      </w:r>
      <w:r>
        <w:fldChar w:fldCharType="begin"/>
      </w:r>
      <w:r>
        <w:instrText xml:space="preserve"> ADDIN ZOTERO_ITEM CSL_CITATION {"citationID":"291am5cjqi","properties":{"formattedCitation":"{\\rtf (Commonwealth of Australia\\uc0\\u160{}2006)}","plainCitation":"(Commonwealth of Australia 2006)"},"citationItems":[{"id":1110,"uris":["http://zotero.org/groups/236827/items/MKXDAD5V"],"uri":["http://zotero.org/groups/236827/items/MKXDAD5V"],"itemData":{"id":1110,"type":"report","title":"Simplified Superannuation - Final Decisions","publisher-place":"Canberra","event-place":"Canberra","URL":"http://www.simplersuper.treasury.gov.au/documents/decision/html/final_decision_full.asp","author":[{"family":"Commonwealth of Australia","given":""}],"issued":{"date-parts":[["2006",9,5]]},"accessed":{"date-parts":[["2014",10,29]]}}}],"schema":"https://github.com/citation-style-language/schema/raw/master/csl-citation.json"} </w:instrText>
      </w:r>
      <w:r>
        <w:fldChar w:fldCharType="separate"/>
      </w:r>
      <w:r>
        <w:rPr>
          <w:szCs w:val="24"/>
        </w:rPr>
        <w:t>(Commonwealth of Australia 2006)</w:t>
      </w:r>
      <w:r>
        <w:fldChar w:fldCharType="end"/>
      </w:r>
      <w:r>
        <w:t>.</w:t>
      </w:r>
    </w:p>
  </w:footnote>
  <w:footnote w:id="16">
    <w:p w:rsidR="00E66E33" w:rsidRDefault="00E66E33" w:rsidP="00124C88">
      <w:pPr>
        <w:pStyle w:val="FootnoteText"/>
      </w:pPr>
      <w:r>
        <w:rPr>
          <w:rStyle w:val="FootnoteReference"/>
        </w:rPr>
        <w:footnoteRef/>
      </w:r>
      <w:r>
        <w:tab/>
        <w:t>Defined benefit plans provide members with a predetermined income benefit which is generally based on the member’s final salary and length of service. Defined contribution plans invest the member’s contributions, with investment returns credited to the members account.</w:t>
      </w:r>
    </w:p>
  </w:footnote>
  <w:footnote w:id="17">
    <w:p w:rsidR="00E66E33" w:rsidRDefault="00E66E33" w:rsidP="00124C88">
      <w:pPr>
        <w:pStyle w:val="FootnoteText"/>
      </w:pPr>
      <w:r>
        <w:rPr>
          <w:rStyle w:val="FootnoteReference"/>
        </w:rPr>
        <w:footnoteRef/>
      </w:r>
      <w:r>
        <w:tab/>
        <w:t xml:space="preserve">A recent study by the Grattan Institute suggests that the increased returns from active management (to the extent they do occur) are outweighed by the additional costs of production (Minifie 2015). This suggests that this is not an ‘artisan baker’ effect where problems with measuring quality lead to productivity being underestimated by MFP statistics. In the case of artisan bread, the consumer is happy to pay more for a higher quality product that involves more inputs to produce (Barnes et al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66E33">
      <w:tc>
        <w:tcPr>
          <w:tcW w:w="6634" w:type="dxa"/>
          <w:tcBorders>
            <w:top w:val="single" w:sz="6" w:space="0" w:color="auto"/>
          </w:tcBorders>
        </w:tcPr>
        <w:p w:rsidR="00E66E33" w:rsidRDefault="00E66E33" w:rsidP="0045789F">
          <w:pPr>
            <w:pStyle w:val="HeaderOdd"/>
          </w:pPr>
        </w:p>
      </w:tc>
      <w:tc>
        <w:tcPr>
          <w:tcW w:w="2155" w:type="dxa"/>
          <w:tcBorders>
            <w:top w:val="single" w:sz="24" w:space="0" w:color="auto"/>
          </w:tcBorders>
        </w:tcPr>
        <w:p w:rsidR="00E66E33" w:rsidRDefault="00E66E33" w:rsidP="00E669E2">
          <w:pPr>
            <w:pStyle w:val="HeaderOdd"/>
          </w:pPr>
        </w:p>
      </w:tc>
    </w:tr>
  </w:tbl>
  <w:p w:rsidR="00E66E33" w:rsidRDefault="00E66E33" w:rsidP="00E669E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E66E33">
      <w:tc>
        <w:tcPr>
          <w:tcW w:w="2155" w:type="dxa"/>
          <w:tcBorders>
            <w:top w:val="single" w:sz="24" w:space="0" w:color="auto"/>
          </w:tcBorders>
        </w:tcPr>
        <w:p w:rsidR="00E66E33" w:rsidRDefault="00E66E33" w:rsidP="0019293B">
          <w:pPr>
            <w:pStyle w:val="HeaderEven"/>
          </w:pPr>
        </w:p>
      </w:tc>
      <w:tc>
        <w:tcPr>
          <w:tcW w:w="6634" w:type="dxa"/>
          <w:tcBorders>
            <w:top w:val="single" w:sz="6" w:space="0" w:color="auto"/>
          </w:tcBorders>
        </w:tcPr>
        <w:p w:rsidR="00E66E33" w:rsidRDefault="00E66E33" w:rsidP="0019293B">
          <w:pPr>
            <w:pStyle w:val="HeaderEven"/>
          </w:pPr>
        </w:p>
      </w:tc>
    </w:tr>
  </w:tbl>
  <w:p w:rsidR="00E66E33" w:rsidRDefault="00E66E33" w:rsidP="0019293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66E33">
      <w:tc>
        <w:tcPr>
          <w:tcW w:w="6634" w:type="dxa"/>
          <w:tcBorders>
            <w:top w:val="single" w:sz="6" w:space="0" w:color="auto"/>
          </w:tcBorders>
        </w:tcPr>
        <w:p w:rsidR="00E66E33" w:rsidRDefault="00E66E33" w:rsidP="0045789F">
          <w:pPr>
            <w:pStyle w:val="HeaderOdd"/>
          </w:pPr>
        </w:p>
      </w:tc>
      <w:tc>
        <w:tcPr>
          <w:tcW w:w="2155" w:type="dxa"/>
          <w:tcBorders>
            <w:top w:val="single" w:sz="24" w:space="0" w:color="auto"/>
          </w:tcBorders>
        </w:tcPr>
        <w:p w:rsidR="00E66E33" w:rsidRDefault="00E66E33" w:rsidP="00E669E2">
          <w:pPr>
            <w:pStyle w:val="HeaderOdd"/>
          </w:pPr>
        </w:p>
      </w:tc>
    </w:tr>
  </w:tbl>
  <w:p w:rsidR="00E66E33" w:rsidRDefault="00E66E33"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0B5AF1CA"/>
    <w:lvl w:ilvl="0">
      <w:start w:val="1"/>
      <w:numFmt w:val="decimal"/>
      <w:lvlText w:val="%1."/>
      <w:lvlJc w:val="left"/>
      <w:pPr>
        <w:tabs>
          <w:tab w:val="num" w:pos="360"/>
        </w:tabs>
        <w:ind w:left="360" w:hanging="360"/>
      </w:pPr>
    </w:lvl>
  </w:abstractNum>
  <w:abstractNum w:abstractNumId="2">
    <w:nsid w:val="FFFFFFFE"/>
    <w:multiLevelType w:val="singleLevel"/>
    <w:tmpl w:val="FFFFFFFF"/>
    <w:lvl w:ilvl="0">
      <w:numFmt w:val="decimal"/>
      <w:lvlText w:val="*"/>
      <w:lvlJc w:val="left"/>
    </w:lvl>
  </w:abstractNum>
  <w:abstractNum w:abstractNumId="3">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nsid w:val="0B487953"/>
    <w:multiLevelType w:val="multilevel"/>
    <w:tmpl w:val="7B8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BF83FA7"/>
    <w:multiLevelType w:val="multilevel"/>
    <w:tmpl w:val="61F4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F576748"/>
    <w:multiLevelType w:val="multilevel"/>
    <w:tmpl w:val="1BA8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nsid w:val="3C9E39B0"/>
    <w:multiLevelType w:val="hybridMultilevel"/>
    <w:tmpl w:val="B94A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AF56F6"/>
    <w:multiLevelType w:val="hybridMultilevel"/>
    <w:tmpl w:val="D0723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CD4F35"/>
    <w:multiLevelType w:val="multilevel"/>
    <w:tmpl w:val="C8F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nsid w:val="68C87C9D"/>
    <w:multiLevelType w:val="multilevel"/>
    <w:tmpl w:val="D5F4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114E58"/>
    <w:multiLevelType w:val="multilevel"/>
    <w:tmpl w:val="81C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0">
    <w:nsid w:val="7D0E5CE8"/>
    <w:multiLevelType w:val="multilevel"/>
    <w:tmpl w:val="FF98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A95CD7"/>
    <w:multiLevelType w:val="multilevel"/>
    <w:tmpl w:val="EFB2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28"/>
  </w:num>
  <w:num w:numId="4">
    <w:abstractNumId w:val="3"/>
  </w:num>
  <w:num w:numId="5">
    <w:abstractNumId w:val="20"/>
  </w:num>
  <w:num w:numId="6">
    <w:abstractNumId w:val="4"/>
  </w:num>
  <w:num w:numId="7">
    <w:abstractNumId w:val="25"/>
  </w:num>
  <w:num w:numId="8">
    <w:abstractNumId w:val="22"/>
  </w:num>
  <w:num w:numId="9">
    <w:abstractNumId w:val="29"/>
  </w:num>
  <w:num w:numId="10">
    <w:abstractNumId w:val="12"/>
  </w:num>
  <w:num w:numId="11">
    <w:abstractNumId w:val="9"/>
  </w:num>
  <w:num w:numId="12">
    <w:abstractNumId w:val="21"/>
  </w:num>
  <w:num w:numId="13">
    <w:abstractNumId w:val="8"/>
  </w:num>
  <w:num w:numId="14">
    <w:abstractNumId w:val="7"/>
  </w:num>
  <w:num w:numId="15">
    <w:abstractNumId w:val="13"/>
  </w:num>
  <w:num w:numId="16">
    <w:abstractNumId w:val="18"/>
  </w:num>
  <w:num w:numId="17">
    <w:abstractNumId w:val="23"/>
  </w:num>
  <w:num w:numId="18">
    <w:abstractNumId w:val="24"/>
  </w:num>
  <w:num w:numId="19">
    <w:abstractNumId w:val="10"/>
  </w:num>
  <w:num w:numId="20">
    <w:abstractNumId w:val="2"/>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1">
    <w:abstractNumId w:val="0"/>
  </w:num>
  <w:num w:numId="22">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1"/>
  </w:num>
  <w:num w:numId="25">
    <w:abstractNumId w:val="27"/>
  </w:num>
  <w:num w:numId="26">
    <w:abstractNumId w:val="30"/>
  </w:num>
  <w:num w:numId="27">
    <w:abstractNumId w:val="19"/>
  </w:num>
  <w:num w:numId="28">
    <w:abstractNumId w:val="6"/>
  </w:num>
  <w:num w:numId="29">
    <w:abstractNumId w:val="26"/>
  </w:num>
  <w:num w:numId="30">
    <w:abstractNumId w:val="31"/>
  </w:num>
  <w:num w:numId="31">
    <w:abstractNumId w:val="1"/>
  </w:num>
  <w:num w:numId="32">
    <w:abstractNumId w:val="17"/>
  </w:num>
  <w:num w:numId="33">
    <w:abstractNumId w:val="16"/>
  </w:num>
  <w:num w:numId="34">
    <w:abstractNumId w:val="15"/>
  </w:num>
  <w:num w:numId="3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Introduction and background"/>
    <w:docVar w:name="ShortReportTitle" w:val="PRODUCTIVITY IN FINANCIAL AND INSURANCE SERVICES"/>
  </w:docVars>
  <w:rsids>
    <w:rsidRoot w:val="006156C9"/>
    <w:rsid w:val="000010B2"/>
    <w:rsid w:val="00001337"/>
    <w:rsid w:val="00003F77"/>
    <w:rsid w:val="00004112"/>
    <w:rsid w:val="000045E5"/>
    <w:rsid w:val="00004E53"/>
    <w:rsid w:val="000058B0"/>
    <w:rsid w:val="00006427"/>
    <w:rsid w:val="000069B9"/>
    <w:rsid w:val="000078BA"/>
    <w:rsid w:val="00013620"/>
    <w:rsid w:val="000175BA"/>
    <w:rsid w:val="000227D5"/>
    <w:rsid w:val="00023379"/>
    <w:rsid w:val="000245AA"/>
    <w:rsid w:val="00025F09"/>
    <w:rsid w:val="00027025"/>
    <w:rsid w:val="000348E9"/>
    <w:rsid w:val="0003656D"/>
    <w:rsid w:val="0003664B"/>
    <w:rsid w:val="000407FB"/>
    <w:rsid w:val="00040C62"/>
    <w:rsid w:val="0004111F"/>
    <w:rsid w:val="000411BE"/>
    <w:rsid w:val="0004168A"/>
    <w:rsid w:val="00041BA9"/>
    <w:rsid w:val="00044AB7"/>
    <w:rsid w:val="0004636C"/>
    <w:rsid w:val="0005014F"/>
    <w:rsid w:val="00051A97"/>
    <w:rsid w:val="00055CA7"/>
    <w:rsid w:val="000565B3"/>
    <w:rsid w:val="0005736A"/>
    <w:rsid w:val="00062956"/>
    <w:rsid w:val="00062C27"/>
    <w:rsid w:val="0006695B"/>
    <w:rsid w:val="000703B2"/>
    <w:rsid w:val="0007060D"/>
    <w:rsid w:val="000714AD"/>
    <w:rsid w:val="0007150B"/>
    <w:rsid w:val="0007222A"/>
    <w:rsid w:val="00072A9F"/>
    <w:rsid w:val="00073453"/>
    <w:rsid w:val="00073E8D"/>
    <w:rsid w:val="00075E6C"/>
    <w:rsid w:val="00080BC9"/>
    <w:rsid w:val="00084B91"/>
    <w:rsid w:val="00086403"/>
    <w:rsid w:val="00091AA5"/>
    <w:rsid w:val="00092C5A"/>
    <w:rsid w:val="000938F5"/>
    <w:rsid w:val="000957A9"/>
    <w:rsid w:val="00096CD0"/>
    <w:rsid w:val="00096E55"/>
    <w:rsid w:val="000A4375"/>
    <w:rsid w:val="000A55FA"/>
    <w:rsid w:val="000A5624"/>
    <w:rsid w:val="000A65D1"/>
    <w:rsid w:val="000A76FE"/>
    <w:rsid w:val="000A77FF"/>
    <w:rsid w:val="000B0329"/>
    <w:rsid w:val="000B0D43"/>
    <w:rsid w:val="000B1C3C"/>
    <w:rsid w:val="000B3A5A"/>
    <w:rsid w:val="000B601B"/>
    <w:rsid w:val="000B6879"/>
    <w:rsid w:val="000C0A0B"/>
    <w:rsid w:val="000C207E"/>
    <w:rsid w:val="000C48D9"/>
    <w:rsid w:val="000C57A7"/>
    <w:rsid w:val="000C66DA"/>
    <w:rsid w:val="000C6DC3"/>
    <w:rsid w:val="000C7EAE"/>
    <w:rsid w:val="000D6125"/>
    <w:rsid w:val="000E34EA"/>
    <w:rsid w:val="000E5FA6"/>
    <w:rsid w:val="000F0035"/>
    <w:rsid w:val="000F063D"/>
    <w:rsid w:val="000F0B70"/>
    <w:rsid w:val="000F0FD9"/>
    <w:rsid w:val="000F1741"/>
    <w:rsid w:val="000F1C48"/>
    <w:rsid w:val="000F31D5"/>
    <w:rsid w:val="000F33C5"/>
    <w:rsid w:val="000F420B"/>
    <w:rsid w:val="000F5213"/>
    <w:rsid w:val="000F7DB6"/>
    <w:rsid w:val="00105BA3"/>
    <w:rsid w:val="00110116"/>
    <w:rsid w:val="0011246A"/>
    <w:rsid w:val="00113B43"/>
    <w:rsid w:val="001177BB"/>
    <w:rsid w:val="00120072"/>
    <w:rsid w:val="00120C7C"/>
    <w:rsid w:val="00120D75"/>
    <w:rsid w:val="00121067"/>
    <w:rsid w:val="001219CB"/>
    <w:rsid w:val="0012348B"/>
    <w:rsid w:val="00124A82"/>
    <w:rsid w:val="00124C88"/>
    <w:rsid w:val="00126EB8"/>
    <w:rsid w:val="001273AB"/>
    <w:rsid w:val="001274D4"/>
    <w:rsid w:val="001305CA"/>
    <w:rsid w:val="001313FC"/>
    <w:rsid w:val="00135F5F"/>
    <w:rsid w:val="001363AA"/>
    <w:rsid w:val="0014278D"/>
    <w:rsid w:val="0014444A"/>
    <w:rsid w:val="00145ABA"/>
    <w:rsid w:val="00160FBD"/>
    <w:rsid w:val="00164AAD"/>
    <w:rsid w:val="00164C60"/>
    <w:rsid w:val="00164CEA"/>
    <w:rsid w:val="00171486"/>
    <w:rsid w:val="0017388C"/>
    <w:rsid w:val="00176B57"/>
    <w:rsid w:val="00181A55"/>
    <w:rsid w:val="00183E2C"/>
    <w:rsid w:val="00183E82"/>
    <w:rsid w:val="001878BB"/>
    <w:rsid w:val="00190702"/>
    <w:rsid w:val="00191AE0"/>
    <w:rsid w:val="0019293B"/>
    <w:rsid w:val="00192DF2"/>
    <w:rsid w:val="00193662"/>
    <w:rsid w:val="0019426B"/>
    <w:rsid w:val="00195613"/>
    <w:rsid w:val="00196D87"/>
    <w:rsid w:val="0019739A"/>
    <w:rsid w:val="001A44C2"/>
    <w:rsid w:val="001A79AB"/>
    <w:rsid w:val="001B65F5"/>
    <w:rsid w:val="001B6E01"/>
    <w:rsid w:val="001B7353"/>
    <w:rsid w:val="001C0865"/>
    <w:rsid w:val="001C0A72"/>
    <w:rsid w:val="001C3ABA"/>
    <w:rsid w:val="001D4F97"/>
    <w:rsid w:val="001D54A6"/>
    <w:rsid w:val="001D71A6"/>
    <w:rsid w:val="001D7331"/>
    <w:rsid w:val="001D7E80"/>
    <w:rsid w:val="001E14CA"/>
    <w:rsid w:val="001E2EF5"/>
    <w:rsid w:val="001E7BE8"/>
    <w:rsid w:val="001F0248"/>
    <w:rsid w:val="001F1F54"/>
    <w:rsid w:val="001F368C"/>
    <w:rsid w:val="001F3EB3"/>
    <w:rsid w:val="001F4F86"/>
    <w:rsid w:val="001F6494"/>
    <w:rsid w:val="0020070D"/>
    <w:rsid w:val="00202C2C"/>
    <w:rsid w:val="0020526A"/>
    <w:rsid w:val="00205820"/>
    <w:rsid w:val="002060EC"/>
    <w:rsid w:val="00207198"/>
    <w:rsid w:val="00211FB1"/>
    <w:rsid w:val="002135AB"/>
    <w:rsid w:val="00213C30"/>
    <w:rsid w:val="002144BE"/>
    <w:rsid w:val="002144D7"/>
    <w:rsid w:val="00214E02"/>
    <w:rsid w:val="00216ED7"/>
    <w:rsid w:val="00220EBB"/>
    <w:rsid w:val="00223F48"/>
    <w:rsid w:val="00224FA5"/>
    <w:rsid w:val="0022636A"/>
    <w:rsid w:val="00230E98"/>
    <w:rsid w:val="002334B2"/>
    <w:rsid w:val="00233650"/>
    <w:rsid w:val="0023560A"/>
    <w:rsid w:val="00235F75"/>
    <w:rsid w:val="00236594"/>
    <w:rsid w:val="002413E8"/>
    <w:rsid w:val="002417A8"/>
    <w:rsid w:val="00242279"/>
    <w:rsid w:val="00242A97"/>
    <w:rsid w:val="002430A7"/>
    <w:rsid w:val="00245835"/>
    <w:rsid w:val="00245C82"/>
    <w:rsid w:val="0025043E"/>
    <w:rsid w:val="00253F1D"/>
    <w:rsid w:val="002544E7"/>
    <w:rsid w:val="002573C2"/>
    <w:rsid w:val="002612B2"/>
    <w:rsid w:val="002613D2"/>
    <w:rsid w:val="002661B4"/>
    <w:rsid w:val="002718A7"/>
    <w:rsid w:val="002719B6"/>
    <w:rsid w:val="00272365"/>
    <w:rsid w:val="002731A7"/>
    <w:rsid w:val="00273CD4"/>
    <w:rsid w:val="00280B33"/>
    <w:rsid w:val="00281019"/>
    <w:rsid w:val="0028582D"/>
    <w:rsid w:val="00290783"/>
    <w:rsid w:val="002911F6"/>
    <w:rsid w:val="002916D6"/>
    <w:rsid w:val="00291706"/>
    <w:rsid w:val="00291B40"/>
    <w:rsid w:val="0029686C"/>
    <w:rsid w:val="002A0587"/>
    <w:rsid w:val="002A2480"/>
    <w:rsid w:val="002A2891"/>
    <w:rsid w:val="002B0987"/>
    <w:rsid w:val="002B4008"/>
    <w:rsid w:val="002B6737"/>
    <w:rsid w:val="002B73E0"/>
    <w:rsid w:val="002C156E"/>
    <w:rsid w:val="002C396D"/>
    <w:rsid w:val="002C4AB7"/>
    <w:rsid w:val="002C4FD1"/>
    <w:rsid w:val="002C5504"/>
    <w:rsid w:val="002C5941"/>
    <w:rsid w:val="002D0E8E"/>
    <w:rsid w:val="002D29FF"/>
    <w:rsid w:val="002D50C4"/>
    <w:rsid w:val="002D517B"/>
    <w:rsid w:val="002D572A"/>
    <w:rsid w:val="002D77E6"/>
    <w:rsid w:val="002E024C"/>
    <w:rsid w:val="002E18ED"/>
    <w:rsid w:val="002E1A40"/>
    <w:rsid w:val="002E1BB2"/>
    <w:rsid w:val="002E33B9"/>
    <w:rsid w:val="002E68C6"/>
    <w:rsid w:val="002F130C"/>
    <w:rsid w:val="002F2E2C"/>
    <w:rsid w:val="002F59A1"/>
    <w:rsid w:val="002F5E7E"/>
    <w:rsid w:val="00301189"/>
    <w:rsid w:val="00304AE4"/>
    <w:rsid w:val="0031351C"/>
    <w:rsid w:val="00313EB0"/>
    <w:rsid w:val="003171BC"/>
    <w:rsid w:val="00317210"/>
    <w:rsid w:val="003211A6"/>
    <w:rsid w:val="0032124E"/>
    <w:rsid w:val="00321E7F"/>
    <w:rsid w:val="00322037"/>
    <w:rsid w:val="00323E09"/>
    <w:rsid w:val="00324EBC"/>
    <w:rsid w:val="00326629"/>
    <w:rsid w:val="00330A3B"/>
    <w:rsid w:val="003326D2"/>
    <w:rsid w:val="00333932"/>
    <w:rsid w:val="0033692B"/>
    <w:rsid w:val="00340AC5"/>
    <w:rsid w:val="00344095"/>
    <w:rsid w:val="00345442"/>
    <w:rsid w:val="00345462"/>
    <w:rsid w:val="003518AA"/>
    <w:rsid w:val="00351C3E"/>
    <w:rsid w:val="00352165"/>
    <w:rsid w:val="00353182"/>
    <w:rsid w:val="003565D9"/>
    <w:rsid w:val="00356963"/>
    <w:rsid w:val="003602E1"/>
    <w:rsid w:val="00361717"/>
    <w:rsid w:val="00365A65"/>
    <w:rsid w:val="0037026F"/>
    <w:rsid w:val="00371240"/>
    <w:rsid w:val="003714E9"/>
    <w:rsid w:val="00373BC4"/>
    <w:rsid w:val="003742C8"/>
    <w:rsid w:val="00374731"/>
    <w:rsid w:val="00376E59"/>
    <w:rsid w:val="00377F19"/>
    <w:rsid w:val="00380792"/>
    <w:rsid w:val="0038151F"/>
    <w:rsid w:val="00383CDD"/>
    <w:rsid w:val="00386B27"/>
    <w:rsid w:val="003919F9"/>
    <w:rsid w:val="0039241F"/>
    <w:rsid w:val="0039288D"/>
    <w:rsid w:val="00393652"/>
    <w:rsid w:val="003A07EE"/>
    <w:rsid w:val="003A4684"/>
    <w:rsid w:val="003A5765"/>
    <w:rsid w:val="003B175B"/>
    <w:rsid w:val="003B4E98"/>
    <w:rsid w:val="003C03AE"/>
    <w:rsid w:val="003C09FC"/>
    <w:rsid w:val="003C0F51"/>
    <w:rsid w:val="003C38B5"/>
    <w:rsid w:val="003C3BE8"/>
    <w:rsid w:val="003C5D99"/>
    <w:rsid w:val="003C7347"/>
    <w:rsid w:val="003C7C42"/>
    <w:rsid w:val="003D24E3"/>
    <w:rsid w:val="003D4A96"/>
    <w:rsid w:val="003D5606"/>
    <w:rsid w:val="003E0531"/>
    <w:rsid w:val="003E2F59"/>
    <w:rsid w:val="003E3F3F"/>
    <w:rsid w:val="003E5D75"/>
    <w:rsid w:val="003F0789"/>
    <w:rsid w:val="003F20E9"/>
    <w:rsid w:val="003F3E99"/>
    <w:rsid w:val="003F5F63"/>
    <w:rsid w:val="003F7298"/>
    <w:rsid w:val="00401882"/>
    <w:rsid w:val="00401A96"/>
    <w:rsid w:val="00401E2A"/>
    <w:rsid w:val="004022A4"/>
    <w:rsid w:val="00405B21"/>
    <w:rsid w:val="00405BFB"/>
    <w:rsid w:val="004100C8"/>
    <w:rsid w:val="00411460"/>
    <w:rsid w:val="00411DBD"/>
    <w:rsid w:val="00412ACE"/>
    <w:rsid w:val="00412C2D"/>
    <w:rsid w:val="00420941"/>
    <w:rsid w:val="004228EE"/>
    <w:rsid w:val="004233A9"/>
    <w:rsid w:val="0042561B"/>
    <w:rsid w:val="00426F3A"/>
    <w:rsid w:val="00431249"/>
    <w:rsid w:val="00431410"/>
    <w:rsid w:val="00431F11"/>
    <w:rsid w:val="004325D8"/>
    <w:rsid w:val="00432BB2"/>
    <w:rsid w:val="00433D12"/>
    <w:rsid w:val="004341D6"/>
    <w:rsid w:val="00434C19"/>
    <w:rsid w:val="004363A3"/>
    <w:rsid w:val="004365D4"/>
    <w:rsid w:val="004371E7"/>
    <w:rsid w:val="00437C98"/>
    <w:rsid w:val="00440C7D"/>
    <w:rsid w:val="0044671F"/>
    <w:rsid w:val="004476A5"/>
    <w:rsid w:val="00447726"/>
    <w:rsid w:val="00450810"/>
    <w:rsid w:val="004514CB"/>
    <w:rsid w:val="00452A7F"/>
    <w:rsid w:val="004535C8"/>
    <w:rsid w:val="00453E0D"/>
    <w:rsid w:val="004541C0"/>
    <w:rsid w:val="0045789F"/>
    <w:rsid w:val="00460A7B"/>
    <w:rsid w:val="00461E92"/>
    <w:rsid w:val="004711B9"/>
    <w:rsid w:val="00471B39"/>
    <w:rsid w:val="00476C3A"/>
    <w:rsid w:val="00477144"/>
    <w:rsid w:val="00477F34"/>
    <w:rsid w:val="00480675"/>
    <w:rsid w:val="0048100D"/>
    <w:rsid w:val="0048380B"/>
    <w:rsid w:val="00484253"/>
    <w:rsid w:val="0048539A"/>
    <w:rsid w:val="004863AD"/>
    <w:rsid w:val="00491380"/>
    <w:rsid w:val="00491CEE"/>
    <w:rsid w:val="00491E23"/>
    <w:rsid w:val="0049253A"/>
    <w:rsid w:val="0049459F"/>
    <w:rsid w:val="00494B92"/>
    <w:rsid w:val="0049561A"/>
    <w:rsid w:val="00495965"/>
    <w:rsid w:val="00496D6B"/>
    <w:rsid w:val="004A07B6"/>
    <w:rsid w:val="004A14A6"/>
    <w:rsid w:val="004A2688"/>
    <w:rsid w:val="004A32C3"/>
    <w:rsid w:val="004A38DD"/>
    <w:rsid w:val="004A6E53"/>
    <w:rsid w:val="004B10F6"/>
    <w:rsid w:val="004B226D"/>
    <w:rsid w:val="004B414B"/>
    <w:rsid w:val="004B43AE"/>
    <w:rsid w:val="004C01E6"/>
    <w:rsid w:val="004C21A4"/>
    <w:rsid w:val="004C30ED"/>
    <w:rsid w:val="004C4559"/>
    <w:rsid w:val="004C4F0A"/>
    <w:rsid w:val="004C7230"/>
    <w:rsid w:val="004D4866"/>
    <w:rsid w:val="004D5675"/>
    <w:rsid w:val="004D6E2A"/>
    <w:rsid w:val="004D7309"/>
    <w:rsid w:val="004D7868"/>
    <w:rsid w:val="004E0D12"/>
    <w:rsid w:val="004E5834"/>
    <w:rsid w:val="004F238D"/>
    <w:rsid w:val="004F3117"/>
    <w:rsid w:val="004F6771"/>
    <w:rsid w:val="004F7433"/>
    <w:rsid w:val="0050383F"/>
    <w:rsid w:val="005044B9"/>
    <w:rsid w:val="00510D9E"/>
    <w:rsid w:val="005116AA"/>
    <w:rsid w:val="00514009"/>
    <w:rsid w:val="00514364"/>
    <w:rsid w:val="005159C7"/>
    <w:rsid w:val="00515F86"/>
    <w:rsid w:val="005163A2"/>
    <w:rsid w:val="0051646E"/>
    <w:rsid w:val="00516C06"/>
    <w:rsid w:val="005208D6"/>
    <w:rsid w:val="005215BA"/>
    <w:rsid w:val="00523639"/>
    <w:rsid w:val="00525882"/>
    <w:rsid w:val="005269FE"/>
    <w:rsid w:val="00530DAA"/>
    <w:rsid w:val="00531FE5"/>
    <w:rsid w:val="00532D13"/>
    <w:rsid w:val="0053437C"/>
    <w:rsid w:val="005355A6"/>
    <w:rsid w:val="005363EA"/>
    <w:rsid w:val="00536A37"/>
    <w:rsid w:val="00537410"/>
    <w:rsid w:val="00537966"/>
    <w:rsid w:val="005402FA"/>
    <w:rsid w:val="00540AC0"/>
    <w:rsid w:val="00541D82"/>
    <w:rsid w:val="00545703"/>
    <w:rsid w:val="005506E4"/>
    <w:rsid w:val="00551CBE"/>
    <w:rsid w:val="00551E7B"/>
    <w:rsid w:val="005523EE"/>
    <w:rsid w:val="005544C4"/>
    <w:rsid w:val="00554B62"/>
    <w:rsid w:val="0055701F"/>
    <w:rsid w:val="005571A1"/>
    <w:rsid w:val="00557D64"/>
    <w:rsid w:val="00557D8A"/>
    <w:rsid w:val="00560D60"/>
    <w:rsid w:val="005640F1"/>
    <w:rsid w:val="0056456F"/>
    <w:rsid w:val="00564A8B"/>
    <w:rsid w:val="00565C4D"/>
    <w:rsid w:val="00570C76"/>
    <w:rsid w:val="00572B81"/>
    <w:rsid w:val="00572D43"/>
    <w:rsid w:val="005736BD"/>
    <w:rsid w:val="00574CC4"/>
    <w:rsid w:val="00577027"/>
    <w:rsid w:val="00582E18"/>
    <w:rsid w:val="00583C39"/>
    <w:rsid w:val="005861D7"/>
    <w:rsid w:val="00587BC5"/>
    <w:rsid w:val="00587F28"/>
    <w:rsid w:val="005909CF"/>
    <w:rsid w:val="00591D00"/>
    <w:rsid w:val="00591E71"/>
    <w:rsid w:val="00592BA1"/>
    <w:rsid w:val="00596A2E"/>
    <w:rsid w:val="005A0D41"/>
    <w:rsid w:val="005A559D"/>
    <w:rsid w:val="005A70F4"/>
    <w:rsid w:val="005B0F23"/>
    <w:rsid w:val="005B1C25"/>
    <w:rsid w:val="005B696B"/>
    <w:rsid w:val="005C16BB"/>
    <w:rsid w:val="005C269F"/>
    <w:rsid w:val="005C30E3"/>
    <w:rsid w:val="005C39DE"/>
    <w:rsid w:val="005C4E8F"/>
    <w:rsid w:val="005C608C"/>
    <w:rsid w:val="005C7FEC"/>
    <w:rsid w:val="005D0B4A"/>
    <w:rsid w:val="005D17EB"/>
    <w:rsid w:val="005D1BD3"/>
    <w:rsid w:val="005D35CE"/>
    <w:rsid w:val="005E041F"/>
    <w:rsid w:val="005E2C08"/>
    <w:rsid w:val="005E49C2"/>
    <w:rsid w:val="005E6ACC"/>
    <w:rsid w:val="005E7F27"/>
    <w:rsid w:val="005F1429"/>
    <w:rsid w:val="005F3D88"/>
    <w:rsid w:val="005F4E31"/>
    <w:rsid w:val="005F5FCB"/>
    <w:rsid w:val="005F6261"/>
    <w:rsid w:val="005F752E"/>
    <w:rsid w:val="005F7CB9"/>
    <w:rsid w:val="006001F4"/>
    <w:rsid w:val="00603B9A"/>
    <w:rsid w:val="006045F7"/>
    <w:rsid w:val="00606879"/>
    <w:rsid w:val="00607B73"/>
    <w:rsid w:val="00607BF1"/>
    <w:rsid w:val="00607DD7"/>
    <w:rsid w:val="00610187"/>
    <w:rsid w:val="006102A6"/>
    <w:rsid w:val="00610868"/>
    <w:rsid w:val="00612C98"/>
    <w:rsid w:val="0061476C"/>
    <w:rsid w:val="00614A4A"/>
    <w:rsid w:val="006156C9"/>
    <w:rsid w:val="00616747"/>
    <w:rsid w:val="00617E8E"/>
    <w:rsid w:val="0062695B"/>
    <w:rsid w:val="00630D4D"/>
    <w:rsid w:val="00631547"/>
    <w:rsid w:val="00631635"/>
    <w:rsid w:val="006318B4"/>
    <w:rsid w:val="0063221E"/>
    <w:rsid w:val="00632A74"/>
    <w:rsid w:val="00632FBF"/>
    <w:rsid w:val="00634416"/>
    <w:rsid w:val="0063554A"/>
    <w:rsid w:val="00640E91"/>
    <w:rsid w:val="00643B0C"/>
    <w:rsid w:val="00645E74"/>
    <w:rsid w:val="00646458"/>
    <w:rsid w:val="0065125C"/>
    <w:rsid w:val="0065312B"/>
    <w:rsid w:val="00654505"/>
    <w:rsid w:val="006576A3"/>
    <w:rsid w:val="006669F3"/>
    <w:rsid w:val="006701D3"/>
    <w:rsid w:val="00671068"/>
    <w:rsid w:val="00672560"/>
    <w:rsid w:val="006746A8"/>
    <w:rsid w:val="00675545"/>
    <w:rsid w:val="00675B24"/>
    <w:rsid w:val="00677DA6"/>
    <w:rsid w:val="00681BBC"/>
    <w:rsid w:val="00682E6A"/>
    <w:rsid w:val="006944ED"/>
    <w:rsid w:val="00694865"/>
    <w:rsid w:val="00696284"/>
    <w:rsid w:val="00696496"/>
    <w:rsid w:val="00696DF6"/>
    <w:rsid w:val="00697CE4"/>
    <w:rsid w:val="00697E2D"/>
    <w:rsid w:val="006A04F1"/>
    <w:rsid w:val="006A4655"/>
    <w:rsid w:val="006B0A4A"/>
    <w:rsid w:val="006B16F8"/>
    <w:rsid w:val="006B17B2"/>
    <w:rsid w:val="006B2B3C"/>
    <w:rsid w:val="006B3742"/>
    <w:rsid w:val="006B5F9A"/>
    <w:rsid w:val="006B7496"/>
    <w:rsid w:val="006C0867"/>
    <w:rsid w:val="006C1D81"/>
    <w:rsid w:val="006C417C"/>
    <w:rsid w:val="006C421B"/>
    <w:rsid w:val="006C7038"/>
    <w:rsid w:val="006C7864"/>
    <w:rsid w:val="006D06D9"/>
    <w:rsid w:val="006E07EF"/>
    <w:rsid w:val="006E3243"/>
    <w:rsid w:val="006E62CF"/>
    <w:rsid w:val="006E73EF"/>
    <w:rsid w:val="006F002D"/>
    <w:rsid w:val="006F0ECB"/>
    <w:rsid w:val="006F2116"/>
    <w:rsid w:val="006F2AF4"/>
    <w:rsid w:val="006F5A97"/>
    <w:rsid w:val="006F6C9D"/>
    <w:rsid w:val="00700204"/>
    <w:rsid w:val="0070081D"/>
    <w:rsid w:val="00706546"/>
    <w:rsid w:val="00710399"/>
    <w:rsid w:val="007116FF"/>
    <w:rsid w:val="007122F0"/>
    <w:rsid w:val="00712BE4"/>
    <w:rsid w:val="007133DD"/>
    <w:rsid w:val="00714D4D"/>
    <w:rsid w:val="0071503F"/>
    <w:rsid w:val="00717210"/>
    <w:rsid w:val="007172A3"/>
    <w:rsid w:val="007179E7"/>
    <w:rsid w:val="00720D3E"/>
    <w:rsid w:val="00721FC3"/>
    <w:rsid w:val="0072218A"/>
    <w:rsid w:val="007228FA"/>
    <w:rsid w:val="00724C50"/>
    <w:rsid w:val="007301B0"/>
    <w:rsid w:val="00733605"/>
    <w:rsid w:val="0073489E"/>
    <w:rsid w:val="00737273"/>
    <w:rsid w:val="007417C2"/>
    <w:rsid w:val="00742BFC"/>
    <w:rsid w:val="0074397D"/>
    <w:rsid w:val="00746B1F"/>
    <w:rsid w:val="00750581"/>
    <w:rsid w:val="0075220D"/>
    <w:rsid w:val="00752371"/>
    <w:rsid w:val="00752F00"/>
    <w:rsid w:val="007560F3"/>
    <w:rsid w:val="00756852"/>
    <w:rsid w:val="00757143"/>
    <w:rsid w:val="007604BB"/>
    <w:rsid w:val="00762A43"/>
    <w:rsid w:val="007630F8"/>
    <w:rsid w:val="00763704"/>
    <w:rsid w:val="0076735A"/>
    <w:rsid w:val="00772CA1"/>
    <w:rsid w:val="00773256"/>
    <w:rsid w:val="007739C5"/>
    <w:rsid w:val="00775459"/>
    <w:rsid w:val="007813F4"/>
    <w:rsid w:val="00783AD3"/>
    <w:rsid w:val="00785232"/>
    <w:rsid w:val="0078711E"/>
    <w:rsid w:val="007955AA"/>
    <w:rsid w:val="00795CBE"/>
    <w:rsid w:val="00796034"/>
    <w:rsid w:val="007A041D"/>
    <w:rsid w:val="007A088F"/>
    <w:rsid w:val="007A1B47"/>
    <w:rsid w:val="007A21EB"/>
    <w:rsid w:val="007A444D"/>
    <w:rsid w:val="007A6B5E"/>
    <w:rsid w:val="007A7311"/>
    <w:rsid w:val="007B18B1"/>
    <w:rsid w:val="007B1A93"/>
    <w:rsid w:val="007B22DE"/>
    <w:rsid w:val="007B4454"/>
    <w:rsid w:val="007B46B9"/>
    <w:rsid w:val="007C2DC0"/>
    <w:rsid w:val="007C36C9"/>
    <w:rsid w:val="007C5A4C"/>
    <w:rsid w:val="007C7ACF"/>
    <w:rsid w:val="007D2E6B"/>
    <w:rsid w:val="007D2ECE"/>
    <w:rsid w:val="007D3BBB"/>
    <w:rsid w:val="007D6401"/>
    <w:rsid w:val="007E01E4"/>
    <w:rsid w:val="007E03E5"/>
    <w:rsid w:val="007E0EAE"/>
    <w:rsid w:val="007E1E02"/>
    <w:rsid w:val="007E3971"/>
    <w:rsid w:val="007E5CED"/>
    <w:rsid w:val="007F001B"/>
    <w:rsid w:val="007F1DF4"/>
    <w:rsid w:val="007F26DB"/>
    <w:rsid w:val="007F591A"/>
    <w:rsid w:val="007F7035"/>
    <w:rsid w:val="007F7107"/>
    <w:rsid w:val="00800D4C"/>
    <w:rsid w:val="00801194"/>
    <w:rsid w:val="00801552"/>
    <w:rsid w:val="00804837"/>
    <w:rsid w:val="00805522"/>
    <w:rsid w:val="00810172"/>
    <w:rsid w:val="0081030F"/>
    <w:rsid w:val="00812489"/>
    <w:rsid w:val="00813AB2"/>
    <w:rsid w:val="00813B4B"/>
    <w:rsid w:val="00814818"/>
    <w:rsid w:val="008151D9"/>
    <w:rsid w:val="00816783"/>
    <w:rsid w:val="0081795E"/>
    <w:rsid w:val="0082087D"/>
    <w:rsid w:val="0082172B"/>
    <w:rsid w:val="00823672"/>
    <w:rsid w:val="00823B0D"/>
    <w:rsid w:val="00823B7D"/>
    <w:rsid w:val="00823C7F"/>
    <w:rsid w:val="0083075C"/>
    <w:rsid w:val="00834A09"/>
    <w:rsid w:val="00835771"/>
    <w:rsid w:val="008426AC"/>
    <w:rsid w:val="00842933"/>
    <w:rsid w:val="0084469D"/>
    <w:rsid w:val="0084567F"/>
    <w:rsid w:val="00846DCF"/>
    <w:rsid w:val="008539B4"/>
    <w:rsid w:val="0086082C"/>
    <w:rsid w:val="00864ADC"/>
    <w:rsid w:val="00864CB4"/>
    <w:rsid w:val="0086547A"/>
    <w:rsid w:val="008655C6"/>
    <w:rsid w:val="008665C1"/>
    <w:rsid w:val="00870B9A"/>
    <w:rsid w:val="008712D7"/>
    <w:rsid w:val="00871554"/>
    <w:rsid w:val="00871647"/>
    <w:rsid w:val="00871EF9"/>
    <w:rsid w:val="00873856"/>
    <w:rsid w:val="00876A1E"/>
    <w:rsid w:val="00876F62"/>
    <w:rsid w:val="00880153"/>
    <w:rsid w:val="00880EAF"/>
    <w:rsid w:val="00880F97"/>
    <w:rsid w:val="0088133A"/>
    <w:rsid w:val="008833B2"/>
    <w:rsid w:val="00883B80"/>
    <w:rsid w:val="0088562E"/>
    <w:rsid w:val="008862EF"/>
    <w:rsid w:val="0089285E"/>
    <w:rsid w:val="00892C9F"/>
    <w:rsid w:val="00893A70"/>
    <w:rsid w:val="00893B9C"/>
    <w:rsid w:val="00893D62"/>
    <w:rsid w:val="0089436C"/>
    <w:rsid w:val="0089466D"/>
    <w:rsid w:val="008A0E60"/>
    <w:rsid w:val="008A25EF"/>
    <w:rsid w:val="008B0D4B"/>
    <w:rsid w:val="008B5510"/>
    <w:rsid w:val="008B5578"/>
    <w:rsid w:val="008C163A"/>
    <w:rsid w:val="008C3A0C"/>
    <w:rsid w:val="008C538C"/>
    <w:rsid w:val="008C758A"/>
    <w:rsid w:val="008D3553"/>
    <w:rsid w:val="008D365C"/>
    <w:rsid w:val="008D3CE9"/>
    <w:rsid w:val="008E0D79"/>
    <w:rsid w:val="008E1BFE"/>
    <w:rsid w:val="008E222D"/>
    <w:rsid w:val="008E6E11"/>
    <w:rsid w:val="008F136F"/>
    <w:rsid w:val="008F3D7D"/>
    <w:rsid w:val="008F44E9"/>
    <w:rsid w:val="008F4628"/>
    <w:rsid w:val="008F4DD5"/>
    <w:rsid w:val="008F6C54"/>
    <w:rsid w:val="00900170"/>
    <w:rsid w:val="00900220"/>
    <w:rsid w:val="009030BF"/>
    <w:rsid w:val="0090686A"/>
    <w:rsid w:val="009100A5"/>
    <w:rsid w:val="0091032F"/>
    <w:rsid w:val="00914368"/>
    <w:rsid w:val="00914ACF"/>
    <w:rsid w:val="00923D98"/>
    <w:rsid w:val="00925AC1"/>
    <w:rsid w:val="00927379"/>
    <w:rsid w:val="00931076"/>
    <w:rsid w:val="00931185"/>
    <w:rsid w:val="0093155F"/>
    <w:rsid w:val="00931C2A"/>
    <w:rsid w:val="00932095"/>
    <w:rsid w:val="00932AA1"/>
    <w:rsid w:val="009345D9"/>
    <w:rsid w:val="00934B15"/>
    <w:rsid w:val="00935D47"/>
    <w:rsid w:val="00940C87"/>
    <w:rsid w:val="0094263A"/>
    <w:rsid w:val="00942B62"/>
    <w:rsid w:val="00944D3D"/>
    <w:rsid w:val="009462CF"/>
    <w:rsid w:val="00946374"/>
    <w:rsid w:val="00947324"/>
    <w:rsid w:val="00947BAE"/>
    <w:rsid w:val="0095058B"/>
    <w:rsid w:val="0095323B"/>
    <w:rsid w:val="00954726"/>
    <w:rsid w:val="00954A42"/>
    <w:rsid w:val="00954D24"/>
    <w:rsid w:val="00954F06"/>
    <w:rsid w:val="0095677C"/>
    <w:rsid w:val="00956A0C"/>
    <w:rsid w:val="00956BD9"/>
    <w:rsid w:val="00962489"/>
    <w:rsid w:val="00962A26"/>
    <w:rsid w:val="00962E2B"/>
    <w:rsid w:val="00971E72"/>
    <w:rsid w:val="009723FE"/>
    <w:rsid w:val="0097294E"/>
    <w:rsid w:val="00973ADE"/>
    <w:rsid w:val="00976A83"/>
    <w:rsid w:val="00981E8C"/>
    <w:rsid w:val="00983A69"/>
    <w:rsid w:val="009848EC"/>
    <w:rsid w:val="00986454"/>
    <w:rsid w:val="00986A3F"/>
    <w:rsid w:val="00986C8E"/>
    <w:rsid w:val="00987316"/>
    <w:rsid w:val="009907F9"/>
    <w:rsid w:val="00990C1C"/>
    <w:rsid w:val="00990C2C"/>
    <w:rsid w:val="009920F3"/>
    <w:rsid w:val="00992642"/>
    <w:rsid w:val="00993006"/>
    <w:rsid w:val="009A1C50"/>
    <w:rsid w:val="009A1E0B"/>
    <w:rsid w:val="009A2C63"/>
    <w:rsid w:val="009A2F7B"/>
    <w:rsid w:val="009A648F"/>
    <w:rsid w:val="009B17B8"/>
    <w:rsid w:val="009B46A2"/>
    <w:rsid w:val="009B4991"/>
    <w:rsid w:val="009B4A32"/>
    <w:rsid w:val="009B5659"/>
    <w:rsid w:val="009B78B1"/>
    <w:rsid w:val="009C2677"/>
    <w:rsid w:val="009C3DD1"/>
    <w:rsid w:val="009C5212"/>
    <w:rsid w:val="009C6E93"/>
    <w:rsid w:val="009C7085"/>
    <w:rsid w:val="009C713F"/>
    <w:rsid w:val="009D4D4C"/>
    <w:rsid w:val="009D68F1"/>
    <w:rsid w:val="009E1844"/>
    <w:rsid w:val="009E33AF"/>
    <w:rsid w:val="009F0D1B"/>
    <w:rsid w:val="009F202E"/>
    <w:rsid w:val="009F42B0"/>
    <w:rsid w:val="009F42E5"/>
    <w:rsid w:val="009F696D"/>
    <w:rsid w:val="009F6A0D"/>
    <w:rsid w:val="009F6BC6"/>
    <w:rsid w:val="009F7DE7"/>
    <w:rsid w:val="00A01419"/>
    <w:rsid w:val="00A02017"/>
    <w:rsid w:val="00A02807"/>
    <w:rsid w:val="00A032D1"/>
    <w:rsid w:val="00A03CE9"/>
    <w:rsid w:val="00A07C90"/>
    <w:rsid w:val="00A10B9C"/>
    <w:rsid w:val="00A11A13"/>
    <w:rsid w:val="00A1367E"/>
    <w:rsid w:val="00A15786"/>
    <w:rsid w:val="00A17328"/>
    <w:rsid w:val="00A20D2E"/>
    <w:rsid w:val="00A210D8"/>
    <w:rsid w:val="00A23A20"/>
    <w:rsid w:val="00A2458A"/>
    <w:rsid w:val="00A268B9"/>
    <w:rsid w:val="00A26DA1"/>
    <w:rsid w:val="00A2703A"/>
    <w:rsid w:val="00A30059"/>
    <w:rsid w:val="00A31BF0"/>
    <w:rsid w:val="00A33189"/>
    <w:rsid w:val="00A33DFF"/>
    <w:rsid w:val="00A35115"/>
    <w:rsid w:val="00A360C8"/>
    <w:rsid w:val="00A36127"/>
    <w:rsid w:val="00A361E7"/>
    <w:rsid w:val="00A365DE"/>
    <w:rsid w:val="00A36D9A"/>
    <w:rsid w:val="00A36FA4"/>
    <w:rsid w:val="00A41295"/>
    <w:rsid w:val="00A416E9"/>
    <w:rsid w:val="00A436D7"/>
    <w:rsid w:val="00A445F3"/>
    <w:rsid w:val="00A46C77"/>
    <w:rsid w:val="00A50B05"/>
    <w:rsid w:val="00A51104"/>
    <w:rsid w:val="00A5343E"/>
    <w:rsid w:val="00A53C8C"/>
    <w:rsid w:val="00A554AB"/>
    <w:rsid w:val="00A56758"/>
    <w:rsid w:val="00A57062"/>
    <w:rsid w:val="00A57BF7"/>
    <w:rsid w:val="00A604E7"/>
    <w:rsid w:val="00A620D1"/>
    <w:rsid w:val="00A63FE6"/>
    <w:rsid w:val="00A6491B"/>
    <w:rsid w:val="00A66161"/>
    <w:rsid w:val="00A671C4"/>
    <w:rsid w:val="00A71612"/>
    <w:rsid w:val="00A73CE0"/>
    <w:rsid w:val="00A801CF"/>
    <w:rsid w:val="00A81B99"/>
    <w:rsid w:val="00A84DFE"/>
    <w:rsid w:val="00A850E7"/>
    <w:rsid w:val="00A870B7"/>
    <w:rsid w:val="00A87F70"/>
    <w:rsid w:val="00A90B6B"/>
    <w:rsid w:val="00A923F8"/>
    <w:rsid w:val="00A92B53"/>
    <w:rsid w:val="00A937EB"/>
    <w:rsid w:val="00A94FA6"/>
    <w:rsid w:val="00A966FB"/>
    <w:rsid w:val="00AA076F"/>
    <w:rsid w:val="00AA0E9E"/>
    <w:rsid w:val="00AA3B33"/>
    <w:rsid w:val="00AA3B5C"/>
    <w:rsid w:val="00AA49A0"/>
    <w:rsid w:val="00AA6710"/>
    <w:rsid w:val="00AB0681"/>
    <w:rsid w:val="00AB0B45"/>
    <w:rsid w:val="00AB1575"/>
    <w:rsid w:val="00AB3F3C"/>
    <w:rsid w:val="00AB49EC"/>
    <w:rsid w:val="00AB57BB"/>
    <w:rsid w:val="00AB6E61"/>
    <w:rsid w:val="00AB70DC"/>
    <w:rsid w:val="00AB7FFB"/>
    <w:rsid w:val="00AC0E4F"/>
    <w:rsid w:val="00AC6503"/>
    <w:rsid w:val="00AD3972"/>
    <w:rsid w:val="00AD520B"/>
    <w:rsid w:val="00AD540B"/>
    <w:rsid w:val="00AD5CC1"/>
    <w:rsid w:val="00AD7AAD"/>
    <w:rsid w:val="00AE576E"/>
    <w:rsid w:val="00AE5A9C"/>
    <w:rsid w:val="00AE7633"/>
    <w:rsid w:val="00AF13F3"/>
    <w:rsid w:val="00AF3278"/>
    <w:rsid w:val="00AF4775"/>
    <w:rsid w:val="00AF6529"/>
    <w:rsid w:val="00B00492"/>
    <w:rsid w:val="00B02A94"/>
    <w:rsid w:val="00B07EB0"/>
    <w:rsid w:val="00B13271"/>
    <w:rsid w:val="00B13674"/>
    <w:rsid w:val="00B14CFC"/>
    <w:rsid w:val="00B1500E"/>
    <w:rsid w:val="00B15D8C"/>
    <w:rsid w:val="00B1693F"/>
    <w:rsid w:val="00B16944"/>
    <w:rsid w:val="00B17744"/>
    <w:rsid w:val="00B2250A"/>
    <w:rsid w:val="00B22E62"/>
    <w:rsid w:val="00B23AFB"/>
    <w:rsid w:val="00B246FC"/>
    <w:rsid w:val="00B259B9"/>
    <w:rsid w:val="00B2656C"/>
    <w:rsid w:val="00B33504"/>
    <w:rsid w:val="00B344A5"/>
    <w:rsid w:val="00B35550"/>
    <w:rsid w:val="00B35B29"/>
    <w:rsid w:val="00B376C2"/>
    <w:rsid w:val="00B406D2"/>
    <w:rsid w:val="00B425C3"/>
    <w:rsid w:val="00B43967"/>
    <w:rsid w:val="00B440AD"/>
    <w:rsid w:val="00B446CC"/>
    <w:rsid w:val="00B45037"/>
    <w:rsid w:val="00B47336"/>
    <w:rsid w:val="00B479BB"/>
    <w:rsid w:val="00B50BE3"/>
    <w:rsid w:val="00B53E7E"/>
    <w:rsid w:val="00B53EC1"/>
    <w:rsid w:val="00B54227"/>
    <w:rsid w:val="00B555BF"/>
    <w:rsid w:val="00B6342E"/>
    <w:rsid w:val="00B64775"/>
    <w:rsid w:val="00B65AA0"/>
    <w:rsid w:val="00B70254"/>
    <w:rsid w:val="00B7113F"/>
    <w:rsid w:val="00B74AF1"/>
    <w:rsid w:val="00B75187"/>
    <w:rsid w:val="00B75324"/>
    <w:rsid w:val="00B76C5A"/>
    <w:rsid w:val="00B80141"/>
    <w:rsid w:val="00B82662"/>
    <w:rsid w:val="00B83A1C"/>
    <w:rsid w:val="00B861B9"/>
    <w:rsid w:val="00B866E6"/>
    <w:rsid w:val="00B926AF"/>
    <w:rsid w:val="00B93D59"/>
    <w:rsid w:val="00B93F7F"/>
    <w:rsid w:val="00B94F66"/>
    <w:rsid w:val="00B95772"/>
    <w:rsid w:val="00BA0B9E"/>
    <w:rsid w:val="00BA4038"/>
    <w:rsid w:val="00BA4259"/>
    <w:rsid w:val="00BA6E4F"/>
    <w:rsid w:val="00BA73B6"/>
    <w:rsid w:val="00BA7D3C"/>
    <w:rsid w:val="00BA7D50"/>
    <w:rsid w:val="00BA7E27"/>
    <w:rsid w:val="00BB1934"/>
    <w:rsid w:val="00BB220D"/>
    <w:rsid w:val="00BB2603"/>
    <w:rsid w:val="00BB4E47"/>
    <w:rsid w:val="00BB4FCD"/>
    <w:rsid w:val="00BC04E9"/>
    <w:rsid w:val="00BC0674"/>
    <w:rsid w:val="00BC157A"/>
    <w:rsid w:val="00BC2750"/>
    <w:rsid w:val="00BC27A5"/>
    <w:rsid w:val="00BC4CB4"/>
    <w:rsid w:val="00BC5D48"/>
    <w:rsid w:val="00BC6AF0"/>
    <w:rsid w:val="00BD13EA"/>
    <w:rsid w:val="00BD699A"/>
    <w:rsid w:val="00BE2A84"/>
    <w:rsid w:val="00BE3808"/>
    <w:rsid w:val="00BE4CBD"/>
    <w:rsid w:val="00BE52E0"/>
    <w:rsid w:val="00BE606D"/>
    <w:rsid w:val="00BE77D4"/>
    <w:rsid w:val="00BF082E"/>
    <w:rsid w:val="00BF19EB"/>
    <w:rsid w:val="00BF674D"/>
    <w:rsid w:val="00C03B33"/>
    <w:rsid w:val="00C0578B"/>
    <w:rsid w:val="00C062E9"/>
    <w:rsid w:val="00C07260"/>
    <w:rsid w:val="00C077C0"/>
    <w:rsid w:val="00C07B64"/>
    <w:rsid w:val="00C12050"/>
    <w:rsid w:val="00C12611"/>
    <w:rsid w:val="00C13721"/>
    <w:rsid w:val="00C14FE4"/>
    <w:rsid w:val="00C17032"/>
    <w:rsid w:val="00C17F24"/>
    <w:rsid w:val="00C20635"/>
    <w:rsid w:val="00C21525"/>
    <w:rsid w:val="00C261DB"/>
    <w:rsid w:val="00C273BC"/>
    <w:rsid w:val="00C27DF6"/>
    <w:rsid w:val="00C3017A"/>
    <w:rsid w:val="00C3066D"/>
    <w:rsid w:val="00C40AE2"/>
    <w:rsid w:val="00C40B9C"/>
    <w:rsid w:val="00C41AA0"/>
    <w:rsid w:val="00C42915"/>
    <w:rsid w:val="00C458E5"/>
    <w:rsid w:val="00C47492"/>
    <w:rsid w:val="00C47B1C"/>
    <w:rsid w:val="00C52416"/>
    <w:rsid w:val="00C543F4"/>
    <w:rsid w:val="00C56959"/>
    <w:rsid w:val="00C61C39"/>
    <w:rsid w:val="00C6291C"/>
    <w:rsid w:val="00C633CB"/>
    <w:rsid w:val="00C65649"/>
    <w:rsid w:val="00C656FB"/>
    <w:rsid w:val="00C65B71"/>
    <w:rsid w:val="00C709B0"/>
    <w:rsid w:val="00C7334D"/>
    <w:rsid w:val="00C736B7"/>
    <w:rsid w:val="00C81D4A"/>
    <w:rsid w:val="00C82DFE"/>
    <w:rsid w:val="00C82E8A"/>
    <w:rsid w:val="00C82F47"/>
    <w:rsid w:val="00C84EDB"/>
    <w:rsid w:val="00C8762C"/>
    <w:rsid w:val="00C9682B"/>
    <w:rsid w:val="00CA00F9"/>
    <w:rsid w:val="00CA2961"/>
    <w:rsid w:val="00CA3E44"/>
    <w:rsid w:val="00CA4FDB"/>
    <w:rsid w:val="00CA5D2A"/>
    <w:rsid w:val="00CA5E2F"/>
    <w:rsid w:val="00CA650E"/>
    <w:rsid w:val="00CA77A2"/>
    <w:rsid w:val="00CA7E21"/>
    <w:rsid w:val="00CB50D7"/>
    <w:rsid w:val="00CB51A3"/>
    <w:rsid w:val="00CB5229"/>
    <w:rsid w:val="00CB7177"/>
    <w:rsid w:val="00CC090B"/>
    <w:rsid w:val="00CC11DF"/>
    <w:rsid w:val="00CC184D"/>
    <w:rsid w:val="00CC1998"/>
    <w:rsid w:val="00CC397F"/>
    <w:rsid w:val="00CC44F0"/>
    <w:rsid w:val="00CC4946"/>
    <w:rsid w:val="00CC62E2"/>
    <w:rsid w:val="00CD6658"/>
    <w:rsid w:val="00CD79BD"/>
    <w:rsid w:val="00CE0F39"/>
    <w:rsid w:val="00CE2B88"/>
    <w:rsid w:val="00CE3793"/>
    <w:rsid w:val="00CE5F05"/>
    <w:rsid w:val="00CF2001"/>
    <w:rsid w:val="00CF2143"/>
    <w:rsid w:val="00CF2E04"/>
    <w:rsid w:val="00CF5E60"/>
    <w:rsid w:val="00D00BF9"/>
    <w:rsid w:val="00D0389A"/>
    <w:rsid w:val="00D04A1A"/>
    <w:rsid w:val="00D10D63"/>
    <w:rsid w:val="00D129BA"/>
    <w:rsid w:val="00D1477D"/>
    <w:rsid w:val="00D1636A"/>
    <w:rsid w:val="00D17283"/>
    <w:rsid w:val="00D20845"/>
    <w:rsid w:val="00D20ACC"/>
    <w:rsid w:val="00D2198C"/>
    <w:rsid w:val="00D23378"/>
    <w:rsid w:val="00D23F93"/>
    <w:rsid w:val="00D2412A"/>
    <w:rsid w:val="00D270A4"/>
    <w:rsid w:val="00D27807"/>
    <w:rsid w:val="00D31FE9"/>
    <w:rsid w:val="00D34E1B"/>
    <w:rsid w:val="00D376BA"/>
    <w:rsid w:val="00D406D3"/>
    <w:rsid w:val="00D40E96"/>
    <w:rsid w:val="00D41143"/>
    <w:rsid w:val="00D4174C"/>
    <w:rsid w:val="00D430B7"/>
    <w:rsid w:val="00D4372F"/>
    <w:rsid w:val="00D45634"/>
    <w:rsid w:val="00D5212B"/>
    <w:rsid w:val="00D5568A"/>
    <w:rsid w:val="00D5588A"/>
    <w:rsid w:val="00D5626E"/>
    <w:rsid w:val="00D565B2"/>
    <w:rsid w:val="00D624B3"/>
    <w:rsid w:val="00D62EB8"/>
    <w:rsid w:val="00D63D73"/>
    <w:rsid w:val="00D64452"/>
    <w:rsid w:val="00D64D5E"/>
    <w:rsid w:val="00D65380"/>
    <w:rsid w:val="00D662FE"/>
    <w:rsid w:val="00D66A49"/>
    <w:rsid w:val="00D66E1E"/>
    <w:rsid w:val="00D67D80"/>
    <w:rsid w:val="00D705FD"/>
    <w:rsid w:val="00D70D5F"/>
    <w:rsid w:val="00D71D9B"/>
    <w:rsid w:val="00D72C5D"/>
    <w:rsid w:val="00D74040"/>
    <w:rsid w:val="00D744A0"/>
    <w:rsid w:val="00D75722"/>
    <w:rsid w:val="00D80572"/>
    <w:rsid w:val="00D80CF5"/>
    <w:rsid w:val="00D823EE"/>
    <w:rsid w:val="00D8282E"/>
    <w:rsid w:val="00D847A9"/>
    <w:rsid w:val="00D93FCD"/>
    <w:rsid w:val="00D94FFA"/>
    <w:rsid w:val="00D97956"/>
    <w:rsid w:val="00DA1E60"/>
    <w:rsid w:val="00DA28B3"/>
    <w:rsid w:val="00DA5BBA"/>
    <w:rsid w:val="00DB26D2"/>
    <w:rsid w:val="00DB3481"/>
    <w:rsid w:val="00DB439D"/>
    <w:rsid w:val="00DB67C9"/>
    <w:rsid w:val="00DC0804"/>
    <w:rsid w:val="00DC0C95"/>
    <w:rsid w:val="00DC265C"/>
    <w:rsid w:val="00DC57CF"/>
    <w:rsid w:val="00DC7A7D"/>
    <w:rsid w:val="00DD2386"/>
    <w:rsid w:val="00DD26E6"/>
    <w:rsid w:val="00DD2B7B"/>
    <w:rsid w:val="00DD6580"/>
    <w:rsid w:val="00DD694E"/>
    <w:rsid w:val="00DF191E"/>
    <w:rsid w:val="00DF2794"/>
    <w:rsid w:val="00DF31E8"/>
    <w:rsid w:val="00DF3347"/>
    <w:rsid w:val="00DF33B9"/>
    <w:rsid w:val="00DF3B12"/>
    <w:rsid w:val="00DF7E2D"/>
    <w:rsid w:val="00E0186C"/>
    <w:rsid w:val="00E04961"/>
    <w:rsid w:val="00E05061"/>
    <w:rsid w:val="00E05953"/>
    <w:rsid w:val="00E05F0B"/>
    <w:rsid w:val="00E10DAD"/>
    <w:rsid w:val="00E15ACC"/>
    <w:rsid w:val="00E17C72"/>
    <w:rsid w:val="00E21D05"/>
    <w:rsid w:val="00E21FC6"/>
    <w:rsid w:val="00E23939"/>
    <w:rsid w:val="00E32E6E"/>
    <w:rsid w:val="00E338DB"/>
    <w:rsid w:val="00E40A7C"/>
    <w:rsid w:val="00E41BBA"/>
    <w:rsid w:val="00E431A9"/>
    <w:rsid w:val="00E44657"/>
    <w:rsid w:val="00E53319"/>
    <w:rsid w:val="00E53B25"/>
    <w:rsid w:val="00E53BA3"/>
    <w:rsid w:val="00E543E5"/>
    <w:rsid w:val="00E54EC8"/>
    <w:rsid w:val="00E60268"/>
    <w:rsid w:val="00E605A0"/>
    <w:rsid w:val="00E63153"/>
    <w:rsid w:val="00E636BA"/>
    <w:rsid w:val="00E64A51"/>
    <w:rsid w:val="00E65E2F"/>
    <w:rsid w:val="00E6605D"/>
    <w:rsid w:val="00E669E2"/>
    <w:rsid w:val="00E66E33"/>
    <w:rsid w:val="00E67FE4"/>
    <w:rsid w:val="00E74DC5"/>
    <w:rsid w:val="00E754AC"/>
    <w:rsid w:val="00E7575C"/>
    <w:rsid w:val="00E76135"/>
    <w:rsid w:val="00E77AB6"/>
    <w:rsid w:val="00E81E74"/>
    <w:rsid w:val="00E82F4F"/>
    <w:rsid w:val="00E849AC"/>
    <w:rsid w:val="00E8567C"/>
    <w:rsid w:val="00E8711E"/>
    <w:rsid w:val="00E9076D"/>
    <w:rsid w:val="00E90FF5"/>
    <w:rsid w:val="00E91984"/>
    <w:rsid w:val="00E92275"/>
    <w:rsid w:val="00E92921"/>
    <w:rsid w:val="00E94273"/>
    <w:rsid w:val="00E96B99"/>
    <w:rsid w:val="00EA28E1"/>
    <w:rsid w:val="00EA49D2"/>
    <w:rsid w:val="00EA717E"/>
    <w:rsid w:val="00EB295F"/>
    <w:rsid w:val="00EC0276"/>
    <w:rsid w:val="00EC02FD"/>
    <w:rsid w:val="00EC1CC6"/>
    <w:rsid w:val="00EC1FAD"/>
    <w:rsid w:val="00EC2844"/>
    <w:rsid w:val="00EC5500"/>
    <w:rsid w:val="00EC6671"/>
    <w:rsid w:val="00EC70B8"/>
    <w:rsid w:val="00ED18F8"/>
    <w:rsid w:val="00ED1E89"/>
    <w:rsid w:val="00ED4C85"/>
    <w:rsid w:val="00ED4FE1"/>
    <w:rsid w:val="00ED52E5"/>
    <w:rsid w:val="00ED69B4"/>
    <w:rsid w:val="00EE3EBD"/>
    <w:rsid w:val="00EE52B9"/>
    <w:rsid w:val="00EF09AF"/>
    <w:rsid w:val="00EF14BB"/>
    <w:rsid w:val="00EF3E10"/>
    <w:rsid w:val="00EF68B1"/>
    <w:rsid w:val="00EF6C6C"/>
    <w:rsid w:val="00EF7615"/>
    <w:rsid w:val="00EF7870"/>
    <w:rsid w:val="00F055A0"/>
    <w:rsid w:val="00F056FC"/>
    <w:rsid w:val="00F06325"/>
    <w:rsid w:val="00F06C2C"/>
    <w:rsid w:val="00F10476"/>
    <w:rsid w:val="00F10A30"/>
    <w:rsid w:val="00F123A9"/>
    <w:rsid w:val="00F135D8"/>
    <w:rsid w:val="00F13795"/>
    <w:rsid w:val="00F13911"/>
    <w:rsid w:val="00F170CC"/>
    <w:rsid w:val="00F21537"/>
    <w:rsid w:val="00F21B5E"/>
    <w:rsid w:val="00F2288B"/>
    <w:rsid w:val="00F31204"/>
    <w:rsid w:val="00F31299"/>
    <w:rsid w:val="00F3534A"/>
    <w:rsid w:val="00F401A6"/>
    <w:rsid w:val="00F4096D"/>
    <w:rsid w:val="00F40A45"/>
    <w:rsid w:val="00F40F74"/>
    <w:rsid w:val="00F41B16"/>
    <w:rsid w:val="00F42086"/>
    <w:rsid w:val="00F42687"/>
    <w:rsid w:val="00F42908"/>
    <w:rsid w:val="00F431C6"/>
    <w:rsid w:val="00F43F6B"/>
    <w:rsid w:val="00F508B0"/>
    <w:rsid w:val="00F51609"/>
    <w:rsid w:val="00F5249E"/>
    <w:rsid w:val="00F569B5"/>
    <w:rsid w:val="00F56D7D"/>
    <w:rsid w:val="00F570FC"/>
    <w:rsid w:val="00F606A7"/>
    <w:rsid w:val="00F617B6"/>
    <w:rsid w:val="00F64746"/>
    <w:rsid w:val="00F67260"/>
    <w:rsid w:val="00F70B0D"/>
    <w:rsid w:val="00F7125B"/>
    <w:rsid w:val="00F72C73"/>
    <w:rsid w:val="00F74B34"/>
    <w:rsid w:val="00F81006"/>
    <w:rsid w:val="00F83409"/>
    <w:rsid w:val="00F85325"/>
    <w:rsid w:val="00F86395"/>
    <w:rsid w:val="00F86AF8"/>
    <w:rsid w:val="00F918A7"/>
    <w:rsid w:val="00F92E3C"/>
    <w:rsid w:val="00F93EFA"/>
    <w:rsid w:val="00F9410F"/>
    <w:rsid w:val="00F95F26"/>
    <w:rsid w:val="00F967D2"/>
    <w:rsid w:val="00FA1A46"/>
    <w:rsid w:val="00FB034A"/>
    <w:rsid w:val="00FB3290"/>
    <w:rsid w:val="00FB6C0F"/>
    <w:rsid w:val="00FB78E5"/>
    <w:rsid w:val="00FC2F32"/>
    <w:rsid w:val="00FC3AB5"/>
    <w:rsid w:val="00FC41BF"/>
    <w:rsid w:val="00FC46AE"/>
    <w:rsid w:val="00FD06C4"/>
    <w:rsid w:val="00FD1B0C"/>
    <w:rsid w:val="00FD22B1"/>
    <w:rsid w:val="00FD3543"/>
    <w:rsid w:val="00FD36C6"/>
    <w:rsid w:val="00FD3B53"/>
    <w:rsid w:val="00FD5FEE"/>
    <w:rsid w:val="00FE14D1"/>
    <w:rsid w:val="00FE1F4F"/>
    <w:rsid w:val="00FE3748"/>
    <w:rsid w:val="00FE5397"/>
    <w:rsid w:val="00FE63AB"/>
    <w:rsid w:val="00FF1D03"/>
    <w:rsid w:val="00FF59C1"/>
    <w:rsid w:val="00FF5CE6"/>
    <w:rsid w:val="00FF6BAD"/>
    <w:rsid w:val="00FF749F"/>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84B91"/>
    <w:rPr>
      <w:sz w:val="24"/>
      <w:szCs w:val="24"/>
    </w:rPr>
  </w:style>
  <w:style w:type="paragraph" w:styleId="Heading1">
    <w:name w:val="heading 1"/>
    <w:basedOn w:val="BodyText"/>
    <w:next w:val="BodyText"/>
    <w:rsid w:val="00084B9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084B9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084B91"/>
    <w:pPr>
      <w:spacing w:before="560" w:line="320" w:lineRule="exact"/>
      <w:ind w:left="0" w:firstLine="0"/>
      <w:outlineLvl w:val="2"/>
    </w:pPr>
    <w:rPr>
      <w:sz w:val="26"/>
    </w:rPr>
  </w:style>
  <w:style w:type="paragraph" w:styleId="Heading4">
    <w:name w:val="heading 4"/>
    <w:basedOn w:val="Heading3"/>
    <w:next w:val="BodyText"/>
    <w:link w:val="Heading4Char"/>
    <w:qFormat/>
    <w:rsid w:val="00084B91"/>
    <w:pPr>
      <w:spacing w:before="480"/>
      <w:outlineLvl w:val="3"/>
    </w:pPr>
    <w:rPr>
      <w:b w:val="0"/>
      <w:sz w:val="24"/>
    </w:rPr>
  </w:style>
  <w:style w:type="paragraph" w:styleId="Heading5">
    <w:name w:val="heading 5"/>
    <w:basedOn w:val="Heading4"/>
    <w:next w:val="BodyText"/>
    <w:link w:val="Heading5Char"/>
    <w:qFormat/>
    <w:rsid w:val="00084B91"/>
    <w:pPr>
      <w:outlineLvl w:val="4"/>
    </w:pPr>
    <w:rPr>
      <w:i/>
      <w:sz w:val="22"/>
    </w:rPr>
  </w:style>
  <w:style w:type="paragraph" w:styleId="Heading6">
    <w:name w:val="heading 6"/>
    <w:basedOn w:val="BodyText"/>
    <w:next w:val="BodyText"/>
    <w:rsid w:val="00084B91"/>
    <w:pPr>
      <w:spacing w:after="60"/>
      <w:jc w:val="left"/>
      <w:outlineLvl w:val="5"/>
    </w:pPr>
    <w:rPr>
      <w:i/>
      <w:sz w:val="22"/>
    </w:rPr>
  </w:style>
  <w:style w:type="paragraph" w:styleId="Heading7">
    <w:name w:val="heading 7"/>
    <w:basedOn w:val="BodyText"/>
    <w:next w:val="BodyText"/>
    <w:rsid w:val="00084B91"/>
    <w:pPr>
      <w:spacing w:after="60" w:line="240" w:lineRule="auto"/>
      <w:jc w:val="left"/>
      <w:outlineLvl w:val="6"/>
    </w:pPr>
    <w:rPr>
      <w:rFonts w:ascii="Arial" w:hAnsi="Arial"/>
      <w:sz w:val="20"/>
    </w:rPr>
  </w:style>
  <w:style w:type="paragraph" w:styleId="Heading8">
    <w:name w:val="heading 8"/>
    <w:basedOn w:val="BodyText"/>
    <w:next w:val="BodyText"/>
    <w:rsid w:val="00084B91"/>
    <w:pPr>
      <w:spacing w:after="60" w:line="240" w:lineRule="auto"/>
      <w:jc w:val="left"/>
      <w:outlineLvl w:val="7"/>
    </w:pPr>
    <w:rPr>
      <w:rFonts w:ascii="Arial" w:hAnsi="Arial"/>
      <w:i/>
      <w:sz w:val="20"/>
    </w:rPr>
  </w:style>
  <w:style w:type="paragraph" w:styleId="Heading9">
    <w:name w:val="heading 9"/>
    <w:basedOn w:val="BodyText"/>
    <w:next w:val="BodyText"/>
    <w:rsid w:val="00084B9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084B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4B91"/>
  </w:style>
  <w:style w:type="paragraph" w:styleId="BodyText">
    <w:name w:val="Body Text"/>
    <w:link w:val="BodyTextChar"/>
    <w:qFormat/>
    <w:rsid w:val="00084B91"/>
    <w:pPr>
      <w:spacing w:before="240" w:line="300" w:lineRule="atLeast"/>
      <w:jc w:val="both"/>
    </w:pPr>
    <w:rPr>
      <w:sz w:val="24"/>
    </w:rPr>
  </w:style>
  <w:style w:type="paragraph" w:styleId="Footer">
    <w:name w:val="footer"/>
    <w:basedOn w:val="BodyText"/>
    <w:link w:val="FooterChar"/>
    <w:rsid w:val="00084B91"/>
    <w:pPr>
      <w:spacing w:before="80" w:line="200" w:lineRule="exact"/>
      <w:ind w:right="6"/>
      <w:jc w:val="left"/>
    </w:pPr>
    <w:rPr>
      <w:rFonts w:ascii="Arial" w:hAnsi="Arial"/>
      <w:caps/>
      <w:spacing w:val="-4"/>
      <w:sz w:val="16"/>
    </w:rPr>
  </w:style>
  <w:style w:type="paragraph" w:customStyle="1" w:styleId="FooterEnd">
    <w:name w:val="Footer End"/>
    <w:basedOn w:val="Footer"/>
    <w:rsid w:val="00084B91"/>
    <w:pPr>
      <w:spacing w:before="0" w:line="20" w:lineRule="exact"/>
    </w:pPr>
  </w:style>
  <w:style w:type="paragraph" w:styleId="Header">
    <w:name w:val="header"/>
    <w:basedOn w:val="BodyText"/>
    <w:rsid w:val="00084B91"/>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084B91"/>
    <w:pPr>
      <w:spacing w:line="20" w:lineRule="exact"/>
    </w:pPr>
    <w:rPr>
      <w:sz w:val="16"/>
    </w:rPr>
  </w:style>
  <w:style w:type="paragraph" w:customStyle="1" w:styleId="HeaderEven">
    <w:name w:val="Header Even"/>
    <w:basedOn w:val="Header"/>
    <w:semiHidden/>
    <w:rsid w:val="00084B91"/>
  </w:style>
  <w:style w:type="paragraph" w:customStyle="1" w:styleId="HeaderOdd">
    <w:name w:val="Header Odd"/>
    <w:basedOn w:val="Header"/>
    <w:semiHidden/>
    <w:rsid w:val="00084B91"/>
  </w:style>
  <w:style w:type="character" w:styleId="PageNumber">
    <w:name w:val="page number"/>
    <w:basedOn w:val="DefaultParagraphFont"/>
    <w:rsid w:val="00084B91"/>
    <w:rPr>
      <w:rFonts w:ascii="Arial" w:hAnsi="Arial"/>
      <w:b/>
      <w:sz w:val="16"/>
    </w:rPr>
  </w:style>
  <w:style w:type="paragraph" w:customStyle="1" w:styleId="Abbreviation">
    <w:name w:val="Abbreviation"/>
    <w:basedOn w:val="BodyText"/>
    <w:rsid w:val="00084B91"/>
    <w:pPr>
      <w:spacing w:before="120"/>
      <w:ind w:left="2381" w:hanging="2381"/>
      <w:jc w:val="left"/>
    </w:pPr>
  </w:style>
  <w:style w:type="paragraph" w:customStyle="1" w:styleId="Box">
    <w:name w:val="Box"/>
    <w:basedOn w:val="BodyText"/>
    <w:link w:val="BoxChar"/>
    <w:qFormat/>
    <w:rsid w:val="00084B91"/>
    <w:pPr>
      <w:keepNext/>
      <w:spacing w:before="120" w:line="260" w:lineRule="atLeast"/>
    </w:pPr>
    <w:rPr>
      <w:rFonts w:ascii="Arial" w:hAnsi="Arial"/>
      <w:sz w:val="20"/>
    </w:rPr>
  </w:style>
  <w:style w:type="paragraph" w:customStyle="1" w:styleId="BoxContinued">
    <w:name w:val="Box Continued"/>
    <w:basedOn w:val="BodyText"/>
    <w:next w:val="BodyText"/>
    <w:semiHidden/>
    <w:rsid w:val="00084B91"/>
    <w:pPr>
      <w:spacing w:before="180" w:line="220" w:lineRule="exact"/>
      <w:jc w:val="right"/>
    </w:pPr>
    <w:rPr>
      <w:rFonts w:ascii="Arial" w:hAnsi="Arial"/>
      <w:sz w:val="18"/>
    </w:rPr>
  </w:style>
  <w:style w:type="paragraph" w:customStyle="1" w:styleId="BoxHeading1">
    <w:name w:val="Box Heading 1"/>
    <w:basedOn w:val="BodyText"/>
    <w:next w:val="Box"/>
    <w:rsid w:val="00084B91"/>
    <w:pPr>
      <w:keepNext/>
      <w:spacing w:before="200" w:line="280" w:lineRule="atLeast"/>
    </w:pPr>
    <w:rPr>
      <w:rFonts w:ascii="Arial" w:hAnsi="Arial"/>
      <w:b/>
      <w:sz w:val="22"/>
    </w:rPr>
  </w:style>
  <w:style w:type="paragraph" w:customStyle="1" w:styleId="BoxHeading2">
    <w:name w:val="Box Heading 2"/>
    <w:basedOn w:val="BoxHeading1"/>
    <w:next w:val="Normal"/>
    <w:rsid w:val="00084B91"/>
    <w:rPr>
      <w:b w:val="0"/>
      <w:i/>
    </w:rPr>
  </w:style>
  <w:style w:type="paragraph" w:customStyle="1" w:styleId="BoxListBullet">
    <w:name w:val="Box List Bullet"/>
    <w:basedOn w:val="BodyText"/>
    <w:rsid w:val="00084B9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084B91"/>
    <w:pPr>
      <w:numPr>
        <w:numId w:val="2"/>
      </w:numPr>
      <w:ind w:left="568" w:hanging="284"/>
    </w:pPr>
  </w:style>
  <w:style w:type="paragraph" w:customStyle="1" w:styleId="BoxListNumber">
    <w:name w:val="Box List Number"/>
    <w:basedOn w:val="BodyText"/>
    <w:rsid w:val="00084B91"/>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084B91"/>
    <w:pPr>
      <w:numPr>
        <w:ilvl w:val="1"/>
      </w:numPr>
      <w:ind w:left="681" w:hanging="397"/>
    </w:pPr>
  </w:style>
  <w:style w:type="paragraph" w:customStyle="1" w:styleId="BoxQuote">
    <w:name w:val="Box Quote"/>
    <w:basedOn w:val="BodyText"/>
    <w:next w:val="Box"/>
    <w:qFormat/>
    <w:rsid w:val="00084B91"/>
    <w:pPr>
      <w:keepNext/>
      <w:spacing w:before="60" w:line="240" w:lineRule="exact"/>
      <w:ind w:left="284"/>
    </w:pPr>
    <w:rPr>
      <w:rFonts w:ascii="Arial" w:hAnsi="Arial"/>
      <w:sz w:val="18"/>
    </w:rPr>
  </w:style>
  <w:style w:type="paragraph" w:customStyle="1" w:styleId="Note">
    <w:name w:val="Note"/>
    <w:basedOn w:val="BodyText"/>
    <w:next w:val="BodyText"/>
    <w:rsid w:val="00084B91"/>
    <w:pPr>
      <w:keepLines/>
      <w:spacing w:before="80" w:line="220" w:lineRule="exact"/>
    </w:pPr>
    <w:rPr>
      <w:rFonts w:ascii="Arial" w:hAnsi="Arial"/>
      <w:sz w:val="18"/>
    </w:rPr>
  </w:style>
  <w:style w:type="paragraph" w:customStyle="1" w:styleId="Source">
    <w:name w:val="Source"/>
    <w:basedOn w:val="Normal"/>
    <w:next w:val="BodyText"/>
    <w:rsid w:val="00084B91"/>
    <w:pPr>
      <w:keepLines/>
      <w:spacing w:before="80" w:line="220" w:lineRule="exact"/>
      <w:jc w:val="both"/>
    </w:pPr>
    <w:rPr>
      <w:rFonts w:ascii="Arial" w:hAnsi="Arial"/>
      <w:sz w:val="18"/>
      <w:szCs w:val="20"/>
    </w:rPr>
  </w:style>
  <w:style w:type="paragraph" w:customStyle="1" w:styleId="BoxSource">
    <w:name w:val="Box Source"/>
    <w:basedOn w:val="Source"/>
    <w:next w:val="BodyText"/>
    <w:rsid w:val="00084B91"/>
    <w:pPr>
      <w:spacing w:before="120"/>
    </w:pPr>
  </w:style>
  <w:style w:type="paragraph" w:customStyle="1" w:styleId="BoxSpaceAbove">
    <w:name w:val="Box Space Above"/>
    <w:basedOn w:val="BodyText"/>
    <w:rsid w:val="00084B91"/>
    <w:pPr>
      <w:keepNext/>
      <w:spacing w:before="360" w:line="80" w:lineRule="exact"/>
      <w:jc w:val="left"/>
    </w:pPr>
  </w:style>
  <w:style w:type="paragraph" w:styleId="Caption">
    <w:name w:val="caption"/>
    <w:basedOn w:val="Normal"/>
    <w:next w:val="BodyText"/>
    <w:rsid w:val="00084B9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084B91"/>
    <w:pPr>
      <w:spacing w:before="120" w:after="0"/>
    </w:pPr>
  </w:style>
  <w:style w:type="paragraph" w:customStyle="1" w:styleId="BoxSubtitle">
    <w:name w:val="Box Subtitle"/>
    <w:basedOn w:val="BoxTitle"/>
    <w:next w:val="Normal"/>
    <w:rsid w:val="00084B91"/>
    <w:pPr>
      <w:spacing w:after="80" w:line="200" w:lineRule="exact"/>
      <w:ind w:firstLine="0"/>
    </w:pPr>
    <w:rPr>
      <w:b w:val="0"/>
      <w:sz w:val="20"/>
    </w:rPr>
  </w:style>
  <w:style w:type="paragraph" w:customStyle="1" w:styleId="Chapter">
    <w:name w:val="Chapter"/>
    <w:basedOn w:val="Heading1"/>
    <w:next w:val="BodyText"/>
    <w:semiHidden/>
    <w:rsid w:val="00084B91"/>
    <w:pPr>
      <w:ind w:left="0" w:firstLine="0"/>
      <w:outlineLvl w:val="9"/>
    </w:pPr>
  </w:style>
  <w:style w:type="paragraph" w:customStyle="1" w:styleId="ChapterSummary">
    <w:name w:val="Chapter Summary"/>
    <w:basedOn w:val="BodyText"/>
    <w:rsid w:val="00084B91"/>
    <w:pPr>
      <w:spacing w:line="280" w:lineRule="atLeast"/>
      <w:ind w:left="907"/>
    </w:pPr>
    <w:rPr>
      <w:rFonts w:ascii="Arial" w:hAnsi="Arial"/>
      <w:b/>
      <w:sz w:val="20"/>
    </w:rPr>
  </w:style>
  <w:style w:type="character" w:styleId="CommentReference">
    <w:name w:val="annotation reference"/>
    <w:basedOn w:val="DefaultParagraphFont"/>
    <w:semiHidden/>
    <w:rsid w:val="00084B91"/>
    <w:rPr>
      <w:b/>
      <w:vanish/>
      <w:color w:val="FF00FF"/>
      <w:sz w:val="20"/>
    </w:rPr>
  </w:style>
  <w:style w:type="paragraph" w:styleId="CommentText">
    <w:name w:val="annotation text"/>
    <w:basedOn w:val="Normal"/>
    <w:link w:val="CommentTextChar"/>
    <w:semiHidden/>
    <w:rsid w:val="00084B91"/>
    <w:pPr>
      <w:spacing w:before="120" w:line="240" w:lineRule="atLeast"/>
      <w:ind w:left="567" w:hanging="567"/>
    </w:pPr>
    <w:rPr>
      <w:sz w:val="20"/>
    </w:rPr>
  </w:style>
  <w:style w:type="paragraph" w:customStyle="1" w:styleId="Continued">
    <w:name w:val="Continued"/>
    <w:basedOn w:val="BoxContinued"/>
    <w:next w:val="BodyText"/>
    <w:rsid w:val="00084B91"/>
  </w:style>
  <w:style w:type="character" w:customStyle="1" w:styleId="DocumentInfo">
    <w:name w:val="Document Info"/>
    <w:basedOn w:val="DefaultParagraphFont"/>
    <w:semiHidden/>
    <w:rsid w:val="00084B91"/>
    <w:rPr>
      <w:rFonts w:ascii="Arial" w:hAnsi="Arial"/>
      <w:sz w:val="14"/>
    </w:rPr>
  </w:style>
  <w:style w:type="character" w:customStyle="1" w:styleId="DraftingNote">
    <w:name w:val="Drafting Note"/>
    <w:basedOn w:val="DefaultParagraphFont"/>
    <w:rsid w:val="00084B91"/>
    <w:rPr>
      <w:b/>
      <w:color w:val="FF0000"/>
      <w:sz w:val="24"/>
      <w:u w:val="dotted"/>
    </w:rPr>
  </w:style>
  <w:style w:type="paragraph" w:customStyle="1" w:styleId="Figure">
    <w:name w:val="Figure"/>
    <w:basedOn w:val="BodyText"/>
    <w:rsid w:val="00084B91"/>
    <w:pPr>
      <w:keepNext/>
      <w:spacing w:before="120" w:after="120" w:line="240" w:lineRule="atLeast"/>
      <w:jc w:val="center"/>
    </w:pPr>
  </w:style>
  <w:style w:type="paragraph" w:customStyle="1" w:styleId="FigureTitle">
    <w:name w:val="Figure Title"/>
    <w:basedOn w:val="Caption"/>
    <w:next w:val="Subtitle"/>
    <w:rsid w:val="00084B91"/>
    <w:pPr>
      <w:spacing w:before="120"/>
    </w:pPr>
  </w:style>
  <w:style w:type="paragraph" w:styleId="Subtitle">
    <w:name w:val="Subtitle"/>
    <w:basedOn w:val="Caption"/>
    <w:link w:val="SubtitleChar"/>
    <w:qFormat/>
    <w:rsid w:val="00084B91"/>
    <w:pPr>
      <w:spacing w:before="0" w:line="200" w:lineRule="exact"/>
      <w:ind w:firstLine="0"/>
    </w:pPr>
    <w:rPr>
      <w:b w:val="0"/>
      <w:sz w:val="20"/>
    </w:rPr>
  </w:style>
  <w:style w:type="paragraph" w:customStyle="1" w:styleId="Finding">
    <w:name w:val="Finding"/>
    <w:basedOn w:val="BodyText"/>
    <w:rsid w:val="00084B91"/>
    <w:pPr>
      <w:keepLines/>
      <w:spacing w:before="120" w:line="280" w:lineRule="atLeast"/>
    </w:pPr>
    <w:rPr>
      <w:rFonts w:ascii="Arial" w:hAnsi="Arial"/>
      <w:sz w:val="22"/>
    </w:rPr>
  </w:style>
  <w:style w:type="paragraph" w:customStyle="1" w:styleId="FindingBullet">
    <w:name w:val="Finding Bullet"/>
    <w:basedOn w:val="Finding"/>
    <w:rsid w:val="00084B91"/>
    <w:pPr>
      <w:numPr>
        <w:numId w:val="3"/>
      </w:numPr>
      <w:spacing w:before="80"/>
    </w:pPr>
  </w:style>
  <w:style w:type="paragraph" w:customStyle="1" w:styleId="FindingNoTitle">
    <w:name w:val="Finding NoTitle"/>
    <w:basedOn w:val="Finding"/>
    <w:semiHidden/>
    <w:rsid w:val="00084B91"/>
    <w:pPr>
      <w:spacing w:before="240"/>
    </w:pPr>
  </w:style>
  <w:style w:type="paragraph" w:customStyle="1" w:styleId="RecTitle">
    <w:name w:val="Rec Title"/>
    <w:basedOn w:val="BodyText"/>
    <w:next w:val="Rec"/>
    <w:qFormat/>
    <w:rsid w:val="00084B91"/>
    <w:pPr>
      <w:keepNext/>
      <w:keepLines/>
      <w:spacing w:line="280" w:lineRule="atLeast"/>
    </w:pPr>
    <w:rPr>
      <w:rFonts w:ascii="Arial" w:hAnsi="Arial"/>
      <w:caps/>
      <w:sz w:val="18"/>
    </w:rPr>
  </w:style>
  <w:style w:type="paragraph" w:customStyle="1" w:styleId="FindingTitle">
    <w:name w:val="Finding Title"/>
    <w:basedOn w:val="RecTitle"/>
    <w:next w:val="Finding"/>
    <w:rsid w:val="00084B91"/>
  </w:style>
  <w:style w:type="character" w:styleId="FootnoteReference">
    <w:name w:val="footnote reference"/>
    <w:basedOn w:val="DefaultParagraphFont"/>
    <w:semiHidden/>
    <w:rsid w:val="00084B91"/>
    <w:rPr>
      <w:rFonts w:ascii="Times New Roman" w:hAnsi="Times New Roman"/>
      <w:position w:val="6"/>
      <w:sz w:val="20"/>
      <w:vertAlign w:val="baseline"/>
    </w:rPr>
  </w:style>
  <w:style w:type="paragraph" w:styleId="FootnoteText">
    <w:name w:val="footnote text"/>
    <w:basedOn w:val="BodyText"/>
    <w:link w:val="FootnoteTextChar"/>
    <w:rsid w:val="00084B91"/>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084B91"/>
    <w:rPr>
      <w:i/>
    </w:rPr>
  </w:style>
  <w:style w:type="paragraph" w:customStyle="1" w:styleId="Jurisdictioncommentsbodytext">
    <w:name w:val="Jurisdiction comments body text"/>
    <w:rsid w:val="00084B91"/>
    <w:pPr>
      <w:spacing w:after="140"/>
      <w:jc w:val="both"/>
    </w:pPr>
    <w:rPr>
      <w:rFonts w:ascii="Arial" w:hAnsi="Arial"/>
      <w:sz w:val="24"/>
      <w:lang w:eastAsia="en-US"/>
    </w:rPr>
  </w:style>
  <w:style w:type="paragraph" w:customStyle="1" w:styleId="Jurisdictioncommentsheading">
    <w:name w:val="Jurisdiction comments heading"/>
    <w:rsid w:val="00084B9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084B91"/>
    <w:pPr>
      <w:numPr>
        <w:numId w:val="4"/>
      </w:numPr>
      <w:spacing w:after="140"/>
      <w:jc w:val="both"/>
    </w:pPr>
    <w:rPr>
      <w:rFonts w:ascii="Arial" w:hAnsi="Arial"/>
      <w:sz w:val="24"/>
      <w:lang w:eastAsia="en-US"/>
    </w:rPr>
  </w:style>
  <w:style w:type="paragraph" w:styleId="ListBullet">
    <w:name w:val="List Bullet"/>
    <w:basedOn w:val="BodyText"/>
    <w:rsid w:val="00084B91"/>
    <w:pPr>
      <w:numPr>
        <w:numId w:val="5"/>
      </w:numPr>
      <w:spacing w:before="120"/>
    </w:pPr>
  </w:style>
  <w:style w:type="paragraph" w:styleId="ListBullet2">
    <w:name w:val="List Bullet 2"/>
    <w:basedOn w:val="BodyText"/>
    <w:rsid w:val="00084B91"/>
    <w:pPr>
      <w:numPr>
        <w:numId w:val="6"/>
      </w:numPr>
      <w:spacing w:before="120"/>
    </w:pPr>
  </w:style>
  <w:style w:type="paragraph" w:styleId="ListBullet3">
    <w:name w:val="List Bullet 3"/>
    <w:basedOn w:val="BodyText"/>
    <w:rsid w:val="00084B91"/>
    <w:pPr>
      <w:numPr>
        <w:numId w:val="7"/>
      </w:numPr>
      <w:spacing w:before="120"/>
      <w:ind w:left="1020" w:hanging="340"/>
    </w:pPr>
  </w:style>
  <w:style w:type="paragraph" w:styleId="ListNumber">
    <w:name w:val="List Number"/>
    <w:basedOn w:val="BodyText"/>
    <w:rsid w:val="00084B91"/>
    <w:pPr>
      <w:numPr>
        <w:numId w:val="13"/>
      </w:numPr>
      <w:spacing w:before="120"/>
    </w:pPr>
  </w:style>
  <w:style w:type="paragraph" w:styleId="ListNumber2">
    <w:name w:val="List Number 2"/>
    <w:basedOn w:val="ListNumber"/>
    <w:rsid w:val="00084B91"/>
    <w:pPr>
      <w:numPr>
        <w:ilvl w:val="1"/>
      </w:numPr>
    </w:pPr>
  </w:style>
  <w:style w:type="paragraph" w:styleId="ListNumber3">
    <w:name w:val="List Number 3"/>
    <w:basedOn w:val="ListNumber2"/>
    <w:rsid w:val="00084B91"/>
    <w:pPr>
      <w:numPr>
        <w:ilvl w:val="2"/>
      </w:numPr>
    </w:pPr>
  </w:style>
  <w:style w:type="character" w:customStyle="1" w:styleId="NoteLabel">
    <w:name w:val="Note Label"/>
    <w:basedOn w:val="DefaultParagraphFont"/>
    <w:rsid w:val="00084B91"/>
    <w:rPr>
      <w:rFonts w:ascii="Arial" w:hAnsi="Arial"/>
      <w:b/>
      <w:position w:val="6"/>
      <w:sz w:val="18"/>
    </w:rPr>
  </w:style>
  <w:style w:type="paragraph" w:customStyle="1" w:styleId="PartDivider">
    <w:name w:val="Part Divider"/>
    <w:basedOn w:val="BodyText"/>
    <w:next w:val="BodyText"/>
    <w:semiHidden/>
    <w:rsid w:val="00084B91"/>
    <w:pPr>
      <w:spacing w:before="0" w:line="40" w:lineRule="exact"/>
      <w:jc w:val="right"/>
    </w:pPr>
    <w:rPr>
      <w:smallCaps/>
      <w:sz w:val="16"/>
    </w:rPr>
  </w:style>
  <w:style w:type="paragraph" w:customStyle="1" w:styleId="PartNumber">
    <w:name w:val="Part Number"/>
    <w:basedOn w:val="BodyText"/>
    <w:next w:val="BodyText"/>
    <w:semiHidden/>
    <w:rsid w:val="00084B91"/>
    <w:pPr>
      <w:spacing w:before="4000" w:line="320" w:lineRule="exact"/>
      <w:ind w:left="6634"/>
      <w:jc w:val="right"/>
    </w:pPr>
    <w:rPr>
      <w:smallCaps/>
      <w:spacing w:val="60"/>
      <w:sz w:val="32"/>
    </w:rPr>
  </w:style>
  <w:style w:type="paragraph" w:customStyle="1" w:styleId="PartTitle">
    <w:name w:val="Part Title"/>
    <w:basedOn w:val="BodyText"/>
    <w:semiHidden/>
    <w:rsid w:val="00084B91"/>
    <w:pPr>
      <w:spacing w:before="160" w:after="1360" w:line="520" w:lineRule="exact"/>
      <w:ind w:right="2381"/>
      <w:jc w:val="right"/>
    </w:pPr>
    <w:rPr>
      <w:smallCaps/>
      <w:sz w:val="52"/>
    </w:rPr>
  </w:style>
  <w:style w:type="paragraph" w:styleId="Quote">
    <w:name w:val="Quote"/>
    <w:basedOn w:val="BodyText"/>
    <w:next w:val="BodyText"/>
    <w:link w:val="QuoteChar"/>
    <w:qFormat/>
    <w:rsid w:val="00084B91"/>
    <w:pPr>
      <w:spacing w:before="120" w:line="280" w:lineRule="exact"/>
      <w:ind w:left="340"/>
    </w:pPr>
    <w:rPr>
      <w:sz w:val="22"/>
    </w:rPr>
  </w:style>
  <w:style w:type="paragraph" w:customStyle="1" w:styleId="QuoteBullet">
    <w:name w:val="Quote Bullet"/>
    <w:basedOn w:val="Quote"/>
    <w:rsid w:val="00084B91"/>
    <w:pPr>
      <w:numPr>
        <w:numId w:val="8"/>
      </w:numPr>
    </w:pPr>
  </w:style>
  <w:style w:type="paragraph" w:customStyle="1" w:styleId="Rec">
    <w:name w:val="Rec"/>
    <w:basedOn w:val="BodyText"/>
    <w:qFormat/>
    <w:rsid w:val="00084B91"/>
    <w:pPr>
      <w:keepLines/>
      <w:spacing w:before="120" w:line="280" w:lineRule="atLeast"/>
    </w:pPr>
    <w:rPr>
      <w:rFonts w:ascii="Arial" w:hAnsi="Arial"/>
      <w:sz w:val="22"/>
    </w:rPr>
  </w:style>
  <w:style w:type="paragraph" w:customStyle="1" w:styleId="RecBullet">
    <w:name w:val="Rec Bullet"/>
    <w:basedOn w:val="Rec"/>
    <w:rsid w:val="00084B91"/>
    <w:pPr>
      <w:numPr>
        <w:numId w:val="9"/>
      </w:numPr>
      <w:spacing w:before="80"/>
    </w:pPr>
  </w:style>
  <w:style w:type="paragraph" w:customStyle="1" w:styleId="RecB">
    <w:name w:val="RecB"/>
    <w:basedOn w:val="Normal"/>
    <w:semiHidden/>
    <w:rsid w:val="00084B91"/>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084B91"/>
    <w:pPr>
      <w:numPr>
        <w:numId w:val="10"/>
      </w:numPr>
      <w:spacing w:before="80"/>
    </w:pPr>
  </w:style>
  <w:style w:type="paragraph" w:customStyle="1" w:styleId="RecBNoTitle">
    <w:name w:val="RecB NoTitle"/>
    <w:basedOn w:val="RecB"/>
    <w:semiHidden/>
    <w:rsid w:val="00084B91"/>
    <w:pPr>
      <w:spacing w:before="240"/>
    </w:pPr>
  </w:style>
  <w:style w:type="paragraph" w:customStyle="1" w:styleId="Reference">
    <w:name w:val="Reference"/>
    <w:basedOn w:val="BodyText"/>
    <w:link w:val="ReferenceChar"/>
    <w:rsid w:val="00084B91"/>
    <w:pPr>
      <w:spacing w:before="120"/>
      <w:ind w:left="340" w:hanging="340"/>
    </w:pPr>
  </w:style>
  <w:style w:type="paragraph" w:customStyle="1" w:styleId="SequenceInfo">
    <w:name w:val="Sequence Info"/>
    <w:basedOn w:val="BodyText"/>
    <w:semiHidden/>
    <w:rsid w:val="00084B91"/>
    <w:rPr>
      <w:vanish/>
      <w:sz w:val="16"/>
    </w:rPr>
  </w:style>
  <w:style w:type="paragraph" w:customStyle="1" w:styleId="SideNote">
    <w:name w:val="Side Note"/>
    <w:basedOn w:val="BodyText"/>
    <w:next w:val="BodyText"/>
    <w:semiHidden/>
    <w:rsid w:val="00084B9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084B91"/>
    <w:pPr>
      <w:framePr w:wrap="around"/>
      <w:numPr>
        <w:numId w:val="11"/>
      </w:numPr>
      <w:tabs>
        <w:tab w:val="left" w:pos="227"/>
      </w:tabs>
    </w:pPr>
  </w:style>
  <w:style w:type="paragraph" w:customStyle="1" w:styleId="SideNoteGraphic">
    <w:name w:val="Side Note Graphic"/>
    <w:basedOn w:val="SideNote"/>
    <w:next w:val="BodyText"/>
    <w:semiHidden/>
    <w:rsid w:val="00084B91"/>
    <w:pPr>
      <w:framePr w:wrap="around"/>
    </w:pPr>
  </w:style>
  <w:style w:type="paragraph" w:customStyle="1" w:styleId="TableBodyText">
    <w:name w:val="Table Body Text"/>
    <w:basedOn w:val="BodyText"/>
    <w:rsid w:val="00084B9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084B91"/>
    <w:pPr>
      <w:numPr>
        <w:numId w:val="12"/>
      </w:numPr>
      <w:jc w:val="left"/>
    </w:pPr>
  </w:style>
  <w:style w:type="paragraph" w:customStyle="1" w:styleId="TableColumnHeading">
    <w:name w:val="Table Column Heading"/>
    <w:basedOn w:val="TableBodyText"/>
    <w:rsid w:val="00084B91"/>
    <w:pPr>
      <w:spacing w:before="80" w:after="80"/>
    </w:pPr>
    <w:rPr>
      <w:i/>
    </w:rPr>
  </w:style>
  <w:style w:type="paragraph" w:styleId="TOC2">
    <w:name w:val="toc 2"/>
    <w:basedOn w:val="TOC1"/>
    <w:rsid w:val="00084B91"/>
    <w:pPr>
      <w:ind w:left="1134" w:hanging="624"/>
    </w:pPr>
    <w:rPr>
      <w:b w:val="0"/>
    </w:rPr>
  </w:style>
  <w:style w:type="paragraph" w:styleId="TOC3">
    <w:name w:val="toc 3"/>
    <w:basedOn w:val="TOC2"/>
    <w:rsid w:val="00084B91"/>
    <w:pPr>
      <w:spacing w:before="60"/>
      <w:ind w:left="1190" w:hanging="680"/>
    </w:pPr>
  </w:style>
  <w:style w:type="paragraph" w:styleId="TableofFigures">
    <w:name w:val="table of figures"/>
    <w:basedOn w:val="TOC3"/>
    <w:next w:val="BodyText"/>
    <w:semiHidden/>
    <w:rsid w:val="00084B91"/>
    <w:pPr>
      <w:ind w:left="737" w:hanging="737"/>
    </w:pPr>
  </w:style>
  <w:style w:type="paragraph" w:customStyle="1" w:styleId="TableTitle">
    <w:name w:val="Table Title"/>
    <w:basedOn w:val="Caption"/>
    <w:next w:val="Subtitle"/>
    <w:link w:val="TableTitleChar"/>
    <w:qFormat/>
    <w:rsid w:val="00084B91"/>
    <w:pPr>
      <w:spacing w:before="120"/>
    </w:pPr>
  </w:style>
  <w:style w:type="paragraph" w:customStyle="1" w:styleId="TableUnitsRow">
    <w:name w:val="Table Units Row"/>
    <w:basedOn w:val="TableBodyText"/>
    <w:rsid w:val="00084B91"/>
    <w:pPr>
      <w:spacing w:before="40"/>
    </w:pPr>
  </w:style>
  <w:style w:type="paragraph" w:styleId="TOC1">
    <w:name w:val="toc 1"/>
    <w:basedOn w:val="Normal"/>
    <w:next w:val="TOC2"/>
    <w:link w:val="TOC1Char"/>
    <w:rsid w:val="00084B9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084B91"/>
    <w:pPr>
      <w:ind w:left="1191" w:firstLine="0"/>
    </w:pPr>
  </w:style>
  <w:style w:type="paragraph" w:customStyle="1" w:styleId="RecBBullet2">
    <w:name w:val="RecB Bullet 2"/>
    <w:basedOn w:val="ListBullet2"/>
    <w:semiHidden/>
    <w:rsid w:val="00084B91"/>
    <w:pPr>
      <w:pBdr>
        <w:left w:val="single" w:sz="24" w:space="29" w:color="C0C0C0"/>
      </w:pBdr>
    </w:pPr>
    <w:rPr>
      <w:b/>
      <w:i/>
    </w:rPr>
  </w:style>
  <w:style w:type="paragraph" w:styleId="BalloonText">
    <w:name w:val="Balloon Text"/>
    <w:basedOn w:val="Normal"/>
    <w:link w:val="BalloonTextChar"/>
    <w:rsid w:val="00084B91"/>
    <w:rPr>
      <w:rFonts w:ascii="Tahoma" w:hAnsi="Tahoma" w:cs="Tahoma"/>
      <w:sz w:val="16"/>
      <w:szCs w:val="16"/>
    </w:rPr>
  </w:style>
  <w:style w:type="character" w:customStyle="1" w:styleId="BalloonTextChar">
    <w:name w:val="Balloon Text Char"/>
    <w:basedOn w:val="DefaultParagraphFont"/>
    <w:link w:val="BalloonText"/>
    <w:rsid w:val="00084B91"/>
    <w:rPr>
      <w:rFonts w:ascii="Tahoma" w:hAnsi="Tahoma" w:cs="Tahoma"/>
      <w:sz w:val="16"/>
      <w:szCs w:val="16"/>
    </w:rPr>
  </w:style>
  <w:style w:type="character" w:customStyle="1" w:styleId="SubtitleChar">
    <w:name w:val="Subtitle Char"/>
    <w:basedOn w:val="DefaultParagraphFont"/>
    <w:link w:val="Subtitle"/>
    <w:rsid w:val="00084B91"/>
    <w:rPr>
      <w:rFonts w:ascii="Arial" w:hAnsi="Arial"/>
      <w:szCs w:val="24"/>
    </w:rPr>
  </w:style>
  <w:style w:type="paragraph" w:customStyle="1" w:styleId="BoxListBullet3">
    <w:name w:val="Box List Bullet 3"/>
    <w:basedOn w:val="ListBullet3"/>
    <w:rsid w:val="00084B91"/>
    <w:pPr>
      <w:numPr>
        <w:numId w:val="17"/>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084B91"/>
    <w:rPr>
      <w:i/>
      <w:iCs/>
    </w:rPr>
  </w:style>
  <w:style w:type="paragraph" w:customStyle="1" w:styleId="BoxQuoteBullet">
    <w:name w:val="Box Quote Bullet"/>
    <w:basedOn w:val="BoxQuote"/>
    <w:next w:val="Box"/>
    <w:rsid w:val="00084B91"/>
    <w:pPr>
      <w:numPr>
        <w:numId w:val="15"/>
      </w:numPr>
      <w:ind w:left="568" w:hanging="284"/>
    </w:pPr>
  </w:style>
  <w:style w:type="paragraph" w:customStyle="1" w:styleId="InformationRequestBullet">
    <w:name w:val="Information Request Bullet"/>
    <w:basedOn w:val="ListBullet"/>
    <w:next w:val="BodyText"/>
    <w:rsid w:val="00084B91"/>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084B91"/>
    <w:pPr>
      <w:keepNext w:val="0"/>
      <w:spacing w:before="60" w:after="60" w:line="80" w:lineRule="exact"/>
    </w:pPr>
    <w:rPr>
      <w:sz w:val="14"/>
    </w:rPr>
  </w:style>
  <w:style w:type="character" w:customStyle="1" w:styleId="BodyTextChar">
    <w:name w:val="Body Text Char"/>
    <w:basedOn w:val="DefaultParagraphFont"/>
    <w:link w:val="BodyText"/>
    <w:rsid w:val="00084B91"/>
    <w:rPr>
      <w:sz w:val="24"/>
    </w:rPr>
  </w:style>
  <w:style w:type="character" w:customStyle="1" w:styleId="FootnoteTextChar">
    <w:name w:val="Footnote Text Char"/>
    <w:basedOn w:val="BodyTextChar"/>
    <w:link w:val="FootnoteText"/>
    <w:rsid w:val="006156C9"/>
    <w:rPr>
      <w:sz w:val="24"/>
    </w:rPr>
  </w:style>
  <w:style w:type="character" w:customStyle="1" w:styleId="ReferenceChar">
    <w:name w:val="Reference Char"/>
    <w:basedOn w:val="DefaultParagraphFont"/>
    <w:link w:val="Reference"/>
    <w:rsid w:val="006156C9"/>
    <w:rPr>
      <w:sz w:val="24"/>
    </w:rPr>
  </w:style>
  <w:style w:type="paragraph" w:styleId="CommentSubject">
    <w:name w:val="annotation subject"/>
    <w:basedOn w:val="CommentText"/>
    <w:next w:val="CommentText"/>
    <w:link w:val="CommentSubjectChar"/>
    <w:rsid w:val="005B1C25"/>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5B1C25"/>
    <w:rPr>
      <w:szCs w:val="24"/>
    </w:rPr>
  </w:style>
  <w:style w:type="character" w:customStyle="1" w:styleId="CommentSubjectChar">
    <w:name w:val="Comment Subject Char"/>
    <w:basedOn w:val="CommentTextChar"/>
    <w:link w:val="CommentSubject"/>
    <w:rsid w:val="005B1C25"/>
    <w:rPr>
      <w:b/>
      <w:bCs/>
      <w:szCs w:val="24"/>
    </w:rPr>
  </w:style>
  <w:style w:type="paragraph" w:styleId="Revision">
    <w:name w:val="Revision"/>
    <w:hidden/>
    <w:uiPriority w:val="99"/>
    <w:semiHidden/>
    <w:rsid w:val="005B1C25"/>
    <w:rPr>
      <w:sz w:val="26"/>
      <w:szCs w:val="24"/>
    </w:rPr>
  </w:style>
  <w:style w:type="paragraph" w:styleId="Bibliography">
    <w:name w:val="Bibliography"/>
    <w:basedOn w:val="Normal"/>
    <w:next w:val="Normal"/>
    <w:uiPriority w:val="37"/>
    <w:unhideWhenUsed/>
    <w:rsid w:val="0095058B"/>
    <w:pPr>
      <w:spacing w:after="240"/>
      <w:ind w:left="720" w:hanging="720"/>
    </w:pPr>
  </w:style>
  <w:style w:type="paragraph" w:customStyle="1" w:styleId="KeyPointsListBullet">
    <w:name w:val="Key Points List Bullet"/>
    <w:basedOn w:val="Normal"/>
    <w:qFormat/>
    <w:rsid w:val="00084B9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084B91"/>
    <w:pPr>
      <w:numPr>
        <w:numId w:val="19"/>
      </w:numPr>
      <w:ind w:left="568" w:hanging="284"/>
    </w:pPr>
  </w:style>
  <w:style w:type="paragraph" w:customStyle="1" w:styleId="InformationRequestTitle">
    <w:name w:val="Information Request Title"/>
    <w:basedOn w:val="FindingTitle"/>
    <w:next w:val="InformationRequest"/>
    <w:rsid w:val="00084B91"/>
    <w:rPr>
      <w:i/>
    </w:rPr>
  </w:style>
  <w:style w:type="paragraph" w:customStyle="1" w:styleId="Space">
    <w:name w:val="Space"/>
    <w:basedOn w:val="Normal"/>
    <w:rsid w:val="00084B91"/>
    <w:pPr>
      <w:keepNext/>
      <w:spacing w:line="120" w:lineRule="exact"/>
      <w:jc w:val="both"/>
    </w:pPr>
    <w:rPr>
      <w:rFonts w:ascii="Arial" w:hAnsi="Arial"/>
      <w:sz w:val="20"/>
      <w:szCs w:val="20"/>
    </w:rPr>
  </w:style>
  <w:style w:type="paragraph" w:customStyle="1" w:styleId="Heading1nochapterno">
    <w:name w:val="Heading 1 (no chapter no.)"/>
    <w:basedOn w:val="Heading1"/>
    <w:rsid w:val="00084B91"/>
    <w:pPr>
      <w:spacing w:before="0"/>
      <w:ind w:left="0" w:firstLine="0"/>
    </w:pPr>
  </w:style>
  <w:style w:type="paragraph" w:customStyle="1" w:styleId="Heading2nosectionno">
    <w:name w:val="Heading 2 (no section no.)"/>
    <w:basedOn w:val="Heading2"/>
    <w:rsid w:val="00084B91"/>
    <w:pPr>
      <w:ind w:left="0" w:firstLine="0"/>
    </w:pPr>
  </w:style>
  <w:style w:type="character" w:customStyle="1" w:styleId="Heading5Char">
    <w:name w:val="Heading 5 Char"/>
    <w:basedOn w:val="DefaultParagraphFont"/>
    <w:link w:val="Heading5"/>
    <w:rsid w:val="00084B91"/>
    <w:rPr>
      <w:rFonts w:ascii="Arial" w:hAnsi="Arial"/>
      <w:i/>
      <w:sz w:val="22"/>
    </w:rPr>
  </w:style>
  <w:style w:type="paragraph" w:customStyle="1" w:styleId="Figurespace">
    <w:name w:val="Figure space"/>
    <w:basedOn w:val="Box"/>
    <w:rsid w:val="00084B91"/>
    <w:pPr>
      <w:spacing w:before="0" w:line="120" w:lineRule="exact"/>
    </w:pPr>
  </w:style>
  <w:style w:type="paragraph" w:customStyle="1" w:styleId="FooterDraftReport">
    <w:name w:val="FooterDraftReport"/>
    <w:basedOn w:val="Footer"/>
    <w:link w:val="FooterDraftReportChar"/>
    <w:rsid w:val="00084B9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Char">
    <w:name w:val="Footer Char"/>
    <w:basedOn w:val="BodyTextChar"/>
    <w:link w:val="Footer"/>
    <w:rsid w:val="00084B91"/>
    <w:rPr>
      <w:rFonts w:ascii="Arial" w:hAnsi="Arial"/>
      <w:caps/>
      <w:spacing w:val="-4"/>
      <w:sz w:val="16"/>
    </w:rPr>
  </w:style>
  <w:style w:type="character" w:customStyle="1" w:styleId="FooterDraftReportChar">
    <w:name w:val="FooterDraftReport Char"/>
    <w:basedOn w:val="FooterChar"/>
    <w:link w:val="FooterDraftReport"/>
    <w:rsid w:val="00084B9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84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084B91"/>
    <w:rPr>
      <w:rFonts w:ascii="Arial" w:hAnsi="Arial"/>
      <w:b/>
      <w:sz w:val="26"/>
      <w:szCs w:val="26"/>
      <w:lang w:eastAsia="en-US"/>
    </w:rPr>
  </w:style>
  <w:style w:type="character" w:styleId="EndnoteReference">
    <w:name w:val="endnote reference"/>
    <w:basedOn w:val="DefaultParagraphFont"/>
    <w:rsid w:val="00471B39"/>
    <w:rPr>
      <w:vertAlign w:val="superscript"/>
    </w:rPr>
  </w:style>
  <w:style w:type="character" w:customStyle="1" w:styleId="BoxChar">
    <w:name w:val="Box Char"/>
    <w:link w:val="Box"/>
    <w:locked/>
    <w:rsid w:val="00F606A7"/>
    <w:rPr>
      <w:rFonts w:ascii="Arial" w:hAnsi="Arial"/>
    </w:rPr>
  </w:style>
  <w:style w:type="character" w:customStyle="1" w:styleId="apple-converted-space">
    <w:name w:val="apple-converted-space"/>
    <w:basedOn w:val="DefaultParagraphFont"/>
    <w:rsid w:val="00C40AE2"/>
  </w:style>
  <w:style w:type="character" w:styleId="Hyperlink">
    <w:name w:val="Hyperlink"/>
    <w:basedOn w:val="DefaultParagraphFont"/>
    <w:rsid w:val="00F13911"/>
    <w:rPr>
      <w:color w:val="78A22F" w:themeColor="hyperlink"/>
      <w:u w:val="single"/>
    </w:rPr>
  </w:style>
  <w:style w:type="character" w:styleId="FollowedHyperlink">
    <w:name w:val="FollowedHyperlink"/>
    <w:basedOn w:val="DefaultParagraphFont"/>
    <w:rsid w:val="00F13911"/>
    <w:rPr>
      <w:color w:val="387DD2" w:themeColor="followedHyperlink"/>
      <w:u w:val="single"/>
    </w:rPr>
  </w:style>
  <w:style w:type="character" w:customStyle="1" w:styleId="Heading3Char">
    <w:name w:val="Heading 3 Char"/>
    <w:basedOn w:val="DefaultParagraphFont"/>
    <w:link w:val="Heading3"/>
    <w:rsid w:val="00823672"/>
    <w:rPr>
      <w:rFonts w:ascii="Arial" w:hAnsi="Arial"/>
      <w:b/>
      <w:sz w:val="26"/>
    </w:rPr>
  </w:style>
  <w:style w:type="character" w:customStyle="1" w:styleId="QuoteChar">
    <w:name w:val="Quote Char"/>
    <w:basedOn w:val="DefaultParagraphFont"/>
    <w:link w:val="Quote"/>
    <w:rsid w:val="00D80572"/>
    <w:rPr>
      <w:sz w:val="22"/>
    </w:rPr>
  </w:style>
  <w:style w:type="character" w:customStyle="1" w:styleId="Heading4Char">
    <w:name w:val="Heading 4 Char"/>
    <w:basedOn w:val="DefaultParagraphFont"/>
    <w:link w:val="Heading4"/>
    <w:rsid w:val="00DF3347"/>
    <w:rPr>
      <w:rFonts w:ascii="Arial" w:hAnsi="Arial"/>
      <w:sz w:val="24"/>
    </w:rPr>
  </w:style>
  <w:style w:type="character" w:customStyle="1" w:styleId="TableTitleChar">
    <w:name w:val="Table Title Char"/>
    <w:basedOn w:val="DefaultParagraphFont"/>
    <w:link w:val="TableTitle"/>
    <w:locked/>
    <w:rsid w:val="00075E6C"/>
    <w:rPr>
      <w:rFonts w:ascii="Arial" w:hAnsi="Arial"/>
      <w:b/>
      <w:sz w:val="24"/>
      <w:szCs w:val="24"/>
    </w:rPr>
  </w:style>
  <w:style w:type="paragraph" w:customStyle="1" w:styleId="Copyrightheading">
    <w:name w:val="Copyright heading"/>
    <w:basedOn w:val="TOC1"/>
    <w:link w:val="CopyrightheadingChar"/>
    <w:qFormat/>
    <w:rsid w:val="006F2AF4"/>
    <w:pPr>
      <w:spacing w:line="300" w:lineRule="exact"/>
    </w:pPr>
    <w:rPr>
      <w:sz w:val="22"/>
    </w:rPr>
  </w:style>
  <w:style w:type="character" w:customStyle="1" w:styleId="CopyrightheadingChar">
    <w:name w:val="Copyright heading Char"/>
    <w:basedOn w:val="TOC1Char"/>
    <w:link w:val="Copyrightheading"/>
    <w:rsid w:val="006F2AF4"/>
    <w:rPr>
      <w:rFonts w:ascii="Arial" w:hAnsi="Arial"/>
      <w:b/>
      <w:sz w:val="22"/>
      <w:szCs w:val="26"/>
      <w:lang w:eastAsia="en-US"/>
    </w:rPr>
  </w:style>
  <w:style w:type="paragraph" w:customStyle="1" w:styleId="Copyrightsubtitle">
    <w:name w:val="Copyright subtitle"/>
    <w:basedOn w:val="BodyText"/>
    <w:rsid w:val="006F2AF4"/>
    <w:rPr>
      <w:rFonts w:ascii="Arial" w:hAnsi="Arial"/>
      <w:b/>
      <w:sz w:val="22"/>
      <w:szCs w:val="25"/>
    </w:rPr>
  </w:style>
  <w:style w:type="paragraph" w:customStyle="1" w:styleId="Copyrightbodytext">
    <w:name w:val="Copyright bodytext"/>
    <w:basedOn w:val="BodyText"/>
    <w:link w:val="CopyrightbodytextChar"/>
    <w:qFormat/>
    <w:rsid w:val="006F2AF4"/>
    <w:pPr>
      <w:spacing w:before="60"/>
    </w:pPr>
  </w:style>
  <w:style w:type="character" w:customStyle="1" w:styleId="CopyrightbodytextChar">
    <w:name w:val="Copyright bodytext Char"/>
    <w:basedOn w:val="BodyTextChar"/>
    <w:link w:val="Copyrightbodytext"/>
    <w:rsid w:val="006F2AF4"/>
    <w:rPr>
      <w:sz w:val="24"/>
    </w:rPr>
  </w:style>
  <w:style w:type="character" w:customStyle="1" w:styleId="Continuedintitle">
    <w:name w:val="Continued (in title)"/>
    <w:basedOn w:val="DefaultParagraphFont"/>
    <w:rsid w:val="00084B91"/>
    <w:rPr>
      <w:rFonts w:ascii="Arial" w:hAnsi="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84B91"/>
    <w:rPr>
      <w:sz w:val="24"/>
      <w:szCs w:val="24"/>
    </w:rPr>
  </w:style>
  <w:style w:type="paragraph" w:styleId="Heading1">
    <w:name w:val="heading 1"/>
    <w:basedOn w:val="BodyText"/>
    <w:next w:val="BodyText"/>
    <w:rsid w:val="00084B9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084B9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084B91"/>
    <w:pPr>
      <w:spacing w:before="560" w:line="320" w:lineRule="exact"/>
      <w:ind w:left="0" w:firstLine="0"/>
      <w:outlineLvl w:val="2"/>
    </w:pPr>
    <w:rPr>
      <w:sz w:val="26"/>
    </w:rPr>
  </w:style>
  <w:style w:type="paragraph" w:styleId="Heading4">
    <w:name w:val="heading 4"/>
    <w:basedOn w:val="Heading3"/>
    <w:next w:val="BodyText"/>
    <w:link w:val="Heading4Char"/>
    <w:qFormat/>
    <w:rsid w:val="00084B91"/>
    <w:pPr>
      <w:spacing w:before="480"/>
      <w:outlineLvl w:val="3"/>
    </w:pPr>
    <w:rPr>
      <w:b w:val="0"/>
      <w:sz w:val="24"/>
    </w:rPr>
  </w:style>
  <w:style w:type="paragraph" w:styleId="Heading5">
    <w:name w:val="heading 5"/>
    <w:basedOn w:val="Heading4"/>
    <w:next w:val="BodyText"/>
    <w:link w:val="Heading5Char"/>
    <w:qFormat/>
    <w:rsid w:val="00084B91"/>
    <w:pPr>
      <w:outlineLvl w:val="4"/>
    </w:pPr>
    <w:rPr>
      <w:i/>
      <w:sz w:val="22"/>
    </w:rPr>
  </w:style>
  <w:style w:type="paragraph" w:styleId="Heading6">
    <w:name w:val="heading 6"/>
    <w:basedOn w:val="BodyText"/>
    <w:next w:val="BodyText"/>
    <w:rsid w:val="00084B91"/>
    <w:pPr>
      <w:spacing w:after="60"/>
      <w:jc w:val="left"/>
      <w:outlineLvl w:val="5"/>
    </w:pPr>
    <w:rPr>
      <w:i/>
      <w:sz w:val="22"/>
    </w:rPr>
  </w:style>
  <w:style w:type="paragraph" w:styleId="Heading7">
    <w:name w:val="heading 7"/>
    <w:basedOn w:val="BodyText"/>
    <w:next w:val="BodyText"/>
    <w:rsid w:val="00084B91"/>
    <w:pPr>
      <w:spacing w:after="60" w:line="240" w:lineRule="auto"/>
      <w:jc w:val="left"/>
      <w:outlineLvl w:val="6"/>
    </w:pPr>
    <w:rPr>
      <w:rFonts w:ascii="Arial" w:hAnsi="Arial"/>
      <w:sz w:val="20"/>
    </w:rPr>
  </w:style>
  <w:style w:type="paragraph" w:styleId="Heading8">
    <w:name w:val="heading 8"/>
    <w:basedOn w:val="BodyText"/>
    <w:next w:val="BodyText"/>
    <w:rsid w:val="00084B91"/>
    <w:pPr>
      <w:spacing w:after="60" w:line="240" w:lineRule="auto"/>
      <w:jc w:val="left"/>
      <w:outlineLvl w:val="7"/>
    </w:pPr>
    <w:rPr>
      <w:rFonts w:ascii="Arial" w:hAnsi="Arial"/>
      <w:i/>
      <w:sz w:val="20"/>
    </w:rPr>
  </w:style>
  <w:style w:type="paragraph" w:styleId="Heading9">
    <w:name w:val="heading 9"/>
    <w:basedOn w:val="BodyText"/>
    <w:next w:val="BodyText"/>
    <w:rsid w:val="00084B9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084B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4B91"/>
  </w:style>
  <w:style w:type="paragraph" w:styleId="BodyText">
    <w:name w:val="Body Text"/>
    <w:link w:val="BodyTextChar"/>
    <w:qFormat/>
    <w:rsid w:val="00084B91"/>
    <w:pPr>
      <w:spacing w:before="240" w:line="300" w:lineRule="atLeast"/>
      <w:jc w:val="both"/>
    </w:pPr>
    <w:rPr>
      <w:sz w:val="24"/>
    </w:rPr>
  </w:style>
  <w:style w:type="paragraph" w:styleId="Footer">
    <w:name w:val="footer"/>
    <w:basedOn w:val="BodyText"/>
    <w:link w:val="FooterChar"/>
    <w:rsid w:val="00084B91"/>
    <w:pPr>
      <w:spacing w:before="80" w:line="200" w:lineRule="exact"/>
      <w:ind w:right="6"/>
      <w:jc w:val="left"/>
    </w:pPr>
    <w:rPr>
      <w:rFonts w:ascii="Arial" w:hAnsi="Arial"/>
      <w:caps/>
      <w:spacing w:val="-4"/>
      <w:sz w:val="16"/>
    </w:rPr>
  </w:style>
  <w:style w:type="paragraph" w:customStyle="1" w:styleId="FooterEnd">
    <w:name w:val="Footer End"/>
    <w:basedOn w:val="Footer"/>
    <w:rsid w:val="00084B91"/>
    <w:pPr>
      <w:spacing w:before="0" w:line="20" w:lineRule="exact"/>
    </w:pPr>
  </w:style>
  <w:style w:type="paragraph" w:styleId="Header">
    <w:name w:val="header"/>
    <w:basedOn w:val="BodyText"/>
    <w:rsid w:val="00084B91"/>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084B91"/>
    <w:pPr>
      <w:spacing w:line="20" w:lineRule="exact"/>
    </w:pPr>
    <w:rPr>
      <w:sz w:val="16"/>
    </w:rPr>
  </w:style>
  <w:style w:type="paragraph" w:customStyle="1" w:styleId="HeaderEven">
    <w:name w:val="Header Even"/>
    <w:basedOn w:val="Header"/>
    <w:semiHidden/>
    <w:rsid w:val="00084B91"/>
  </w:style>
  <w:style w:type="paragraph" w:customStyle="1" w:styleId="HeaderOdd">
    <w:name w:val="Header Odd"/>
    <w:basedOn w:val="Header"/>
    <w:semiHidden/>
    <w:rsid w:val="00084B91"/>
  </w:style>
  <w:style w:type="character" w:styleId="PageNumber">
    <w:name w:val="page number"/>
    <w:basedOn w:val="DefaultParagraphFont"/>
    <w:rsid w:val="00084B91"/>
    <w:rPr>
      <w:rFonts w:ascii="Arial" w:hAnsi="Arial"/>
      <w:b/>
      <w:sz w:val="16"/>
    </w:rPr>
  </w:style>
  <w:style w:type="paragraph" w:customStyle="1" w:styleId="Abbreviation">
    <w:name w:val="Abbreviation"/>
    <w:basedOn w:val="BodyText"/>
    <w:rsid w:val="00084B91"/>
    <w:pPr>
      <w:spacing w:before="120"/>
      <w:ind w:left="2381" w:hanging="2381"/>
      <w:jc w:val="left"/>
    </w:pPr>
  </w:style>
  <w:style w:type="paragraph" w:customStyle="1" w:styleId="Box">
    <w:name w:val="Box"/>
    <w:basedOn w:val="BodyText"/>
    <w:link w:val="BoxChar"/>
    <w:qFormat/>
    <w:rsid w:val="00084B91"/>
    <w:pPr>
      <w:keepNext/>
      <w:spacing w:before="120" w:line="260" w:lineRule="atLeast"/>
    </w:pPr>
    <w:rPr>
      <w:rFonts w:ascii="Arial" w:hAnsi="Arial"/>
      <w:sz w:val="20"/>
    </w:rPr>
  </w:style>
  <w:style w:type="paragraph" w:customStyle="1" w:styleId="BoxContinued">
    <w:name w:val="Box Continued"/>
    <w:basedOn w:val="BodyText"/>
    <w:next w:val="BodyText"/>
    <w:semiHidden/>
    <w:rsid w:val="00084B91"/>
    <w:pPr>
      <w:spacing w:before="180" w:line="220" w:lineRule="exact"/>
      <w:jc w:val="right"/>
    </w:pPr>
    <w:rPr>
      <w:rFonts w:ascii="Arial" w:hAnsi="Arial"/>
      <w:sz w:val="18"/>
    </w:rPr>
  </w:style>
  <w:style w:type="paragraph" w:customStyle="1" w:styleId="BoxHeading1">
    <w:name w:val="Box Heading 1"/>
    <w:basedOn w:val="BodyText"/>
    <w:next w:val="Box"/>
    <w:rsid w:val="00084B91"/>
    <w:pPr>
      <w:keepNext/>
      <w:spacing w:before="200" w:line="280" w:lineRule="atLeast"/>
    </w:pPr>
    <w:rPr>
      <w:rFonts w:ascii="Arial" w:hAnsi="Arial"/>
      <w:b/>
      <w:sz w:val="22"/>
    </w:rPr>
  </w:style>
  <w:style w:type="paragraph" w:customStyle="1" w:styleId="BoxHeading2">
    <w:name w:val="Box Heading 2"/>
    <w:basedOn w:val="BoxHeading1"/>
    <w:next w:val="Normal"/>
    <w:rsid w:val="00084B91"/>
    <w:rPr>
      <w:b w:val="0"/>
      <w:i/>
    </w:rPr>
  </w:style>
  <w:style w:type="paragraph" w:customStyle="1" w:styleId="BoxListBullet">
    <w:name w:val="Box List Bullet"/>
    <w:basedOn w:val="BodyText"/>
    <w:rsid w:val="00084B9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084B91"/>
    <w:pPr>
      <w:numPr>
        <w:numId w:val="2"/>
      </w:numPr>
      <w:ind w:left="568" w:hanging="284"/>
    </w:pPr>
  </w:style>
  <w:style w:type="paragraph" w:customStyle="1" w:styleId="BoxListNumber">
    <w:name w:val="Box List Number"/>
    <w:basedOn w:val="BodyText"/>
    <w:rsid w:val="00084B91"/>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084B91"/>
    <w:pPr>
      <w:numPr>
        <w:ilvl w:val="1"/>
      </w:numPr>
      <w:ind w:left="681" w:hanging="397"/>
    </w:pPr>
  </w:style>
  <w:style w:type="paragraph" w:customStyle="1" w:styleId="BoxQuote">
    <w:name w:val="Box Quote"/>
    <w:basedOn w:val="BodyText"/>
    <w:next w:val="Box"/>
    <w:qFormat/>
    <w:rsid w:val="00084B91"/>
    <w:pPr>
      <w:keepNext/>
      <w:spacing w:before="60" w:line="240" w:lineRule="exact"/>
      <w:ind w:left="284"/>
    </w:pPr>
    <w:rPr>
      <w:rFonts w:ascii="Arial" w:hAnsi="Arial"/>
      <w:sz w:val="18"/>
    </w:rPr>
  </w:style>
  <w:style w:type="paragraph" w:customStyle="1" w:styleId="Note">
    <w:name w:val="Note"/>
    <w:basedOn w:val="BodyText"/>
    <w:next w:val="BodyText"/>
    <w:rsid w:val="00084B91"/>
    <w:pPr>
      <w:keepLines/>
      <w:spacing w:before="80" w:line="220" w:lineRule="exact"/>
    </w:pPr>
    <w:rPr>
      <w:rFonts w:ascii="Arial" w:hAnsi="Arial"/>
      <w:sz w:val="18"/>
    </w:rPr>
  </w:style>
  <w:style w:type="paragraph" w:customStyle="1" w:styleId="Source">
    <w:name w:val="Source"/>
    <w:basedOn w:val="Normal"/>
    <w:next w:val="BodyText"/>
    <w:rsid w:val="00084B91"/>
    <w:pPr>
      <w:keepLines/>
      <w:spacing w:before="80" w:line="220" w:lineRule="exact"/>
      <w:jc w:val="both"/>
    </w:pPr>
    <w:rPr>
      <w:rFonts w:ascii="Arial" w:hAnsi="Arial"/>
      <w:sz w:val="18"/>
      <w:szCs w:val="20"/>
    </w:rPr>
  </w:style>
  <w:style w:type="paragraph" w:customStyle="1" w:styleId="BoxSource">
    <w:name w:val="Box Source"/>
    <w:basedOn w:val="Source"/>
    <w:next w:val="BodyText"/>
    <w:rsid w:val="00084B91"/>
    <w:pPr>
      <w:spacing w:before="120"/>
    </w:pPr>
  </w:style>
  <w:style w:type="paragraph" w:customStyle="1" w:styleId="BoxSpaceAbove">
    <w:name w:val="Box Space Above"/>
    <w:basedOn w:val="BodyText"/>
    <w:rsid w:val="00084B91"/>
    <w:pPr>
      <w:keepNext/>
      <w:spacing w:before="360" w:line="80" w:lineRule="exact"/>
      <w:jc w:val="left"/>
    </w:pPr>
  </w:style>
  <w:style w:type="paragraph" w:styleId="Caption">
    <w:name w:val="caption"/>
    <w:basedOn w:val="Normal"/>
    <w:next w:val="BodyText"/>
    <w:rsid w:val="00084B9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084B91"/>
    <w:pPr>
      <w:spacing w:before="120" w:after="0"/>
    </w:pPr>
  </w:style>
  <w:style w:type="paragraph" w:customStyle="1" w:styleId="BoxSubtitle">
    <w:name w:val="Box Subtitle"/>
    <w:basedOn w:val="BoxTitle"/>
    <w:next w:val="Normal"/>
    <w:rsid w:val="00084B91"/>
    <w:pPr>
      <w:spacing w:after="80" w:line="200" w:lineRule="exact"/>
      <w:ind w:firstLine="0"/>
    </w:pPr>
    <w:rPr>
      <w:b w:val="0"/>
      <w:sz w:val="20"/>
    </w:rPr>
  </w:style>
  <w:style w:type="paragraph" w:customStyle="1" w:styleId="Chapter">
    <w:name w:val="Chapter"/>
    <w:basedOn w:val="Heading1"/>
    <w:next w:val="BodyText"/>
    <w:semiHidden/>
    <w:rsid w:val="00084B91"/>
    <w:pPr>
      <w:ind w:left="0" w:firstLine="0"/>
      <w:outlineLvl w:val="9"/>
    </w:pPr>
  </w:style>
  <w:style w:type="paragraph" w:customStyle="1" w:styleId="ChapterSummary">
    <w:name w:val="Chapter Summary"/>
    <w:basedOn w:val="BodyText"/>
    <w:rsid w:val="00084B91"/>
    <w:pPr>
      <w:spacing w:line="280" w:lineRule="atLeast"/>
      <w:ind w:left="907"/>
    </w:pPr>
    <w:rPr>
      <w:rFonts w:ascii="Arial" w:hAnsi="Arial"/>
      <w:b/>
      <w:sz w:val="20"/>
    </w:rPr>
  </w:style>
  <w:style w:type="character" w:styleId="CommentReference">
    <w:name w:val="annotation reference"/>
    <w:basedOn w:val="DefaultParagraphFont"/>
    <w:semiHidden/>
    <w:rsid w:val="00084B91"/>
    <w:rPr>
      <w:b/>
      <w:vanish/>
      <w:color w:val="FF00FF"/>
      <w:sz w:val="20"/>
    </w:rPr>
  </w:style>
  <w:style w:type="paragraph" w:styleId="CommentText">
    <w:name w:val="annotation text"/>
    <w:basedOn w:val="Normal"/>
    <w:link w:val="CommentTextChar"/>
    <w:semiHidden/>
    <w:rsid w:val="00084B91"/>
    <w:pPr>
      <w:spacing w:before="120" w:line="240" w:lineRule="atLeast"/>
      <w:ind w:left="567" w:hanging="567"/>
    </w:pPr>
    <w:rPr>
      <w:sz w:val="20"/>
    </w:rPr>
  </w:style>
  <w:style w:type="paragraph" w:customStyle="1" w:styleId="Continued">
    <w:name w:val="Continued"/>
    <w:basedOn w:val="BoxContinued"/>
    <w:next w:val="BodyText"/>
    <w:rsid w:val="00084B91"/>
  </w:style>
  <w:style w:type="character" w:customStyle="1" w:styleId="DocumentInfo">
    <w:name w:val="Document Info"/>
    <w:basedOn w:val="DefaultParagraphFont"/>
    <w:semiHidden/>
    <w:rsid w:val="00084B91"/>
    <w:rPr>
      <w:rFonts w:ascii="Arial" w:hAnsi="Arial"/>
      <w:sz w:val="14"/>
    </w:rPr>
  </w:style>
  <w:style w:type="character" w:customStyle="1" w:styleId="DraftingNote">
    <w:name w:val="Drafting Note"/>
    <w:basedOn w:val="DefaultParagraphFont"/>
    <w:rsid w:val="00084B91"/>
    <w:rPr>
      <w:b/>
      <w:color w:val="FF0000"/>
      <w:sz w:val="24"/>
      <w:u w:val="dotted"/>
    </w:rPr>
  </w:style>
  <w:style w:type="paragraph" w:customStyle="1" w:styleId="Figure">
    <w:name w:val="Figure"/>
    <w:basedOn w:val="BodyText"/>
    <w:rsid w:val="00084B91"/>
    <w:pPr>
      <w:keepNext/>
      <w:spacing w:before="120" w:after="120" w:line="240" w:lineRule="atLeast"/>
      <w:jc w:val="center"/>
    </w:pPr>
  </w:style>
  <w:style w:type="paragraph" w:customStyle="1" w:styleId="FigureTitle">
    <w:name w:val="Figure Title"/>
    <w:basedOn w:val="Caption"/>
    <w:next w:val="Subtitle"/>
    <w:rsid w:val="00084B91"/>
    <w:pPr>
      <w:spacing w:before="120"/>
    </w:pPr>
  </w:style>
  <w:style w:type="paragraph" w:styleId="Subtitle">
    <w:name w:val="Subtitle"/>
    <w:basedOn w:val="Caption"/>
    <w:link w:val="SubtitleChar"/>
    <w:qFormat/>
    <w:rsid w:val="00084B91"/>
    <w:pPr>
      <w:spacing w:before="0" w:line="200" w:lineRule="exact"/>
      <w:ind w:firstLine="0"/>
    </w:pPr>
    <w:rPr>
      <w:b w:val="0"/>
      <w:sz w:val="20"/>
    </w:rPr>
  </w:style>
  <w:style w:type="paragraph" w:customStyle="1" w:styleId="Finding">
    <w:name w:val="Finding"/>
    <w:basedOn w:val="BodyText"/>
    <w:rsid w:val="00084B91"/>
    <w:pPr>
      <w:keepLines/>
      <w:spacing w:before="120" w:line="280" w:lineRule="atLeast"/>
    </w:pPr>
    <w:rPr>
      <w:rFonts w:ascii="Arial" w:hAnsi="Arial"/>
      <w:sz w:val="22"/>
    </w:rPr>
  </w:style>
  <w:style w:type="paragraph" w:customStyle="1" w:styleId="FindingBullet">
    <w:name w:val="Finding Bullet"/>
    <w:basedOn w:val="Finding"/>
    <w:rsid w:val="00084B91"/>
    <w:pPr>
      <w:numPr>
        <w:numId w:val="3"/>
      </w:numPr>
      <w:spacing w:before="80"/>
    </w:pPr>
  </w:style>
  <w:style w:type="paragraph" w:customStyle="1" w:styleId="FindingNoTitle">
    <w:name w:val="Finding NoTitle"/>
    <w:basedOn w:val="Finding"/>
    <w:semiHidden/>
    <w:rsid w:val="00084B91"/>
    <w:pPr>
      <w:spacing w:before="240"/>
    </w:pPr>
  </w:style>
  <w:style w:type="paragraph" w:customStyle="1" w:styleId="RecTitle">
    <w:name w:val="Rec Title"/>
    <w:basedOn w:val="BodyText"/>
    <w:next w:val="Rec"/>
    <w:qFormat/>
    <w:rsid w:val="00084B91"/>
    <w:pPr>
      <w:keepNext/>
      <w:keepLines/>
      <w:spacing w:line="280" w:lineRule="atLeast"/>
    </w:pPr>
    <w:rPr>
      <w:rFonts w:ascii="Arial" w:hAnsi="Arial"/>
      <w:caps/>
      <w:sz w:val="18"/>
    </w:rPr>
  </w:style>
  <w:style w:type="paragraph" w:customStyle="1" w:styleId="FindingTitle">
    <w:name w:val="Finding Title"/>
    <w:basedOn w:val="RecTitle"/>
    <w:next w:val="Finding"/>
    <w:rsid w:val="00084B91"/>
  </w:style>
  <w:style w:type="character" w:styleId="FootnoteReference">
    <w:name w:val="footnote reference"/>
    <w:basedOn w:val="DefaultParagraphFont"/>
    <w:semiHidden/>
    <w:rsid w:val="00084B91"/>
    <w:rPr>
      <w:rFonts w:ascii="Times New Roman" w:hAnsi="Times New Roman"/>
      <w:position w:val="6"/>
      <w:sz w:val="20"/>
      <w:vertAlign w:val="baseline"/>
    </w:rPr>
  </w:style>
  <w:style w:type="paragraph" w:styleId="FootnoteText">
    <w:name w:val="footnote text"/>
    <w:basedOn w:val="BodyText"/>
    <w:link w:val="FootnoteTextChar"/>
    <w:rsid w:val="00084B91"/>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084B91"/>
    <w:rPr>
      <w:i/>
    </w:rPr>
  </w:style>
  <w:style w:type="paragraph" w:customStyle="1" w:styleId="Jurisdictioncommentsbodytext">
    <w:name w:val="Jurisdiction comments body text"/>
    <w:rsid w:val="00084B91"/>
    <w:pPr>
      <w:spacing w:after="140"/>
      <w:jc w:val="both"/>
    </w:pPr>
    <w:rPr>
      <w:rFonts w:ascii="Arial" w:hAnsi="Arial"/>
      <w:sz w:val="24"/>
      <w:lang w:eastAsia="en-US"/>
    </w:rPr>
  </w:style>
  <w:style w:type="paragraph" w:customStyle="1" w:styleId="Jurisdictioncommentsheading">
    <w:name w:val="Jurisdiction comments heading"/>
    <w:rsid w:val="00084B9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084B91"/>
    <w:pPr>
      <w:numPr>
        <w:numId w:val="4"/>
      </w:numPr>
      <w:spacing w:after="140"/>
      <w:jc w:val="both"/>
    </w:pPr>
    <w:rPr>
      <w:rFonts w:ascii="Arial" w:hAnsi="Arial"/>
      <w:sz w:val="24"/>
      <w:lang w:eastAsia="en-US"/>
    </w:rPr>
  </w:style>
  <w:style w:type="paragraph" w:styleId="ListBullet">
    <w:name w:val="List Bullet"/>
    <w:basedOn w:val="BodyText"/>
    <w:rsid w:val="00084B91"/>
    <w:pPr>
      <w:numPr>
        <w:numId w:val="5"/>
      </w:numPr>
      <w:spacing w:before="120"/>
    </w:pPr>
  </w:style>
  <w:style w:type="paragraph" w:styleId="ListBullet2">
    <w:name w:val="List Bullet 2"/>
    <w:basedOn w:val="BodyText"/>
    <w:rsid w:val="00084B91"/>
    <w:pPr>
      <w:numPr>
        <w:numId w:val="6"/>
      </w:numPr>
      <w:spacing w:before="120"/>
    </w:pPr>
  </w:style>
  <w:style w:type="paragraph" w:styleId="ListBullet3">
    <w:name w:val="List Bullet 3"/>
    <w:basedOn w:val="BodyText"/>
    <w:rsid w:val="00084B91"/>
    <w:pPr>
      <w:numPr>
        <w:numId w:val="7"/>
      </w:numPr>
      <w:spacing w:before="120"/>
      <w:ind w:left="1020" w:hanging="340"/>
    </w:pPr>
  </w:style>
  <w:style w:type="paragraph" w:styleId="ListNumber">
    <w:name w:val="List Number"/>
    <w:basedOn w:val="BodyText"/>
    <w:rsid w:val="00084B91"/>
    <w:pPr>
      <w:numPr>
        <w:numId w:val="13"/>
      </w:numPr>
      <w:spacing w:before="120"/>
    </w:pPr>
  </w:style>
  <w:style w:type="paragraph" w:styleId="ListNumber2">
    <w:name w:val="List Number 2"/>
    <w:basedOn w:val="ListNumber"/>
    <w:rsid w:val="00084B91"/>
    <w:pPr>
      <w:numPr>
        <w:ilvl w:val="1"/>
      </w:numPr>
    </w:pPr>
  </w:style>
  <w:style w:type="paragraph" w:styleId="ListNumber3">
    <w:name w:val="List Number 3"/>
    <w:basedOn w:val="ListNumber2"/>
    <w:rsid w:val="00084B91"/>
    <w:pPr>
      <w:numPr>
        <w:ilvl w:val="2"/>
      </w:numPr>
    </w:pPr>
  </w:style>
  <w:style w:type="character" w:customStyle="1" w:styleId="NoteLabel">
    <w:name w:val="Note Label"/>
    <w:basedOn w:val="DefaultParagraphFont"/>
    <w:rsid w:val="00084B91"/>
    <w:rPr>
      <w:rFonts w:ascii="Arial" w:hAnsi="Arial"/>
      <w:b/>
      <w:position w:val="6"/>
      <w:sz w:val="18"/>
    </w:rPr>
  </w:style>
  <w:style w:type="paragraph" w:customStyle="1" w:styleId="PartDivider">
    <w:name w:val="Part Divider"/>
    <w:basedOn w:val="BodyText"/>
    <w:next w:val="BodyText"/>
    <w:semiHidden/>
    <w:rsid w:val="00084B91"/>
    <w:pPr>
      <w:spacing w:before="0" w:line="40" w:lineRule="exact"/>
      <w:jc w:val="right"/>
    </w:pPr>
    <w:rPr>
      <w:smallCaps/>
      <w:sz w:val="16"/>
    </w:rPr>
  </w:style>
  <w:style w:type="paragraph" w:customStyle="1" w:styleId="PartNumber">
    <w:name w:val="Part Number"/>
    <w:basedOn w:val="BodyText"/>
    <w:next w:val="BodyText"/>
    <w:semiHidden/>
    <w:rsid w:val="00084B91"/>
    <w:pPr>
      <w:spacing w:before="4000" w:line="320" w:lineRule="exact"/>
      <w:ind w:left="6634"/>
      <w:jc w:val="right"/>
    </w:pPr>
    <w:rPr>
      <w:smallCaps/>
      <w:spacing w:val="60"/>
      <w:sz w:val="32"/>
    </w:rPr>
  </w:style>
  <w:style w:type="paragraph" w:customStyle="1" w:styleId="PartTitle">
    <w:name w:val="Part Title"/>
    <w:basedOn w:val="BodyText"/>
    <w:semiHidden/>
    <w:rsid w:val="00084B91"/>
    <w:pPr>
      <w:spacing w:before="160" w:after="1360" w:line="520" w:lineRule="exact"/>
      <w:ind w:right="2381"/>
      <w:jc w:val="right"/>
    </w:pPr>
    <w:rPr>
      <w:smallCaps/>
      <w:sz w:val="52"/>
    </w:rPr>
  </w:style>
  <w:style w:type="paragraph" w:styleId="Quote">
    <w:name w:val="Quote"/>
    <w:basedOn w:val="BodyText"/>
    <w:next w:val="BodyText"/>
    <w:link w:val="QuoteChar"/>
    <w:qFormat/>
    <w:rsid w:val="00084B91"/>
    <w:pPr>
      <w:spacing w:before="120" w:line="280" w:lineRule="exact"/>
      <w:ind w:left="340"/>
    </w:pPr>
    <w:rPr>
      <w:sz w:val="22"/>
    </w:rPr>
  </w:style>
  <w:style w:type="paragraph" w:customStyle="1" w:styleId="QuoteBullet">
    <w:name w:val="Quote Bullet"/>
    <w:basedOn w:val="Quote"/>
    <w:rsid w:val="00084B91"/>
    <w:pPr>
      <w:numPr>
        <w:numId w:val="8"/>
      </w:numPr>
    </w:pPr>
  </w:style>
  <w:style w:type="paragraph" w:customStyle="1" w:styleId="Rec">
    <w:name w:val="Rec"/>
    <w:basedOn w:val="BodyText"/>
    <w:qFormat/>
    <w:rsid w:val="00084B91"/>
    <w:pPr>
      <w:keepLines/>
      <w:spacing w:before="120" w:line="280" w:lineRule="atLeast"/>
    </w:pPr>
    <w:rPr>
      <w:rFonts w:ascii="Arial" w:hAnsi="Arial"/>
      <w:sz w:val="22"/>
    </w:rPr>
  </w:style>
  <w:style w:type="paragraph" w:customStyle="1" w:styleId="RecBullet">
    <w:name w:val="Rec Bullet"/>
    <w:basedOn w:val="Rec"/>
    <w:rsid w:val="00084B91"/>
    <w:pPr>
      <w:numPr>
        <w:numId w:val="9"/>
      </w:numPr>
      <w:spacing w:before="80"/>
    </w:pPr>
  </w:style>
  <w:style w:type="paragraph" w:customStyle="1" w:styleId="RecB">
    <w:name w:val="RecB"/>
    <w:basedOn w:val="Normal"/>
    <w:semiHidden/>
    <w:rsid w:val="00084B91"/>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084B91"/>
    <w:pPr>
      <w:numPr>
        <w:numId w:val="10"/>
      </w:numPr>
      <w:spacing w:before="80"/>
    </w:pPr>
  </w:style>
  <w:style w:type="paragraph" w:customStyle="1" w:styleId="RecBNoTitle">
    <w:name w:val="RecB NoTitle"/>
    <w:basedOn w:val="RecB"/>
    <w:semiHidden/>
    <w:rsid w:val="00084B91"/>
    <w:pPr>
      <w:spacing w:before="240"/>
    </w:pPr>
  </w:style>
  <w:style w:type="paragraph" w:customStyle="1" w:styleId="Reference">
    <w:name w:val="Reference"/>
    <w:basedOn w:val="BodyText"/>
    <w:link w:val="ReferenceChar"/>
    <w:rsid w:val="00084B91"/>
    <w:pPr>
      <w:spacing w:before="120"/>
      <w:ind w:left="340" w:hanging="340"/>
    </w:pPr>
  </w:style>
  <w:style w:type="paragraph" w:customStyle="1" w:styleId="SequenceInfo">
    <w:name w:val="Sequence Info"/>
    <w:basedOn w:val="BodyText"/>
    <w:semiHidden/>
    <w:rsid w:val="00084B91"/>
    <w:rPr>
      <w:vanish/>
      <w:sz w:val="16"/>
    </w:rPr>
  </w:style>
  <w:style w:type="paragraph" w:customStyle="1" w:styleId="SideNote">
    <w:name w:val="Side Note"/>
    <w:basedOn w:val="BodyText"/>
    <w:next w:val="BodyText"/>
    <w:semiHidden/>
    <w:rsid w:val="00084B9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084B91"/>
    <w:pPr>
      <w:framePr w:wrap="around"/>
      <w:numPr>
        <w:numId w:val="11"/>
      </w:numPr>
      <w:tabs>
        <w:tab w:val="left" w:pos="227"/>
      </w:tabs>
    </w:pPr>
  </w:style>
  <w:style w:type="paragraph" w:customStyle="1" w:styleId="SideNoteGraphic">
    <w:name w:val="Side Note Graphic"/>
    <w:basedOn w:val="SideNote"/>
    <w:next w:val="BodyText"/>
    <w:semiHidden/>
    <w:rsid w:val="00084B91"/>
    <w:pPr>
      <w:framePr w:wrap="around"/>
    </w:pPr>
  </w:style>
  <w:style w:type="paragraph" w:customStyle="1" w:styleId="TableBodyText">
    <w:name w:val="Table Body Text"/>
    <w:basedOn w:val="BodyText"/>
    <w:rsid w:val="00084B9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084B91"/>
    <w:pPr>
      <w:numPr>
        <w:numId w:val="12"/>
      </w:numPr>
      <w:jc w:val="left"/>
    </w:pPr>
  </w:style>
  <w:style w:type="paragraph" w:customStyle="1" w:styleId="TableColumnHeading">
    <w:name w:val="Table Column Heading"/>
    <w:basedOn w:val="TableBodyText"/>
    <w:rsid w:val="00084B91"/>
    <w:pPr>
      <w:spacing w:before="80" w:after="80"/>
    </w:pPr>
    <w:rPr>
      <w:i/>
    </w:rPr>
  </w:style>
  <w:style w:type="paragraph" w:styleId="TOC2">
    <w:name w:val="toc 2"/>
    <w:basedOn w:val="TOC1"/>
    <w:rsid w:val="00084B91"/>
    <w:pPr>
      <w:ind w:left="1134" w:hanging="624"/>
    </w:pPr>
    <w:rPr>
      <w:b w:val="0"/>
    </w:rPr>
  </w:style>
  <w:style w:type="paragraph" w:styleId="TOC3">
    <w:name w:val="toc 3"/>
    <w:basedOn w:val="TOC2"/>
    <w:rsid w:val="00084B91"/>
    <w:pPr>
      <w:spacing w:before="60"/>
      <w:ind w:left="1190" w:hanging="680"/>
    </w:pPr>
  </w:style>
  <w:style w:type="paragraph" w:styleId="TableofFigures">
    <w:name w:val="table of figures"/>
    <w:basedOn w:val="TOC3"/>
    <w:next w:val="BodyText"/>
    <w:semiHidden/>
    <w:rsid w:val="00084B91"/>
    <w:pPr>
      <w:ind w:left="737" w:hanging="737"/>
    </w:pPr>
  </w:style>
  <w:style w:type="paragraph" w:customStyle="1" w:styleId="TableTitle">
    <w:name w:val="Table Title"/>
    <w:basedOn w:val="Caption"/>
    <w:next w:val="Subtitle"/>
    <w:link w:val="TableTitleChar"/>
    <w:qFormat/>
    <w:rsid w:val="00084B91"/>
    <w:pPr>
      <w:spacing w:before="120"/>
    </w:pPr>
  </w:style>
  <w:style w:type="paragraph" w:customStyle="1" w:styleId="TableUnitsRow">
    <w:name w:val="Table Units Row"/>
    <w:basedOn w:val="TableBodyText"/>
    <w:rsid w:val="00084B91"/>
    <w:pPr>
      <w:spacing w:before="40"/>
    </w:pPr>
  </w:style>
  <w:style w:type="paragraph" w:styleId="TOC1">
    <w:name w:val="toc 1"/>
    <w:basedOn w:val="Normal"/>
    <w:next w:val="TOC2"/>
    <w:link w:val="TOC1Char"/>
    <w:rsid w:val="00084B9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084B91"/>
    <w:pPr>
      <w:ind w:left="1191" w:firstLine="0"/>
    </w:pPr>
  </w:style>
  <w:style w:type="paragraph" w:customStyle="1" w:styleId="RecBBullet2">
    <w:name w:val="RecB Bullet 2"/>
    <w:basedOn w:val="ListBullet2"/>
    <w:semiHidden/>
    <w:rsid w:val="00084B91"/>
    <w:pPr>
      <w:pBdr>
        <w:left w:val="single" w:sz="24" w:space="29" w:color="C0C0C0"/>
      </w:pBdr>
    </w:pPr>
    <w:rPr>
      <w:b/>
      <w:i/>
    </w:rPr>
  </w:style>
  <w:style w:type="paragraph" w:styleId="BalloonText">
    <w:name w:val="Balloon Text"/>
    <w:basedOn w:val="Normal"/>
    <w:link w:val="BalloonTextChar"/>
    <w:rsid w:val="00084B91"/>
    <w:rPr>
      <w:rFonts w:ascii="Tahoma" w:hAnsi="Tahoma" w:cs="Tahoma"/>
      <w:sz w:val="16"/>
      <w:szCs w:val="16"/>
    </w:rPr>
  </w:style>
  <w:style w:type="character" w:customStyle="1" w:styleId="BalloonTextChar">
    <w:name w:val="Balloon Text Char"/>
    <w:basedOn w:val="DefaultParagraphFont"/>
    <w:link w:val="BalloonText"/>
    <w:rsid w:val="00084B91"/>
    <w:rPr>
      <w:rFonts w:ascii="Tahoma" w:hAnsi="Tahoma" w:cs="Tahoma"/>
      <w:sz w:val="16"/>
      <w:szCs w:val="16"/>
    </w:rPr>
  </w:style>
  <w:style w:type="character" w:customStyle="1" w:styleId="SubtitleChar">
    <w:name w:val="Subtitle Char"/>
    <w:basedOn w:val="DefaultParagraphFont"/>
    <w:link w:val="Subtitle"/>
    <w:rsid w:val="00084B91"/>
    <w:rPr>
      <w:rFonts w:ascii="Arial" w:hAnsi="Arial"/>
      <w:szCs w:val="24"/>
    </w:rPr>
  </w:style>
  <w:style w:type="paragraph" w:customStyle="1" w:styleId="BoxListBullet3">
    <w:name w:val="Box List Bullet 3"/>
    <w:basedOn w:val="ListBullet3"/>
    <w:rsid w:val="00084B91"/>
    <w:pPr>
      <w:numPr>
        <w:numId w:val="17"/>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084B91"/>
    <w:rPr>
      <w:i/>
      <w:iCs/>
    </w:rPr>
  </w:style>
  <w:style w:type="paragraph" w:customStyle="1" w:styleId="BoxQuoteBullet">
    <w:name w:val="Box Quote Bullet"/>
    <w:basedOn w:val="BoxQuote"/>
    <w:next w:val="Box"/>
    <w:rsid w:val="00084B91"/>
    <w:pPr>
      <w:numPr>
        <w:numId w:val="15"/>
      </w:numPr>
      <w:ind w:left="568" w:hanging="284"/>
    </w:pPr>
  </w:style>
  <w:style w:type="paragraph" w:customStyle="1" w:styleId="InformationRequestBullet">
    <w:name w:val="Information Request Bullet"/>
    <w:basedOn w:val="ListBullet"/>
    <w:next w:val="BodyText"/>
    <w:rsid w:val="00084B91"/>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084B91"/>
    <w:pPr>
      <w:keepNext w:val="0"/>
      <w:spacing w:before="60" w:after="60" w:line="80" w:lineRule="exact"/>
    </w:pPr>
    <w:rPr>
      <w:sz w:val="14"/>
    </w:rPr>
  </w:style>
  <w:style w:type="character" w:customStyle="1" w:styleId="BodyTextChar">
    <w:name w:val="Body Text Char"/>
    <w:basedOn w:val="DefaultParagraphFont"/>
    <w:link w:val="BodyText"/>
    <w:rsid w:val="00084B91"/>
    <w:rPr>
      <w:sz w:val="24"/>
    </w:rPr>
  </w:style>
  <w:style w:type="character" w:customStyle="1" w:styleId="FootnoteTextChar">
    <w:name w:val="Footnote Text Char"/>
    <w:basedOn w:val="BodyTextChar"/>
    <w:link w:val="FootnoteText"/>
    <w:rsid w:val="006156C9"/>
    <w:rPr>
      <w:sz w:val="24"/>
    </w:rPr>
  </w:style>
  <w:style w:type="character" w:customStyle="1" w:styleId="ReferenceChar">
    <w:name w:val="Reference Char"/>
    <w:basedOn w:val="DefaultParagraphFont"/>
    <w:link w:val="Reference"/>
    <w:rsid w:val="006156C9"/>
    <w:rPr>
      <w:sz w:val="24"/>
    </w:rPr>
  </w:style>
  <w:style w:type="paragraph" w:styleId="CommentSubject">
    <w:name w:val="annotation subject"/>
    <w:basedOn w:val="CommentText"/>
    <w:next w:val="CommentText"/>
    <w:link w:val="CommentSubjectChar"/>
    <w:rsid w:val="005B1C25"/>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5B1C25"/>
    <w:rPr>
      <w:szCs w:val="24"/>
    </w:rPr>
  </w:style>
  <w:style w:type="character" w:customStyle="1" w:styleId="CommentSubjectChar">
    <w:name w:val="Comment Subject Char"/>
    <w:basedOn w:val="CommentTextChar"/>
    <w:link w:val="CommentSubject"/>
    <w:rsid w:val="005B1C25"/>
    <w:rPr>
      <w:b/>
      <w:bCs/>
      <w:szCs w:val="24"/>
    </w:rPr>
  </w:style>
  <w:style w:type="paragraph" w:styleId="Revision">
    <w:name w:val="Revision"/>
    <w:hidden/>
    <w:uiPriority w:val="99"/>
    <w:semiHidden/>
    <w:rsid w:val="005B1C25"/>
    <w:rPr>
      <w:sz w:val="26"/>
      <w:szCs w:val="24"/>
    </w:rPr>
  </w:style>
  <w:style w:type="paragraph" w:styleId="Bibliography">
    <w:name w:val="Bibliography"/>
    <w:basedOn w:val="Normal"/>
    <w:next w:val="Normal"/>
    <w:uiPriority w:val="37"/>
    <w:unhideWhenUsed/>
    <w:rsid w:val="0095058B"/>
    <w:pPr>
      <w:spacing w:after="240"/>
      <w:ind w:left="720" w:hanging="720"/>
    </w:pPr>
  </w:style>
  <w:style w:type="paragraph" w:customStyle="1" w:styleId="KeyPointsListBullet">
    <w:name w:val="Key Points List Bullet"/>
    <w:basedOn w:val="Normal"/>
    <w:qFormat/>
    <w:rsid w:val="00084B9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084B91"/>
    <w:pPr>
      <w:numPr>
        <w:numId w:val="19"/>
      </w:numPr>
      <w:ind w:left="568" w:hanging="284"/>
    </w:pPr>
  </w:style>
  <w:style w:type="paragraph" w:customStyle="1" w:styleId="InformationRequestTitle">
    <w:name w:val="Information Request Title"/>
    <w:basedOn w:val="FindingTitle"/>
    <w:next w:val="InformationRequest"/>
    <w:rsid w:val="00084B91"/>
    <w:rPr>
      <w:i/>
    </w:rPr>
  </w:style>
  <w:style w:type="paragraph" w:customStyle="1" w:styleId="Space">
    <w:name w:val="Space"/>
    <w:basedOn w:val="Normal"/>
    <w:rsid w:val="00084B91"/>
    <w:pPr>
      <w:keepNext/>
      <w:spacing w:line="120" w:lineRule="exact"/>
      <w:jc w:val="both"/>
    </w:pPr>
    <w:rPr>
      <w:rFonts w:ascii="Arial" w:hAnsi="Arial"/>
      <w:sz w:val="20"/>
      <w:szCs w:val="20"/>
    </w:rPr>
  </w:style>
  <w:style w:type="paragraph" w:customStyle="1" w:styleId="Heading1nochapterno">
    <w:name w:val="Heading 1 (no chapter no.)"/>
    <w:basedOn w:val="Heading1"/>
    <w:rsid w:val="00084B91"/>
    <w:pPr>
      <w:spacing w:before="0"/>
      <w:ind w:left="0" w:firstLine="0"/>
    </w:pPr>
  </w:style>
  <w:style w:type="paragraph" w:customStyle="1" w:styleId="Heading2nosectionno">
    <w:name w:val="Heading 2 (no section no.)"/>
    <w:basedOn w:val="Heading2"/>
    <w:rsid w:val="00084B91"/>
    <w:pPr>
      <w:ind w:left="0" w:firstLine="0"/>
    </w:pPr>
  </w:style>
  <w:style w:type="character" w:customStyle="1" w:styleId="Heading5Char">
    <w:name w:val="Heading 5 Char"/>
    <w:basedOn w:val="DefaultParagraphFont"/>
    <w:link w:val="Heading5"/>
    <w:rsid w:val="00084B91"/>
    <w:rPr>
      <w:rFonts w:ascii="Arial" w:hAnsi="Arial"/>
      <w:i/>
      <w:sz w:val="22"/>
    </w:rPr>
  </w:style>
  <w:style w:type="paragraph" w:customStyle="1" w:styleId="Figurespace">
    <w:name w:val="Figure space"/>
    <w:basedOn w:val="Box"/>
    <w:rsid w:val="00084B91"/>
    <w:pPr>
      <w:spacing w:before="0" w:line="120" w:lineRule="exact"/>
    </w:pPr>
  </w:style>
  <w:style w:type="paragraph" w:customStyle="1" w:styleId="FooterDraftReport">
    <w:name w:val="FooterDraftReport"/>
    <w:basedOn w:val="Footer"/>
    <w:link w:val="FooterDraftReportChar"/>
    <w:rsid w:val="00084B9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Char">
    <w:name w:val="Footer Char"/>
    <w:basedOn w:val="BodyTextChar"/>
    <w:link w:val="Footer"/>
    <w:rsid w:val="00084B91"/>
    <w:rPr>
      <w:rFonts w:ascii="Arial" w:hAnsi="Arial"/>
      <w:caps/>
      <w:spacing w:val="-4"/>
      <w:sz w:val="16"/>
    </w:rPr>
  </w:style>
  <w:style w:type="character" w:customStyle="1" w:styleId="FooterDraftReportChar">
    <w:name w:val="FooterDraftReport Char"/>
    <w:basedOn w:val="FooterChar"/>
    <w:link w:val="FooterDraftReport"/>
    <w:rsid w:val="00084B9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84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084B91"/>
    <w:rPr>
      <w:rFonts w:ascii="Arial" w:hAnsi="Arial"/>
      <w:b/>
      <w:sz w:val="26"/>
      <w:szCs w:val="26"/>
      <w:lang w:eastAsia="en-US"/>
    </w:rPr>
  </w:style>
  <w:style w:type="character" w:styleId="EndnoteReference">
    <w:name w:val="endnote reference"/>
    <w:basedOn w:val="DefaultParagraphFont"/>
    <w:rsid w:val="00471B39"/>
    <w:rPr>
      <w:vertAlign w:val="superscript"/>
    </w:rPr>
  </w:style>
  <w:style w:type="character" w:customStyle="1" w:styleId="BoxChar">
    <w:name w:val="Box Char"/>
    <w:link w:val="Box"/>
    <w:locked/>
    <w:rsid w:val="00F606A7"/>
    <w:rPr>
      <w:rFonts w:ascii="Arial" w:hAnsi="Arial"/>
    </w:rPr>
  </w:style>
  <w:style w:type="character" w:customStyle="1" w:styleId="apple-converted-space">
    <w:name w:val="apple-converted-space"/>
    <w:basedOn w:val="DefaultParagraphFont"/>
    <w:rsid w:val="00C40AE2"/>
  </w:style>
  <w:style w:type="character" w:styleId="Hyperlink">
    <w:name w:val="Hyperlink"/>
    <w:basedOn w:val="DefaultParagraphFont"/>
    <w:rsid w:val="00F13911"/>
    <w:rPr>
      <w:color w:val="78A22F" w:themeColor="hyperlink"/>
      <w:u w:val="single"/>
    </w:rPr>
  </w:style>
  <w:style w:type="character" w:styleId="FollowedHyperlink">
    <w:name w:val="FollowedHyperlink"/>
    <w:basedOn w:val="DefaultParagraphFont"/>
    <w:rsid w:val="00F13911"/>
    <w:rPr>
      <w:color w:val="387DD2" w:themeColor="followedHyperlink"/>
      <w:u w:val="single"/>
    </w:rPr>
  </w:style>
  <w:style w:type="character" w:customStyle="1" w:styleId="Heading3Char">
    <w:name w:val="Heading 3 Char"/>
    <w:basedOn w:val="DefaultParagraphFont"/>
    <w:link w:val="Heading3"/>
    <w:rsid w:val="00823672"/>
    <w:rPr>
      <w:rFonts w:ascii="Arial" w:hAnsi="Arial"/>
      <w:b/>
      <w:sz w:val="26"/>
    </w:rPr>
  </w:style>
  <w:style w:type="character" w:customStyle="1" w:styleId="QuoteChar">
    <w:name w:val="Quote Char"/>
    <w:basedOn w:val="DefaultParagraphFont"/>
    <w:link w:val="Quote"/>
    <w:rsid w:val="00D80572"/>
    <w:rPr>
      <w:sz w:val="22"/>
    </w:rPr>
  </w:style>
  <w:style w:type="character" w:customStyle="1" w:styleId="Heading4Char">
    <w:name w:val="Heading 4 Char"/>
    <w:basedOn w:val="DefaultParagraphFont"/>
    <w:link w:val="Heading4"/>
    <w:rsid w:val="00DF3347"/>
    <w:rPr>
      <w:rFonts w:ascii="Arial" w:hAnsi="Arial"/>
      <w:sz w:val="24"/>
    </w:rPr>
  </w:style>
  <w:style w:type="character" w:customStyle="1" w:styleId="TableTitleChar">
    <w:name w:val="Table Title Char"/>
    <w:basedOn w:val="DefaultParagraphFont"/>
    <w:link w:val="TableTitle"/>
    <w:locked/>
    <w:rsid w:val="00075E6C"/>
    <w:rPr>
      <w:rFonts w:ascii="Arial" w:hAnsi="Arial"/>
      <w:b/>
      <w:sz w:val="24"/>
      <w:szCs w:val="24"/>
    </w:rPr>
  </w:style>
  <w:style w:type="paragraph" w:customStyle="1" w:styleId="Copyrightheading">
    <w:name w:val="Copyright heading"/>
    <w:basedOn w:val="TOC1"/>
    <w:link w:val="CopyrightheadingChar"/>
    <w:qFormat/>
    <w:rsid w:val="006F2AF4"/>
    <w:pPr>
      <w:spacing w:line="300" w:lineRule="exact"/>
    </w:pPr>
    <w:rPr>
      <w:sz w:val="22"/>
    </w:rPr>
  </w:style>
  <w:style w:type="character" w:customStyle="1" w:styleId="CopyrightheadingChar">
    <w:name w:val="Copyright heading Char"/>
    <w:basedOn w:val="TOC1Char"/>
    <w:link w:val="Copyrightheading"/>
    <w:rsid w:val="006F2AF4"/>
    <w:rPr>
      <w:rFonts w:ascii="Arial" w:hAnsi="Arial"/>
      <w:b/>
      <w:sz w:val="22"/>
      <w:szCs w:val="26"/>
      <w:lang w:eastAsia="en-US"/>
    </w:rPr>
  </w:style>
  <w:style w:type="paragraph" w:customStyle="1" w:styleId="Copyrightsubtitle">
    <w:name w:val="Copyright subtitle"/>
    <w:basedOn w:val="BodyText"/>
    <w:rsid w:val="006F2AF4"/>
    <w:rPr>
      <w:rFonts w:ascii="Arial" w:hAnsi="Arial"/>
      <w:b/>
      <w:sz w:val="22"/>
      <w:szCs w:val="25"/>
    </w:rPr>
  </w:style>
  <w:style w:type="paragraph" w:customStyle="1" w:styleId="Copyrightbodytext">
    <w:name w:val="Copyright bodytext"/>
    <w:basedOn w:val="BodyText"/>
    <w:link w:val="CopyrightbodytextChar"/>
    <w:qFormat/>
    <w:rsid w:val="006F2AF4"/>
    <w:pPr>
      <w:spacing w:before="60"/>
    </w:pPr>
  </w:style>
  <w:style w:type="character" w:customStyle="1" w:styleId="CopyrightbodytextChar">
    <w:name w:val="Copyright bodytext Char"/>
    <w:basedOn w:val="BodyTextChar"/>
    <w:link w:val="Copyrightbodytext"/>
    <w:rsid w:val="006F2AF4"/>
    <w:rPr>
      <w:sz w:val="24"/>
    </w:rPr>
  </w:style>
  <w:style w:type="character" w:customStyle="1" w:styleId="Continuedintitle">
    <w:name w:val="Continued (in title)"/>
    <w:basedOn w:val="DefaultParagraphFont"/>
    <w:rsid w:val="00084B91"/>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24110">
      <w:bodyDiv w:val="1"/>
      <w:marLeft w:val="0"/>
      <w:marRight w:val="0"/>
      <w:marTop w:val="0"/>
      <w:marBottom w:val="0"/>
      <w:divBdr>
        <w:top w:val="none" w:sz="0" w:space="0" w:color="auto"/>
        <w:left w:val="none" w:sz="0" w:space="0" w:color="auto"/>
        <w:bottom w:val="none" w:sz="0" w:space="0" w:color="auto"/>
        <w:right w:val="none" w:sz="0" w:space="0" w:color="auto"/>
      </w:divBdr>
    </w:div>
    <w:div w:id="513883053">
      <w:bodyDiv w:val="1"/>
      <w:marLeft w:val="0"/>
      <w:marRight w:val="0"/>
      <w:marTop w:val="0"/>
      <w:marBottom w:val="0"/>
      <w:divBdr>
        <w:top w:val="none" w:sz="0" w:space="0" w:color="auto"/>
        <w:left w:val="none" w:sz="0" w:space="0" w:color="auto"/>
        <w:bottom w:val="none" w:sz="0" w:space="0" w:color="auto"/>
        <w:right w:val="none" w:sz="0" w:space="0" w:color="auto"/>
      </w:divBdr>
    </w:div>
    <w:div w:id="743725830">
      <w:bodyDiv w:val="1"/>
      <w:marLeft w:val="0"/>
      <w:marRight w:val="0"/>
      <w:marTop w:val="0"/>
      <w:marBottom w:val="0"/>
      <w:divBdr>
        <w:top w:val="none" w:sz="0" w:space="0" w:color="auto"/>
        <w:left w:val="none" w:sz="0" w:space="0" w:color="auto"/>
        <w:bottom w:val="none" w:sz="0" w:space="0" w:color="auto"/>
        <w:right w:val="none" w:sz="0" w:space="0" w:color="auto"/>
      </w:divBdr>
    </w:div>
    <w:div w:id="753865529">
      <w:bodyDiv w:val="1"/>
      <w:marLeft w:val="0"/>
      <w:marRight w:val="0"/>
      <w:marTop w:val="0"/>
      <w:marBottom w:val="0"/>
      <w:divBdr>
        <w:top w:val="none" w:sz="0" w:space="0" w:color="auto"/>
        <w:left w:val="none" w:sz="0" w:space="0" w:color="auto"/>
        <w:bottom w:val="none" w:sz="0" w:space="0" w:color="auto"/>
        <w:right w:val="none" w:sz="0" w:space="0" w:color="auto"/>
      </w:divBdr>
    </w:div>
    <w:div w:id="883827493">
      <w:bodyDiv w:val="1"/>
      <w:marLeft w:val="0"/>
      <w:marRight w:val="0"/>
      <w:marTop w:val="0"/>
      <w:marBottom w:val="0"/>
      <w:divBdr>
        <w:top w:val="none" w:sz="0" w:space="0" w:color="auto"/>
        <w:left w:val="none" w:sz="0" w:space="0" w:color="auto"/>
        <w:bottom w:val="none" w:sz="0" w:space="0" w:color="auto"/>
        <w:right w:val="none" w:sz="0" w:space="0" w:color="auto"/>
      </w:divBdr>
    </w:div>
    <w:div w:id="1037049801">
      <w:bodyDiv w:val="1"/>
      <w:marLeft w:val="0"/>
      <w:marRight w:val="0"/>
      <w:marTop w:val="0"/>
      <w:marBottom w:val="0"/>
      <w:divBdr>
        <w:top w:val="none" w:sz="0" w:space="0" w:color="auto"/>
        <w:left w:val="none" w:sz="0" w:space="0" w:color="auto"/>
        <w:bottom w:val="none" w:sz="0" w:space="0" w:color="auto"/>
        <w:right w:val="none" w:sz="0" w:space="0" w:color="auto"/>
      </w:divBdr>
    </w:div>
    <w:div w:id="1107896218">
      <w:bodyDiv w:val="1"/>
      <w:marLeft w:val="0"/>
      <w:marRight w:val="0"/>
      <w:marTop w:val="0"/>
      <w:marBottom w:val="0"/>
      <w:divBdr>
        <w:top w:val="none" w:sz="0" w:space="0" w:color="auto"/>
        <w:left w:val="none" w:sz="0" w:space="0" w:color="auto"/>
        <w:bottom w:val="none" w:sz="0" w:space="0" w:color="auto"/>
        <w:right w:val="none" w:sz="0" w:space="0" w:color="auto"/>
      </w:divBdr>
    </w:div>
    <w:div w:id="1116485039">
      <w:bodyDiv w:val="1"/>
      <w:marLeft w:val="0"/>
      <w:marRight w:val="0"/>
      <w:marTop w:val="0"/>
      <w:marBottom w:val="0"/>
      <w:divBdr>
        <w:top w:val="none" w:sz="0" w:space="0" w:color="auto"/>
        <w:left w:val="none" w:sz="0" w:space="0" w:color="auto"/>
        <w:bottom w:val="none" w:sz="0" w:space="0" w:color="auto"/>
        <w:right w:val="none" w:sz="0" w:space="0" w:color="auto"/>
      </w:divBdr>
    </w:div>
    <w:div w:id="1200239344">
      <w:bodyDiv w:val="1"/>
      <w:marLeft w:val="0"/>
      <w:marRight w:val="0"/>
      <w:marTop w:val="0"/>
      <w:marBottom w:val="0"/>
      <w:divBdr>
        <w:top w:val="none" w:sz="0" w:space="0" w:color="auto"/>
        <w:left w:val="none" w:sz="0" w:space="0" w:color="auto"/>
        <w:bottom w:val="none" w:sz="0" w:space="0" w:color="auto"/>
        <w:right w:val="none" w:sz="0" w:space="0" w:color="auto"/>
      </w:divBdr>
    </w:div>
    <w:div w:id="1263993270">
      <w:bodyDiv w:val="1"/>
      <w:marLeft w:val="0"/>
      <w:marRight w:val="0"/>
      <w:marTop w:val="0"/>
      <w:marBottom w:val="0"/>
      <w:divBdr>
        <w:top w:val="none" w:sz="0" w:space="0" w:color="auto"/>
        <w:left w:val="none" w:sz="0" w:space="0" w:color="auto"/>
        <w:bottom w:val="none" w:sz="0" w:space="0" w:color="auto"/>
        <w:right w:val="none" w:sz="0" w:space="0" w:color="auto"/>
      </w:divBdr>
    </w:div>
    <w:div w:id="1267888818">
      <w:bodyDiv w:val="1"/>
      <w:marLeft w:val="0"/>
      <w:marRight w:val="0"/>
      <w:marTop w:val="0"/>
      <w:marBottom w:val="0"/>
      <w:divBdr>
        <w:top w:val="none" w:sz="0" w:space="0" w:color="auto"/>
        <w:left w:val="none" w:sz="0" w:space="0" w:color="auto"/>
        <w:bottom w:val="none" w:sz="0" w:space="0" w:color="auto"/>
        <w:right w:val="none" w:sz="0" w:space="0" w:color="auto"/>
      </w:divBdr>
    </w:div>
    <w:div w:id="1275556104">
      <w:bodyDiv w:val="1"/>
      <w:marLeft w:val="0"/>
      <w:marRight w:val="0"/>
      <w:marTop w:val="0"/>
      <w:marBottom w:val="0"/>
      <w:divBdr>
        <w:top w:val="none" w:sz="0" w:space="0" w:color="auto"/>
        <w:left w:val="none" w:sz="0" w:space="0" w:color="auto"/>
        <w:bottom w:val="none" w:sz="0" w:space="0" w:color="auto"/>
        <w:right w:val="none" w:sz="0" w:space="0" w:color="auto"/>
      </w:divBdr>
    </w:div>
    <w:div w:id="1304232015">
      <w:bodyDiv w:val="1"/>
      <w:marLeft w:val="0"/>
      <w:marRight w:val="0"/>
      <w:marTop w:val="0"/>
      <w:marBottom w:val="0"/>
      <w:divBdr>
        <w:top w:val="none" w:sz="0" w:space="0" w:color="auto"/>
        <w:left w:val="none" w:sz="0" w:space="0" w:color="auto"/>
        <w:bottom w:val="none" w:sz="0" w:space="0" w:color="auto"/>
        <w:right w:val="none" w:sz="0" w:space="0" w:color="auto"/>
      </w:divBdr>
    </w:div>
    <w:div w:id="1497650964">
      <w:bodyDiv w:val="1"/>
      <w:marLeft w:val="0"/>
      <w:marRight w:val="0"/>
      <w:marTop w:val="0"/>
      <w:marBottom w:val="0"/>
      <w:divBdr>
        <w:top w:val="none" w:sz="0" w:space="0" w:color="auto"/>
        <w:left w:val="none" w:sz="0" w:space="0" w:color="auto"/>
        <w:bottom w:val="none" w:sz="0" w:space="0" w:color="auto"/>
        <w:right w:val="none" w:sz="0" w:space="0" w:color="auto"/>
      </w:divBdr>
    </w:div>
    <w:div w:id="1499298791">
      <w:bodyDiv w:val="1"/>
      <w:marLeft w:val="0"/>
      <w:marRight w:val="0"/>
      <w:marTop w:val="0"/>
      <w:marBottom w:val="0"/>
      <w:divBdr>
        <w:top w:val="none" w:sz="0" w:space="0" w:color="auto"/>
        <w:left w:val="none" w:sz="0" w:space="0" w:color="auto"/>
        <w:bottom w:val="none" w:sz="0" w:space="0" w:color="auto"/>
        <w:right w:val="none" w:sz="0" w:space="0" w:color="auto"/>
      </w:divBdr>
    </w:div>
    <w:div w:id="161644926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4271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Dev\chapt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04043-1FB0-4D40-ABBD-12335044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23</TotalTime>
  <Pages>37</Pages>
  <Words>9645</Words>
  <Characters>55252</Characters>
  <Application>Microsoft Office Word</Application>
  <DocSecurity>0</DocSecurity>
  <Lines>1151</Lines>
  <Paragraphs>463</Paragraphs>
  <ScaleCrop>false</ScaleCrop>
  <HeadingPairs>
    <vt:vector size="2" baseType="variant">
      <vt:variant>
        <vt:lpstr>Title</vt:lpstr>
      </vt:variant>
      <vt:variant>
        <vt:i4>1</vt:i4>
      </vt:variant>
    </vt:vector>
  </HeadingPairs>
  <TitlesOfParts>
    <vt:vector size="1" baseType="lpstr">
      <vt:lpstr>Staff Research Note - Productivity in Finanical and Insurance Services</vt:lpstr>
    </vt:vector>
  </TitlesOfParts>
  <Company>Productivity Commission</Company>
  <LinksUpToDate>false</LinksUpToDate>
  <CharactersWithSpaces>64434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Productivity in Financial and Insurance Services - Staff Research Note</dc:title>
  <dc:subject>PRODUCTIVITY IN FINANCIAL AND INSURANCE SERVICES</dc:subject>
  <dc:creator>Productivity Commission</dc:creator>
  <dc:description>1.</dc:description>
  <cp:lastModifiedBy>Michelle Cross</cp:lastModifiedBy>
  <cp:revision>8</cp:revision>
  <cp:lastPrinted>2015-12-18T01:16:00Z</cp:lastPrinted>
  <dcterms:created xsi:type="dcterms:W3CDTF">2016-02-08T05:18:00Z</dcterms:created>
  <dcterms:modified xsi:type="dcterms:W3CDTF">2016-02-10T05:56:00Z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id="CGOMvLFN"/&gt;&lt;style id="http://www.zotero.org/styles/unisa-harvard"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value="0"/&gt;&lt;/prefs&gt;&lt;/data&gt;</vt:lpwstr>
  </property>
</Properties>
</file>